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1E3E10" w14:textId="77777777" w:rsidTr="004677B6">
        <w:trPr>
          <w:trHeight w:hRule="exact" w:val="851"/>
        </w:trPr>
        <w:tc>
          <w:tcPr>
            <w:tcW w:w="1280" w:type="dxa"/>
            <w:tcBorders>
              <w:bottom w:val="single" w:sz="4" w:space="0" w:color="auto"/>
            </w:tcBorders>
          </w:tcPr>
          <w:p w14:paraId="151E3E0D" w14:textId="77777777" w:rsidR="002D5AAC" w:rsidRDefault="002D5AAC" w:rsidP="004677B6">
            <w:pPr>
              <w:kinsoku w:val="0"/>
              <w:overflowPunct w:val="0"/>
              <w:autoSpaceDE w:val="0"/>
              <w:autoSpaceDN w:val="0"/>
              <w:adjustRightInd w:val="0"/>
              <w:snapToGrid w:val="0"/>
            </w:pPr>
          </w:p>
        </w:tc>
        <w:tc>
          <w:tcPr>
            <w:tcW w:w="2273" w:type="dxa"/>
            <w:tcBorders>
              <w:bottom w:val="single" w:sz="4" w:space="0" w:color="auto"/>
            </w:tcBorders>
            <w:vAlign w:val="bottom"/>
          </w:tcPr>
          <w:p w14:paraId="151E3E0E"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51E3E0F" w14:textId="248A6671" w:rsidR="002D5AAC" w:rsidRDefault="004677B6" w:rsidP="00FB0871">
            <w:pPr>
              <w:jc w:val="right"/>
            </w:pPr>
            <w:r w:rsidRPr="004677B6">
              <w:rPr>
                <w:sz w:val="40"/>
              </w:rPr>
              <w:t>E</w:t>
            </w:r>
            <w:r>
              <w:t>/C.12/</w:t>
            </w:r>
            <w:r w:rsidR="00FB0871" w:rsidRPr="00FB0871">
              <w:rPr>
                <w:lang w:val="en-GB" w:eastAsia="en-US"/>
              </w:rPr>
              <w:t>65</w:t>
            </w:r>
            <w:r>
              <w:t>/</w:t>
            </w:r>
            <w:r w:rsidR="00FB0871">
              <w:t>D</w:t>
            </w:r>
            <w:r>
              <w:t>/</w:t>
            </w:r>
            <w:r w:rsidR="00FB0871">
              <w:t>9/2015</w:t>
            </w:r>
          </w:p>
        </w:tc>
      </w:tr>
      <w:tr w:rsidR="002D5AAC" w14:paraId="151E3E17" w14:textId="77777777" w:rsidTr="004677B6">
        <w:trPr>
          <w:trHeight w:hRule="exact" w:val="2835"/>
        </w:trPr>
        <w:tc>
          <w:tcPr>
            <w:tcW w:w="1280" w:type="dxa"/>
            <w:tcBorders>
              <w:top w:val="single" w:sz="4" w:space="0" w:color="auto"/>
              <w:bottom w:val="single" w:sz="12" w:space="0" w:color="auto"/>
            </w:tcBorders>
          </w:tcPr>
          <w:p w14:paraId="151E3E11" w14:textId="77777777" w:rsidR="002D5AAC" w:rsidRDefault="00DC6544" w:rsidP="006E27AD">
            <w:pPr>
              <w:spacing w:before="120"/>
              <w:jc w:val="center"/>
            </w:pPr>
            <w:r>
              <w:rPr>
                <w:noProof/>
                <w:lang w:eastAsia="zh-CN"/>
              </w:rPr>
              <w:drawing>
                <wp:inline distT="0" distB="0" distL="0" distR="0" wp14:anchorId="151E3E2F" wp14:editId="151E3E3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1E3E12" w14:textId="77777777" w:rsidR="002D5AAC" w:rsidRPr="00BD33EE" w:rsidRDefault="004B19F2" w:rsidP="006E27AD">
            <w:pPr>
              <w:spacing w:before="120" w:line="420" w:lineRule="exact"/>
              <w:rPr>
                <w:b/>
                <w:sz w:val="40"/>
                <w:szCs w:val="40"/>
              </w:rPr>
            </w:pPr>
            <w:r>
              <w:rPr>
                <w:b/>
                <w:sz w:val="40"/>
                <w:szCs w:val="40"/>
              </w:rPr>
              <w:t>Consejo Económic</w:t>
            </w:r>
            <w:bookmarkStart w:id="0" w:name="_GoBack"/>
            <w:bookmarkEnd w:id="0"/>
            <w:r>
              <w:rPr>
                <w:b/>
                <w:sz w:val="40"/>
                <w:szCs w:val="40"/>
              </w:rPr>
              <w:t>o y Social</w:t>
            </w:r>
          </w:p>
        </w:tc>
        <w:tc>
          <w:tcPr>
            <w:tcW w:w="2819" w:type="dxa"/>
            <w:tcBorders>
              <w:top w:val="single" w:sz="4" w:space="0" w:color="auto"/>
              <w:bottom w:val="single" w:sz="12" w:space="0" w:color="auto"/>
            </w:tcBorders>
          </w:tcPr>
          <w:p w14:paraId="151E3E13" w14:textId="77FDE4A3" w:rsidR="002D5AAC" w:rsidRDefault="004677B6" w:rsidP="006E27AD">
            <w:pPr>
              <w:spacing w:before="240"/>
            </w:pPr>
            <w:r>
              <w:t xml:space="preserve">Distr. </w:t>
            </w:r>
            <w:r w:rsidR="007907D2">
              <w:t>general</w:t>
            </w:r>
          </w:p>
          <w:p w14:paraId="151E3E14" w14:textId="69BE9A34" w:rsidR="004677B6" w:rsidRDefault="00EB79CF" w:rsidP="000E05CB">
            <w:pPr>
              <w:spacing w:line="240" w:lineRule="exact"/>
              <w:rPr>
                <w:lang w:eastAsia="en-US"/>
              </w:rPr>
            </w:pPr>
            <w:r>
              <w:rPr>
                <w:lang w:eastAsia="en-US"/>
              </w:rPr>
              <w:t>2</w:t>
            </w:r>
            <w:r w:rsidR="00973BD0">
              <w:rPr>
                <w:lang w:eastAsia="en-US"/>
              </w:rPr>
              <w:t>5</w:t>
            </w:r>
            <w:r w:rsidR="007907D2">
              <w:rPr>
                <w:lang w:eastAsia="en-US"/>
              </w:rPr>
              <w:t xml:space="preserve"> de marzo</w:t>
            </w:r>
            <w:r w:rsidR="004F7BE8">
              <w:rPr>
                <w:lang w:eastAsia="en-US"/>
              </w:rPr>
              <w:t xml:space="preserve"> de 2019</w:t>
            </w:r>
          </w:p>
          <w:p w14:paraId="19AFCDC4" w14:textId="77777777" w:rsidR="00FB0871" w:rsidRPr="00FB0871" w:rsidRDefault="00FB0871" w:rsidP="004677B6">
            <w:pPr>
              <w:spacing w:line="240" w:lineRule="exact"/>
            </w:pPr>
          </w:p>
          <w:p w14:paraId="151E3E15" w14:textId="1BE36E6A" w:rsidR="004677B6" w:rsidRPr="00FB0871" w:rsidRDefault="00FB0871" w:rsidP="004677B6">
            <w:pPr>
              <w:spacing w:line="240" w:lineRule="exact"/>
            </w:pPr>
            <w:r>
              <w:t>Original: e</w:t>
            </w:r>
            <w:r w:rsidR="004677B6" w:rsidRPr="00FB0871">
              <w:t>spañol</w:t>
            </w:r>
          </w:p>
          <w:p w14:paraId="151E3E16" w14:textId="2941D41D" w:rsidR="004677B6" w:rsidRDefault="004677B6" w:rsidP="003B7231">
            <w:pPr>
              <w:spacing w:line="240" w:lineRule="exact"/>
            </w:pPr>
          </w:p>
        </w:tc>
      </w:tr>
    </w:tbl>
    <w:p w14:paraId="42B50596" w14:textId="77777777" w:rsidR="00FB0871" w:rsidRPr="00953C6B" w:rsidRDefault="00FB0871" w:rsidP="00FB0871">
      <w:pPr>
        <w:spacing w:before="120"/>
      </w:pPr>
      <w:r w:rsidRPr="00953C6B">
        <w:rPr>
          <w:b/>
          <w:sz w:val="24"/>
        </w:rPr>
        <w:t>Comité de Derechos Económicos, Sociales y Culturales</w:t>
      </w:r>
    </w:p>
    <w:p w14:paraId="240485AE" w14:textId="7B6B5531" w:rsidR="00FB0871" w:rsidRDefault="00FB0871" w:rsidP="0024457B">
      <w:pPr>
        <w:pStyle w:val="HChG"/>
      </w:pPr>
      <w:r>
        <w:tab/>
      </w:r>
      <w:r>
        <w:tab/>
      </w:r>
      <w:r w:rsidR="00105B99">
        <w:t>Decisión adoptada por el Comité en virtud del Protocolo Facultativo del Pacto Internacional de Derechos, Económicos, Sociales y Culturales, respecto de la c</w:t>
      </w:r>
      <w:r w:rsidRPr="00C070DF">
        <w:t>omunicación</w:t>
      </w:r>
      <w:r>
        <w:t xml:space="preserve"> </w:t>
      </w:r>
      <w:r w:rsidR="003417BC">
        <w:t>núm.</w:t>
      </w:r>
      <w:r>
        <w:t xml:space="preserve"> 9</w:t>
      </w:r>
      <w:r w:rsidRPr="00EC58FE">
        <w:t>/201</w:t>
      </w:r>
      <w:r>
        <w:t>5</w:t>
      </w:r>
      <w:r w:rsidR="00246D6C" w:rsidRPr="0024457B">
        <w:rPr>
          <w:rStyle w:val="Refdenotaalpie"/>
          <w:b w:val="0"/>
          <w:bCs/>
          <w:sz w:val="20"/>
          <w:vertAlign w:val="baseline"/>
        </w:rPr>
        <w:footnoteReference w:customMarkFollows="1" w:id="1"/>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2"/>
        <w:gridCol w:w="4253"/>
      </w:tblGrid>
      <w:tr w:rsidR="00FB0871" w:rsidRPr="00F13494" w14:paraId="4A522FA8" w14:textId="77777777" w:rsidTr="003C71D3">
        <w:tc>
          <w:tcPr>
            <w:tcW w:w="2552" w:type="dxa"/>
          </w:tcPr>
          <w:p w14:paraId="5C891955" w14:textId="77777777" w:rsidR="00FB0871" w:rsidRPr="0049484D" w:rsidRDefault="00FB0871" w:rsidP="003C71D3">
            <w:pPr>
              <w:pStyle w:val="SingleTxtG"/>
              <w:ind w:left="0" w:right="0"/>
              <w:jc w:val="left"/>
              <w:rPr>
                <w:i/>
              </w:rPr>
            </w:pPr>
            <w:r>
              <w:rPr>
                <w:i/>
              </w:rPr>
              <w:t>Comunicación p</w:t>
            </w:r>
            <w:r w:rsidRPr="0049484D">
              <w:rPr>
                <w:i/>
              </w:rPr>
              <w:t>resentada por:</w:t>
            </w:r>
          </w:p>
        </w:tc>
        <w:tc>
          <w:tcPr>
            <w:tcW w:w="4253" w:type="dxa"/>
          </w:tcPr>
          <w:p w14:paraId="129DC9C4" w14:textId="77777777" w:rsidR="00FB0871" w:rsidRPr="00F13494" w:rsidRDefault="00FB0871" w:rsidP="003C71D3">
            <w:pPr>
              <w:pStyle w:val="SingleTxtG"/>
              <w:ind w:left="0" w:right="0"/>
              <w:jc w:val="left"/>
            </w:pPr>
            <w:r w:rsidRPr="002519D6">
              <w:t>Irma Elisabeth Makinen Pankka y Teófilo Fernández Pérez (representados por Antonia Barba García)</w:t>
            </w:r>
          </w:p>
        </w:tc>
      </w:tr>
      <w:tr w:rsidR="00FB0871" w:rsidRPr="00F13494" w14:paraId="3815E2E2" w14:textId="77777777" w:rsidTr="003C71D3">
        <w:tc>
          <w:tcPr>
            <w:tcW w:w="2552" w:type="dxa"/>
          </w:tcPr>
          <w:p w14:paraId="4DFB167F" w14:textId="616FE970" w:rsidR="00FB0871" w:rsidRPr="0049484D" w:rsidRDefault="00FB0871" w:rsidP="003C71D3">
            <w:pPr>
              <w:pStyle w:val="SingleTxtG"/>
              <w:ind w:left="0" w:right="0"/>
              <w:jc w:val="left"/>
              <w:rPr>
                <w:i/>
              </w:rPr>
            </w:pPr>
            <w:r w:rsidRPr="0049484D">
              <w:rPr>
                <w:i/>
              </w:rPr>
              <w:t>Presunta</w:t>
            </w:r>
            <w:r w:rsidR="00F50ABC">
              <w:rPr>
                <w:i/>
              </w:rPr>
              <w:t>s</w:t>
            </w:r>
            <w:r w:rsidRPr="0049484D">
              <w:rPr>
                <w:i/>
              </w:rPr>
              <w:t xml:space="preserve"> víctima</w:t>
            </w:r>
            <w:r w:rsidR="00F50ABC">
              <w:rPr>
                <w:i/>
              </w:rPr>
              <w:t>s</w:t>
            </w:r>
            <w:r w:rsidRPr="0049484D">
              <w:rPr>
                <w:i/>
              </w:rPr>
              <w:t>:</w:t>
            </w:r>
          </w:p>
        </w:tc>
        <w:tc>
          <w:tcPr>
            <w:tcW w:w="4253" w:type="dxa"/>
          </w:tcPr>
          <w:p w14:paraId="349AF781" w14:textId="77777777" w:rsidR="00FB0871" w:rsidRPr="00F13494" w:rsidRDefault="00FB0871" w:rsidP="003C71D3">
            <w:pPr>
              <w:pStyle w:val="SingleTxtG"/>
              <w:ind w:left="0" w:right="0"/>
              <w:jc w:val="left"/>
            </w:pPr>
            <w:r w:rsidRPr="002519D6">
              <w:t>Los autores</w:t>
            </w:r>
          </w:p>
        </w:tc>
      </w:tr>
      <w:tr w:rsidR="00FB0871" w:rsidRPr="00F13494" w14:paraId="706AE9A9" w14:textId="77777777" w:rsidTr="003C71D3">
        <w:tc>
          <w:tcPr>
            <w:tcW w:w="2552" w:type="dxa"/>
          </w:tcPr>
          <w:p w14:paraId="3AADDBD5" w14:textId="77777777" w:rsidR="00FB0871" w:rsidRPr="0049484D" w:rsidRDefault="00FB0871" w:rsidP="003C71D3">
            <w:pPr>
              <w:pStyle w:val="SingleTxtG"/>
              <w:ind w:left="0" w:right="0"/>
              <w:jc w:val="left"/>
              <w:rPr>
                <w:i/>
              </w:rPr>
            </w:pPr>
            <w:r w:rsidRPr="0049484D">
              <w:rPr>
                <w:i/>
              </w:rPr>
              <w:t>Estado parte:</w:t>
            </w:r>
          </w:p>
        </w:tc>
        <w:tc>
          <w:tcPr>
            <w:tcW w:w="4253" w:type="dxa"/>
          </w:tcPr>
          <w:p w14:paraId="3AD74B27" w14:textId="77777777" w:rsidR="00FB0871" w:rsidRPr="00F13494" w:rsidRDefault="00FB0871" w:rsidP="003C71D3">
            <w:pPr>
              <w:pStyle w:val="SingleTxtG"/>
              <w:ind w:left="0" w:right="0"/>
              <w:jc w:val="left"/>
            </w:pPr>
            <w:r w:rsidRPr="0005367E">
              <w:t>España</w:t>
            </w:r>
            <w:r w:rsidRPr="00FF35F2">
              <w:rPr>
                <w:color w:val="FF0000"/>
              </w:rPr>
              <w:t xml:space="preserve"> </w:t>
            </w:r>
          </w:p>
        </w:tc>
      </w:tr>
      <w:tr w:rsidR="00FB0871" w:rsidRPr="00F13494" w14:paraId="0DFCCCC5" w14:textId="77777777" w:rsidTr="003C71D3">
        <w:tc>
          <w:tcPr>
            <w:tcW w:w="2552" w:type="dxa"/>
          </w:tcPr>
          <w:p w14:paraId="5092F812" w14:textId="77777777" w:rsidR="00FB0871" w:rsidRPr="0049484D" w:rsidRDefault="00FB0871" w:rsidP="003C71D3">
            <w:pPr>
              <w:pStyle w:val="SingleTxtG"/>
              <w:ind w:left="0" w:right="0"/>
              <w:jc w:val="left"/>
              <w:rPr>
                <w:i/>
              </w:rPr>
            </w:pPr>
            <w:r w:rsidRPr="0049484D">
              <w:rPr>
                <w:i/>
              </w:rPr>
              <w:t>Fecha de la comunicación:</w:t>
            </w:r>
          </w:p>
        </w:tc>
        <w:tc>
          <w:tcPr>
            <w:tcW w:w="4253" w:type="dxa"/>
          </w:tcPr>
          <w:p w14:paraId="3143B829" w14:textId="4F0FB039" w:rsidR="00FB0871" w:rsidRPr="00F13494" w:rsidRDefault="00FB0871" w:rsidP="003C71D3">
            <w:pPr>
              <w:pStyle w:val="SingleTxtG"/>
              <w:ind w:left="0" w:right="0"/>
              <w:jc w:val="left"/>
            </w:pPr>
            <w:r>
              <w:t>15</w:t>
            </w:r>
            <w:r>
              <w:rPr>
                <w:i/>
              </w:rPr>
              <w:t xml:space="preserve"> </w:t>
            </w:r>
            <w:r w:rsidR="00B76EDC" w:rsidRPr="0024457B">
              <w:rPr>
                <w:iCs/>
              </w:rPr>
              <w:t>de</w:t>
            </w:r>
            <w:r w:rsidR="00B76EDC">
              <w:rPr>
                <w:i/>
              </w:rPr>
              <w:t xml:space="preserve"> </w:t>
            </w:r>
            <w:r>
              <w:t>septiembre</w:t>
            </w:r>
            <w:r>
              <w:rPr>
                <w:i/>
              </w:rPr>
              <w:t xml:space="preserve"> </w:t>
            </w:r>
            <w:r w:rsidR="00B76EDC" w:rsidRPr="0024457B">
              <w:rPr>
                <w:iCs/>
              </w:rPr>
              <w:t>de</w:t>
            </w:r>
            <w:r w:rsidR="00B76EDC">
              <w:rPr>
                <w:i/>
              </w:rPr>
              <w:t xml:space="preserve"> </w:t>
            </w:r>
            <w:r>
              <w:t>2015 (comunicación inicial)</w:t>
            </w:r>
          </w:p>
        </w:tc>
      </w:tr>
      <w:tr w:rsidR="00FB0871" w:rsidRPr="00F13494" w14:paraId="3A2EA24E" w14:textId="77777777" w:rsidTr="003C71D3">
        <w:tc>
          <w:tcPr>
            <w:tcW w:w="2552" w:type="dxa"/>
          </w:tcPr>
          <w:p w14:paraId="36486D2C" w14:textId="080E9B87" w:rsidR="00FB0871" w:rsidRPr="0049484D" w:rsidRDefault="00FB0871" w:rsidP="005A28BB">
            <w:pPr>
              <w:pStyle w:val="SingleTxtG"/>
              <w:ind w:left="0" w:right="0"/>
              <w:jc w:val="left"/>
              <w:rPr>
                <w:i/>
              </w:rPr>
            </w:pPr>
            <w:r w:rsidRPr="0049484D">
              <w:rPr>
                <w:i/>
              </w:rPr>
              <w:t>Fecha de a</w:t>
            </w:r>
            <w:r>
              <w:rPr>
                <w:i/>
              </w:rPr>
              <w:t>probación</w:t>
            </w:r>
            <w:r w:rsidRPr="0049484D">
              <w:rPr>
                <w:i/>
              </w:rPr>
              <w:br/>
              <w:t>de</w:t>
            </w:r>
            <w:r w:rsidR="005A28BB">
              <w:rPr>
                <w:i/>
              </w:rPr>
              <w:t xml:space="preserve"> la decisión</w:t>
            </w:r>
            <w:r w:rsidRPr="0049484D">
              <w:rPr>
                <w:i/>
              </w:rPr>
              <w:t>:</w:t>
            </w:r>
          </w:p>
        </w:tc>
        <w:tc>
          <w:tcPr>
            <w:tcW w:w="4253" w:type="dxa"/>
            <w:vAlign w:val="bottom"/>
          </w:tcPr>
          <w:p w14:paraId="1390EF07" w14:textId="33712CA9" w:rsidR="00FB0871" w:rsidRPr="001311B4" w:rsidRDefault="005A28BB" w:rsidP="003C71D3">
            <w:pPr>
              <w:pStyle w:val="SingleTxtG"/>
              <w:ind w:left="0" w:right="0"/>
              <w:jc w:val="left"/>
            </w:pPr>
            <w:r>
              <w:t xml:space="preserve">1 </w:t>
            </w:r>
            <w:r w:rsidR="007A5A5A">
              <w:t xml:space="preserve">de </w:t>
            </w:r>
            <w:r>
              <w:t xml:space="preserve">marzo </w:t>
            </w:r>
            <w:r w:rsidR="007A5A5A">
              <w:t xml:space="preserve">de </w:t>
            </w:r>
            <w:r>
              <w:t>2019</w:t>
            </w:r>
          </w:p>
        </w:tc>
      </w:tr>
      <w:tr w:rsidR="00FB0871" w:rsidRPr="00F13494" w14:paraId="65E0EC0F" w14:textId="77777777" w:rsidTr="003C71D3">
        <w:tc>
          <w:tcPr>
            <w:tcW w:w="2552" w:type="dxa"/>
          </w:tcPr>
          <w:p w14:paraId="2A155E1C" w14:textId="77777777" w:rsidR="00FB0871" w:rsidRPr="0049484D" w:rsidRDefault="00FB0871" w:rsidP="003C71D3">
            <w:pPr>
              <w:pStyle w:val="SingleTxtG"/>
              <w:ind w:left="0" w:right="0"/>
              <w:jc w:val="left"/>
              <w:rPr>
                <w:i/>
              </w:rPr>
            </w:pPr>
            <w:r w:rsidRPr="0049484D">
              <w:rPr>
                <w:i/>
              </w:rPr>
              <w:t>Asunto:</w:t>
            </w:r>
          </w:p>
        </w:tc>
        <w:tc>
          <w:tcPr>
            <w:tcW w:w="4253" w:type="dxa"/>
            <w:vAlign w:val="bottom"/>
          </w:tcPr>
          <w:p w14:paraId="10C80E80" w14:textId="77777777" w:rsidR="00FB0871" w:rsidRPr="00F13494" w:rsidRDefault="00FB0871" w:rsidP="003C71D3">
            <w:pPr>
              <w:pStyle w:val="SingleTxtG"/>
              <w:ind w:left="0" w:right="0"/>
              <w:jc w:val="left"/>
            </w:pPr>
            <w:r>
              <w:t>Embargo de una vivienda</w:t>
            </w:r>
            <w:r w:rsidRPr="00D64C5C">
              <w:rPr>
                <w:i/>
              </w:rPr>
              <w:t xml:space="preserve"> </w:t>
            </w:r>
          </w:p>
        </w:tc>
      </w:tr>
      <w:tr w:rsidR="00FB0871" w:rsidRPr="00F13494" w14:paraId="23F5933F" w14:textId="77777777" w:rsidTr="003C71D3">
        <w:tc>
          <w:tcPr>
            <w:tcW w:w="2552" w:type="dxa"/>
          </w:tcPr>
          <w:p w14:paraId="00CCF80F" w14:textId="77777777" w:rsidR="00FB0871" w:rsidRPr="0049484D" w:rsidRDefault="00FB0871" w:rsidP="003C71D3">
            <w:pPr>
              <w:pStyle w:val="SingleTxtG"/>
              <w:ind w:left="0" w:right="0"/>
              <w:jc w:val="left"/>
              <w:rPr>
                <w:i/>
              </w:rPr>
            </w:pPr>
            <w:r w:rsidRPr="0049484D">
              <w:rPr>
                <w:i/>
              </w:rPr>
              <w:t>Cuestiones de procedimiento:</w:t>
            </w:r>
          </w:p>
        </w:tc>
        <w:tc>
          <w:tcPr>
            <w:tcW w:w="4253" w:type="dxa"/>
            <w:vAlign w:val="bottom"/>
          </w:tcPr>
          <w:p w14:paraId="52550D8C" w14:textId="77777777" w:rsidR="00FB0871" w:rsidRPr="00F13494" w:rsidRDefault="00FB0871" w:rsidP="003C71D3">
            <w:pPr>
              <w:pStyle w:val="SingleTxtG"/>
              <w:ind w:left="0" w:right="0"/>
              <w:jc w:val="left"/>
            </w:pPr>
            <w:r w:rsidRPr="00042C58">
              <w:t>Agotamiento de los recursos internos; insuficiente fundamentación de las alegaciones</w:t>
            </w:r>
            <w:r w:rsidRPr="00D64C5C">
              <w:rPr>
                <w:i/>
              </w:rPr>
              <w:t xml:space="preserve"> </w:t>
            </w:r>
          </w:p>
        </w:tc>
      </w:tr>
      <w:tr w:rsidR="00FB0871" w:rsidRPr="00F13494" w14:paraId="6B5A505F" w14:textId="77777777" w:rsidTr="003C71D3">
        <w:tc>
          <w:tcPr>
            <w:tcW w:w="2552" w:type="dxa"/>
          </w:tcPr>
          <w:p w14:paraId="1F1E9F98" w14:textId="77777777" w:rsidR="00FB0871" w:rsidRPr="0049484D" w:rsidRDefault="00FB0871" w:rsidP="003C71D3">
            <w:pPr>
              <w:pStyle w:val="SingleTxtG"/>
              <w:keepNext/>
              <w:ind w:left="0" w:right="0"/>
              <w:jc w:val="left"/>
              <w:rPr>
                <w:i/>
              </w:rPr>
            </w:pPr>
            <w:r w:rsidRPr="0049484D">
              <w:rPr>
                <w:i/>
              </w:rPr>
              <w:t>Cuestiones de fondo:</w:t>
            </w:r>
          </w:p>
        </w:tc>
        <w:tc>
          <w:tcPr>
            <w:tcW w:w="4253" w:type="dxa"/>
            <w:vAlign w:val="bottom"/>
          </w:tcPr>
          <w:p w14:paraId="74DD5D89" w14:textId="77777777" w:rsidR="00FB0871" w:rsidRPr="00F13494" w:rsidRDefault="00FB0871" w:rsidP="003C71D3">
            <w:pPr>
              <w:pStyle w:val="SingleTxtG"/>
              <w:keepNext/>
              <w:ind w:left="0" w:right="0"/>
              <w:jc w:val="left"/>
            </w:pPr>
            <w:r w:rsidRPr="0005367E">
              <w:t>Derecho a una vivienda adecuada</w:t>
            </w:r>
            <w:r w:rsidRPr="00FF35F2">
              <w:rPr>
                <w:color w:val="FF0000"/>
              </w:rPr>
              <w:t xml:space="preserve"> </w:t>
            </w:r>
          </w:p>
        </w:tc>
      </w:tr>
      <w:tr w:rsidR="00FB0871" w:rsidRPr="00F13494" w14:paraId="3B55209B" w14:textId="77777777" w:rsidTr="003C71D3">
        <w:tc>
          <w:tcPr>
            <w:tcW w:w="2552" w:type="dxa"/>
          </w:tcPr>
          <w:p w14:paraId="02CA333E" w14:textId="17CB2617" w:rsidR="00FB0871" w:rsidRPr="0049484D" w:rsidRDefault="00FB0871">
            <w:pPr>
              <w:pStyle w:val="SingleTxtG"/>
              <w:ind w:left="0" w:right="0"/>
              <w:jc w:val="left"/>
              <w:rPr>
                <w:i/>
              </w:rPr>
            </w:pPr>
            <w:r w:rsidRPr="0049484D">
              <w:rPr>
                <w:i/>
              </w:rPr>
              <w:t>Artículo del Pacto:</w:t>
            </w:r>
          </w:p>
        </w:tc>
        <w:tc>
          <w:tcPr>
            <w:tcW w:w="4253" w:type="dxa"/>
            <w:vAlign w:val="bottom"/>
          </w:tcPr>
          <w:p w14:paraId="221C8633" w14:textId="77777777" w:rsidR="00FB0871" w:rsidRPr="00F13494" w:rsidRDefault="00FB0871" w:rsidP="003C71D3">
            <w:pPr>
              <w:pStyle w:val="SingleTxtG"/>
              <w:ind w:left="0" w:right="0"/>
              <w:jc w:val="left"/>
            </w:pPr>
            <w:r>
              <w:t xml:space="preserve">11 </w:t>
            </w:r>
          </w:p>
        </w:tc>
      </w:tr>
      <w:tr w:rsidR="00FB0871" w:rsidRPr="00F13494" w14:paraId="3B9E5609" w14:textId="77777777" w:rsidTr="003C71D3">
        <w:tc>
          <w:tcPr>
            <w:tcW w:w="2552" w:type="dxa"/>
          </w:tcPr>
          <w:p w14:paraId="4BD0AF21" w14:textId="77777777" w:rsidR="00FB0871" w:rsidRPr="0049484D" w:rsidRDefault="00FB0871" w:rsidP="003C71D3">
            <w:pPr>
              <w:pStyle w:val="SingleTxtG"/>
              <w:ind w:left="0" w:right="0"/>
              <w:jc w:val="left"/>
              <w:rPr>
                <w:i/>
              </w:rPr>
            </w:pPr>
            <w:r w:rsidRPr="0049484D">
              <w:rPr>
                <w:i/>
              </w:rPr>
              <w:t>Artículos del Protocolo</w:t>
            </w:r>
            <w:r w:rsidRPr="0049484D">
              <w:rPr>
                <w:i/>
              </w:rPr>
              <w:br/>
              <w:t>Facultativo:</w:t>
            </w:r>
          </w:p>
        </w:tc>
        <w:tc>
          <w:tcPr>
            <w:tcW w:w="4253" w:type="dxa"/>
            <w:vAlign w:val="bottom"/>
          </w:tcPr>
          <w:p w14:paraId="1FDB5025" w14:textId="78BA377A" w:rsidR="00FB0871" w:rsidRPr="00F13494" w:rsidRDefault="00FB0871">
            <w:pPr>
              <w:pStyle w:val="SingleTxtG"/>
              <w:ind w:left="0" w:right="0"/>
              <w:jc w:val="left"/>
            </w:pPr>
            <w:r w:rsidRPr="00A40889">
              <w:t>2 y 3</w:t>
            </w:r>
            <w:r w:rsidR="00B76EDC">
              <w:t xml:space="preserve">, párrs. </w:t>
            </w:r>
            <w:r w:rsidRPr="00A40889">
              <w:t>1</w:t>
            </w:r>
            <w:r w:rsidR="00B76EDC">
              <w:t xml:space="preserve"> y </w:t>
            </w:r>
            <w:r w:rsidRPr="00A40889">
              <w:t>2</w:t>
            </w:r>
            <w:r w:rsidR="00B76EDC">
              <w:t xml:space="preserve">, apdos. </w:t>
            </w:r>
            <w:r w:rsidRPr="00A40889">
              <w:t>a)</w:t>
            </w:r>
            <w:r w:rsidR="00B76EDC">
              <w:t>,</w:t>
            </w:r>
            <w:r w:rsidRPr="00A40889">
              <w:t xml:space="preserve"> b) y e)</w:t>
            </w:r>
          </w:p>
        </w:tc>
      </w:tr>
    </w:tbl>
    <w:p w14:paraId="445772C2" w14:textId="77777777" w:rsidR="00FB0871" w:rsidRDefault="00FB0871" w:rsidP="00FB0871">
      <w:pPr>
        <w:spacing w:line="240" w:lineRule="auto"/>
      </w:pPr>
      <w:r>
        <w:br w:type="page"/>
      </w:r>
    </w:p>
    <w:p w14:paraId="76EF2173" w14:textId="2F527D11" w:rsidR="00FB0871" w:rsidRDefault="00FB0871">
      <w:pPr>
        <w:pStyle w:val="SingleTxtG"/>
      </w:pPr>
      <w:r w:rsidRPr="0082771C">
        <w:lastRenderedPageBreak/>
        <w:t>1.</w:t>
      </w:r>
      <w:r>
        <w:t>1</w:t>
      </w:r>
      <w:r w:rsidRPr="0082771C">
        <w:tab/>
      </w:r>
      <w:r>
        <w:t>Los autores de la comunicación, presentada</w:t>
      </w:r>
      <w:r w:rsidRPr="00424601">
        <w:t xml:space="preserve"> el </w:t>
      </w:r>
      <w:r>
        <w:t xml:space="preserve">15 de septiembre de 2015, son </w:t>
      </w:r>
      <w:r w:rsidR="00906786">
        <w:t xml:space="preserve">Irma </w:t>
      </w:r>
      <w:r w:rsidRPr="00424601">
        <w:t>Elisabeth Makinen Pankka</w:t>
      </w:r>
      <w:r>
        <w:t xml:space="preserve"> y </w:t>
      </w:r>
      <w:r w:rsidRPr="00424601">
        <w:t>Teófilo Fernández Pérez</w:t>
      </w:r>
      <w:r>
        <w:t>,</w:t>
      </w:r>
      <w:r w:rsidRPr="00424601">
        <w:t xml:space="preserve"> ciudadano</w:t>
      </w:r>
      <w:r>
        <w:t>s españole</w:t>
      </w:r>
      <w:r w:rsidRPr="00424601">
        <w:t>s, nacido</w:t>
      </w:r>
      <w:r>
        <w:t>s</w:t>
      </w:r>
      <w:r w:rsidRPr="00424601">
        <w:t xml:space="preserve"> el 7 de agosto de 1945</w:t>
      </w:r>
      <w:r>
        <w:t xml:space="preserve"> y el 16 de marzo 1940</w:t>
      </w:r>
      <w:r w:rsidR="00D97B5E">
        <w:t>,</w:t>
      </w:r>
      <w:r w:rsidRPr="00424601">
        <w:t xml:space="preserve"> respectivamente</w:t>
      </w:r>
      <w:r>
        <w:t>. Los autores sostienen</w:t>
      </w:r>
      <w:r w:rsidRPr="00424601">
        <w:t xml:space="preserve"> que han sido víctimas de una violación </w:t>
      </w:r>
      <w:r>
        <w:t>de los artículos</w:t>
      </w:r>
      <w:r w:rsidRPr="00424601">
        <w:t xml:space="preserve"> 2 y 11 del Pacto </w:t>
      </w:r>
      <w:r w:rsidRPr="00DF43A7">
        <w:t>por</w:t>
      </w:r>
      <w:r>
        <w:t xml:space="preserve"> parte de</w:t>
      </w:r>
      <w:r w:rsidRPr="00424601">
        <w:t xml:space="preserve"> España. El Protocolo Facultativo entró en vigor para el </w:t>
      </w:r>
      <w:r>
        <w:t>Estado parte</w:t>
      </w:r>
      <w:r w:rsidRPr="00424601">
        <w:t xml:space="preserve"> el 5 de mayo de 2013. Los autores están representados por </w:t>
      </w:r>
      <w:r>
        <w:t>abogad</w:t>
      </w:r>
      <w:r w:rsidR="00F50ABC">
        <w:t>o</w:t>
      </w:r>
      <w:r w:rsidRPr="00424601">
        <w:t>.</w:t>
      </w:r>
    </w:p>
    <w:p w14:paraId="4EE3359B" w14:textId="77777777" w:rsidR="00FB0871" w:rsidRDefault="00FB0871" w:rsidP="00FB0871">
      <w:pPr>
        <w:pStyle w:val="SingleTxtG"/>
      </w:pPr>
      <w:r w:rsidRPr="008350E3">
        <w:t>1.2</w:t>
      </w:r>
      <w:r w:rsidRPr="008350E3">
        <w:tab/>
      </w:r>
      <w:r>
        <w:t xml:space="preserve">El 1 de diciembre de 2015, el Comité registró la comunicación solicitando al Estado parte tomar medidas cautelares para </w:t>
      </w:r>
      <w:r w:rsidRPr="00DF43A7">
        <w:t>evitar</w:t>
      </w:r>
      <w:r>
        <w:t xml:space="preserve"> el desahucio de los autores mientras el caso esté siendo examinado por el Comité. El 19 de julio de 2016, el Comité decidió levantar la solicitud de medidas cautelares.</w:t>
      </w:r>
    </w:p>
    <w:p w14:paraId="7D8C6CD2" w14:textId="77777777" w:rsidR="00FB0871" w:rsidRDefault="00FB0871" w:rsidP="00FB0871">
      <w:pPr>
        <w:pStyle w:val="SingleTxtG"/>
      </w:pPr>
      <w:r>
        <w:t>1.3</w:t>
      </w:r>
      <w:r>
        <w:tab/>
      </w:r>
      <w:r w:rsidRPr="008350E3">
        <w:t>En el presente dictamen el Comité resume en primer lugar la información y los alegatos presentados por las partes, sin reflejar las opiniones del Comité y seguidamente examina las cuestiones de admisibilidad.</w:t>
      </w:r>
    </w:p>
    <w:p w14:paraId="0F37BB9D" w14:textId="45BEB583" w:rsidR="00FB0871" w:rsidRPr="00C14903" w:rsidRDefault="00FB0871" w:rsidP="00FD622B">
      <w:pPr>
        <w:pStyle w:val="H1G"/>
        <w:keepNext w:val="0"/>
        <w:keepLines w:val="0"/>
        <w:suppressAutoHyphens w:val="0"/>
      </w:pPr>
      <w:r w:rsidRPr="0005367E">
        <w:tab/>
      </w:r>
      <w:r w:rsidRPr="00C14903">
        <w:t>A.</w:t>
      </w:r>
      <w:r w:rsidRPr="00C14903">
        <w:tab/>
        <w:t>Resumen de la información y alegatos de las partes</w:t>
      </w:r>
    </w:p>
    <w:p w14:paraId="68252B4F" w14:textId="77777777" w:rsidR="00FB0871" w:rsidRPr="00105BD0" w:rsidRDefault="00FB0871" w:rsidP="00FB0871">
      <w:pPr>
        <w:pStyle w:val="H23G"/>
        <w:keepNext w:val="0"/>
        <w:keepLines w:val="0"/>
        <w:suppressAutoHyphens w:val="0"/>
      </w:pPr>
      <w:r w:rsidRPr="00EC58FE">
        <w:tab/>
      </w:r>
      <w:r w:rsidRPr="00EC58FE">
        <w:tab/>
      </w:r>
      <w:r w:rsidRPr="0005367E">
        <w:t>Los</w:t>
      </w:r>
      <w:r w:rsidRPr="00105BD0">
        <w:t xml:space="preserve"> hechos </w:t>
      </w:r>
      <w:r w:rsidRPr="00C070DF">
        <w:t>expuestos</w:t>
      </w:r>
      <w:r w:rsidRPr="00105BD0">
        <w:t xml:space="preserve"> </w:t>
      </w:r>
      <w:r>
        <w:t>por los autores</w:t>
      </w:r>
    </w:p>
    <w:p w14:paraId="74FB5528" w14:textId="179456B2" w:rsidR="00FB0871" w:rsidRPr="00CA06A2" w:rsidRDefault="00FB65AD" w:rsidP="00FB0871">
      <w:pPr>
        <w:pStyle w:val="SingleTxtG"/>
        <w:rPr>
          <w:lang w:eastAsia="en-GB"/>
        </w:rPr>
      </w:pPr>
      <w:r>
        <w:rPr>
          <w:lang w:eastAsia="en-GB"/>
        </w:rPr>
        <w:t>2.1</w:t>
      </w:r>
      <w:r>
        <w:rPr>
          <w:lang w:eastAsia="en-GB"/>
        </w:rPr>
        <w:tab/>
      </w:r>
      <w:r w:rsidR="00FB0871">
        <w:rPr>
          <w:lang w:eastAsia="en-GB"/>
        </w:rPr>
        <w:t xml:space="preserve">Los autores viven en un </w:t>
      </w:r>
      <w:r w:rsidR="00FB0871" w:rsidRPr="00CA06A2">
        <w:rPr>
          <w:lang w:eastAsia="en-GB"/>
        </w:rPr>
        <w:t>a</w:t>
      </w:r>
      <w:r w:rsidR="00FB0871">
        <w:rPr>
          <w:lang w:eastAsia="en-GB"/>
        </w:rPr>
        <w:t>partamento en Málaga desde 1996. El 29 de enero de 2007, el Sr. Fernández Pérez</w:t>
      </w:r>
      <w:r w:rsidR="00FB0871" w:rsidRPr="00CA06A2">
        <w:rPr>
          <w:lang w:eastAsia="en-GB"/>
        </w:rPr>
        <w:t xml:space="preserve"> firmó </w:t>
      </w:r>
      <w:r w:rsidR="00FB0871">
        <w:rPr>
          <w:lang w:eastAsia="en-GB"/>
        </w:rPr>
        <w:t xml:space="preserve">con una empresa privada un contrato </w:t>
      </w:r>
      <w:r w:rsidR="00FB0871" w:rsidRPr="00CA06A2">
        <w:rPr>
          <w:lang w:eastAsia="en-GB"/>
        </w:rPr>
        <w:t>privado</w:t>
      </w:r>
      <w:r w:rsidR="00FB0871">
        <w:rPr>
          <w:lang w:eastAsia="en-GB"/>
        </w:rPr>
        <w:t xml:space="preserve"> de compraventa</w:t>
      </w:r>
      <w:r w:rsidR="00FB0871" w:rsidRPr="00CA06A2">
        <w:rPr>
          <w:lang w:eastAsia="en-GB"/>
        </w:rPr>
        <w:t xml:space="preserve"> </w:t>
      </w:r>
      <w:r w:rsidR="00FB0871">
        <w:rPr>
          <w:lang w:eastAsia="en-GB"/>
        </w:rPr>
        <w:t>de</w:t>
      </w:r>
      <w:r w:rsidR="00FB0871" w:rsidRPr="00CA06A2">
        <w:rPr>
          <w:lang w:eastAsia="en-GB"/>
        </w:rPr>
        <w:t xml:space="preserve"> un apartamento en un edif</w:t>
      </w:r>
      <w:r w:rsidR="00FB0871">
        <w:rPr>
          <w:lang w:eastAsia="en-GB"/>
        </w:rPr>
        <w:t xml:space="preserve">icio en construcción en Málaga. El precio de compra fue de 343.470 euros y el acuerdo se </w:t>
      </w:r>
      <w:r w:rsidR="00FB0871" w:rsidRPr="00CA06A2">
        <w:rPr>
          <w:lang w:eastAsia="en-GB"/>
        </w:rPr>
        <w:t xml:space="preserve">basó en </w:t>
      </w:r>
      <w:r w:rsidR="00FB0871">
        <w:rPr>
          <w:lang w:eastAsia="en-GB"/>
        </w:rPr>
        <w:t xml:space="preserve">las características expuestas en el </w:t>
      </w:r>
      <w:r w:rsidR="00FB0871" w:rsidRPr="00CA06A2">
        <w:rPr>
          <w:lang w:eastAsia="en-GB"/>
        </w:rPr>
        <w:t>fo</w:t>
      </w:r>
      <w:r w:rsidR="00FB0871">
        <w:rPr>
          <w:lang w:eastAsia="en-GB"/>
        </w:rPr>
        <w:t xml:space="preserve">lleto que anunciaba el edificio. </w:t>
      </w:r>
      <w:r w:rsidR="00FB0871" w:rsidRPr="00CA06A2">
        <w:rPr>
          <w:lang w:eastAsia="en-GB"/>
        </w:rPr>
        <w:t xml:space="preserve">El </w:t>
      </w:r>
      <w:r w:rsidR="00FB0871">
        <w:rPr>
          <w:lang w:eastAsia="en-GB"/>
        </w:rPr>
        <w:t xml:space="preserve">autor pagó 87.694 euros </w:t>
      </w:r>
      <w:r w:rsidR="00FB0871" w:rsidRPr="00CA06A2">
        <w:rPr>
          <w:lang w:eastAsia="en-GB"/>
        </w:rPr>
        <w:t xml:space="preserve">por adelantado, en espera </w:t>
      </w:r>
      <w:r w:rsidR="00FB0871">
        <w:rPr>
          <w:lang w:eastAsia="en-GB"/>
        </w:rPr>
        <w:t xml:space="preserve">de la finalización de la construcción del edificio. </w:t>
      </w:r>
      <w:r w:rsidR="00FB0871" w:rsidRPr="00CA06A2">
        <w:rPr>
          <w:lang w:eastAsia="en-GB"/>
        </w:rPr>
        <w:t xml:space="preserve">Los autores afirman que el </w:t>
      </w:r>
      <w:r w:rsidR="00FB0871">
        <w:rPr>
          <w:lang w:eastAsia="en-GB"/>
        </w:rPr>
        <w:t xml:space="preserve">autor compró la </w:t>
      </w:r>
      <w:r w:rsidR="00FB0871" w:rsidRPr="00CA06A2">
        <w:rPr>
          <w:lang w:eastAsia="en-GB"/>
        </w:rPr>
        <w:t>propi</w:t>
      </w:r>
      <w:r w:rsidR="00FB0871">
        <w:rPr>
          <w:lang w:eastAsia="en-GB"/>
        </w:rPr>
        <w:t xml:space="preserve">edad para su hija y que la autora </w:t>
      </w:r>
      <w:r w:rsidR="00FB0871" w:rsidRPr="00CA06A2">
        <w:rPr>
          <w:lang w:eastAsia="en-GB"/>
        </w:rPr>
        <w:t xml:space="preserve">no participó en esta transacción y no </w:t>
      </w:r>
      <w:r w:rsidR="00FB0871">
        <w:rPr>
          <w:lang w:eastAsia="en-GB"/>
        </w:rPr>
        <w:t>tuvo conocimiento de ella</w:t>
      </w:r>
      <w:r w:rsidR="00FB0871" w:rsidRPr="00CA06A2">
        <w:rPr>
          <w:lang w:eastAsia="en-GB"/>
        </w:rPr>
        <w:t>.</w:t>
      </w:r>
    </w:p>
    <w:p w14:paraId="68FEC91A" w14:textId="0A94CDD2" w:rsidR="00FB0871" w:rsidRPr="00FB65AD" w:rsidRDefault="00FB65AD" w:rsidP="00FB65AD">
      <w:pPr>
        <w:pStyle w:val="SingleTxtG"/>
        <w:rPr>
          <w:lang w:eastAsia="en-GB"/>
        </w:rPr>
      </w:pPr>
      <w:r>
        <w:rPr>
          <w:lang w:eastAsia="en-GB"/>
        </w:rPr>
        <w:t>2.2</w:t>
      </w:r>
      <w:r>
        <w:rPr>
          <w:lang w:eastAsia="en-GB"/>
        </w:rPr>
        <w:tab/>
      </w:r>
      <w:r w:rsidR="00FB0871" w:rsidRPr="00FB65AD">
        <w:rPr>
          <w:lang w:eastAsia="en-GB"/>
        </w:rPr>
        <w:t xml:space="preserve">Durante la construcción, el autor se apercibió de que existían cambios sustanciales en la parte delantera del edificio y que su fachada final sería muy diferente a la mostrada en el folleto del edificio. Estando en desacuerdo con este cambio, el 20 de junio de 2008, se dirigió a la compañía, a través de su agente inmobiliario, solicitando la rescisión del contrato y el reembolso de los montos pagados hasta ese momento. Los autores afirman que la compañía no respondió a esta solicitud y </w:t>
      </w:r>
      <w:r w:rsidR="00AB393D">
        <w:rPr>
          <w:lang w:eastAsia="en-GB"/>
        </w:rPr>
        <w:t xml:space="preserve">que </w:t>
      </w:r>
      <w:r w:rsidR="00FB0871" w:rsidRPr="00FB65AD">
        <w:rPr>
          <w:lang w:eastAsia="en-GB"/>
        </w:rPr>
        <w:t>un año más tarde se le pidió que firmara la escritura de compraventa.</w:t>
      </w:r>
    </w:p>
    <w:p w14:paraId="1175E81A" w14:textId="7B8E770E" w:rsidR="00FB0871" w:rsidRPr="00CA06A2" w:rsidRDefault="00FB65AD">
      <w:pPr>
        <w:pStyle w:val="SingleTxtG"/>
        <w:rPr>
          <w:color w:val="000000"/>
          <w:lang w:eastAsia="en-GB"/>
        </w:rPr>
      </w:pPr>
      <w:r>
        <w:rPr>
          <w:color w:val="000000"/>
          <w:lang w:eastAsia="en-GB"/>
        </w:rPr>
        <w:t>2.3</w:t>
      </w:r>
      <w:r>
        <w:rPr>
          <w:color w:val="000000"/>
          <w:lang w:eastAsia="en-GB"/>
        </w:rPr>
        <w:tab/>
      </w:r>
      <w:r w:rsidR="00FB0871" w:rsidRPr="00CA06A2">
        <w:rPr>
          <w:color w:val="000000"/>
          <w:lang w:eastAsia="en-GB"/>
        </w:rPr>
        <w:t xml:space="preserve">El 26 de </w:t>
      </w:r>
      <w:r w:rsidR="00FB0871" w:rsidRPr="00FB65AD">
        <w:rPr>
          <w:lang w:eastAsia="en-GB"/>
        </w:rPr>
        <w:t>abril</w:t>
      </w:r>
      <w:r w:rsidR="00FB0871" w:rsidRPr="00CA06A2">
        <w:rPr>
          <w:color w:val="000000"/>
          <w:lang w:eastAsia="en-GB"/>
        </w:rPr>
        <w:t xml:space="preserve"> de 2010,</w:t>
      </w:r>
      <w:r w:rsidR="00FB0871">
        <w:rPr>
          <w:color w:val="000000"/>
          <w:lang w:eastAsia="en-GB"/>
        </w:rPr>
        <w:t xml:space="preserve"> </w:t>
      </w:r>
      <w:r w:rsidR="00FB0871" w:rsidRPr="00CA06A2">
        <w:rPr>
          <w:color w:val="000000"/>
          <w:lang w:eastAsia="en-GB"/>
        </w:rPr>
        <w:t>la empresa</w:t>
      </w:r>
      <w:r w:rsidR="00FB0871">
        <w:rPr>
          <w:color w:val="000000"/>
          <w:lang w:eastAsia="en-GB"/>
        </w:rPr>
        <w:t xml:space="preserve"> </w:t>
      </w:r>
      <w:r w:rsidR="00FB0871" w:rsidRPr="00CA06A2">
        <w:rPr>
          <w:color w:val="000000"/>
          <w:lang w:eastAsia="en-GB"/>
        </w:rPr>
        <w:t xml:space="preserve">presentó una demanda contra </w:t>
      </w:r>
      <w:r w:rsidR="00FB0871">
        <w:rPr>
          <w:color w:val="000000"/>
          <w:lang w:eastAsia="en-GB"/>
        </w:rPr>
        <w:t xml:space="preserve">el autor </w:t>
      </w:r>
      <w:r w:rsidR="00FB0871" w:rsidRPr="00CA06A2">
        <w:rPr>
          <w:color w:val="000000"/>
          <w:lang w:eastAsia="en-GB"/>
        </w:rPr>
        <w:t xml:space="preserve">ante el Juzgado de Primera Instancia </w:t>
      </w:r>
      <w:r w:rsidR="00AB393D">
        <w:rPr>
          <w:color w:val="000000"/>
          <w:lang w:eastAsia="en-GB"/>
        </w:rPr>
        <w:t>núm</w:t>
      </w:r>
      <w:r w:rsidR="00FB0871" w:rsidRPr="00CA06A2">
        <w:rPr>
          <w:color w:val="000000"/>
          <w:lang w:eastAsia="en-GB"/>
        </w:rPr>
        <w:t xml:space="preserve">. 18 de Málaga solicitando </w:t>
      </w:r>
      <w:r w:rsidR="00FB0871">
        <w:rPr>
          <w:color w:val="000000"/>
          <w:lang w:eastAsia="en-GB"/>
        </w:rPr>
        <w:t>el cumplimiento</w:t>
      </w:r>
      <w:r w:rsidR="00FB0871" w:rsidRPr="00CA06A2">
        <w:rPr>
          <w:color w:val="000000"/>
          <w:lang w:eastAsia="en-GB"/>
        </w:rPr>
        <w:t xml:space="preserve"> </w:t>
      </w:r>
      <w:r w:rsidR="00FB0871">
        <w:rPr>
          <w:color w:val="000000"/>
          <w:lang w:eastAsia="en-GB"/>
        </w:rPr>
        <w:t>d</w:t>
      </w:r>
      <w:r w:rsidR="00FB0871" w:rsidRPr="00CA06A2">
        <w:rPr>
          <w:color w:val="000000"/>
          <w:lang w:eastAsia="en-GB"/>
        </w:rPr>
        <w:t>el contrato firmado el 29 de enero de 2007</w:t>
      </w:r>
      <w:r w:rsidR="00FB0871">
        <w:rPr>
          <w:color w:val="000000"/>
          <w:lang w:eastAsia="en-GB"/>
        </w:rPr>
        <w:t>,</w:t>
      </w:r>
      <w:r w:rsidR="00FB0871" w:rsidRPr="00CA06A2">
        <w:rPr>
          <w:color w:val="000000"/>
          <w:lang w:eastAsia="en-GB"/>
        </w:rPr>
        <w:t xml:space="preserve"> </w:t>
      </w:r>
      <w:r w:rsidR="00FB0871">
        <w:rPr>
          <w:color w:val="000000"/>
          <w:lang w:eastAsia="en-GB"/>
        </w:rPr>
        <w:t>y</w:t>
      </w:r>
      <w:r w:rsidR="00FB0871" w:rsidRPr="00CA06A2">
        <w:rPr>
          <w:color w:val="000000"/>
          <w:lang w:eastAsia="en-GB"/>
        </w:rPr>
        <w:t xml:space="preserve"> el pago del monto total</w:t>
      </w:r>
      <w:r w:rsidR="00FB0871">
        <w:rPr>
          <w:color w:val="000000"/>
          <w:lang w:eastAsia="en-GB"/>
        </w:rPr>
        <w:t xml:space="preserve"> de la compra más el 10</w:t>
      </w:r>
      <w:r w:rsidR="00AB393D">
        <w:rPr>
          <w:color w:val="000000"/>
          <w:lang w:eastAsia="en-GB"/>
        </w:rPr>
        <w:t xml:space="preserve"> </w:t>
      </w:r>
      <w:r w:rsidR="00FB0871">
        <w:rPr>
          <w:color w:val="000000"/>
          <w:lang w:eastAsia="en-GB"/>
        </w:rPr>
        <w:t>% anual de</w:t>
      </w:r>
      <w:r w:rsidR="00FB0871" w:rsidRPr="00CA06A2">
        <w:rPr>
          <w:color w:val="000000"/>
          <w:lang w:eastAsia="en-GB"/>
        </w:rPr>
        <w:t xml:space="preserve"> </w:t>
      </w:r>
      <w:r w:rsidR="00FB0871" w:rsidRPr="001C4BD4">
        <w:rPr>
          <w:color w:val="000000"/>
          <w:lang w:eastAsia="en-GB"/>
        </w:rPr>
        <w:t>interés de demora.</w:t>
      </w:r>
      <w:r w:rsidR="00FB0871">
        <w:rPr>
          <w:color w:val="000000"/>
          <w:lang w:eastAsia="en-GB"/>
        </w:rPr>
        <w:t xml:space="preserve"> </w:t>
      </w:r>
      <w:r w:rsidR="00FB0871" w:rsidRPr="001C4BD4">
        <w:rPr>
          <w:color w:val="000000"/>
          <w:lang w:eastAsia="en-GB"/>
        </w:rPr>
        <w:t>Dentro</w:t>
      </w:r>
      <w:r w:rsidR="00FB0871">
        <w:rPr>
          <w:color w:val="000000"/>
          <w:lang w:eastAsia="en-GB"/>
        </w:rPr>
        <w:t xml:space="preserve"> de este</w:t>
      </w:r>
      <w:r w:rsidR="00FB0871" w:rsidRPr="00CA06A2">
        <w:rPr>
          <w:color w:val="000000"/>
          <w:lang w:eastAsia="en-GB"/>
        </w:rPr>
        <w:t xml:space="preserve"> </w:t>
      </w:r>
      <w:r w:rsidR="00FB0871">
        <w:rPr>
          <w:color w:val="000000"/>
          <w:lang w:eastAsia="en-GB"/>
        </w:rPr>
        <w:t>proceso</w:t>
      </w:r>
      <w:r w:rsidR="00FB0871" w:rsidRPr="00CA06A2">
        <w:rPr>
          <w:color w:val="000000"/>
          <w:lang w:eastAsia="en-GB"/>
        </w:rPr>
        <w:t>, el</w:t>
      </w:r>
      <w:r w:rsidR="00FB0871">
        <w:rPr>
          <w:color w:val="000000"/>
          <w:lang w:eastAsia="en-GB"/>
        </w:rPr>
        <w:t xml:space="preserve"> </w:t>
      </w:r>
      <w:r w:rsidR="00FB0871" w:rsidRPr="00CA06A2">
        <w:rPr>
          <w:color w:val="000000"/>
          <w:lang w:eastAsia="en-GB"/>
        </w:rPr>
        <w:t>Sr.</w:t>
      </w:r>
      <w:r w:rsidR="00FB0871">
        <w:rPr>
          <w:color w:val="000000"/>
          <w:lang w:eastAsia="en-GB"/>
        </w:rPr>
        <w:t xml:space="preserve"> Fernández Pérez</w:t>
      </w:r>
      <w:r w:rsidR="00FB0871" w:rsidRPr="00CA06A2">
        <w:rPr>
          <w:color w:val="000000"/>
          <w:lang w:eastAsia="en-GB"/>
        </w:rPr>
        <w:t xml:space="preserve"> también</w:t>
      </w:r>
      <w:r w:rsidR="00FB0871">
        <w:rPr>
          <w:color w:val="000000"/>
          <w:lang w:eastAsia="en-GB"/>
        </w:rPr>
        <w:t xml:space="preserve"> </w:t>
      </w:r>
      <w:r w:rsidR="00FB0871" w:rsidRPr="00CA06A2">
        <w:rPr>
          <w:color w:val="000000"/>
          <w:lang w:eastAsia="en-GB"/>
        </w:rPr>
        <w:t>presentó</w:t>
      </w:r>
      <w:r w:rsidR="00FB0871">
        <w:rPr>
          <w:color w:val="000000"/>
          <w:lang w:eastAsia="en-GB"/>
        </w:rPr>
        <w:t xml:space="preserve"> </w:t>
      </w:r>
      <w:r w:rsidR="00FB0871" w:rsidRPr="00CA06A2">
        <w:rPr>
          <w:color w:val="000000"/>
          <w:lang w:eastAsia="en-GB"/>
        </w:rPr>
        <w:t>una demanda</w:t>
      </w:r>
      <w:r w:rsidR="00FB0871">
        <w:rPr>
          <w:color w:val="000000"/>
          <w:lang w:eastAsia="en-GB"/>
        </w:rPr>
        <w:t xml:space="preserve"> reconvencional</w:t>
      </w:r>
      <w:r w:rsidR="00FB0871" w:rsidRPr="00CA06A2">
        <w:rPr>
          <w:color w:val="000000"/>
          <w:lang w:eastAsia="en-GB"/>
        </w:rPr>
        <w:t xml:space="preserve"> contra la</w:t>
      </w:r>
      <w:r w:rsidR="00FB0871">
        <w:rPr>
          <w:color w:val="000000"/>
          <w:lang w:eastAsia="en-GB"/>
        </w:rPr>
        <w:t xml:space="preserve"> </w:t>
      </w:r>
      <w:r w:rsidR="00FB0871" w:rsidRPr="00CA06A2">
        <w:rPr>
          <w:color w:val="000000"/>
          <w:lang w:eastAsia="en-GB"/>
        </w:rPr>
        <w:t>empresa</w:t>
      </w:r>
      <w:r w:rsidR="00FB0871">
        <w:rPr>
          <w:color w:val="000000"/>
          <w:lang w:eastAsia="en-GB"/>
        </w:rPr>
        <w:t xml:space="preserve"> </w:t>
      </w:r>
      <w:r w:rsidR="00FB0871" w:rsidRPr="00CA06A2">
        <w:rPr>
          <w:color w:val="000000"/>
          <w:lang w:eastAsia="en-GB"/>
        </w:rPr>
        <w:t>por incu</w:t>
      </w:r>
      <w:r w:rsidR="00FB0871">
        <w:rPr>
          <w:color w:val="000000"/>
          <w:lang w:eastAsia="en-GB"/>
        </w:rPr>
        <w:t>mplimiento del contrato inicial</w:t>
      </w:r>
      <w:r w:rsidR="00FB0871" w:rsidRPr="00CA06A2">
        <w:rPr>
          <w:color w:val="000000"/>
          <w:lang w:eastAsia="en-GB"/>
        </w:rPr>
        <w:t>.</w:t>
      </w:r>
    </w:p>
    <w:p w14:paraId="7355F85F" w14:textId="08B9A26E" w:rsidR="00FB0871" w:rsidRPr="00FB65AD" w:rsidRDefault="00FB65AD">
      <w:pPr>
        <w:pStyle w:val="SingleTxtG"/>
        <w:rPr>
          <w:color w:val="000000"/>
          <w:lang w:eastAsia="en-GB"/>
        </w:rPr>
      </w:pPr>
      <w:r>
        <w:rPr>
          <w:color w:val="000000"/>
          <w:lang w:eastAsia="en-GB"/>
        </w:rPr>
        <w:t>2.4</w:t>
      </w:r>
      <w:r>
        <w:rPr>
          <w:color w:val="000000"/>
          <w:lang w:eastAsia="en-GB"/>
        </w:rPr>
        <w:tab/>
      </w:r>
      <w:r w:rsidR="00FB0871" w:rsidRPr="00FB65AD">
        <w:rPr>
          <w:color w:val="000000"/>
          <w:lang w:eastAsia="en-GB"/>
        </w:rPr>
        <w:t xml:space="preserve">El 22 de diciembre de 2010, el Juzgado </w:t>
      </w:r>
      <w:r w:rsidR="00A03415">
        <w:rPr>
          <w:color w:val="000000"/>
          <w:lang w:eastAsia="en-GB"/>
        </w:rPr>
        <w:t>núm.</w:t>
      </w:r>
      <w:r w:rsidR="00FB0871" w:rsidRPr="00FB65AD">
        <w:rPr>
          <w:color w:val="000000"/>
          <w:lang w:eastAsia="en-GB"/>
        </w:rPr>
        <w:t xml:space="preserve"> 18 desestimó la demanda del Sr.</w:t>
      </w:r>
      <w:r w:rsidR="002E09A6">
        <w:rPr>
          <w:color w:val="000000"/>
          <w:lang w:eastAsia="en-GB"/>
        </w:rPr>
        <w:t> </w:t>
      </w:r>
      <w:r w:rsidR="00FB0871" w:rsidRPr="00FB65AD">
        <w:rPr>
          <w:color w:val="000000"/>
          <w:lang w:eastAsia="en-GB"/>
        </w:rPr>
        <w:t xml:space="preserve">Fernández Pérez y le ordenó </w:t>
      </w:r>
      <w:r w:rsidR="00FB0871" w:rsidRPr="00FB65AD">
        <w:rPr>
          <w:lang w:eastAsia="en-GB"/>
        </w:rPr>
        <w:t>cumplir</w:t>
      </w:r>
      <w:r w:rsidR="00FB0871" w:rsidRPr="00FB65AD">
        <w:rPr>
          <w:color w:val="000000"/>
          <w:lang w:eastAsia="en-GB"/>
        </w:rPr>
        <w:t xml:space="preserve"> con el contrato del 29 de enero de 2007. El </w:t>
      </w:r>
      <w:r w:rsidR="00A03415">
        <w:rPr>
          <w:color w:val="000000"/>
          <w:lang w:eastAsia="en-GB"/>
        </w:rPr>
        <w:t>t</w:t>
      </w:r>
      <w:r w:rsidR="00FB0871" w:rsidRPr="00FB65AD">
        <w:rPr>
          <w:color w:val="000000"/>
          <w:lang w:eastAsia="en-GB"/>
        </w:rPr>
        <w:t xml:space="preserve">ribunal declaró que, aunque se habían realizado algunos cambios en la fachada del edificio, </w:t>
      </w:r>
      <w:r w:rsidR="00A03415">
        <w:rPr>
          <w:color w:val="000000"/>
          <w:lang w:eastAsia="en-GB"/>
        </w:rPr>
        <w:t>e</w:t>
      </w:r>
      <w:r w:rsidR="00FB0871" w:rsidRPr="00FB65AD">
        <w:rPr>
          <w:color w:val="000000"/>
          <w:lang w:eastAsia="en-GB"/>
        </w:rPr>
        <w:t>stos se introdujeron por razones técnicas relacionadas con la seguridad, el mantenimiento del edificio y la eficiencia energética. Estos cambios debían considerarse como una mejora de la propiedad y no afectaron ni el apartamento comprado ni su precio. El tribunal otorgó al autor un plazo de dos meses para pagar 255</w:t>
      </w:r>
      <w:r w:rsidR="00A03415">
        <w:rPr>
          <w:color w:val="000000"/>
          <w:lang w:eastAsia="en-GB"/>
        </w:rPr>
        <w:t>.</w:t>
      </w:r>
      <w:r w:rsidR="00FB0871" w:rsidRPr="00FB65AD">
        <w:rPr>
          <w:color w:val="000000"/>
          <w:lang w:eastAsia="en-GB"/>
        </w:rPr>
        <w:t>776 euros más el 10</w:t>
      </w:r>
      <w:r w:rsidR="00A03415">
        <w:rPr>
          <w:color w:val="000000"/>
          <w:lang w:eastAsia="en-GB"/>
        </w:rPr>
        <w:t xml:space="preserve"> </w:t>
      </w:r>
      <w:r w:rsidR="00FB0871" w:rsidRPr="00FB65AD">
        <w:rPr>
          <w:color w:val="000000"/>
          <w:lang w:eastAsia="en-GB"/>
        </w:rPr>
        <w:t>% de intereses de demora.</w:t>
      </w:r>
    </w:p>
    <w:p w14:paraId="442646ED" w14:textId="586579CA" w:rsidR="00FB0871" w:rsidRPr="00CA06A2" w:rsidRDefault="00FB65AD" w:rsidP="00FB65AD">
      <w:pPr>
        <w:pStyle w:val="SingleTxtG"/>
        <w:rPr>
          <w:color w:val="000000"/>
          <w:lang w:eastAsia="en-GB"/>
        </w:rPr>
      </w:pPr>
      <w:r>
        <w:rPr>
          <w:color w:val="000000"/>
          <w:lang w:eastAsia="en-GB"/>
        </w:rPr>
        <w:t>2.5</w:t>
      </w:r>
      <w:r>
        <w:rPr>
          <w:color w:val="000000"/>
          <w:lang w:eastAsia="en-GB"/>
        </w:rPr>
        <w:tab/>
      </w:r>
      <w:r w:rsidR="00FB0871" w:rsidRPr="00CA06A2">
        <w:rPr>
          <w:color w:val="000000"/>
          <w:lang w:eastAsia="en-GB"/>
        </w:rPr>
        <w:t xml:space="preserve">El </w:t>
      </w:r>
      <w:r w:rsidR="00FB0871">
        <w:rPr>
          <w:color w:val="000000"/>
          <w:lang w:eastAsia="en-GB"/>
        </w:rPr>
        <w:t xml:space="preserve">autor </w:t>
      </w:r>
      <w:r w:rsidR="00FB0871" w:rsidRPr="00CA06A2">
        <w:rPr>
          <w:color w:val="000000"/>
          <w:lang w:eastAsia="en-GB"/>
        </w:rPr>
        <w:t>apeló esta decisión ante la Au</w:t>
      </w:r>
      <w:r w:rsidR="00FB0871">
        <w:rPr>
          <w:color w:val="000000"/>
          <w:lang w:eastAsia="en-GB"/>
        </w:rPr>
        <w:t>diencia Provincial de Málaga</w:t>
      </w:r>
      <w:r w:rsidR="00FB0871" w:rsidRPr="00CA06A2">
        <w:rPr>
          <w:color w:val="000000"/>
          <w:lang w:eastAsia="en-GB"/>
        </w:rPr>
        <w:t>.</w:t>
      </w:r>
      <w:r w:rsidR="00FB0871">
        <w:rPr>
          <w:color w:val="000000"/>
          <w:lang w:eastAsia="en-GB"/>
        </w:rPr>
        <w:t xml:space="preserve"> El 15 de febrero de 2013, la Audiencia Provincial rechazó la apelación afirmando </w:t>
      </w:r>
      <w:r w:rsidR="00FB0871" w:rsidRPr="00CA06A2">
        <w:rPr>
          <w:color w:val="000000"/>
          <w:lang w:eastAsia="en-GB"/>
        </w:rPr>
        <w:t>que</w:t>
      </w:r>
      <w:r w:rsidR="00FB0871">
        <w:rPr>
          <w:color w:val="000000"/>
          <w:lang w:eastAsia="en-GB"/>
        </w:rPr>
        <w:t xml:space="preserve"> las</w:t>
      </w:r>
      <w:r w:rsidR="00FB0871" w:rsidRPr="00CA06A2">
        <w:rPr>
          <w:color w:val="000000"/>
          <w:lang w:eastAsia="en-GB"/>
        </w:rPr>
        <w:t xml:space="preserve"> principales alegaciones </w:t>
      </w:r>
      <w:r w:rsidR="00FB0871">
        <w:rPr>
          <w:color w:val="000000"/>
          <w:lang w:eastAsia="en-GB"/>
        </w:rPr>
        <w:t xml:space="preserve">del </w:t>
      </w:r>
      <w:r w:rsidR="00FB0871" w:rsidRPr="00FB65AD">
        <w:rPr>
          <w:lang w:eastAsia="en-GB"/>
        </w:rPr>
        <w:t>recurrente</w:t>
      </w:r>
      <w:r w:rsidR="00FB0871">
        <w:rPr>
          <w:color w:val="000000"/>
          <w:lang w:eastAsia="en-GB"/>
        </w:rPr>
        <w:t xml:space="preserve"> </w:t>
      </w:r>
      <w:r w:rsidR="00FB0871" w:rsidRPr="00CA06A2">
        <w:rPr>
          <w:color w:val="000000"/>
          <w:lang w:eastAsia="en-GB"/>
        </w:rPr>
        <w:t>se basaban en objeciones de</w:t>
      </w:r>
      <w:r w:rsidR="00FB0871">
        <w:rPr>
          <w:color w:val="000000"/>
          <w:lang w:eastAsia="en-GB"/>
        </w:rPr>
        <w:t xml:space="preserve"> </w:t>
      </w:r>
      <w:r w:rsidR="00FB0871" w:rsidRPr="00CA06A2">
        <w:rPr>
          <w:color w:val="000000"/>
          <w:lang w:eastAsia="en-GB"/>
        </w:rPr>
        <w:t>razones</w:t>
      </w:r>
      <w:r w:rsidR="00FB0871">
        <w:rPr>
          <w:color w:val="000000"/>
          <w:lang w:eastAsia="en-GB"/>
        </w:rPr>
        <w:t xml:space="preserve"> </w:t>
      </w:r>
      <w:r w:rsidR="00FB0871" w:rsidRPr="00CA06A2">
        <w:rPr>
          <w:color w:val="000000"/>
          <w:lang w:eastAsia="en-GB"/>
        </w:rPr>
        <w:t>estéticas en</w:t>
      </w:r>
      <w:r w:rsidR="00FB0871">
        <w:rPr>
          <w:color w:val="000000"/>
          <w:lang w:eastAsia="en-GB"/>
        </w:rPr>
        <w:t xml:space="preserve"> </w:t>
      </w:r>
      <w:r w:rsidR="00FB0871" w:rsidRPr="00CA06A2">
        <w:rPr>
          <w:color w:val="000000"/>
          <w:lang w:eastAsia="en-GB"/>
        </w:rPr>
        <w:t>lugar de sustanciales, y que no eran suficientes para la terminación del contrato.</w:t>
      </w:r>
    </w:p>
    <w:p w14:paraId="0B7BDA07" w14:textId="63BA7BD0" w:rsidR="00FB0871" w:rsidRPr="00FB65AD" w:rsidRDefault="00FB65AD" w:rsidP="00FB65AD">
      <w:pPr>
        <w:pStyle w:val="SingleTxtG"/>
        <w:rPr>
          <w:color w:val="000000"/>
          <w:lang w:eastAsia="en-GB"/>
        </w:rPr>
      </w:pPr>
      <w:r>
        <w:rPr>
          <w:color w:val="000000"/>
          <w:lang w:eastAsia="en-GB"/>
        </w:rPr>
        <w:t>2.6</w:t>
      </w:r>
      <w:r>
        <w:rPr>
          <w:color w:val="000000"/>
          <w:lang w:eastAsia="en-GB"/>
        </w:rPr>
        <w:tab/>
      </w:r>
      <w:r w:rsidR="00FB0871" w:rsidRPr="00FB65AD">
        <w:rPr>
          <w:color w:val="000000"/>
          <w:lang w:eastAsia="en-GB"/>
        </w:rPr>
        <w:t xml:space="preserve">El 17 de junio de 2013, el autor presentó un recurso de amparo ante el Tribunal Constitucional. El autor </w:t>
      </w:r>
      <w:r w:rsidR="00FB0871" w:rsidRPr="00FB65AD">
        <w:rPr>
          <w:lang w:eastAsia="en-GB"/>
        </w:rPr>
        <w:t>alegó</w:t>
      </w:r>
      <w:r w:rsidR="00FB0871" w:rsidRPr="00FB65AD">
        <w:rPr>
          <w:color w:val="000000"/>
          <w:lang w:eastAsia="en-GB"/>
        </w:rPr>
        <w:t xml:space="preserve"> una violación del derecho a la tutela judicial efectiva recogido en el artículo 24.1 de la Constitución del Estado parte.</w:t>
      </w:r>
    </w:p>
    <w:p w14:paraId="2967EF8C" w14:textId="4F7944FA" w:rsidR="00FB0871" w:rsidRPr="001E04DC" w:rsidRDefault="00FB65AD" w:rsidP="00A81CC4">
      <w:pPr>
        <w:pStyle w:val="SingleTxtG"/>
        <w:keepLines/>
        <w:rPr>
          <w:color w:val="000000"/>
          <w:lang w:eastAsia="en-GB"/>
        </w:rPr>
      </w:pPr>
      <w:r>
        <w:rPr>
          <w:color w:val="000000"/>
          <w:lang w:eastAsia="en-GB"/>
        </w:rPr>
        <w:lastRenderedPageBreak/>
        <w:t>2.7</w:t>
      </w:r>
      <w:r>
        <w:rPr>
          <w:color w:val="000000"/>
          <w:lang w:eastAsia="en-GB"/>
        </w:rPr>
        <w:tab/>
      </w:r>
      <w:r w:rsidR="00FB0871" w:rsidRPr="00CA06A2">
        <w:rPr>
          <w:color w:val="000000"/>
          <w:lang w:eastAsia="en-GB"/>
        </w:rPr>
        <w:t xml:space="preserve">El 29 de octubre de 2013, el Juzgado </w:t>
      </w:r>
      <w:r w:rsidR="00A03415">
        <w:rPr>
          <w:color w:val="000000"/>
          <w:lang w:eastAsia="en-GB"/>
        </w:rPr>
        <w:t>núm.</w:t>
      </w:r>
      <w:r w:rsidR="00FB0871" w:rsidRPr="00CA06A2">
        <w:rPr>
          <w:color w:val="000000"/>
          <w:lang w:eastAsia="en-GB"/>
        </w:rPr>
        <w:t xml:space="preserve"> 18 ordenó</w:t>
      </w:r>
      <w:r w:rsidR="00FB0871">
        <w:rPr>
          <w:color w:val="000000"/>
          <w:lang w:eastAsia="en-GB"/>
        </w:rPr>
        <w:t xml:space="preserve"> al autor cumplir</w:t>
      </w:r>
      <w:r w:rsidR="00FB0871" w:rsidRPr="00CA06A2">
        <w:rPr>
          <w:color w:val="000000"/>
          <w:lang w:eastAsia="en-GB"/>
        </w:rPr>
        <w:t xml:space="preserve"> </w:t>
      </w:r>
      <w:r w:rsidR="00FB0871">
        <w:rPr>
          <w:color w:val="000000"/>
          <w:lang w:eastAsia="en-GB"/>
        </w:rPr>
        <w:t>con su obligación contractual y pagar 380</w:t>
      </w:r>
      <w:r w:rsidR="00A03415">
        <w:rPr>
          <w:color w:val="000000"/>
          <w:lang w:eastAsia="en-GB"/>
        </w:rPr>
        <w:t>.</w:t>
      </w:r>
      <w:r w:rsidR="00FB0871" w:rsidRPr="00FB65AD">
        <w:rPr>
          <w:lang w:eastAsia="en-GB"/>
        </w:rPr>
        <w:t>088</w:t>
      </w:r>
      <w:r w:rsidR="00A03415">
        <w:rPr>
          <w:color w:val="000000"/>
          <w:lang w:eastAsia="en-GB"/>
        </w:rPr>
        <w:t>,</w:t>
      </w:r>
      <w:r w:rsidR="00FB0871" w:rsidRPr="00CA06A2">
        <w:rPr>
          <w:color w:val="000000"/>
          <w:lang w:eastAsia="en-GB"/>
        </w:rPr>
        <w:t>15 euros</w:t>
      </w:r>
      <w:r w:rsidR="00FB0871">
        <w:rPr>
          <w:color w:val="000000"/>
          <w:lang w:eastAsia="en-GB"/>
        </w:rPr>
        <w:t xml:space="preserve"> </w:t>
      </w:r>
      <w:r w:rsidR="00FB0871" w:rsidRPr="00CA06A2">
        <w:rPr>
          <w:color w:val="000000"/>
          <w:lang w:eastAsia="en-GB"/>
        </w:rPr>
        <w:t>(princ</w:t>
      </w:r>
      <w:r w:rsidR="00FB0871">
        <w:rPr>
          <w:color w:val="000000"/>
          <w:lang w:eastAsia="en-GB"/>
        </w:rPr>
        <w:t>ipal) y 114</w:t>
      </w:r>
      <w:r w:rsidR="00A03415">
        <w:rPr>
          <w:color w:val="000000"/>
          <w:lang w:eastAsia="en-GB"/>
        </w:rPr>
        <w:t>.</w:t>
      </w:r>
      <w:r w:rsidR="00FB0871" w:rsidRPr="00CA06A2">
        <w:rPr>
          <w:color w:val="000000"/>
          <w:lang w:eastAsia="en-GB"/>
        </w:rPr>
        <w:t>000 euros (intereses).</w:t>
      </w:r>
      <w:r w:rsidR="00FB0871">
        <w:rPr>
          <w:color w:val="000000"/>
          <w:lang w:eastAsia="en-GB"/>
        </w:rPr>
        <w:t xml:space="preserve"> </w:t>
      </w:r>
      <w:r w:rsidR="00FB0871" w:rsidRPr="00CA06A2">
        <w:rPr>
          <w:color w:val="000000"/>
          <w:lang w:eastAsia="en-GB"/>
        </w:rPr>
        <w:t>Se registró un embargo preventivo contra las propiedades de los autores, incluido el</w:t>
      </w:r>
      <w:r w:rsidR="00FB0871">
        <w:rPr>
          <w:color w:val="000000"/>
          <w:lang w:eastAsia="en-GB"/>
        </w:rPr>
        <w:t xml:space="preserve"> </w:t>
      </w:r>
      <w:r w:rsidR="00FB0871" w:rsidRPr="00CA06A2">
        <w:rPr>
          <w:color w:val="000000"/>
          <w:lang w:eastAsia="en-GB"/>
        </w:rPr>
        <w:t>apartamento</w:t>
      </w:r>
      <w:r w:rsidR="00FB0871">
        <w:rPr>
          <w:color w:val="000000"/>
          <w:lang w:eastAsia="en-GB"/>
        </w:rPr>
        <w:t xml:space="preserve"> </w:t>
      </w:r>
      <w:r w:rsidR="00FB0871" w:rsidRPr="001E04DC">
        <w:rPr>
          <w:color w:val="000000"/>
          <w:lang w:eastAsia="en-GB"/>
        </w:rPr>
        <w:t>familiar</w:t>
      </w:r>
      <w:r w:rsidR="00FB0871">
        <w:rPr>
          <w:color w:val="000000"/>
          <w:lang w:eastAsia="en-GB"/>
        </w:rPr>
        <w:t xml:space="preserve"> </w:t>
      </w:r>
      <w:r w:rsidR="00FB0871" w:rsidRPr="001E04DC">
        <w:rPr>
          <w:color w:val="000000"/>
          <w:lang w:eastAsia="en-GB"/>
        </w:rPr>
        <w:t>donde viven desde 1996.</w:t>
      </w:r>
    </w:p>
    <w:p w14:paraId="135D9FC2" w14:textId="5E5AD3EF" w:rsidR="00FB0871" w:rsidRPr="00CA06A2" w:rsidRDefault="00FB65AD">
      <w:pPr>
        <w:pStyle w:val="SingleTxtG"/>
        <w:rPr>
          <w:color w:val="000000"/>
          <w:lang w:eastAsia="en-GB"/>
        </w:rPr>
      </w:pPr>
      <w:r>
        <w:rPr>
          <w:color w:val="000000"/>
          <w:lang w:eastAsia="en-GB"/>
        </w:rPr>
        <w:t>2.8</w:t>
      </w:r>
      <w:r>
        <w:rPr>
          <w:color w:val="000000"/>
          <w:lang w:eastAsia="en-GB"/>
        </w:rPr>
        <w:tab/>
      </w:r>
      <w:r w:rsidR="00FB0871" w:rsidRPr="001E04DC">
        <w:rPr>
          <w:color w:val="000000"/>
          <w:lang w:eastAsia="en-GB"/>
        </w:rPr>
        <w:t xml:space="preserve">El 12 de febrero de 2014, la autora presentó un recurso ante el Juzgado </w:t>
      </w:r>
      <w:r w:rsidR="00A03415">
        <w:rPr>
          <w:color w:val="000000"/>
          <w:lang w:eastAsia="en-GB"/>
        </w:rPr>
        <w:t>núm.</w:t>
      </w:r>
      <w:r w:rsidR="00FB0871" w:rsidRPr="001E04DC">
        <w:rPr>
          <w:color w:val="000000"/>
          <w:lang w:eastAsia="en-GB"/>
        </w:rPr>
        <w:t xml:space="preserve"> 18 oponiéndose al auto de </w:t>
      </w:r>
      <w:r w:rsidR="00FB0871" w:rsidRPr="00FB65AD">
        <w:rPr>
          <w:lang w:eastAsia="en-GB"/>
        </w:rPr>
        <w:t>ejecución</w:t>
      </w:r>
      <w:r w:rsidR="00FB0871">
        <w:rPr>
          <w:color w:val="000000"/>
          <w:lang w:eastAsia="en-GB"/>
        </w:rPr>
        <w:t xml:space="preserve"> de fecha 29 de octubre de 2013</w:t>
      </w:r>
      <w:r w:rsidR="00FB0871" w:rsidRPr="00CA06A2">
        <w:rPr>
          <w:color w:val="000000"/>
          <w:lang w:eastAsia="en-GB"/>
        </w:rPr>
        <w:t>.</w:t>
      </w:r>
      <w:r w:rsidR="00FB0871">
        <w:rPr>
          <w:color w:val="000000"/>
          <w:lang w:eastAsia="en-GB"/>
        </w:rPr>
        <w:t xml:space="preserve"> La autora afirmó</w:t>
      </w:r>
      <w:r w:rsidR="00FB0871" w:rsidRPr="00CA06A2">
        <w:rPr>
          <w:color w:val="000000"/>
          <w:lang w:eastAsia="en-GB"/>
        </w:rPr>
        <w:t xml:space="preserve"> que</w:t>
      </w:r>
      <w:r w:rsidR="00FB0871">
        <w:rPr>
          <w:color w:val="000000"/>
          <w:lang w:eastAsia="en-GB"/>
        </w:rPr>
        <w:t xml:space="preserve"> </w:t>
      </w:r>
      <w:r w:rsidR="00FB0871" w:rsidRPr="00CA06A2">
        <w:rPr>
          <w:color w:val="000000"/>
          <w:lang w:eastAsia="en-GB"/>
        </w:rPr>
        <w:t>la deuda del</w:t>
      </w:r>
      <w:r w:rsidR="00FB0871">
        <w:rPr>
          <w:color w:val="000000"/>
          <w:lang w:eastAsia="en-GB"/>
        </w:rPr>
        <w:t xml:space="preserve"> autor</w:t>
      </w:r>
      <w:r w:rsidR="00FB0871" w:rsidRPr="00CA06A2">
        <w:rPr>
          <w:color w:val="000000"/>
          <w:lang w:eastAsia="en-GB"/>
        </w:rPr>
        <w:t xml:space="preserve"> con la entidad privada </w:t>
      </w:r>
      <w:r w:rsidR="00FB0871">
        <w:rPr>
          <w:color w:val="000000"/>
          <w:lang w:eastAsia="en-GB"/>
        </w:rPr>
        <w:t>debía</w:t>
      </w:r>
      <w:r w:rsidR="00FB0871" w:rsidRPr="00CA06A2">
        <w:rPr>
          <w:color w:val="000000"/>
          <w:lang w:eastAsia="en-GB"/>
        </w:rPr>
        <w:t xml:space="preserve"> ser declarada </w:t>
      </w:r>
      <w:r w:rsidR="00FB0871">
        <w:rPr>
          <w:color w:val="000000"/>
          <w:lang w:eastAsia="en-GB"/>
        </w:rPr>
        <w:t>deuda individual</w:t>
      </w:r>
      <w:r w:rsidR="00FB0871" w:rsidRPr="00CA06A2">
        <w:rPr>
          <w:color w:val="000000"/>
          <w:lang w:eastAsia="en-GB"/>
        </w:rPr>
        <w:t xml:space="preserve"> de exclusiva responsabilidad</w:t>
      </w:r>
      <w:r w:rsidR="00FB0871">
        <w:rPr>
          <w:color w:val="000000"/>
          <w:lang w:eastAsia="en-GB"/>
        </w:rPr>
        <w:t xml:space="preserve"> del autor y no afectar a los bienes gananciales</w:t>
      </w:r>
      <w:r w:rsidR="00FB0871" w:rsidRPr="00CA06A2">
        <w:rPr>
          <w:color w:val="000000"/>
          <w:lang w:eastAsia="en-GB"/>
        </w:rPr>
        <w:t>.</w:t>
      </w:r>
      <w:r w:rsidR="00FB0871">
        <w:rPr>
          <w:color w:val="000000"/>
          <w:lang w:eastAsia="en-GB"/>
        </w:rPr>
        <w:t xml:space="preserve"> El 6 de marzo de 2014, el Juzgado </w:t>
      </w:r>
      <w:r w:rsidR="00A03415">
        <w:rPr>
          <w:color w:val="000000"/>
          <w:lang w:eastAsia="en-GB"/>
        </w:rPr>
        <w:t>núm.</w:t>
      </w:r>
      <w:r w:rsidR="00FB0871" w:rsidRPr="00CA06A2">
        <w:rPr>
          <w:color w:val="000000"/>
          <w:lang w:eastAsia="en-GB"/>
        </w:rPr>
        <w:t xml:space="preserve"> 18</w:t>
      </w:r>
      <w:r w:rsidR="00FB0871">
        <w:rPr>
          <w:color w:val="000000"/>
          <w:lang w:eastAsia="en-GB"/>
        </w:rPr>
        <w:t xml:space="preserve"> </w:t>
      </w:r>
      <w:r w:rsidR="00FB0871" w:rsidRPr="00CA06A2">
        <w:rPr>
          <w:color w:val="000000"/>
          <w:lang w:eastAsia="en-GB"/>
        </w:rPr>
        <w:t>desestimó</w:t>
      </w:r>
      <w:r w:rsidR="00FB0871">
        <w:rPr>
          <w:color w:val="000000"/>
          <w:lang w:eastAsia="en-GB"/>
        </w:rPr>
        <w:t xml:space="preserve"> </w:t>
      </w:r>
      <w:r w:rsidR="00FB0871" w:rsidRPr="00CA06A2">
        <w:rPr>
          <w:color w:val="000000"/>
          <w:lang w:eastAsia="en-GB"/>
        </w:rPr>
        <w:t xml:space="preserve">la solicitud de </w:t>
      </w:r>
      <w:r w:rsidR="00FB0871">
        <w:rPr>
          <w:color w:val="000000"/>
          <w:lang w:eastAsia="en-GB"/>
        </w:rPr>
        <w:t>la autora</w:t>
      </w:r>
      <w:r w:rsidR="00FB0871" w:rsidRPr="00CA06A2">
        <w:rPr>
          <w:color w:val="000000"/>
          <w:lang w:eastAsia="en-GB"/>
        </w:rPr>
        <w:t>.</w:t>
      </w:r>
      <w:r w:rsidR="00FB0871">
        <w:rPr>
          <w:color w:val="000000"/>
          <w:lang w:eastAsia="en-GB"/>
        </w:rPr>
        <w:t xml:space="preserve"> La autora apeló</w:t>
      </w:r>
      <w:r w:rsidR="00FB0871" w:rsidRPr="00CA06A2">
        <w:rPr>
          <w:color w:val="000000"/>
          <w:lang w:eastAsia="en-GB"/>
        </w:rPr>
        <w:t xml:space="preserve"> esta decisión ante la Audiencia Provincial de Málaga.</w:t>
      </w:r>
      <w:r w:rsidR="00FB0871">
        <w:rPr>
          <w:color w:val="000000"/>
          <w:lang w:eastAsia="en-GB"/>
        </w:rPr>
        <w:t xml:space="preserve"> </w:t>
      </w:r>
      <w:r w:rsidR="00FB0871" w:rsidRPr="00CA06A2">
        <w:rPr>
          <w:color w:val="000000"/>
          <w:lang w:eastAsia="en-GB"/>
        </w:rPr>
        <w:t>A la luz de la apelación, se suspendió</w:t>
      </w:r>
      <w:r w:rsidR="00FB0871">
        <w:rPr>
          <w:color w:val="000000"/>
          <w:lang w:eastAsia="en-GB"/>
        </w:rPr>
        <w:t xml:space="preserve"> la ejecución de la orden del Juzgado </w:t>
      </w:r>
      <w:r w:rsidR="00A03415">
        <w:rPr>
          <w:color w:val="000000"/>
          <w:lang w:eastAsia="en-GB"/>
        </w:rPr>
        <w:t>núm.</w:t>
      </w:r>
      <w:r w:rsidR="00FB0871" w:rsidRPr="00CA06A2">
        <w:rPr>
          <w:color w:val="000000"/>
          <w:lang w:eastAsia="en-GB"/>
        </w:rPr>
        <w:t xml:space="preserve"> 18.</w:t>
      </w:r>
    </w:p>
    <w:p w14:paraId="09C69D69" w14:textId="5D814D77" w:rsidR="00FB0871" w:rsidRPr="00CA06A2" w:rsidRDefault="00FB65AD">
      <w:pPr>
        <w:pStyle w:val="SingleTxtG"/>
        <w:rPr>
          <w:color w:val="000000"/>
          <w:lang w:eastAsia="en-GB"/>
        </w:rPr>
      </w:pPr>
      <w:r>
        <w:rPr>
          <w:color w:val="000000"/>
          <w:lang w:eastAsia="en-GB"/>
        </w:rPr>
        <w:t>2.9</w:t>
      </w:r>
      <w:r>
        <w:rPr>
          <w:color w:val="000000"/>
          <w:lang w:eastAsia="en-GB"/>
        </w:rPr>
        <w:tab/>
      </w:r>
      <w:r w:rsidR="00FB0871" w:rsidRPr="00CA06A2">
        <w:rPr>
          <w:color w:val="000000"/>
          <w:lang w:eastAsia="en-GB"/>
        </w:rPr>
        <w:t xml:space="preserve">El 17 de marzo de 2014, el </w:t>
      </w:r>
      <w:r w:rsidR="00FB0871" w:rsidRPr="002E5CF6">
        <w:rPr>
          <w:color w:val="000000"/>
          <w:lang w:eastAsia="en-GB"/>
        </w:rPr>
        <w:t>Tribunal Constitucional, de conformidad con el artículo 241.1 de la Ley Orgánica del Poder Judicial, declaró</w:t>
      </w:r>
      <w:r w:rsidR="00FB0871">
        <w:rPr>
          <w:color w:val="000000"/>
          <w:lang w:eastAsia="en-GB"/>
        </w:rPr>
        <w:t xml:space="preserve"> </w:t>
      </w:r>
      <w:r w:rsidR="00FB0871" w:rsidRPr="002E5CF6">
        <w:rPr>
          <w:color w:val="000000"/>
          <w:lang w:eastAsia="en-GB"/>
        </w:rPr>
        <w:t>inadmisible</w:t>
      </w:r>
      <w:r w:rsidR="00FB0871">
        <w:rPr>
          <w:color w:val="000000"/>
          <w:lang w:eastAsia="en-GB"/>
        </w:rPr>
        <w:t xml:space="preserve"> </w:t>
      </w:r>
      <w:r w:rsidR="00FB0871" w:rsidRPr="002E5CF6">
        <w:rPr>
          <w:color w:val="000000"/>
          <w:lang w:eastAsia="en-GB"/>
        </w:rPr>
        <w:t>la</w:t>
      </w:r>
      <w:r w:rsidR="00FB0871">
        <w:rPr>
          <w:color w:val="000000"/>
          <w:lang w:eastAsia="en-GB"/>
        </w:rPr>
        <w:t xml:space="preserve"> </w:t>
      </w:r>
      <w:r w:rsidR="00FB0871" w:rsidRPr="002E5CF6">
        <w:rPr>
          <w:color w:val="000000"/>
          <w:lang w:eastAsia="en-GB"/>
        </w:rPr>
        <w:t>solicitud</w:t>
      </w:r>
      <w:r w:rsidR="00FB0871">
        <w:rPr>
          <w:color w:val="000000"/>
          <w:lang w:eastAsia="en-GB"/>
        </w:rPr>
        <w:t xml:space="preserve"> </w:t>
      </w:r>
      <w:r w:rsidR="00FB0871" w:rsidRPr="002E5CF6">
        <w:rPr>
          <w:color w:val="000000"/>
          <w:lang w:eastAsia="en-GB"/>
        </w:rPr>
        <w:t>del autor por falta de agotamiento de los recursos judiciales previos</w:t>
      </w:r>
      <w:r w:rsidR="00FB0871">
        <w:rPr>
          <w:color w:val="000000"/>
          <w:lang w:eastAsia="en-GB"/>
        </w:rPr>
        <w:t>,</w:t>
      </w:r>
      <w:r w:rsidR="00FB0871" w:rsidRPr="002E5CF6">
        <w:rPr>
          <w:color w:val="000000"/>
          <w:lang w:eastAsia="en-GB"/>
        </w:rPr>
        <w:t xml:space="preserve"> al no haber presentado un</w:t>
      </w:r>
      <w:r w:rsidR="00FB0871">
        <w:rPr>
          <w:color w:val="000000"/>
          <w:lang w:eastAsia="en-GB"/>
        </w:rPr>
        <w:t xml:space="preserve"> </w:t>
      </w:r>
      <w:r w:rsidR="00FB0871" w:rsidRPr="002E5CF6">
        <w:rPr>
          <w:iCs/>
          <w:color w:val="000000"/>
          <w:lang w:eastAsia="en-GB"/>
        </w:rPr>
        <w:t>incidente de nulidad de actuaciones</w:t>
      </w:r>
      <w:r w:rsidR="00FB0871">
        <w:rPr>
          <w:iCs/>
          <w:color w:val="000000"/>
          <w:lang w:eastAsia="en-GB"/>
        </w:rPr>
        <w:t xml:space="preserve"> </w:t>
      </w:r>
      <w:r w:rsidR="00FB0871" w:rsidRPr="00FB65AD">
        <w:rPr>
          <w:lang w:eastAsia="en-GB"/>
        </w:rPr>
        <w:t>previamente</w:t>
      </w:r>
      <w:r w:rsidR="00FB0871">
        <w:rPr>
          <w:iCs/>
          <w:color w:val="000000"/>
          <w:lang w:eastAsia="en-GB"/>
        </w:rPr>
        <w:t xml:space="preserve"> a presentar el recurso de amparo</w:t>
      </w:r>
      <w:r w:rsidR="00FB0871" w:rsidRPr="002E5CF6">
        <w:rPr>
          <w:color w:val="000000"/>
          <w:lang w:eastAsia="en-GB"/>
        </w:rPr>
        <w:t>.</w:t>
      </w:r>
      <w:r w:rsidR="00FB0871">
        <w:rPr>
          <w:color w:val="000000"/>
          <w:lang w:eastAsia="en-GB"/>
        </w:rPr>
        <w:t xml:space="preserve"> </w:t>
      </w:r>
      <w:r w:rsidR="00FB0871" w:rsidRPr="00CA06A2">
        <w:rPr>
          <w:color w:val="000000"/>
          <w:lang w:eastAsia="en-GB"/>
        </w:rPr>
        <w:t xml:space="preserve">Los autores afirman que la decisión del Tribunal Constitucional fue contraria a </w:t>
      </w:r>
      <w:r w:rsidR="00FB0871">
        <w:rPr>
          <w:color w:val="000000"/>
          <w:lang w:eastAsia="en-GB"/>
        </w:rPr>
        <w:t xml:space="preserve">la jurisprudencia previa </w:t>
      </w:r>
      <w:r w:rsidR="00FB0871" w:rsidRPr="00CA06A2">
        <w:rPr>
          <w:color w:val="000000"/>
          <w:lang w:eastAsia="en-GB"/>
        </w:rPr>
        <w:t>sobre el agotami</w:t>
      </w:r>
      <w:r w:rsidR="00FB0871">
        <w:rPr>
          <w:color w:val="000000"/>
          <w:lang w:eastAsia="en-GB"/>
        </w:rPr>
        <w:t xml:space="preserve">ento de recursos judiciales del propio </w:t>
      </w:r>
      <w:r w:rsidR="00A03415">
        <w:rPr>
          <w:color w:val="000000"/>
          <w:lang w:eastAsia="en-GB"/>
        </w:rPr>
        <w:t>T</w:t>
      </w:r>
      <w:r w:rsidR="00FB0871">
        <w:rPr>
          <w:color w:val="000000"/>
          <w:lang w:eastAsia="en-GB"/>
        </w:rPr>
        <w:t>ribunal</w:t>
      </w:r>
      <w:r w:rsidR="00FB0871" w:rsidRPr="00CA06A2">
        <w:rPr>
          <w:color w:val="000000"/>
          <w:lang w:eastAsia="en-GB"/>
        </w:rPr>
        <w:t xml:space="preserve">, </w:t>
      </w:r>
      <w:r w:rsidR="00FB0871">
        <w:rPr>
          <w:color w:val="000000"/>
          <w:lang w:eastAsia="en-GB"/>
        </w:rPr>
        <w:t>de acuerdo con su sentencia de 19 de diciembre de 2013</w:t>
      </w:r>
      <w:r w:rsidR="00FB0871" w:rsidRPr="00CA06A2">
        <w:rPr>
          <w:color w:val="000000"/>
          <w:lang w:eastAsia="en-GB"/>
        </w:rPr>
        <w:t>.</w:t>
      </w:r>
    </w:p>
    <w:p w14:paraId="23918702" w14:textId="5A170379" w:rsidR="00FB0871" w:rsidRPr="00CA06A2" w:rsidRDefault="00FB65AD">
      <w:pPr>
        <w:pStyle w:val="SingleTxtG"/>
        <w:rPr>
          <w:color w:val="000000"/>
          <w:lang w:eastAsia="en-GB"/>
        </w:rPr>
      </w:pPr>
      <w:r>
        <w:rPr>
          <w:color w:val="000000"/>
          <w:lang w:eastAsia="en-GB"/>
        </w:rPr>
        <w:t>2.10</w:t>
      </w:r>
      <w:r>
        <w:rPr>
          <w:color w:val="000000"/>
          <w:lang w:eastAsia="en-GB"/>
        </w:rPr>
        <w:tab/>
      </w:r>
      <w:r w:rsidR="00FB0871" w:rsidRPr="00CA06A2">
        <w:rPr>
          <w:color w:val="000000"/>
          <w:lang w:eastAsia="en-GB"/>
        </w:rPr>
        <w:t>El 26 de marzo de 2014, el</w:t>
      </w:r>
      <w:r w:rsidR="00FB0871">
        <w:rPr>
          <w:color w:val="000000"/>
          <w:lang w:eastAsia="en-GB"/>
        </w:rPr>
        <w:t xml:space="preserve"> autor</w:t>
      </w:r>
      <w:r w:rsidR="00FB0871" w:rsidRPr="00CA06A2">
        <w:rPr>
          <w:color w:val="000000"/>
          <w:lang w:eastAsia="en-GB"/>
        </w:rPr>
        <w:t xml:space="preserve"> presentó una </w:t>
      </w:r>
      <w:r w:rsidR="00FB0871">
        <w:rPr>
          <w:color w:val="000000"/>
          <w:lang w:eastAsia="en-GB"/>
        </w:rPr>
        <w:t>demanda</w:t>
      </w:r>
      <w:r w:rsidR="00FB0871" w:rsidRPr="00CA06A2">
        <w:rPr>
          <w:color w:val="000000"/>
          <w:lang w:eastAsia="en-GB"/>
        </w:rPr>
        <w:t xml:space="preserve"> ante el Tribunal Europ</w:t>
      </w:r>
      <w:r w:rsidR="00FB0871">
        <w:rPr>
          <w:color w:val="000000"/>
          <w:lang w:eastAsia="en-GB"/>
        </w:rPr>
        <w:t xml:space="preserve">eo de </w:t>
      </w:r>
      <w:r w:rsidR="00FB0871" w:rsidRPr="0024457B">
        <w:rPr>
          <w:iCs/>
          <w:color w:val="000000"/>
          <w:lang w:eastAsia="en-GB"/>
        </w:rPr>
        <w:t>Derechos</w:t>
      </w:r>
      <w:r w:rsidR="00FB0871">
        <w:rPr>
          <w:color w:val="000000"/>
          <w:lang w:eastAsia="en-GB"/>
        </w:rPr>
        <w:t xml:space="preserve"> Humanos </w:t>
      </w:r>
      <w:r w:rsidR="00FB0871" w:rsidRPr="0024457B">
        <w:rPr>
          <w:color w:val="000000"/>
          <w:lang w:eastAsia="en-GB"/>
        </w:rPr>
        <w:t>denunciando</w:t>
      </w:r>
      <w:r w:rsidR="00FB0871">
        <w:rPr>
          <w:color w:val="000000"/>
          <w:lang w:eastAsia="en-GB"/>
        </w:rPr>
        <w:t xml:space="preserve"> </w:t>
      </w:r>
      <w:r w:rsidR="00FB0871" w:rsidRPr="00CA06A2">
        <w:rPr>
          <w:color w:val="000000"/>
          <w:lang w:eastAsia="en-GB"/>
        </w:rPr>
        <w:t>una violación de sus derechos en virtud del artículo 6</w:t>
      </w:r>
      <w:r w:rsidR="00A03415">
        <w:rPr>
          <w:color w:val="000000"/>
          <w:lang w:eastAsia="en-GB"/>
        </w:rPr>
        <w:t xml:space="preserve">, párrafo </w:t>
      </w:r>
      <w:r w:rsidR="00FB0871" w:rsidRPr="00CA06A2">
        <w:rPr>
          <w:color w:val="000000"/>
          <w:lang w:eastAsia="en-GB"/>
        </w:rPr>
        <w:t>1</w:t>
      </w:r>
      <w:r w:rsidR="00A03415">
        <w:rPr>
          <w:color w:val="000000"/>
          <w:lang w:eastAsia="en-GB"/>
        </w:rPr>
        <w:t>,</w:t>
      </w:r>
      <w:r w:rsidR="00FB0871" w:rsidRPr="00CA06A2">
        <w:rPr>
          <w:color w:val="000000"/>
          <w:lang w:eastAsia="en-GB"/>
        </w:rPr>
        <w:t xml:space="preserve"> del </w:t>
      </w:r>
      <w:r w:rsidR="00EE1A32">
        <w:rPr>
          <w:color w:val="000000"/>
          <w:lang w:eastAsia="en-GB"/>
        </w:rPr>
        <w:t>C</w:t>
      </w:r>
      <w:r w:rsidR="00EE1A32" w:rsidRPr="0024457B">
        <w:rPr>
          <w:color w:val="000000"/>
          <w:lang w:eastAsia="en-GB"/>
        </w:rPr>
        <w:t>onvenio para la Protección de los Derechos Humanos y de las Libertades Fundamentales (</w:t>
      </w:r>
      <w:r w:rsidR="00FB0871" w:rsidRPr="00CA06A2">
        <w:rPr>
          <w:color w:val="000000"/>
          <w:lang w:eastAsia="en-GB"/>
        </w:rPr>
        <w:t>Convenio Europeo de Derechos Humanos</w:t>
      </w:r>
      <w:r w:rsidR="00EE1A32">
        <w:rPr>
          <w:color w:val="000000"/>
          <w:lang w:eastAsia="en-GB"/>
        </w:rPr>
        <w:t>)</w:t>
      </w:r>
      <w:r w:rsidR="00FB0871">
        <w:rPr>
          <w:color w:val="000000"/>
          <w:lang w:eastAsia="en-GB"/>
        </w:rPr>
        <w:t xml:space="preserve"> </w:t>
      </w:r>
      <w:r w:rsidR="00FB0871" w:rsidRPr="00CA06A2">
        <w:rPr>
          <w:color w:val="000000"/>
          <w:lang w:eastAsia="en-GB"/>
        </w:rPr>
        <w:t>(derecho a un juicio justo).</w:t>
      </w:r>
    </w:p>
    <w:p w14:paraId="20F5249B" w14:textId="05D443D4" w:rsidR="00FB0871" w:rsidRPr="00A17C0E" w:rsidRDefault="00FB65AD">
      <w:pPr>
        <w:pStyle w:val="SingleTxtG"/>
        <w:rPr>
          <w:color w:val="000000"/>
          <w:lang w:eastAsia="en-GB"/>
        </w:rPr>
      </w:pPr>
      <w:r>
        <w:rPr>
          <w:color w:val="000000"/>
          <w:lang w:eastAsia="en-GB"/>
        </w:rPr>
        <w:t>2.11</w:t>
      </w:r>
      <w:r>
        <w:rPr>
          <w:color w:val="000000"/>
          <w:lang w:eastAsia="en-GB"/>
        </w:rPr>
        <w:tab/>
      </w:r>
      <w:r w:rsidR="00FB0871" w:rsidRPr="00CA06A2">
        <w:rPr>
          <w:color w:val="000000"/>
          <w:lang w:eastAsia="en-GB"/>
        </w:rPr>
        <w:t>Posteriormente, los autores y la</w:t>
      </w:r>
      <w:r w:rsidR="00FB0871">
        <w:rPr>
          <w:color w:val="000000"/>
          <w:lang w:eastAsia="en-GB"/>
        </w:rPr>
        <w:t xml:space="preserve"> </w:t>
      </w:r>
      <w:r w:rsidR="00FB0871" w:rsidRPr="00CA06A2">
        <w:rPr>
          <w:color w:val="000000"/>
          <w:lang w:eastAsia="en-GB"/>
        </w:rPr>
        <w:t>empresa</w:t>
      </w:r>
      <w:r w:rsidR="00FB0871">
        <w:rPr>
          <w:color w:val="000000"/>
          <w:lang w:eastAsia="en-GB"/>
        </w:rPr>
        <w:t xml:space="preserve"> demandante </w:t>
      </w:r>
      <w:r w:rsidR="00FB0871" w:rsidRPr="00CA06A2">
        <w:rPr>
          <w:color w:val="000000"/>
          <w:lang w:eastAsia="en-GB"/>
        </w:rPr>
        <w:t xml:space="preserve">presentaron </w:t>
      </w:r>
      <w:r w:rsidR="00FB0871">
        <w:rPr>
          <w:color w:val="000000"/>
          <w:lang w:eastAsia="en-GB"/>
        </w:rPr>
        <w:t xml:space="preserve">demandas ante el Juzgado </w:t>
      </w:r>
      <w:r w:rsidR="0016010D">
        <w:rPr>
          <w:color w:val="000000"/>
          <w:lang w:eastAsia="en-GB"/>
        </w:rPr>
        <w:t>núm.</w:t>
      </w:r>
      <w:r w:rsidR="00FB0871">
        <w:rPr>
          <w:color w:val="000000"/>
          <w:lang w:eastAsia="en-GB"/>
        </w:rPr>
        <w:t xml:space="preserve"> 18</w:t>
      </w:r>
      <w:r w:rsidR="00FB0871" w:rsidRPr="00CA06A2">
        <w:rPr>
          <w:color w:val="000000"/>
          <w:lang w:eastAsia="en-GB"/>
        </w:rPr>
        <w:t>.</w:t>
      </w:r>
      <w:r w:rsidR="00FB0871">
        <w:rPr>
          <w:color w:val="000000"/>
          <w:lang w:eastAsia="en-GB"/>
        </w:rPr>
        <w:t xml:space="preserve"> El 16 de febrero de 2015</w:t>
      </w:r>
      <w:r w:rsidR="00FB0871" w:rsidRPr="00CA06A2">
        <w:rPr>
          <w:color w:val="000000"/>
          <w:lang w:eastAsia="en-GB"/>
        </w:rPr>
        <w:t xml:space="preserve">, el Juzgado </w:t>
      </w:r>
      <w:r w:rsidR="0016010D">
        <w:rPr>
          <w:color w:val="000000"/>
          <w:lang w:eastAsia="en-GB"/>
        </w:rPr>
        <w:t>núm.</w:t>
      </w:r>
      <w:r w:rsidR="00FB0871" w:rsidRPr="00CA06A2">
        <w:rPr>
          <w:color w:val="000000"/>
          <w:lang w:eastAsia="en-GB"/>
        </w:rPr>
        <w:t xml:space="preserve"> 18 ordenó continuar con la ejecución de su decisión de 6 de marzo de 2014</w:t>
      </w:r>
      <w:r w:rsidR="00FB0871" w:rsidRPr="00A17C0E">
        <w:rPr>
          <w:color w:val="000000"/>
          <w:lang w:eastAsia="en-GB"/>
        </w:rPr>
        <w:t>.</w:t>
      </w:r>
    </w:p>
    <w:p w14:paraId="778A0FB8" w14:textId="62796A0F" w:rsidR="00FB0871" w:rsidRPr="00A17C0E" w:rsidRDefault="00FB65AD">
      <w:pPr>
        <w:pStyle w:val="SingleTxtG"/>
        <w:rPr>
          <w:color w:val="000000"/>
          <w:lang w:eastAsia="en-GB"/>
        </w:rPr>
      </w:pPr>
      <w:r>
        <w:rPr>
          <w:color w:val="000000"/>
          <w:lang w:eastAsia="en-GB"/>
        </w:rPr>
        <w:t>2.12</w:t>
      </w:r>
      <w:r>
        <w:rPr>
          <w:color w:val="000000"/>
          <w:lang w:eastAsia="en-GB"/>
        </w:rPr>
        <w:tab/>
      </w:r>
      <w:r w:rsidR="00FB0871" w:rsidRPr="00A17C0E">
        <w:rPr>
          <w:color w:val="000000"/>
          <w:lang w:eastAsia="en-GB"/>
        </w:rPr>
        <w:t xml:space="preserve">El 2 de abril de 2015, el </w:t>
      </w:r>
      <w:r w:rsidR="0016010D">
        <w:rPr>
          <w:color w:val="000000"/>
          <w:lang w:eastAsia="en-GB"/>
        </w:rPr>
        <w:t xml:space="preserve">Tribunal Europeo de Derechos Humanos </w:t>
      </w:r>
      <w:r w:rsidR="00FB0871" w:rsidRPr="00A17C0E">
        <w:rPr>
          <w:color w:val="000000"/>
          <w:lang w:eastAsia="en-GB"/>
        </w:rPr>
        <w:t>declaró que la solicitud era inadmisible ya que</w:t>
      </w:r>
      <w:r w:rsidR="00FB0871">
        <w:rPr>
          <w:color w:val="000000"/>
          <w:lang w:eastAsia="en-GB"/>
        </w:rPr>
        <w:t xml:space="preserve"> </w:t>
      </w:r>
      <w:r w:rsidR="00FB0871" w:rsidRPr="00A17C0E">
        <w:rPr>
          <w:color w:val="000000"/>
          <w:lang w:eastAsia="en-GB"/>
        </w:rPr>
        <w:t xml:space="preserve">no cumplía con los requisitos </w:t>
      </w:r>
      <w:r w:rsidR="00FB0871" w:rsidRPr="00FB65AD">
        <w:rPr>
          <w:lang w:eastAsia="en-GB"/>
        </w:rPr>
        <w:t>establecidos</w:t>
      </w:r>
      <w:r w:rsidR="00FB0871" w:rsidRPr="00A17C0E">
        <w:rPr>
          <w:color w:val="000000"/>
          <w:lang w:eastAsia="en-GB"/>
        </w:rPr>
        <w:t xml:space="preserve"> en los artículos 34 y 35 </w:t>
      </w:r>
      <w:r w:rsidR="0016010D">
        <w:rPr>
          <w:color w:val="000000"/>
          <w:lang w:eastAsia="en-GB"/>
        </w:rPr>
        <w:t xml:space="preserve">del Convenio </w:t>
      </w:r>
      <w:r w:rsidR="00FB0871" w:rsidRPr="00A17C0E">
        <w:rPr>
          <w:color w:val="000000"/>
          <w:lang w:eastAsia="en-GB"/>
        </w:rPr>
        <w:t>Europe</w:t>
      </w:r>
      <w:r w:rsidR="0016010D">
        <w:rPr>
          <w:color w:val="000000"/>
          <w:lang w:eastAsia="en-GB"/>
        </w:rPr>
        <w:t>o</w:t>
      </w:r>
      <w:r w:rsidR="00FB0871" w:rsidRPr="00A17C0E">
        <w:rPr>
          <w:color w:val="000000"/>
          <w:lang w:eastAsia="en-GB"/>
        </w:rPr>
        <w:t xml:space="preserve"> de Derechos Humanos.</w:t>
      </w:r>
    </w:p>
    <w:p w14:paraId="0689F5A4" w14:textId="3AE294E5" w:rsidR="00FB0871" w:rsidRPr="00A17C0E" w:rsidRDefault="00FB65AD">
      <w:pPr>
        <w:pStyle w:val="SingleTxtG"/>
        <w:rPr>
          <w:color w:val="000000"/>
          <w:lang w:eastAsia="en-GB"/>
        </w:rPr>
      </w:pPr>
      <w:r>
        <w:rPr>
          <w:color w:val="000000"/>
          <w:lang w:eastAsia="en-GB"/>
        </w:rPr>
        <w:t>2.13</w:t>
      </w:r>
      <w:r>
        <w:rPr>
          <w:color w:val="000000"/>
          <w:lang w:eastAsia="en-GB"/>
        </w:rPr>
        <w:tab/>
      </w:r>
      <w:r w:rsidR="00FB0871" w:rsidRPr="00A17C0E">
        <w:rPr>
          <w:color w:val="000000"/>
          <w:lang w:eastAsia="en-GB"/>
        </w:rPr>
        <w:t xml:space="preserve">El 15 de septiembre de 2015, la Audiencia Provincial de Málaga desestimó el recurso de apelación de la autora. A solicitud del </w:t>
      </w:r>
      <w:r w:rsidR="00C601E2">
        <w:rPr>
          <w:color w:val="000000"/>
          <w:lang w:eastAsia="en-GB"/>
        </w:rPr>
        <w:t xml:space="preserve">Juzgado núm. </w:t>
      </w:r>
      <w:r w:rsidR="00FB0871" w:rsidRPr="00A17C0E">
        <w:rPr>
          <w:color w:val="000000"/>
          <w:lang w:eastAsia="en-GB"/>
        </w:rPr>
        <w:t>18, el 28 de octubre de 2015, la</w:t>
      </w:r>
      <w:r w:rsidR="00FB0871">
        <w:rPr>
          <w:color w:val="000000"/>
          <w:lang w:eastAsia="en-GB"/>
        </w:rPr>
        <w:t xml:space="preserve"> </w:t>
      </w:r>
      <w:r w:rsidR="00FB0871" w:rsidRPr="00A17C0E">
        <w:rPr>
          <w:color w:val="000000"/>
          <w:lang w:eastAsia="en-GB"/>
        </w:rPr>
        <w:t>compañía</w:t>
      </w:r>
      <w:r w:rsidR="00FB0871">
        <w:rPr>
          <w:color w:val="000000"/>
          <w:lang w:eastAsia="en-GB"/>
        </w:rPr>
        <w:t xml:space="preserve"> </w:t>
      </w:r>
      <w:r w:rsidR="00FB0871" w:rsidRPr="00A17C0E">
        <w:rPr>
          <w:color w:val="000000"/>
          <w:lang w:eastAsia="en-GB"/>
        </w:rPr>
        <w:t xml:space="preserve">proporcionó la </w:t>
      </w:r>
      <w:r w:rsidR="00FB0871" w:rsidRPr="00FB65AD">
        <w:rPr>
          <w:lang w:eastAsia="en-GB"/>
        </w:rPr>
        <w:t>documentación</w:t>
      </w:r>
      <w:r w:rsidR="00FB0871" w:rsidRPr="00A17C0E">
        <w:rPr>
          <w:color w:val="000000"/>
          <w:lang w:eastAsia="en-GB"/>
        </w:rPr>
        <w:t xml:space="preserve"> relativa a los registros</w:t>
      </w:r>
      <w:r w:rsidR="00FB0871">
        <w:rPr>
          <w:color w:val="000000"/>
          <w:lang w:eastAsia="en-GB"/>
        </w:rPr>
        <w:t xml:space="preserve"> </w:t>
      </w:r>
      <w:r w:rsidR="00FB0871" w:rsidRPr="00A17C0E">
        <w:rPr>
          <w:color w:val="000000"/>
          <w:lang w:eastAsia="en-GB"/>
        </w:rPr>
        <w:t>y el precio de</w:t>
      </w:r>
      <w:r w:rsidR="00FB0871">
        <w:rPr>
          <w:color w:val="000000"/>
          <w:lang w:eastAsia="en-GB"/>
        </w:rPr>
        <w:t xml:space="preserve"> </w:t>
      </w:r>
      <w:r w:rsidR="00FB0871" w:rsidRPr="00A17C0E">
        <w:rPr>
          <w:color w:val="000000"/>
          <w:lang w:eastAsia="en-GB"/>
        </w:rPr>
        <w:t>la propiedad</w:t>
      </w:r>
      <w:r w:rsidR="00FB0871">
        <w:rPr>
          <w:color w:val="000000"/>
          <w:lang w:eastAsia="en-GB"/>
        </w:rPr>
        <w:t xml:space="preserve"> </w:t>
      </w:r>
      <w:r w:rsidR="00FB0871" w:rsidRPr="00A17C0E">
        <w:rPr>
          <w:color w:val="000000"/>
          <w:lang w:eastAsia="en-GB"/>
        </w:rPr>
        <w:t xml:space="preserve">y solicitó al </w:t>
      </w:r>
      <w:r w:rsidR="00C601E2">
        <w:rPr>
          <w:color w:val="000000"/>
          <w:lang w:eastAsia="en-GB"/>
        </w:rPr>
        <w:t>t</w:t>
      </w:r>
      <w:r w:rsidR="00FB0871" w:rsidRPr="00A17C0E">
        <w:rPr>
          <w:color w:val="000000"/>
          <w:lang w:eastAsia="en-GB"/>
        </w:rPr>
        <w:t>ribunal que fijara fecha para la subasta.</w:t>
      </w:r>
      <w:r w:rsidR="00FB0871">
        <w:rPr>
          <w:color w:val="000000"/>
          <w:lang w:eastAsia="en-GB"/>
        </w:rPr>
        <w:t xml:space="preserve"> </w:t>
      </w:r>
      <w:r w:rsidR="00FB0871" w:rsidRPr="00A17C0E">
        <w:rPr>
          <w:color w:val="000000"/>
          <w:lang w:eastAsia="en-GB"/>
        </w:rPr>
        <w:t>Los autores sostienen que no existe recurso interno alguno para detener su desalojo forzoso y la subasta de su casa que es inminente.</w:t>
      </w:r>
    </w:p>
    <w:p w14:paraId="75A1485A" w14:textId="77777777" w:rsidR="00FB0871" w:rsidRPr="00EC58FE" w:rsidRDefault="00FB0871" w:rsidP="00FB0871">
      <w:pPr>
        <w:pStyle w:val="H23G"/>
      </w:pPr>
      <w:r w:rsidRPr="006B130A">
        <w:tab/>
      </w:r>
      <w:r w:rsidRPr="006B130A">
        <w:tab/>
      </w:r>
      <w:r w:rsidRPr="00EC58FE">
        <w:t>La denuncia</w:t>
      </w:r>
    </w:p>
    <w:p w14:paraId="4761923E" w14:textId="2176F6AD" w:rsidR="00FB0871" w:rsidRDefault="00FB65AD" w:rsidP="00FB65AD">
      <w:pPr>
        <w:pStyle w:val="SingleTxtG"/>
      </w:pPr>
      <w:r>
        <w:rPr>
          <w:color w:val="000000"/>
          <w:lang w:eastAsia="en-GB"/>
        </w:rPr>
        <w:t>3.1</w:t>
      </w:r>
      <w:r>
        <w:rPr>
          <w:color w:val="000000"/>
          <w:lang w:eastAsia="en-GB"/>
        </w:rPr>
        <w:tab/>
      </w:r>
      <w:r w:rsidR="00FB0871" w:rsidRPr="00FB65AD">
        <w:rPr>
          <w:color w:val="000000"/>
          <w:lang w:eastAsia="en-GB"/>
        </w:rPr>
        <w:t>Los autores denuncian violación de sus derechos en virtud de los artículos 2 y 11 del</w:t>
      </w:r>
      <w:r w:rsidR="00FB0871" w:rsidRPr="0068439D">
        <w:t xml:space="preserve"> Pacto. A pesar de que la </w:t>
      </w:r>
      <w:r w:rsidR="00FB0871">
        <w:t>autora, esposa del autor,</w:t>
      </w:r>
      <w:r w:rsidR="00FB0871" w:rsidRPr="0068439D">
        <w:t xml:space="preserve"> no participó en la compra de la propiedad en cuestión y de que no era parte en el </w:t>
      </w:r>
      <w:r w:rsidR="00FB0871">
        <w:t>proceso</w:t>
      </w:r>
      <w:r w:rsidR="00FB0871" w:rsidRPr="0068439D">
        <w:t xml:space="preserve"> principal en relación con la validez del contrato, s</w:t>
      </w:r>
      <w:r w:rsidR="00FB0871">
        <w:t xml:space="preserve">e le notificó que la vivienda familiar </w:t>
      </w:r>
      <w:r w:rsidR="00FB0871" w:rsidRPr="0068439D">
        <w:t xml:space="preserve">estaba sujeta a un procedimiento de ejecución </w:t>
      </w:r>
      <w:r w:rsidR="007E2647">
        <w:t>judicial</w:t>
      </w:r>
      <w:r w:rsidR="00FB0871" w:rsidRPr="0068439D">
        <w:t xml:space="preserve"> y que </w:t>
      </w:r>
      <w:r w:rsidR="00FB0871">
        <w:t xml:space="preserve">podía ser </w:t>
      </w:r>
      <w:r w:rsidR="00FB0871">
        <w:rPr>
          <w:lang w:eastAsia="en-GB"/>
        </w:rPr>
        <w:t>subastada</w:t>
      </w:r>
      <w:r w:rsidR="00FB0871" w:rsidRPr="0068439D">
        <w:t xml:space="preserve">. </w:t>
      </w:r>
      <w:r w:rsidR="00FB0871">
        <w:t xml:space="preserve">Los autores afirman que existe efectivamente un alto riesgo de que la vivienda familiar sea subastada pues </w:t>
      </w:r>
      <w:r w:rsidR="00FB0871" w:rsidRPr="0068439D">
        <w:t>el valor actual de la vivienda en disputa es mucho más bajo ahora que en el momento</w:t>
      </w:r>
      <w:r w:rsidR="00FB0871">
        <w:t xml:space="preserve"> en</w:t>
      </w:r>
      <w:r w:rsidR="00FB0871" w:rsidRPr="0068439D">
        <w:t xml:space="preserve"> el </w:t>
      </w:r>
      <w:r w:rsidR="00FB0871">
        <w:t>que el autor firmó el contrato</w:t>
      </w:r>
      <w:r w:rsidR="00FB0871" w:rsidRPr="0068439D">
        <w:t xml:space="preserve">. Además, </w:t>
      </w:r>
      <w:r w:rsidR="00FB0871">
        <w:t>el contrato incluía</w:t>
      </w:r>
      <w:r w:rsidR="00FB0871" w:rsidRPr="0068439D">
        <w:t xml:space="preserve"> cláusulas abusivas </w:t>
      </w:r>
      <w:r w:rsidR="00FB0871">
        <w:t>imponiendo un 10</w:t>
      </w:r>
      <w:r w:rsidR="007B7ED5">
        <w:t xml:space="preserve"> </w:t>
      </w:r>
      <w:r w:rsidR="00FB0871">
        <w:t>% anual de interés</w:t>
      </w:r>
      <w:r w:rsidR="00FB0871" w:rsidRPr="0068439D">
        <w:t xml:space="preserve"> </w:t>
      </w:r>
      <w:r w:rsidR="00FB0871">
        <w:t>de mora</w:t>
      </w:r>
      <w:r w:rsidR="00FB0871" w:rsidRPr="0068439D">
        <w:t>. Los autores sostienen que</w:t>
      </w:r>
      <w:r w:rsidR="00FB0871">
        <w:t>,</w:t>
      </w:r>
      <w:r w:rsidR="00FB0871" w:rsidRPr="0068439D">
        <w:t xml:space="preserve"> de acuerdo con la legislación española, una propiedad adquirida por un cónyuge se convierte en parte de la </w:t>
      </w:r>
      <w:r w:rsidR="00FB0871">
        <w:t>comunidad de bienes de los cónyuges</w:t>
      </w:r>
      <w:r w:rsidR="00FB0871" w:rsidRPr="0068439D">
        <w:t xml:space="preserve">, </w:t>
      </w:r>
      <w:r w:rsidR="00FB0871">
        <w:t>y</w:t>
      </w:r>
      <w:r w:rsidR="00FB0871" w:rsidRPr="0068439D">
        <w:t xml:space="preserve"> la carga de una propiedad </w:t>
      </w:r>
      <w:r w:rsidR="00FB0871">
        <w:t>común</w:t>
      </w:r>
      <w:r w:rsidR="00FB0871" w:rsidRPr="0068439D">
        <w:t xml:space="preserve">, como </w:t>
      </w:r>
      <w:r w:rsidR="00FB0871">
        <w:t>la deuda en virtud de una</w:t>
      </w:r>
      <w:r w:rsidR="00FB0871" w:rsidRPr="0068439D">
        <w:t xml:space="preserve"> </w:t>
      </w:r>
      <w:r w:rsidR="00FB0871">
        <w:t>compra</w:t>
      </w:r>
      <w:r w:rsidR="00FB0871" w:rsidRPr="0068439D">
        <w:t>, debe ser aceptada por los</w:t>
      </w:r>
      <w:r w:rsidR="00FB0871">
        <w:t xml:space="preserve"> dos cónyuges para que </w:t>
      </w:r>
      <w:r w:rsidR="00FB0871">
        <w:rPr>
          <w:lang w:eastAsia="en-GB"/>
        </w:rPr>
        <w:t>vincule</w:t>
      </w:r>
      <w:r w:rsidR="00FB0871">
        <w:t xml:space="preserve"> a ambos.</w:t>
      </w:r>
    </w:p>
    <w:p w14:paraId="05341D95" w14:textId="6BE20A62" w:rsidR="00FB0871" w:rsidRDefault="00FB65AD">
      <w:pPr>
        <w:pStyle w:val="SingleTxtG"/>
      </w:pPr>
      <w:r>
        <w:t>3.2</w:t>
      </w:r>
      <w:r>
        <w:tab/>
      </w:r>
      <w:r w:rsidR="00FB0871" w:rsidRPr="0068439D">
        <w:t>De ac</w:t>
      </w:r>
      <w:r w:rsidR="00FB0871">
        <w:t xml:space="preserve">uerdo con el artículo 561.3 de la Ley </w:t>
      </w:r>
      <w:r w:rsidR="00FB0871" w:rsidRPr="0068439D">
        <w:t xml:space="preserve">de </w:t>
      </w:r>
      <w:r w:rsidR="00FB0871">
        <w:t>Enjuiciamiento</w:t>
      </w:r>
      <w:r w:rsidR="00FB0871" w:rsidRPr="0068439D">
        <w:t xml:space="preserve"> Civil</w:t>
      </w:r>
      <w:r w:rsidR="00FB0871">
        <w:t>,</w:t>
      </w:r>
      <w:r w:rsidR="00FB0871" w:rsidRPr="0068439D">
        <w:t xml:space="preserve"> dentro de un </w:t>
      </w:r>
      <w:r w:rsidR="00FB0871">
        <w:t xml:space="preserve">proceso de ejecución el recurso de </w:t>
      </w:r>
      <w:r w:rsidR="00FB0871" w:rsidRPr="0068439D">
        <w:t xml:space="preserve">apelación contra la orden de subasta judicial no suspende su ejecución. Por tanto, los autores afirman que la subasta de su residencia habitual es inminente y puede realizarse en cualquier momento. </w:t>
      </w:r>
      <w:r w:rsidR="00FB0871">
        <w:t>Puesto que el procedimiento de ejecución no contempla garantías judiciales suficientes, ello constituye</w:t>
      </w:r>
      <w:r w:rsidR="00FB0871" w:rsidRPr="0068439D">
        <w:t xml:space="preserve"> una violación del artículo 11 del Pacto.</w:t>
      </w:r>
    </w:p>
    <w:p w14:paraId="3B5F946D" w14:textId="62B7AABD" w:rsidR="00FB0871" w:rsidRDefault="00FB65AD">
      <w:pPr>
        <w:pStyle w:val="SingleTxtG"/>
      </w:pPr>
      <w:r>
        <w:lastRenderedPageBreak/>
        <w:t>3.3</w:t>
      </w:r>
      <w:r>
        <w:tab/>
      </w:r>
      <w:r w:rsidR="00FB0871" w:rsidRPr="00F84C6F">
        <w:t xml:space="preserve">Los autores se refieren al artículo 2 del Pacto y </w:t>
      </w:r>
      <w:r w:rsidR="00FB0871">
        <w:t xml:space="preserve">a la </w:t>
      </w:r>
      <w:r w:rsidR="00F611BB">
        <w:t>o</w:t>
      </w:r>
      <w:r w:rsidR="00FB0871">
        <w:t xml:space="preserve">bservaciones </w:t>
      </w:r>
      <w:r w:rsidR="00F611BB">
        <w:t>g</w:t>
      </w:r>
      <w:r w:rsidR="00FB0871">
        <w:t>enerales</w:t>
      </w:r>
      <w:r w:rsidR="00FB0871" w:rsidRPr="00F84C6F">
        <w:t xml:space="preserve"> </w:t>
      </w:r>
      <w:r w:rsidR="00F611BB">
        <w:t>núms.</w:t>
      </w:r>
      <w:r w:rsidR="00FB0871" w:rsidRPr="00F84C6F">
        <w:t xml:space="preserve"> 4 y</w:t>
      </w:r>
      <w:r w:rsidR="00FB0871">
        <w:t xml:space="preserve"> 7</w:t>
      </w:r>
      <w:r w:rsidR="00FB0871" w:rsidRPr="0024457B">
        <w:rPr>
          <w:rStyle w:val="Refdenotaalpie"/>
          <w:szCs w:val="18"/>
        </w:rPr>
        <w:footnoteReference w:id="2"/>
      </w:r>
      <w:r w:rsidR="00FB0871">
        <w:t xml:space="preserve"> del Comité y</w:t>
      </w:r>
      <w:r w:rsidR="00FB0871" w:rsidRPr="00F84C6F">
        <w:t xml:space="preserve"> sostienen que </w:t>
      </w:r>
      <w:r w:rsidR="00FB0871">
        <w:t xml:space="preserve">la legislación del Estado parte debe garantizar salvaguardias contra los desalojos </w:t>
      </w:r>
      <w:r w:rsidR="00FB0871">
        <w:rPr>
          <w:lang w:eastAsia="en-GB"/>
        </w:rPr>
        <w:t>forzosos</w:t>
      </w:r>
      <w:r w:rsidR="00FB0871" w:rsidRPr="00F84C6F">
        <w:t xml:space="preserve">. En la práctica, los procedimientos de ejecución hipotecaria no respetan el principio de </w:t>
      </w:r>
      <w:r w:rsidR="00FB0871" w:rsidRPr="006362E4">
        <w:t>igualdad de armas,</w:t>
      </w:r>
      <w:r w:rsidR="00FB0871">
        <w:t xml:space="preserve"> ya que un recurso de apelación </w:t>
      </w:r>
      <w:r w:rsidR="00FB0871" w:rsidRPr="00F84C6F">
        <w:t>contra una orden que puede resultar en desalojo forzoso</w:t>
      </w:r>
      <w:r w:rsidR="00FB0871">
        <w:t xml:space="preserve"> no puede referirse a la existencia de cláusulas abusivas de los contratos de hipoteca y</w:t>
      </w:r>
      <w:r w:rsidR="00FB0871" w:rsidRPr="00F84C6F">
        <w:t xml:space="preserve"> no su</w:t>
      </w:r>
      <w:r w:rsidR="00FB0871">
        <w:t>spende su ejecución</w:t>
      </w:r>
      <w:r w:rsidR="00FB0871" w:rsidRPr="0024457B">
        <w:rPr>
          <w:rStyle w:val="Refdenotaalpie"/>
          <w:szCs w:val="18"/>
        </w:rPr>
        <w:footnoteReference w:id="3"/>
      </w:r>
      <w:r w:rsidR="00FB0871">
        <w:t>.</w:t>
      </w:r>
      <w:r w:rsidR="00FB0871" w:rsidRPr="00F84C6F">
        <w:t xml:space="preserve"> </w:t>
      </w:r>
      <w:r w:rsidR="00FB0871" w:rsidRPr="003372EB">
        <w:t>Los autores hacen notar que, aunque el Estado parte modificó la legislación pertinente sobre los procedimientos de ejecución hipotecaria en 2013, la legislación vigente no prevé una protección efectiva del derecho a la vivienda contra cláusulas abusivas de contratos de hipotecas. La disposición transitoria cuarta de la Ley 1/2013 de medidas para reforzar la protección a los deudores hipotecarios, reestructuración de deuda y alquiler social estableció que en los procesos de ejecución en curso en la fecha de entrada en vigor de la Ley (15 de mayo de 2013), las partes ejecutadas t</w:t>
      </w:r>
      <w:r w:rsidR="00274FD1">
        <w:t xml:space="preserve">endrían </w:t>
      </w:r>
      <w:r w:rsidR="00FB0871" w:rsidRPr="003372EB">
        <w:t xml:space="preserve">un plazo de un mes para presentar una solicitud extraordinaria que objetara la ejecución basada en la existencia de nuevos motivos de oposición, y que ese plazo de un mes, comenzaría a contar desde el día siguiente a la entrada en vigor de la Ley. </w:t>
      </w:r>
    </w:p>
    <w:p w14:paraId="5CCDF562" w14:textId="099510AC" w:rsidR="00FB0871" w:rsidRPr="003372EB" w:rsidRDefault="00FB65AD">
      <w:pPr>
        <w:pStyle w:val="SingleTxtG"/>
      </w:pPr>
      <w:r>
        <w:t>3.4</w:t>
      </w:r>
      <w:r>
        <w:tab/>
      </w:r>
      <w:r w:rsidR="00FB0871">
        <w:t xml:space="preserve">En el caso de los </w:t>
      </w:r>
      <w:r w:rsidR="00FB0871">
        <w:rPr>
          <w:lang w:eastAsia="en-GB"/>
        </w:rPr>
        <w:t>autores</w:t>
      </w:r>
      <w:r w:rsidR="00FB0871" w:rsidRPr="003372EB">
        <w:t xml:space="preserve">, en un primer momento tras el recurso de la autora, el Juzgado </w:t>
      </w:r>
      <w:r w:rsidR="00F50944">
        <w:t>núm</w:t>
      </w:r>
      <w:r w:rsidR="00FB0871" w:rsidRPr="003372EB">
        <w:t xml:space="preserve">. 18 de Málaga suspendió la ejecución pero, el </w:t>
      </w:r>
      <w:r w:rsidR="00FB0871" w:rsidRPr="003372EB">
        <w:rPr>
          <w:color w:val="000000"/>
          <w:lang w:eastAsia="en-GB"/>
        </w:rPr>
        <w:t xml:space="preserve">16 de febrero de 2015, </w:t>
      </w:r>
      <w:r w:rsidR="00FB0871" w:rsidRPr="003372EB">
        <w:t>tras la demanda del autor, decidió retomarla.</w:t>
      </w:r>
    </w:p>
    <w:p w14:paraId="644B9DFF" w14:textId="3009BEE7" w:rsidR="00FB0871" w:rsidRDefault="00FB65AD">
      <w:pPr>
        <w:pStyle w:val="SingleTxtG"/>
      </w:pPr>
      <w:r>
        <w:t>3.5</w:t>
      </w:r>
      <w:r>
        <w:tab/>
      </w:r>
      <w:r w:rsidR="00FB0871">
        <w:t xml:space="preserve">La autora ha sido privada de su derecho al debido proceso puesto que ni fue parte </w:t>
      </w:r>
      <w:r w:rsidR="00751B7F">
        <w:t xml:space="preserve">en </w:t>
      </w:r>
      <w:r w:rsidR="00FB0871">
        <w:t xml:space="preserve">el contrato de compraventa, ni se le citó a la firma de la escritura, ni fue parte </w:t>
      </w:r>
      <w:r w:rsidR="00751B7F">
        <w:t xml:space="preserve">en </w:t>
      </w:r>
      <w:r w:rsidR="00FB0871">
        <w:t>el proceso declarativo posterior, pero se ejecuta su vivienda, de la que podría ser desalojada. Los autores consideran que en su caso los consumidores se ven obligados a pagar un precio desorbitante, más intereses y costas a la empresa promotora, lo que conllevaría la pérdida de las dos viviendas de los autores.</w:t>
      </w:r>
    </w:p>
    <w:p w14:paraId="43F920F8" w14:textId="77777777" w:rsidR="00FB0871" w:rsidRPr="00902F52" w:rsidRDefault="00FB0871" w:rsidP="00FB0871">
      <w:pPr>
        <w:pStyle w:val="H23G"/>
        <w:keepNext w:val="0"/>
        <w:keepLines w:val="0"/>
        <w:spacing w:line="240" w:lineRule="atLeast"/>
        <w:jc w:val="both"/>
        <w:rPr>
          <w:b w:val="0"/>
        </w:rPr>
      </w:pPr>
      <w:r w:rsidRPr="00C070DF">
        <w:tab/>
      </w:r>
      <w:r w:rsidRPr="00C070DF">
        <w:tab/>
      </w:r>
      <w:r w:rsidRPr="00902F52">
        <w:t xml:space="preserve">Observaciones del </w:t>
      </w:r>
      <w:r>
        <w:t>Estado parte</w:t>
      </w:r>
      <w:r w:rsidRPr="00902F52">
        <w:t xml:space="preserve"> sobre la admisibilidad </w:t>
      </w:r>
    </w:p>
    <w:p w14:paraId="4772A20F" w14:textId="09282AE5" w:rsidR="00FB0871" w:rsidRPr="005F285B" w:rsidRDefault="00FB65AD" w:rsidP="00FB65AD">
      <w:pPr>
        <w:pStyle w:val="SingleTxtG"/>
        <w:rPr>
          <w:rFonts w:eastAsia="SimSun"/>
          <w:b/>
          <w:lang w:eastAsia="zh-CN"/>
        </w:rPr>
      </w:pPr>
      <w:r>
        <w:rPr>
          <w:rFonts w:eastAsia="SimSun"/>
          <w:lang w:eastAsia="zh-CN"/>
        </w:rPr>
        <w:t>4.1</w:t>
      </w:r>
      <w:r>
        <w:rPr>
          <w:rFonts w:eastAsia="SimSun"/>
          <w:lang w:eastAsia="zh-CN"/>
        </w:rPr>
        <w:tab/>
      </w:r>
      <w:r w:rsidR="00FB0871" w:rsidRPr="005F285B">
        <w:rPr>
          <w:rFonts w:eastAsia="SimSun"/>
          <w:lang w:eastAsia="zh-CN"/>
        </w:rPr>
        <w:t xml:space="preserve">El 21 de enero de 2016, el </w:t>
      </w:r>
      <w:r w:rsidR="00FB0871">
        <w:rPr>
          <w:rFonts w:eastAsia="SimSun"/>
          <w:lang w:eastAsia="zh-CN"/>
        </w:rPr>
        <w:t>Estado parte</w:t>
      </w:r>
      <w:r w:rsidR="00FB0871" w:rsidRPr="005F285B">
        <w:rPr>
          <w:rFonts w:eastAsia="SimSun"/>
          <w:lang w:eastAsia="zh-CN"/>
        </w:rPr>
        <w:t xml:space="preserve"> </w:t>
      </w:r>
      <w:r w:rsidR="00FB0871">
        <w:rPr>
          <w:rFonts w:eastAsia="SimSun"/>
          <w:lang w:eastAsia="zh-CN"/>
        </w:rPr>
        <w:t xml:space="preserve">presentó sus alegaciones sobre la admisibilidad de </w:t>
      </w:r>
      <w:r w:rsidR="00FB0871" w:rsidRPr="005F285B">
        <w:rPr>
          <w:rFonts w:eastAsia="SimSun"/>
          <w:lang w:eastAsia="zh-CN"/>
        </w:rPr>
        <w:t>la comunicación.</w:t>
      </w:r>
    </w:p>
    <w:p w14:paraId="13BFFCBB" w14:textId="628F5071" w:rsidR="00FB0871" w:rsidRPr="00F050C4" w:rsidRDefault="00FB65AD">
      <w:pPr>
        <w:pStyle w:val="SingleTxtG"/>
        <w:rPr>
          <w:rFonts w:eastAsia="SimSun"/>
          <w:b/>
          <w:lang w:eastAsia="zh-CN"/>
        </w:rPr>
      </w:pPr>
      <w:r>
        <w:rPr>
          <w:rFonts w:eastAsia="SimSun"/>
          <w:lang w:eastAsia="zh-CN"/>
        </w:rPr>
        <w:t>4.2</w:t>
      </w:r>
      <w:r>
        <w:rPr>
          <w:rFonts w:eastAsia="SimSun"/>
          <w:lang w:eastAsia="zh-CN"/>
        </w:rPr>
        <w:tab/>
      </w:r>
      <w:r w:rsidR="00FB0871" w:rsidRPr="005F285B">
        <w:rPr>
          <w:rFonts w:eastAsia="SimSun"/>
          <w:lang w:eastAsia="zh-CN"/>
        </w:rPr>
        <w:t xml:space="preserve">En primer lugar, </w:t>
      </w:r>
      <w:r w:rsidR="00FB0871">
        <w:rPr>
          <w:rFonts w:eastAsia="SimSun"/>
          <w:lang w:eastAsia="zh-CN"/>
        </w:rPr>
        <w:t xml:space="preserve">el Estado parte </w:t>
      </w:r>
      <w:r w:rsidR="00FB0871" w:rsidRPr="005F285B">
        <w:rPr>
          <w:rFonts w:eastAsia="SimSun"/>
          <w:lang w:eastAsia="zh-CN"/>
        </w:rPr>
        <w:t xml:space="preserve">sostiene que la </w:t>
      </w:r>
      <w:r w:rsidR="00FB0871">
        <w:rPr>
          <w:rFonts w:eastAsia="SimSun"/>
          <w:lang w:eastAsia="zh-CN"/>
        </w:rPr>
        <w:t>violación</w:t>
      </w:r>
      <w:r w:rsidR="00FB0871" w:rsidRPr="005F285B">
        <w:rPr>
          <w:rFonts w:eastAsia="SimSun"/>
          <w:lang w:eastAsia="zh-CN"/>
        </w:rPr>
        <w:t xml:space="preserve"> del </w:t>
      </w:r>
      <w:r w:rsidR="00FB0871">
        <w:rPr>
          <w:rFonts w:eastAsia="SimSun"/>
          <w:lang w:eastAsia="zh-CN"/>
        </w:rPr>
        <w:t>a</w:t>
      </w:r>
      <w:r w:rsidR="00FB0871" w:rsidRPr="005F285B">
        <w:rPr>
          <w:rFonts w:eastAsia="SimSun"/>
          <w:lang w:eastAsia="zh-CN"/>
        </w:rPr>
        <w:t xml:space="preserve">rtículo 11 </w:t>
      </w:r>
      <w:r w:rsidR="00FB0871">
        <w:rPr>
          <w:rFonts w:eastAsia="SimSun"/>
          <w:lang w:eastAsia="zh-CN"/>
        </w:rPr>
        <w:t>s</w:t>
      </w:r>
      <w:r w:rsidR="00751B7F">
        <w:rPr>
          <w:rFonts w:eastAsia="SimSun"/>
          <w:lang w:eastAsia="zh-CN"/>
        </w:rPr>
        <w:t>o</w:t>
      </w:r>
      <w:r w:rsidR="00FB0871">
        <w:rPr>
          <w:rFonts w:eastAsia="SimSun"/>
          <w:lang w:eastAsia="zh-CN"/>
        </w:rPr>
        <w:t>lo puede alegarse respecto de</w:t>
      </w:r>
      <w:r w:rsidR="00FB0871" w:rsidRPr="005F285B">
        <w:rPr>
          <w:rFonts w:eastAsia="SimSun"/>
          <w:lang w:eastAsia="zh-CN"/>
        </w:rPr>
        <w:t xml:space="preserve"> la </w:t>
      </w:r>
      <w:r w:rsidR="00FB0871">
        <w:rPr>
          <w:rFonts w:eastAsia="SimSun"/>
          <w:lang w:eastAsia="zh-CN"/>
        </w:rPr>
        <w:t>autora</w:t>
      </w:r>
      <w:r w:rsidR="00FB0871" w:rsidRPr="005F285B">
        <w:rPr>
          <w:rFonts w:eastAsia="SimSun"/>
          <w:lang w:eastAsia="zh-CN"/>
        </w:rPr>
        <w:t xml:space="preserve">, pero no </w:t>
      </w:r>
      <w:r w:rsidR="00FB0871">
        <w:rPr>
          <w:rFonts w:eastAsia="SimSun"/>
          <w:lang w:eastAsia="zh-CN"/>
        </w:rPr>
        <w:t>del autor</w:t>
      </w:r>
      <w:r w:rsidR="00FB0871" w:rsidRPr="005F285B">
        <w:rPr>
          <w:rFonts w:eastAsia="SimSun"/>
          <w:lang w:eastAsia="zh-CN"/>
        </w:rPr>
        <w:t xml:space="preserve">, </w:t>
      </w:r>
      <w:r w:rsidR="00FB0871">
        <w:rPr>
          <w:rFonts w:eastAsia="SimSun"/>
          <w:lang w:eastAsia="zh-CN"/>
        </w:rPr>
        <w:t>pues s</w:t>
      </w:r>
      <w:r w:rsidR="00751B7F">
        <w:rPr>
          <w:rFonts w:eastAsia="SimSun"/>
          <w:lang w:eastAsia="zh-CN"/>
        </w:rPr>
        <w:t>o</w:t>
      </w:r>
      <w:r w:rsidR="00FB0871">
        <w:rPr>
          <w:rFonts w:eastAsia="SimSun"/>
          <w:lang w:eastAsia="zh-CN"/>
        </w:rPr>
        <w:t xml:space="preserve">lo ella era parte </w:t>
      </w:r>
      <w:r w:rsidR="002526CE">
        <w:rPr>
          <w:rFonts w:eastAsia="SimSun"/>
          <w:lang w:eastAsia="zh-CN"/>
        </w:rPr>
        <w:t xml:space="preserve">en </w:t>
      </w:r>
      <w:r w:rsidR="00FB0871">
        <w:rPr>
          <w:rFonts w:eastAsia="SimSun"/>
          <w:lang w:eastAsia="zh-CN"/>
        </w:rPr>
        <w:t>el recurso</w:t>
      </w:r>
      <w:r w:rsidR="00FB0871" w:rsidRPr="005F285B">
        <w:rPr>
          <w:rFonts w:eastAsia="SimSun"/>
          <w:lang w:eastAsia="zh-CN"/>
        </w:rPr>
        <w:t xml:space="preserve"> a la orden del Juzgado </w:t>
      </w:r>
      <w:r w:rsidR="00751B7F">
        <w:rPr>
          <w:rFonts w:eastAsia="SimSun"/>
          <w:lang w:eastAsia="zh-CN"/>
        </w:rPr>
        <w:t>núm.</w:t>
      </w:r>
      <w:r w:rsidR="00FB0871" w:rsidRPr="005F285B">
        <w:rPr>
          <w:rFonts w:eastAsia="SimSun"/>
          <w:lang w:eastAsia="zh-CN"/>
        </w:rPr>
        <w:t xml:space="preserve"> 18 en relación con la subasta de la p</w:t>
      </w:r>
      <w:r w:rsidR="00FB0871">
        <w:rPr>
          <w:rFonts w:eastAsia="SimSun"/>
          <w:lang w:eastAsia="zh-CN"/>
        </w:rPr>
        <w:t xml:space="preserve">ropiedad conjunta de la pareja que fue desestimado el </w:t>
      </w:r>
      <w:r w:rsidR="00FB0871" w:rsidRPr="005F285B">
        <w:rPr>
          <w:rFonts w:eastAsia="SimSun"/>
          <w:lang w:eastAsia="zh-CN"/>
        </w:rPr>
        <w:t xml:space="preserve">6 de marzo de 2014. Además, en su oposición, la </w:t>
      </w:r>
      <w:r w:rsidR="00FB0871">
        <w:rPr>
          <w:rFonts w:eastAsia="SimSun"/>
          <w:lang w:eastAsia="zh-CN"/>
        </w:rPr>
        <w:t xml:space="preserve">autora está criticando un régimen económico matrimonial de gananciales </w:t>
      </w:r>
      <w:r w:rsidR="00FB0871" w:rsidRPr="005F285B">
        <w:rPr>
          <w:rFonts w:eastAsia="SimSun"/>
          <w:lang w:eastAsia="zh-CN"/>
        </w:rPr>
        <w:t>en el que ella entró voluntariamente y que no es obligatori</w:t>
      </w:r>
      <w:r w:rsidR="00FB0871">
        <w:rPr>
          <w:rFonts w:eastAsia="SimSun"/>
          <w:lang w:eastAsia="zh-CN"/>
        </w:rPr>
        <w:t>o en la legislación española</w:t>
      </w:r>
      <w:r w:rsidR="00FB0871" w:rsidRPr="005F285B">
        <w:rPr>
          <w:rFonts w:eastAsia="SimSun"/>
          <w:lang w:eastAsia="zh-CN"/>
        </w:rPr>
        <w:t>.</w:t>
      </w:r>
    </w:p>
    <w:p w14:paraId="474F5F42" w14:textId="56E86C98" w:rsidR="00FB0871" w:rsidRPr="00180537" w:rsidRDefault="00FB65AD">
      <w:pPr>
        <w:pStyle w:val="SingleTxtG"/>
        <w:rPr>
          <w:rFonts w:eastAsia="SimSun"/>
          <w:b/>
          <w:lang w:eastAsia="zh-CN"/>
        </w:rPr>
      </w:pPr>
      <w:r>
        <w:rPr>
          <w:rFonts w:eastAsia="SimSun"/>
          <w:lang w:eastAsia="zh-CN"/>
        </w:rPr>
        <w:t>4.3</w:t>
      </w:r>
      <w:r>
        <w:rPr>
          <w:rFonts w:eastAsia="SimSun"/>
          <w:lang w:eastAsia="zh-CN"/>
        </w:rPr>
        <w:tab/>
      </w:r>
      <w:r w:rsidR="00FB0871" w:rsidRPr="005F285B">
        <w:rPr>
          <w:rFonts w:eastAsia="SimSun"/>
          <w:lang w:eastAsia="zh-CN"/>
        </w:rPr>
        <w:t xml:space="preserve">El </w:t>
      </w:r>
      <w:r w:rsidR="00FB0871">
        <w:rPr>
          <w:rFonts w:eastAsia="SimSun"/>
          <w:lang w:eastAsia="zh-CN"/>
        </w:rPr>
        <w:t>Estado parte</w:t>
      </w:r>
      <w:r w:rsidR="00FB0871" w:rsidRPr="005F285B">
        <w:rPr>
          <w:rFonts w:eastAsia="SimSun"/>
          <w:lang w:eastAsia="zh-CN"/>
        </w:rPr>
        <w:t xml:space="preserve"> </w:t>
      </w:r>
      <w:r w:rsidR="00FB0871">
        <w:rPr>
          <w:rFonts w:eastAsia="SimSun"/>
          <w:lang w:eastAsia="zh-CN"/>
        </w:rPr>
        <w:t>considera</w:t>
      </w:r>
      <w:r w:rsidR="00FB0871" w:rsidRPr="005F285B">
        <w:rPr>
          <w:rFonts w:eastAsia="SimSun"/>
          <w:lang w:eastAsia="zh-CN"/>
        </w:rPr>
        <w:t xml:space="preserve"> que </w:t>
      </w:r>
      <w:r w:rsidR="00FB0871">
        <w:rPr>
          <w:rFonts w:eastAsia="SimSun"/>
          <w:lang w:eastAsia="zh-CN"/>
        </w:rPr>
        <w:t>la comunicación constituye un abuso</w:t>
      </w:r>
      <w:r w:rsidR="00FB0871" w:rsidRPr="005F285B">
        <w:rPr>
          <w:rFonts w:eastAsia="SimSun"/>
          <w:lang w:eastAsia="zh-CN"/>
        </w:rPr>
        <w:t xml:space="preserve"> del derecho a presentar una comunicación, </w:t>
      </w:r>
      <w:r w:rsidR="00FB0871">
        <w:rPr>
          <w:rFonts w:eastAsia="SimSun"/>
          <w:lang w:eastAsia="zh-CN"/>
        </w:rPr>
        <w:t>en violación</w:t>
      </w:r>
      <w:r w:rsidR="00FB0871" w:rsidRPr="005F285B">
        <w:rPr>
          <w:rFonts w:eastAsia="SimSun"/>
          <w:lang w:eastAsia="zh-CN"/>
        </w:rPr>
        <w:t xml:space="preserve"> </w:t>
      </w:r>
      <w:r w:rsidR="00FB0871">
        <w:rPr>
          <w:rFonts w:eastAsia="SimSun"/>
          <w:lang w:eastAsia="zh-CN"/>
        </w:rPr>
        <w:t>d</w:t>
      </w:r>
      <w:r w:rsidR="00FB0871" w:rsidRPr="005F285B">
        <w:rPr>
          <w:rFonts w:eastAsia="SimSun"/>
          <w:lang w:eastAsia="zh-CN"/>
        </w:rPr>
        <w:t>el artículo 3</w:t>
      </w:r>
      <w:r w:rsidR="00751B7F">
        <w:rPr>
          <w:rFonts w:eastAsia="SimSun"/>
          <w:lang w:eastAsia="zh-CN"/>
        </w:rPr>
        <w:t>, párrafo</w:t>
      </w:r>
      <w:r w:rsidR="00FB0871" w:rsidRPr="005F285B">
        <w:rPr>
          <w:rFonts w:eastAsia="SimSun"/>
          <w:lang w:eastAsia="zh-CN"/>
        </w:rPr>
        <w:t xml:space="preserve"> 2</w:t>
      </w:r>
      <w:r w:rsidR="00751B7F">
        <w:rPr>
          <w:rFonts w:eastAsia="SimSun"/>
          <w:lang w:eastAsia="zh-CN"/>
        </w:rPr>
        <w:t xml:space="preserve">, apartado </w:t>
      </w:r>
      <w:r w:rsidR="00FB0871" w:rsidRPr="005F285B">
        <w:rPr>
          <w:rFonts w:eastAsia="SimSun"/>
          <w:lang w:eastAsia="zh-CN"/>
        </w:rPr>
        <w:t>f)</w:t>
      </w:r>
      <w:r w:rsidR="002526CE">
        <w:rPr>
          <w:rFonts w:eastAsia="SimSun"/>
          <w:lang w:eastAsia="zh-CN"/>
        </w:rPr>
        <w:t>,</w:t>
      </w:r>
      <w:r w:rsidR="00FB0871" w:rsidRPr="005F285B">
        <w:rPr>
          <w:rFonts w:eastAsia="SimSun"/>
          <w:lang w:eastAsia="zh-CN"/>
        </w:rPr>
        <w:t xml:space="preserve"> del Protocolo Facultativo. Señala que las propiedades </w:t>
      </w:r>
      <w:r w:rsidR="00FB0871">
        <w:rPr>
          <w:rFonts w:eastAsia="SimSun"/>
          <w:lang w:eastAsia="zh-CN"/>
        </w:rPr>
        <w:t>comunes embargadas</w:t>
      </w:r>
      <w:r w:rsidR="00FB0871" w:rsidRPr="005F285B">
        <w:rPr>
          <w:rFonts w:eastAsia="SimSun"/>
          <w:lang w:eastAsia="zh-CN"/>
        </w:rPr>
        <w:t xml:space="preserve"> son dos viviendas registradas como </w:t>
      </w:r>
      <w:r w:rsidR="00751B7F">
        <w:rPr>
          <w:rFonts w:eastAsia="SimSun"/>
          <w:lang w:eastAsia="zh-CN"/>
        </w:rPr>
        <w:t>núms</w:t>
      </w:r>
      <w:r w:rsidR="00FB0871" w:rsidRPr="005F285B">
        <w:rPr>
          <w:rFonts w:eastAsia="SimSun"/>
          <w:lang w:eastAsia="zh-CN"/>
        </w:rPr>
        <w:t xml:space="preserve">. 5489 y 3700/B en el Registro de la Propiedad de Málaga. Sin embargo, el documento del </w:t>
      </w:r>
      <w:r w:rsidR="00FB0871">
        <w:rPr>
          <w:rFonts w:eastAsia="SimSun"/>
          <w:lang w:eastAsia="zh-CN"/>
        </w:rPr>
        <w:t>padrón</w:t>
      </w:r>
      <w:r w:rsidR="00FB0871" w:rsidRPr="005F285B">
        <w:rPr>
          <w:rFonts w:eastAsia="SimSun"/>
          <w:lang w:eastAsia="zh-CN"/>
        </w:rPr>
        <w:t xml:space="preserve"> m</w:t>
      </w:r>
      <w:r w:rsidR="00FB0871">
        <w:rPr>
          <w:rFonts w:eastAsia="SimSun"/>
          <w:lang w:eastAsia="zh-CN"/>
        </w:rPr>
        <w:t>unicipal de Málaga proporcionado</w:t>
      </w:r>
      <w:r w:rsidR="00FB0871" w:rsidRPr="005F285B">
        <w:rPr>
          <w:rFonts w:eastAsia="SimSun"/>
          <w:lang w:eastAsia="zh-CN"/>
        </w:rPr>
        <w:t xml:space="preserve"> por los autores indica </w:t>
      </w:r>
      <w:r w:rsidR="00FB0871">
        <w:rPr>
          <w:rFonts w:eastAsia="SimSun"/>
          <w:lang w:eastAsia="zh-CN"/>
        </w:rPr>
        <w:t>que residen en una dirección diferente.</w:t>
      </w:r>
    </w:p>
    <w:p w14:paraId="4B065233" w14:textId="286A4245" w:rsidR="00FB0871" w:rsidRPr="00810640" w:rsidRDefault="00FB65AD">
      <w:pPr>
        <w:pStyle w:val="SingleTxtG"/>
        <w:rPr>
          <w:rFonts w:eastAsia="SimSun"/>
          <w:b/>
          <w:lang w:eastAsia="zh-CN"/>
        </w:rPr>
      </w:pPr>
      <w:r>
        <w:rPr>
          <w:rFonts w:eastAsia="SimSun"/>
          <w:lang w:eastAsia="zh-CN"/>
        </w:rPr>
        <w:t>4.4</w:t>
      </w:r>
      <w:r>
        <w:rPr>
          <w:rFonts w:eastAsia="SimSun"/>
          <w:lang w:eastAsia="zh-CN"/>
        </w:rPr>
        <w:tab/>
      </w:r>
      <w:r w:rsidR="00FB0871" w:rsidRPr="005F285B">
        <w:rPr>
          <w:rFonts w:eastAsia="SimSun"/>
          <w:lang w:eastAsia="zh-CN"/>
        </w:rPr>
        <w:t xml:space="preserve">El </w:t>
      </w:r>
      <w:r w:rsidR="00FB0871">
        <w:rPr>
          <w:rFonts w:eastAsia="SimSun"/>
          <w:lang w:eastAsia="zh-CN"/>
        </w:rPr>
        <w:t>Estado parte</w:t>
      </w:r>
      <w:r w:rsidR="00FB0871" w:rsidRPr="005F285B">
        <w:rPr>
          <w:rFonts w:eastAsia="SimSun"/>
          <w:lang w:eastAsia="zh-CN"/>
        </w:rPr>
        <w:t xml:space="preserve"> sostiene que los autores no han agotado los recursos internos porque su comunicación se refiere a dos</w:t>
      </w:r>
      <w:r w:rsidR="00FB0871">
        <w:rPr>
          <w:rFonts w:eastAsia="SimSun"/>
          <w:lang w:eastAsia="zh-CN"/>
        </w:rPr>
        <w:t xml:space="preserve"> series de</w:t>
      </w:r>
      <w:r w:rsidR="00FB0871" w:rsidRPr="005F285B">
        <w:rPr>
          <w:rFonts w:eastAsia="SimSun"/>
          <w:lang w:eastAsia="zh-CN"/>
        </w:rPr>
        <w:t xml:space="preserve"> </w:t>
      </w:r>
      <w:r w:rsidR="00FB0871">
        <w:rPr>
          <w:rFonts w:eastAsia="SimSun"/>
          <w:lang w:eastAsia="zh-CN"/>
        </w:rPr>
        <w:t>procesos</w:t>
      </w:r>
      <w:r w:rsidR="00FB0871" w:rsidRPr="005F285B">
        <w:rPr>
          <w:rFonts w:eastAsia="SimSun"/>
          <w:lang w:eastAsia="zh-CN"/>
        </w:rPr>
        <w:t xml:space="preserve"> judiciales</w:t>
      </w:r>
      <w:r w:rsidR="00FB0871">
        <w:rPr>
          <w:rFonts w:eastAsia="SimSun"/>
          <w:lang w:eastAsia="zh-CN"/>
        </w:rPr>
        <w:t xml:space="preserve"> separados</w:t>
      </w:r>
      <w:r w:rsidR="00FB0871" w:rsidRPr="005F285B">
        <w:rPr>
          <w:rFonts w:eastAsia="SimSun"/>
          <w:lang w:eastAsia="zh-CN"/>
        </w:rPr>
        <w:t xml:space="preserve"> con diferentes partes interesadas. La primera serie de </w:t>
      </w:r>
      <w:r w:rsidR="00FB0871">
        <w:rPr>
          <w:rFonts w:eastAsia="SimSun"/>
          <w:lang w:eastAsia="zh-CN"/>
        </w:rPr>
        <w:t>procesos</w:t>
      </w:r>
      <w:r w:rsidR="00FB0871" w:rsidRPr="005F285B">
        <w:rPr>
          <w:rFonts w:eastAsia="SimSun"/>
          <w:lang w:eastAsia="zh-CN"/>
        </w:rPr>
        <w:t xml:space="preserve"> consiste en el proceso declarativo relativo al incumplimiento del contrato del </w:t>
      </w:r>
      <w:r w:rsidR="00FB0871">
        <w:rPr>
          <w:rFonts w:eastAsia="SimSun"/>
          <w:lang w:eastAsia="zh-CN"/>
        </w:rPr>
        <w:t>autor</w:t>
      </w:r>
      <w:r w:rsidR="00FB0871" w:rsidRPr="005F285B">
        <w:rPr>
          <w:rFonts w:eastAsia="SimSun"/>
          <w:lang w:eastAsia="zh-CN"/>
        </w:rPr>
        <w:t xml:space="preserve">, que concluyó con la sentencia en primera instancia que condenaba al </w:t>
      </w:r>
      <w:r w:rsidR="00FB0871">
        <w:rPr>
          <w:rFonts w:eastAsia="SimSun"/>
          <w:lang w:eastAsia="zh-CN"/>
        </w:rPr>
        <w:t>autor</w:t>
      </w:r>
      <w:r w:rsidR="00FB0871" w:rsidRPr="005F285B">
        <w:rPr>
          <w:rFonts w:eastAsia="SimSun"/>
          <w:lang w:eastAsia="zh-CN"/>
        </w:rPr>
        <w:t xml:space="preserve"> al pago de la deuda. </w:t>
      </w:r>
      <w:r w:rsidR="00FB0871">
        <w:rPr>
          <w:rFonts w:eastAsia="SimSun"/>
          <w:lang w:eastAsia="zh-CN"/>
        </w:rPr>
        <w:t>No</w:t>
      </w:r>
      <w:r w:rsidR="00FB0871" w:rsidRPr="005F285B">
        <w:rPr>
          <w:rFonts w:eastAsia="SimSun"/>
          <w:lang w:eastAsia="zh-CN"/>
        </w:rPr>
        <w:t xml:space="preserve"> se menciona</w:t>
      </w:r>
      <w:r w:rsidR="00FB0871">
        <w:rPr>
          <w:rFonts w:eastAsia="SimSun"/>
          <w:lang w:eastAsia="zh-CN"/>
        </w:rPr>
        <w:t xml:space="preserve"> a la autora</w:t>
      </w:r>
      <w:r w:rsidR="00FB0871" w:rsidRPr="005F285B">
        <w:rPr>
          <w:rFonts w:eastAsia="SimSun"/>
          <w:lang w:eastAsia="zh-CN"/>
        </w:rPr>
        <w:t xml:space="preserve"> como parte perjudicada o incluso interesada durante este proceso, ni durante las apelaciones presentadas por el </w:t>
      </w:r>
      <w:r w:rsidR="00FB0871">
        <w:rPr>
          <w:rFonts w:eastAsia="SimSun"/>
          <w:lang w:eastAsia="zh-CN"/>
        </w:rPr>
        <w:t>autor</w:t>
      </w:r>
      <w:r w:rsidR="00FB0871" w:rsidRPr="005F285B">
        <w:rPr>
          <w:rFonts w:eastAsia="SimSun"/>
          <w:lang w:eastAsia="zh-CN"/>
        </w:rPr>
        <w:t xml:space="preserve"> ante el Tribunal Constitucional y el </w:t>
      </w:r>
      <w:r w:rsidR="00FB0871">
        <w:rPr>
          <w:rFonts w:eastAsia="SimSun"/>
          <w:lang w:eastAsia="zh-CN"/>
        </w:rPr>
        <w:t xml:space="preserve">Tribunal Europeo de Derechos </w:t>
      </w:r>
      <w:r w:rsidR="00FB0871">
        <w:rPr>
          <w:rFonts w:eastAsia="SimSun"/>
          <w:lang w:eastAsia="zh-CN"/>
        </w:rPr>
        <w:lastRenderedPageBreak/>
        <w:t>Humanos</w:t>
      </w:r>
      <w:r w:rsidR="00FB0871" w:rsidRPr="005F285B">
        <w:rPr>
          <w:rFonts w:eastAsia="SimSun"/>
          <w:lang w:eastAsia="zh-CN"/>
        </w:rPr>
        <w:t xml:space="preserve">. El </w:t>
      </w:r>
      <w:r w:rsidR="00FB0871">
        <w:rPr>
          <w:rFonts w:eastAsia="SimSun"/>
          <w:lang w:eastAsia="zh-CN"/>
        </w:rPr>
        <w:t>Estado parte</w:t>
      </w:r>
      <w:r w:rsidR="00FB0871" w:rsidRPr="005F285B">
        <w:rPr>
          <w:rFonts w:eastAsia="SimSun"/>
          <w:lang w:eastAsia="zh-CN"/>
        </w:rPr>
        <w:t xml:space="preserve"> sostiene que el </w:t>
      </w:r>
      <w:r w:rsidR="00FB0871">
        <w:rPr>
          <w:rFonts w:eastAsia="SimSun"/>
          <w:lang w:eastAsia="zh-CN"/>
        </w:rPr>
        <w:t>autor s</w:t>
      </w:r>
      <w:r w:rsidR="00E95888">
        <w:rPr>
          <w:rFonts w:eastAsia="SimSun"/>
          <w:lang w:eastAsia="zh-CN"/>
        </w:rPr>
        <w:t>o</w:t>
      </w:r>
      <w:r w:rsidR="00FB0871">
        <w:rPr>
          <w:rFonts w:eastAsia="SimSun"/>
          <w:lang w:eastAsia="zh-CN"/>
        </w:rPr>
        <w:t>l</w:t>
      </w:r>
      <w:r w:rsidR="00FB0871" w:rsidRPr="005F285B">
        <w:rPr>
          <w:rFonts w:eastAsia="SimSun"/>
          <w:lang w:eastAsia="zh-CN"/>
        </w:rPr>
        <w:t>o ha agotad</w:t>
      </w:r>
      <w:r w:rsidR="00FB0871">
        <w:rPr>
          <w:rFonts w:eastAsia="SimSun"/>
          <w:lang w:eastAsia="zh-CN"/>
        </w:rPr>
        <w:t>o los recursos internos en esta serie de procesos</w:t>
      </w:r>
      <w:r w:rsidR="00FB0871" w:rsidRPr="005F285B">
        <w:rPr>
          <w:rFonts w:eastAsia="SimSun"/>
          <w:lang w:eastAsia="zh-CN"/>
        </w:rPr>
        <w:t xml:space="preserve">, que se basaron en la presunta violación de su derecho a la </w:t>
      </w:r>
      <w:r w:rsidR="00FB0871">
        <w:rPr>
          <w:rFonts w:eastAsia="SimSun"/>
          <w:lang w:eastAsia="zh-CN"/>
        </w:rPr>
        <w:t>tutela</w:t>
      </w:r>
      <w:r w:rsidR="00FB0871" w:rsidRPr="005F285B">
        <w:rPr>
          <w:rFonts w:eastAsia="SimSun"/>
          <w:lang w:eastAsia="zh-CN"/>
        </w:rPr>
        <w:t xml:space="preserve"> judicial efectiva</w:t>
      </w:r>
      <w:r w:rsidR="00FB0871">
        <w:rPr>
          <w:rFonts w:eastAsia="SimSun"/>
          <w:lang w:eastAsia="zh-CN"/>
        </w:rPr>
        <w:t>. La</w:t>
      </w:r>
      <w:r w:rsidR="00FB0871" w:rsidRPr="005F285B">
        <w:rPr>
          <w:rFonts w:eastAsia="SimSun"/>
          <w:lang w:eastAsia="zh-CN"/>
        </w:rPr>
        <w:t xml:space="preserve"> segunda serie de procedimientos se refiere a la ejecución de títulos judiciales. </w:t>
      </w:r>
      <w:r w:rsidR="00FB0871">
        <w:rPr>
          <w:rFonts w:eastAsia="SimSun"/>
          <w:lang w:eastAsia="zh-CN"/>
        </w:rPr>
        <w:t>Para el Estado parte este proceso</w:t>
      </w:r>
      <w:r w:rsidR="00FB0871" w:rsidRPr="005F285B">
        <w:rPr>
          <w:rFonts w:eastAsia="SimSun"/>
          <w:lang w:eastAsia="zh-CN"/>
        </w:rPr>
        <w:t xml:space="preserve"> está completamente separado del </w:t>
      </w:r>
      <w:r w:rsidR="00FB0871">
        <w:rPr>
          <w:rFonts w:eastAsia="SimSun"/>
          <w:lang w:eastAsia="zh-CN"/>
        </w:rPr>
        <w:t>declarativo y se inició mediante la</w:t>
      </w:r>
      <w:r w:rsidR="00FB0871" w:rsidRPr="005F285B">
        <w:rPr>
          <w:rFonts w:eastAsia="SimSun"/>
          <w:lang w:eastAsia="zh-CN"/>
        </w:rPr>
        <w:t xml:space="preserve"> demanda</w:t>
      </w:r>
      <w:r w:rsidR="00FB0871">
        <w:rPr>
          <w:rFonts w:eastAsia="SimSun"/>
          <w:lang w:eastAsia="zh-CN"/>
        </w:rPr>
        <w:t xml:space="preserve"> de la empresa acreedora</w:t>
      </w:r>
      <w:r w:rsidR="00FB0871" w:rsidRPr="00FC65A8">
        <w:rPr>
          <w:rFonts w:eastAsia="SimSun"/>
          <w:lang w:eastAsia="zh-CN"/>
        </w:rPr>
        <w:t xml:space="preserve">. Estos procesos ejecutan la sentencia previa </w:t>
      </w:r>
      <w:r w:rsidR="00FB0871">
        <w:rPr>
          <w:rFonts w:eastAsia="SimSun"/>
          <w:lang w:eastAsia="zh-CN"/>
        </w:rPr>
        <w:t>embargando dos de</w:t>
      </w:r>
      <w:r w:rsidR="00FB0871" w:rsidRPr="00FC65A8">
        <w:rPr>
          <w:rFonts w:eastAsia="SimSun"/>
          <w:lang w:eastAsia="zh-CN"/>
        </w:rPr>
        <w:t xml:space="preserve"> las propiedades comunes de los autores, que se encontraban en </w:t>
      </w:r>
      <w:r w:rsidR="00FB0871">
        <w:rPr>
          <w:rFonts w:eastAsia="SimSun"/>
          <w:lang w:eastAsia="zh-CN"/>
        </w:rPr>
        <w:t>régimen de gananciales</w:t>
      </w:r>
      <w:r w:rsidR="00FB0871" w:rsidRPr="00FC65A8">
        <w:rPr>
          <w:rFonts w:eastAsia="SimSun"/>
          <w:lang w:eastAsia="zh-CN"/>
        </w:rPr>
        <w:t xml:space="preserve">. </w:t>
      </w:r>
      <w:r w:rsidR="00FB0871">
        <w:rPr>
          <w:rFonts w:eastAsia="SimSun"/>
          <w:lang w:eastAsia="zh-CN"/>
        </w:rPr>
        <w:t>Dentro de este proceso de ejecución existe una pieza separada en la que la autora se opone al embargo de bienes comunes</w:t>
      </w:r>
      <w:r w:rsidR="00FB0871" w:rsidRPr="00FC65A8">
        <w:rPr>
          <w:rFonts w:eastAsia="SimSun"/>
          <w:lang w:eastAsia="zh-CN"/>
        </w:rPr>
        <w:t xml:space="preserve"> al cuestionar la naturaleza de la deuda. </w:t>
      </w:r>
      <w:r w:rsidR="00FB0871">
        <w:rPr>
          <w:rFonts w:eastAsia="SimSun"/>
          <w:lang w:eastAsia="zh-CN"/>
        </w:rPr>
        <w:t>Y es en esta pieza, en la que se dicta el auto al que los autores imputan una violación del artículo 11. El Estado parte considera que esta vía no fue agotada, y que en todo caso s</w:t>
      </w:r>
      <w:r w:rsidR="00E95888">
        <w:rPr>
          <w:rFonts w:eastAsia="SimSun"/>
          <w:lang w:eastAsia="zh-CN"/>
        </w:rPr>
        <w:t>o</w:t>
      </w:r>
      <w:r w:rsidR="00FB0871">
        <w:rPr>
          <w:rFonts w:eastAsia="SimSun"/>
          <w:lang w:eastAsia="zh-CN"/>
        </w:rPr>
        <w:t xml:space="preserve">lo la autora formó parte del proceso impugnado. </w:t>
      </w:r>
      <w:r w:rsidR="00FB0871" w:rsidRPr="00FC65A8">
        <w:rPr>
          <w:rFonts w:eastAsia="SimSun"/>
          <w:lang w:eastAsia="zh-CN"/>
        </w:rPr>
        <w:t>En consecuenci</w:t>
      </w:r>
      <w:r w:rsidR="00FB0871">
        <w:rPr>
          <w:rFonts w:eastAsia="SimSun"/>
          <w:lang w:eastAsia="zh-CN"/>
        </w:rPr>
        <w:t xml:space="preserve">a, sostiene que la violación del </w:t>
      </w:r>
      <w:r w:rsidR="00FB0871" w:rsidRPr="00FC65A8">
        <w:rPr>
          <w:rFonts w:eastAsia="SimSun"/>
          <w:lang w:eastAsia="zh-CN"/>
        </w:rPr>
        <w:t xml:space="preserve">artículo 11 fue invocada solo en este proceso, solo en relación con </w:t>
      </w:r>
      <w:r w:rsidR="00FB0871">
        <w:rPr>
          <w:rFonts w:eastAsia="SimSun"/>
          <w:lang w:eastAsia="zh-CN"/>
        </w:rPr>
        <w:t>la autora</w:t>
      </w:r>
      <w:r w:rsidR="00FB0871" w:rsidRPr="00FC65A8">
        <w:rPr>
          <w:rFonts w:eastAsia="SimSun"/>
          <w:lang w:eastAsia="zh-CN"/>
        </w:rPr>
        <w:t xml:space="preserve">, y que </w:t>
      </w:r>
      <w:r w:rsidR="00FB0871">
        <w:rPr>
          <w:rFonts w:eastAsia="SimSun"/>
          <w:lang w:eastAsia="zh-CN"/>
        </w:rPr>
        <w:t>no se han agotado los recursos internos de esta vía.</w:t>
      </w:r>
    </w:p>
    <w:p w14:paraId="4C8C4598" w14:textId="4E7C881E" w:rsidR="00FB0871" w:rsidRPr="004C4776" w:rsidRDefault="00FB65AD">
      <w:pPr>
        <w:pStyle w:val="SingleTxtG"/>
        <w:rPr>
          <w:rFonts w:eastAsia="SimSun"/>
          <w:b/>
          <w:lang w:eastAsia="zh-CN"/>
        </w:rPr>
      </w:pPr>
      <w:r>
        <w:rPr>
          <w:rFonts w:eastAsia="SimSun"/>
          <w:lang w:eastAsia="zh-CN"/>
        </w:rPr>
        <w:t>4.5</w:t>
      </w:r>
      <w:r>
        <w:rPr>
          <w:rFonts w:eastAsia="SimSun"/>
          <w:lang w:eastAsia="zh-CN"/>
        </w:rPr>
        <w:tab/>
      </w:r>
      <w:r w:rsidR="00FB0871">
        <w:rPr>
          <w:rFonts w:eastAsia="SimSun"/>
          <w:lang w:eastAsia="zh-CN"/>
        </w:rPr>
        <w:t xml:space="preserve">El Estado </w:t>
      </w:r>
      <w:r w:rsidR="002526CE">
        <w:rPr>
          <w:rFonts w:eastAsia="SimSun"/>
          <w:lang w:eastAsia="zh-CN"/>
        </w:rPr>
        <w:t xml:space="preserve">parte </w:t>
      </w:r>
      <w:r w:rsidR="00FB0871">
        <w:rPr>
          <w:rFonts w:eastAsia="SimSun"/>
          <w:lang w:eastAsia="zh-CN"/>
        </w:rPr>
        <w:t>destaca que no ha existido embargo alguno de la vivienda habitual de los autores, que en los recursos internos s</w:t>
      </w:r>
      <w:r w:rsidR="00E95888">
        <w:rPr>
          <w:rFonts w:eastAsia="SimSun"/>
          <w:lang w:eastAsia="zh-CN"/>
        </w:rPr>
        <w:t>o</w:t>
      </w:r>
      <w:r w:rsidR="00FB0871">
        <w:rPr>
          <w:rFonts w:eastAsia="SimSun"/>
          <w:lang w:eastAsia="zh-CN"/>
        </w:rPr>
        <w:t>lo se han alegado violaciones a la tutela judicial efectiva, y s</w:t>
      </w:r>
      <w:r w:rsidR="00E95888">
        <w:rPr>
          <w:rFonts w:eastAsia="SimSun"/>
          <w:lang w:eastAsia="zh-CN"/>
        </w:rPr>
        <w:t>o</w:t>
      </w:r>
      <w:r w:rsidR="00FB0871">
        <w:rPr>
          <w:rFonts w:eastAsia="SimSun"/>
          <w:lang w:eastAsia="zh-CN"/>
        </w:rPr>
        <w:t>lo respecto del autor, y que la autora no ha agotado todos los recursos internos.</w:t>
      </w:r>
    </w:p>
    <w:p w14:paraId="3C56B49B" w14:textId="4F40427A" w:rsidR="00FB0871" w:rsidRPr="00C635FC" w:rsidRDefault="00FB65AD" w:rsidP="00FB65AD">
      <w:pPr>
        <w:pStyle w:val="SingleTxtG"/>
        <w:rPr>
          <w:rFonts w:eastAsia="SimSun"/>
          <w:b/>
          <w:lang w:eastAsia="zh-CN"/>
        </w:rPr>
      </w:pPr>
      <w:r>
        <w:rPr>
          <w:rFonts w:eastAsia="SimSun"/>
          <w:lang w:eastAsia="zh-CN"/>
        </w:rPr>
        <w:t>4.6</w:t>
      </w:r>
      <w:r>
        <w:rPr>
          <w:rFonts w:eastAsia="SimSun"/>
          <w:lang w:eastAsia="zh-CN"/>
        </w:rPr>
        <w:tab/>
      </w:r>
      <w:r w:rsidR="00FB0871">
        <w:rPr>
          <w:rFonts w:eastAsia="SimSun"/>
          <w:lang w:eastAsia="zh-CN"/>
        </w:rPr>
        <w:t xml:space="preserve">El Estado parte considera que la comunicación es incompatible con las disposiciones del Pacto, es manifiestamente infundada y constituye un abuso del derecho a presentar una comunicación, pues su origen se encuentra en una inversión inmobiliaria, y no en la compra de una vivienda habitual, y no ha </w:t>
      </w:r>
      <w:r w:rsidR="00FB0871" w:rsidRPr="00FB65AD">
        <w:rPr>
          <w:rFonts w:eastAsia="SimSun"/>
        </w:rPr>
        <w:t>existido</w:t>
      </w:r>
      <w:r w:rsidR="00FB0871">
        <w:rPr>
          <w:rFonts w:eastAsia="SimSun"/>
          <w:lang w:eastAsia="zh-CN"/>
        </w:rPr>
        <w:t xml:space="preserve"> embargo alguno contra la vivienda de los autores. </w:t>
      </w:r>
    </w:p>
    <w:p w14:paraId="655B76B9" w14:textId="2890AEF5" w:rsidR="00FB0871" w:rsidRPr="00902F52" w:rsidRDefault="00FB65AD" w:rsidP="00FB65AD">
      <w:pPr>
        <w:pStyle w:val="H23G"/>
        <w:rPr>
          <w:b w:val="0"/>
        </w:rPr>
      </w:pPr>
      <w:r>
        <w:tab/>
      </w:r>
      <w:r>
        <w:tab/>
      </w:r>
      <w:r w:rsidR="00FB0871" w:rsidRPr="00FB65AD">
        <w:t>Comentarios</w:t>
      </w:r>
      <w:r w:rsidR="00FB0871" w:rsidRPr="00902F52">
        <w:t xml:space="preserve"> </w:t>
      </w:r>
      <w:r w:rsidR="00FB0871">
        <w:t xml:space="preserve">de los autores </w:t>
      </w:r>
      <w:r w:rsidR="00FB0871" w:rsidRPr="00902F52">
        <w:t xml:space="preserve">sobre las </w:t>
      </w:r>
      <w:r w:rsidR="00FB0871" w:rsidRPr="0005367E">
        <w:t>observaciones</w:t>
      </w:r>
      <w:r w:rsidR="00FB0871" w:rsidRPr="00902F52">
        <w:t xml:space="preserve"> del </w:t>
      </w:r>
      <w:r w:rsidR="00FB0871">
        <w:t>Estado parte</w:t>
      </w:r>
      <w:r w:rsidR="00FB0871" w:rsidRPr="00902F52">
        <w:t xml:space="preserve"> sobre </w:t>
      </w:r>
      <w:r w:rsidR="00FB0871">
        <w:br/>
      </w:r>
      <w:r w:rsidR="00FB0871" w:rsidRPr="00FB65AD">
        <w:t>la</w:t>
      </w:r>
      <w:r w:rsidR="00FB0871">
        <w:t xml:space="preserve"> </w:t>
      </w:r>
      <w:r w:rsidR="00FB0871" w:rsidRPr="00FB65AD">
        <w:t>admisibilidad</w:t>
      </w:r>
    </w:p>
    <w:p w14:paraId="00E67DF0" w14:textId="1A7ED0B3" w:rsidR="00FB0871" w:rsidRPr="00FD7B47" w:rsidRDefault="00FB0871">
      <w:pPr>
        <w:pStyle w:val="SingleTxtG"/>
      </w:pPr>
      <w:r>
        <w:t>5.1</w:t>
      </w:r>
      <w:r>
        <w:tab/>
        <w:t xml:space="preserve">Mediante carta de 9 de marzo de 2016, los autores presentan sus comentarios sobre la admisibilidad de la comunicación. Respecto </w:t>
      </w:r>
      <w:r w:rsidRPr="00FD7B47">
        <w:t xml:space="preserve">a la observación del </w:t>
      </w:r>
      <w:r>
        <w:t>Estado parte</w:t>
      </w:r>
      <w:r w:rsidRPr="00FD7B47">
        <w:t xml:space="preserve"> de que la comunicación es manifiestamente infundada, los autores sostienen que la </w:t>
      </w:r>
      <w:r>
        <w:t>autora</w:t>
      </w:r>
      <w:r w:rsidRPr="00FD7B47">
        <w:t xml:space="preserve"> alega una aplicación judicial errónea del régimen de </w:t>
      </w:r>
      <w:r>
        <w:t>gananciales</w:t>
      </w:r>
      <w:r w:rsidRPr="00FD7B47">
        <w:t xml:space="preserve">. Los autores citan </w:t>
      </w:r>
      <w:r>
        <w:t xml:space="preserve">los </w:t>
      </w:r>
      <w:r w:rsidRPr="00FD7B47">
        <w:t>artículos</w:t>
      </w:r>
      <w:r w:rsidR="00E95888">
        <w:t xml:space="preserve"> </w:t>
      </w:r>
      <w:r>
        <w:t>1362 y 1377</w:t>
      </w:r>
      <w:r w:rsidRPr="00FD7B47">
        <w:t xml:space="preserve"> del Código Civil</w:t>
      </w:r>
      <w:r w:rsidR="00E95888">
        <w:t>,</w:t>
      </w:r>
      <w:r w:rsidRPr="00FD7B47">
        <w:t xml:space="preserve"> que establecen que </w:t>
      </w:r>
      <w:r>
        <w:t xml:space="preserve">se </w:t>
      </w:r>
      <w:r w:rsidRPr="00FD7B47">
        <w:t xml:space="preserve">requiere el consentimiento de ambos cónyuges </w:t>
      </w:r>
      <w:r w:rsidRPr="00FB65AD">
        <w:t>para</w:t>
      </w:r>
      <w:r w:rsidRPr="00FD7B47">
        <w:t xml:space="preserve"> llevar a cabo actos de disposición </w:t>
      </w:r>
      <w:r>
        <w:t>a título oneroso sobre bienes gananciales.</w:t>
      </w:r>
      <w:r w:rsidRPr="00FD7B47">
        <w:t xml:space="preserve"> Sostienen que, de acuerdo con el Código</w:t>
      </w:r>
      <w:r>
        <w:t xml:space="preserve"> Civil</w:t>
      </w:r>
      <w:r w:rsidRPr="00FD7B47">
        <w:t xml:space="preserve">, una propiedad comprada por el </w:t>
      </w:r>
      <w:r>
        <w:t>autor para</w:t>
      </w:r>
      <w:r w:rsidRPr="00FD7B47">
        <w:t xml:space="preserve"> su hija, sin el consentimiento de su esposa, </w:t>
      </w:r>
      <w:r>
        <w:t>no puede conllevar el embargo de bienes gananciales</w:t>
      </w:r>
      <w:r w:rsidRPr="00FD7B47">
        <w:t xml:space="preserve">. Por lo tanto, la </w:t>
      </w:r>
      <w:r>
        <w:t>autora</w:t>
      </w:r>
      <w:r w:rsidRPr="00FD7B47">
        <w:t xml:space="preserve"> no debe estar sujeta a la ejecución de una sentencia que resulte de un proceso </w:t>
      </w:r>
      <w:r>
        <w:t>declarativo</w:t>
      </w:r>
      <w:r w:rsidRPr="00FD7B47">
        <w:t xml:space="preserve"> del que no formó part</w:t>
      </w:r>
      <w:r>
        <w:t xml:space="preserve">e, en relación con una compra para </w:t>
      </w:r>
      <w:r w:rsidRPr="00FD7B47">
        <w:t>la que n</w:t>
      </w:r>
      <w:r>
        <w:t>o había dado su consentimiento.</w:t>
      </w:r>
    </w:p>
    <w:p w14:paraId="257A14CA" w14:textId="69990D21" w:rsidR="00FB0871" w:rsidRPr="00FD7B47" w:rsidRDefault="00FB0871">
      <w:pPr>
        <w:pStyle w:val="SingleTxtG"/>
      </w:pPr>
      <w:r>
        <w:t>5.2</w:t>
      </w:r>
      <w:r>
        <w:tab/>
      </w:r>
      <w:r w:rsidRPr="00FD7B47">
        <w:t xml:space="preserve">Los autores cuestionan la afirmación del </w:t>
      </w:r>
      <w:r>
        <w:t>Estado parte</w:t>
      </w:r>
      <w:r w:rsidRPr="00FD7B47">
        <w:t xml:space="preserve"> de que han abusado del derecho a presentar una comunicación porque su residenc</w:t>
      </w:r>
      <w:r>
        <w:t>ia principal no está sujeta a embargo</w:t>
      </w:r>
      <w:r w:rsidRPr="00FD7B47">
        <w:t xml:space="preserve">. </w:t>
      </w:r>
      <w:r>
        <w:t xml:space="preserve">Los autores hacen notar que </w:t>
      </w:r>
      <w:r w:rsidRPr="00FD7B47">
        <w:t xml:space="preserve">las propiedades </w:t>
      </w:r>
      <w:r w:rsidR="00E95888">
        <w:t>núms</w:t>
      </w:r>
      <w:r w:rsidRPr="00FD7B47">
        <w:t xml:space="preserve">. 5489 y 3700/B, que el </w:t>
      </w:r>
      <w:r>
        <w:t>Estado parte</w:t>
      </w:r>
      <w:r w:rsidRPr="00FD7B47">
        <w:t xml:space="preserve"> identificó como sujetos a </w:t>
      </w:r>
      <w:r>
        <w:t>embargo, se valoraron en 116.276 y 111.720</w:t>
      </w:r>
      <w:r w:rsidR="00E95888">
        <w:t xml:space="preserve"> euros</w:t>
      </w:r>
      <w:r>
        <w:t>.</w:t>
      </w:r>
      <w:r w:rsidRPr="00FD7B47">
        <w:t xml:space="preserve"> Su valor acumulado no cubre </w:t>
      </w:r>
      <w:r>
        <w:t xml:space="preserve">por tanto </w:t>
      </w:r>
      <w:r w:rsidRPr="00FD7B47">
        <w:t>ni la mitad de la cantidad especificada por la orden de ejecución</w:t>
      </w:r>
      <w:r>
        <w:t xml:space="preserve">, que fue de 380.088 </w:t>
      </w:r>
      <w:r w:rsidR="00E95888">
        <w:t xml:space="preserve">euros </w:t>
      </w:r>
      <w:r>
        <w:t>más 114.</w:t>
      </w:r>
      <w:r w:rsidRPr="00FD7B47">
        <w:t xml:space="preserve">000 </w:t>
      </w:r>
      <w:r w:rsidR="00E95888">
        <w:t xml:space="preserve">euros </w:t>
      </w:r>
      <w:r w:rsidRPr="00FD7B47">
        <w:t>de interés.</w:t>
      </w:r>
      <w:r>
        <w:t xml:space="preserve"> Por lo tanto, si continúa el proceso </w:t>
      </w:r>
      <w:r w:rsidRPr="00FD7B47">
        <w:t xml:space="preserve">de ejecución </w:t>
      </w:r>
      <w:r>
        <w:t>judicial</w:t>
      </w:r>
      <w:r w:rsidRPr="00FD7B47">
        <w:t>, serán desalojados de su residencia principal (aunque todav</w:t>
      </w:r>
      <w:r>
        <w:t>ía no se indique en el embargo)</w:t>
      </w:r>
      <w:r w:rsidRPr="00FD7B47">
        <w:t xml:space="preserve">, ya que la ejecución </w:t>
      </w:r>
      <w:r>
        <w:t>judicial</w:t>
      </w:r>
      <w:r w:rsidRPr="00FD7B47">
        <w:t xml:space="preserve"> se relacionó con la totalidad de los activos del </w:t>
      </w:r>
      <w:r>
        <w:t>autor, máxime cuando los autores deben respetar el precio fijado en el momento de la compra, durante la burbuja inmobiliaria, más el 10</w:t>
      </w:r>
      <w:r w:rsidR="007C7C17">
        <w:t xml:space="preserve"> </w:t>
      </w:r>
      <w:r>
        <w:t>% de intereses de demora, y sin embargo sus bienes son tasados en un momento de crisis del sector inmobiliario.</w:t>
      </w:r>
      <w:r w:rsidRPr="00FD7B47">
        <w:t xml:space="preserve"> </w:t>
      </w:r>
    </w:p>
    <w:p w14:paraId="577C507D" w14:textId="30E27B2B" w:rsidR="00FB0871" w:rsidRPr="00FD7B47" w:rsidRDefault="00FB0871">
      <w:pPr>
        <w:pStyle w:val="SingleTxtG"/>
      </w:pPr>
      <w:r>
        <w:t>5.3</w:t>
      </w:r>
      <w:r>
        <w:tab/>
        <w:t>Los autores argumentan que s</w:t>
      </w:r>
      <w:r w:rsidR="007C7C17">
        <w:t>o</w:t>
      </w:r>
      <w:r w:rsidRPr="00FD7B47">
        <w:t xml:space="preserve">lo hay un conjunto de procesos judiciales involucrados en su caso: el proceso </w:t>
      </w:r>
      <w:r>
        <w:t>declarativo</w:t>
      </w:r>
      <w:r w:rsidRPr="00FD7B47">
        <w:t xml:space="preserve"> y su posterior ejecución. Reconocen que las partes interesadas en el proceso y la ejecución son diferentes, lo cual es un motivo de su comunicación: las consecuencias </w:t>
      </w:r>
      <w:r>
        <w:t>que tiene sobre la autora</w:t>
      </w:r>
      <w:r w:rsidRPr="00FD7B47">
        <w:t xml:space="preserve"> la sentencia </w:t>
      </w:r>
      <w:r>
        <w:t>declarativa</w:t>
      </w:r>
      <w:r w:rsidRPr="00FD7B47">
        <w:t xml:space="preserve"> en relación con el incumplimiento del contrato </w:t>
      </w:r>
      <w:r>
        <w:t>por parte del</w:t>
      </w:r>
      <w:r w:rsidRPr="00FD7B47">
        <w:t xml:space="preserve"> </w:t>
      </w:r>
      <w:r>
        <w:t>autor</w:t>
      </w:r>
      <w:r w:rsidRPr="00FD7B47">
        <w:t xml:space="preserve">. </w:t>
      </w:r>
      <w:r>
        <w:t>Los autores</w:t>
      </w:r>
      <w:r w:rsidRPr="00FD7B47">
        <w:t xml:space="preserve"> </w:t>
      </w:r>
      <w:r>
        <w:t>recuerdan</w:t>
      </w:r>
      <w:r w:rsidRPr="00FD7B47">
        <w:t xml:space="preserve"> que </w:t>
      </w:r>
      <w:r>
        <w:t>han</w:t>
      </w:r>
      <w:r w:rsidRPr="00FD7B47">
        <w:t xml:space="preserve"> agotado los recursos internos </w:t>
      </w:r>
      <w:r>
        <w:t>respecto a la sentencia declarativa</w:t>
      </w:r>
      <w:r w:rsidRPr="00FD7B47">
        <w:t>. En lo que respecta al agotamiento de los recursos internos por la violación del artículo 11</w:t>
      </w:r>
      <w:r>
        <w:t>, los autores reiteran que, c</w:t>
      </w:r>
      <w:r w:rsidRPr="00FD7B47">
        <w:t xml:space="preserve">omo los </w:t>
      </w:r>
      <w:r>
        <w:t>procesos de desahucios</w:t>
      </w:r>
      <w:r w:rsidRPr="00FD7B47">
        <w:t xml:space="preserve"> en España no permiten la suspensión </w:t>
      </w:r>
      <w:r>
        <w:t>de la ejecución</w:t>
      </w:r>
      <w:r w:rsidRPr="00FD7B47">
        <w:t xml:space="preserve"> durante el proceso de apelación, no son un recurso efectivo. Además, argumentan que la violación del </w:t>
      </w:r>
      <w:r w:rsidR="007C7C17">
        <w:t>a</w:t>
      </w:r>
      <w:r w:rsidRPr="00FD7B47">
        <w:t xml:space="preserve">rtículo 11 ocurre en la ejecución del proceso declarativo </w:t>
      </w:r>
      <w:r>
        <w:t xml:space="preserve">también </w:t>
      </w:r>
      <w:r w:rsidRPr="00FD7B47">
        <w:t xml:space="preserve">con </w:t>
      </w:r>
      <w:r w:rsidRPr="00FD7B47">
        <w:lastRenderedPageBreak/>
        <w:t xml:space="preserve">respecto al </w:t>
      </w:r>
      <w:r>
        <w:t>autor</w:t>
      </w:r>
      <w:r w:rsidRPr="00FD7B47">
        <w:t xml:space="preserve">, no solo en </w:t>
      </w:r>
      <w:r>
        <w:t>el procedimiento de</w:t>
      </w:r>
      <w:r w:rsidRPr="00FD7B47">
        <w:t xml:space="preserve"> objeción de la </w:t>
      </w:r>
      <w:r>
        <w:t>autora</w:t>
      </w:r>
      <w:r w:rsidRPr="00FD7B47">
        <w:t>. Por lo ta</w:t>
      </w:r>
      <w:r>
        <w:t>nto, se aplica a ambos.</w:t>
      </w:r>
    </w:p>
    <w:p w14:paraId="5728BF36" w14:textId="351FA70F" w:rsidR="00FB0871" w:rsidRDefault="00FB0871" w:rsidP="00FB0871">
      <w:pPr>
        <w:pStyle w:val="SingleTxtG"/>
      </w:pPr>
      <w:r w:rsidRPr="00FD7B47">
        <w:t>5.4</w:t>
      </w:r>
      <w:r>
        <w:tab/>
      </w:r>
      <w:r w:rsidRPr="00FD7B47">
        <w:t xml:space="preserve">En lo que respecta a la afirmación del </w:t>
      </w:r>
      <w:r>
        <w:t>Estado parte</w:t>
      </w:r>
      <w:r w:rsidRPr="00FD7B47">
        <w:t xml:space="preserve"> de que la comunicación es incompatible con las disposiciones del Pacto porque el </w:t>
      </w:r>
      <w:r>
        <w:t>autor</w:t>
      </w:r>
      <w:r w:rsidRPr="00FD7B47">
        <w:t xml:space="preserve"> es un inversionista, no un consumidor, los autores enfatizan que el </w:t>
      </w:r>
      <w:r>
        <w:t>autor</w:t>
      </w:r>
      <w:r w:rsidRPr="00FD7B47">
        <w:t xml:space="preserve"> compró la </w:t>
      </w:r>
      <w:r>
        <w:t>vivienda</w:t>
      </w:r>
      <w:r w:rsidRPr="00FD7B47">
        <w:t xml:space="preserve"> para su hija. Por tanto, </w:t>
      </w:r>
      <w:r>
        <w:t>se trataba de</w:t>
      </w:r>
      <w:r w:rsidRPr="00FD7B47">
        <w:t xml:space="preserve"> una compra individual en nombre del </w:t>
      </w:r>
      <w:r>
        <w:t>autor</w:t>
      </w:r>
      <w:r w:rsidRPr="00FD7B47">
        <w:t xml:space="preserve"> para fines residenciales, no una inversión destinada a aumentar la riqueza de la pareja como parte de su patrimoni</w:t>
      </w:r>
      <w:r>
        <w:t>o conjunto.</w:t>
      </w:r>
    </w:p>
    <w:p w14:paraId="13CB6F4E" w14:textId="23C5DBE7" w:rsidR="00FB0871" w:rsidRDefault="00FB65AD" w:rsidP="00FB65AD">
      <w:pPr>
        <w:pStyle w:val="H23G"/>
      </w:pPr>
      <w:r>
        <w:tab/>
      </w:r>
      <w:r>
        <w:tab/>
      </w:r>
      <w:r w:rsidR="00FB0871" w:rsidRPr="00E6248E">
        <w:t>Observac</w:t>
      </w:r>
      <w:r w:rsidR="00FB0871">
        <w:t>iones del Estado parte sobre el fondo</w:t>
      </w:r>
    </w:p>
    <w:p w14:paraId="7E79CF29" w14:textId="580B11C4" w:rsidR="00FB0871" w:rsidRDefault="00FB65AD" w:rsidP="00FB65AD">
      <w:pPr>
        <w:pStyle w:val="SingleTxtG"/>
        <w:suppressAutoHyphens/>
      </w:pPr>
      <w:r>
        <w:t>6.1</w:t>
      </w:r>
      <w:r>
        <w:tab/>
      </w:r>
      <w:r w:rsidR="00FB0871">
        <w:t>Mediante nota verbal de 31 de mayo de 2016, el Estado parte presentó sus observaciones sobre el fondo de la comunicación alegando que no existe violación del Pacto.</w:t>
      </w:r>
    </w:p>
    <w:p w14:paraId="220D5135" w14:textId="19F90F3F" w:rsidR="00FB0871" w:rsidRPr="007D6299" w:rsidRDefault="00FB65AD" w:rsidP="00FB65AD">
      <w:pPr>
        <w:pStyle w:val="SingleTxtG"/>
        <w:suppressAutoHyphens/>
      </w:pPr>
      <w:r>
        <w:rPr>
          <w:color w:val="000000"/>
          <w:lang w:eastAsia="en-GB"/>
        </w:rPr>
        <w:t>6.2</w:t>
      </w:r>
      <w:r>
        <w:rPr>
          <w:color w:val="000000"/>
          <w:lang w:eastAsia="en-GB"/>
        </w:rPr>
        <w:tab/>
      </w:r>
      <w:r w:rsidR="00FB0871" w:rsidRPr="007D6299">
        <w:rPr>
          <w:color w:val="000000"/>
          <w:lang w:eastAsia="en-GB"/>
        </w:rPr>
        <w:t xml:space="preserve">Hace notar que el autor realizó una inversión inmobiliaria a través de dinero ganancial, y que la deuda se considera por tanto ganancial, es decir, común a ambos cónyuges. </w:t>
      </w:r>
    </w:p>
    <w:p w14:paraId="73F114B9" w14:textId="319B537C" w:rsidR="00FB0871" w:rsidRPr="00810640" w:rsidRDefault="00FB65AD">
      <w:pPr>
        <w:pStyle w:val="SingleTxtG"/>
        <w:suppressAutoHyphens/>
      </w:pPr>
      <w:r>
        <w:rPr>
          <w:color w:val="000000"/>
          <w:lang w:eastAsia="en-GB"/>
        </w:rPr>
        <w:t>6.3</w:t>
      </w:r>
      <w:r>
        <w:rPr>
          <w:color w:val="000000"/>
          <w:lang w:eastAsia="en-GB"/>
        </w:rPr>
        <w:tab/>
      </w:r>
      <w:r w:rsidR="00FB0871">
        <w:rPr>
          <w:color w:val="000000"/>
          <w:lang w:eastAsia="en-GB"/>
        </w:rPr>
        <w:t xml:space="preserve">El Estado parte considera que una posible vulneración del Pacto se produciría si, ante un hipotético desalojo, no contaran los autores con los recursos y la protección legal requerida por el artículo 11 del Pacto y las </w:t>
      </w:r>
      <w:r w:rsidR="009E6F53">
        <w:rPr>
          <w:color w:val="000000"/>
          <w:lang w:eastAsia="en-GB"/>
        </w:rPr>
        <w:t>o</w:t>
      </w:r>
      <w:r w:rsidR="00FB0871">
        <w:rPr>
          <w:color w:val="000000"/>
          <w:lang w:eastAsia="en-GB"/>
        </w:rPr>
        <w:t xml:space="preserve">bservaciones </w:t>
      </w:r>
      <w:r w:rsidR="009E6F53">
        <w:rPr>
          <w:color w:val="000000"/>
          <w:lang w:eastAsia="en-GB"/>
        </w:rPr>
        <w:t>g</w:t>
      </w:r>
      <w:r w:rsidR="00FB0871">
        <w:rPr>
          <w:color w:val="000000"/>
          <w:lang w:eastAsia="en-GB"/>
        </w:rPr>
        <w:t xml:space="preserve">enerales </w:t>
      </w:r>
      <w:r w:rsidR="009E6F53">
        <w:rPr>
          <w:color w:val="000000"/>
          <w:lang w:eastAsia="en-GB"/>
        </w:rPr>
        <w:t xml:space="preserve">núms. </w:t>
      </w:r>
      <w:r w:rsidR="00FB0871">
        <w:rPr>
          <w:color w:val="000000"/>
          <w:lang w:eastAsia="en-GB"/>
        </w:rPr>
        <w:t xml:space="preserve">4 y 7. El artículo 541 de la Ley de Enjuiciamiento Civil, bajo el epígrafe “Ejecución en bienes gananciales” estipula la notificación al cónyuge no deudor cuando proceda la ejecución de deudas contraídas por el otro cónyuge sobre bienes gananciales del matrimonio. Contra esta decisión existe la posibilidad de presentar un recurso de oposición. El cónyuge del ejecutado puede oponerse tanto por considerar que la deuda no es ganancial como por las mismas causas de forma y fondo que correspondan al ejecutado. Si bien los autores hacen referencia a la sentencia </w:t>
      </w:r>
      <w:r w:rsidR="00FB0871" w:rsidRPr="00E744BC">
        <w:rPr>
          <w:color w:val="000000"/>
          <w:lang w:eastAsia="en-GB"/>
        </w:rPr>
        <w:t>C</w:t>
      </w:r>
      <w:r w:rsidR="002E09A6">
        <w:rPr>
          <w:color w:val="000000"/>
          <w:lang w:eastAsia="en-GB"/>
        </w:rPr>
        <w:noBreakHyphen/>
      </w:r>
      <w:r w:rsidR="00FB0871" w:rsidRPr="00E744BC">
        <w:rPr>
          <w:color w:val="000000"/>
          <w:lang w:eastAsia="en-GB"/>
        </w:rPr>
        <w:t>169/14 del Tribunal de Justicia de la Unión Europea</w:t>
      </w:r>
      <w:r w:rsidR="00FB0871">
        <w:rPr>
          <w:color w:val="000000"/>
          <w:lang w:eastAsia="en-GB"/>
        </w:rPr>
        <w:t xml:space="preserve">, </w:t>
      </w:r>
      <w:r w:rsidR="009E6F53">
        <w:rPr>
          <w:color w:val="000000"/>
          <w:lang w:eastAsia="en-GB"/>
        </w:rPr>
        <w:t>e</w:t>
      </w:r>
      <w:r w:rsidR="00FB0871">
        <w:rPr>
          <w:color w:val="000000"/>
          <w:lang w:eastAsia="en-GB"/>
        </w:rPr>
        <w:t>sta hace referencia a que el sistema español de ejecución hipotecaria no permitía al ejecutado oponerse a cuestiones de fondo, es decir, al carácter abusivo de cláusulas de la hipoteca constituida en documento público. Esta jurisprudencia no se aplica al caso presente, puesto que no</w:t>
      </w:r>
      <w:r w:rsidR="009E6F53">
        <w:rPr>
          <w:color w:val="000000"/>
          <w:lang w:eastAsia="en-GB"/>
        </w:rPr>
        <w:t xml:space="preserve"> se trata de </w:t>
      </w:r>
      <w:r w:rsidR="00FB0871">
        <w:rPr>
          <w:color w:val="000000"/>
          <w:lang w:eastAsia="en-GB"/>
        </w:rPr>
        <w:t>una ejecución judicial por impago de una deuda, sobre bienes gananciales, ante la cual la autora ha tenido la posibilidad de alegar cuestiones de fondo. El Estado parte concluye que existen mecanismos de protección jurídica conformes al Pacto contra el desalojo en el caso de los autores.</w:t>
      </w:r>
    </w:p>
    <w:p w14:paraId="02B4FF70" w14:textId="2EDE8D92" w:rsidR="00FB0871" w:rsidRPr="003344A4" w:rsidRDefault="00FB65AD">
      <w:pPr>
        <w:pStyle w:val="SingleTxtG"/>
        <w:suppressAutoHyphens/>
      </w:pPr>
      <w:r>
        <w:rPr>
          <w:color w:val="000000"/>
          <w:lang w:eastAsia="en-GB"/>
        </w:rPr>
        <w:t>6.4</w:t>
      </w:r>
      <w:r>
        <w:rPr>
          <w:color w:val="000000"/>
          <w:lang w:eastAsia="en-GB"/>
        </w:rPr>
        <w:tab/>
      </w:r>
      <w:r w:rsidR="00FB0871">
        <w:rPr>
          <w:color w:val="000000"/>
          <w:lang w:eastAsia="en-GB"/>
        </w:rPr>
        <w:t xml:space="preserve">El Estado parte recuerda que, hasta la fecha de la nota verbal, constaban dos bienes embargados, de los cuales ninguno correspondía </w:t>
      </w:r>
      <w:r w:rsidR="00204526">
        <w:rPr>
          <w:color w:val="000000"/>
          <w:lang w:eastAsia="en-GB"/>
        </w:rPr>
        <w:t>a</w:t>
      </w:r>
      <w:r w:rsidR="00FB0871">
        <w:rPr>
          <w:color w:val="000000"/>
          <w:lang w:eastAsia="en-GB"/>
        </w:rPr>
        <w:t>l domicilio habitual de los autores. Considera por tanto manifiesto que no existe violación del derecho de los autores a una vivienda adecuada.</w:t>
      </w:r>
    </w:p>
    <w:p w14:paraId="54CFF41B" w14:textId="6CD09E38" w:rsidR="00FB0871" w:rsidRPr="003344A4" w:rsidRDefault="00FB65AD" w:rsidP="00FB65AD">
      <w:pPr>
        <w:pStyle w:val="H23G"/>
        <w:rPr>
          <w:lang w:eastAsia="en-GB"/>
        </w:rPr>
      </w:pPr>
      <w:r>
        <w:rPr>
          <w:lang w:eastAsia="en-GB"/>
        </w:rPr>
        <w:tab/>
      </w:r>
      <w:r>
        <w:rPr>
          <w:lang w:eastAsia="en-GB"/>
        </w:rPr>
        <w:tab/>
      </w:r>
      <w:r w:rsidR="00FB0871" w:rsidRPr="003344A4">
        <w:rPr>
          <w:lang w:eastAsia="en-GB"/>
        </w:rPr>
        <w:t>Comentarios de los autores sobre el fondo</w:t>
      </w:r>
    </w:p>
    <w:p w14:paraId="48D496FC" w14:textId="2AE9E57E" w:rsidR="00FB0871" w:rsidRDefault="00D111AD">
      <w:pPr>
        <w:pStyle w:val="SingleTxtG"/>
        <w:suppressAutoHyphens/>
      </w:pPr>
      <w:r>
        <w:t>7.1</w:t>
      </w:r>
      <w:r>
        <w:tab/>
      </w:r>
      <w:r w:rsidR="00FB0871">
        <w:t>El 24 de abril de 2017, los autores presentaro</w:t>
      </w:r>
      <w:r w:rsidR="00CD1CA0">
        <w:t>n</w:t>
      </w:r>
      <w:r w:rsidR="00FB0871">
        <w:t xml:space="preserve"> sus comentarios sobre el fondo de la comunicación. Los autores alegan que el riesgo de que su domicilio familiar sea embargado es real, pues el proceso judicial sigue su curso y, al tratarse de una ejecución judicial, todos los bienes de los autores pueden ser embargados. Además, los autores alegan que, aun perdiendo sus dos viviendas, su compra no quedará saldada pues la compra se formalizó por un precio muy superior al del mercado actual. El precio contractual sigue siendo respetado como valor de la deuda, y sin embargo sus bienes están siendo tasados con respecto al precio actual del mercado.</w:t>
      </w:r>
    </w:p>
    <w:p w14:paraId="1EB11FF5" w14:textId="043B2727" w:rsidR="00FB0871" w:rsidRDefault="00D111AD" w:rsidP="00D111AD">
      <w:pPr>
        <w:pStyle w:val="SingleTxtG"/>
        <w:suppressAutoHyphens/>
      </w:pPr>
      <w:r>
        <w:t>7.2</w:t>
      </w:r>
      <w:r>
        <w:tab/>
      </w:r>
      <w:r w:rsidR="00FB0871">
        <w:t xml:space="preserve">Además, la autora no fue parte del contrato ni del proceso declarativo, creándole indefensión. Los autores apuntan al contraste que existe entre su desprotección frente a su deuda, y la de la empresa acreedora, actualmente en concurso de acreedores, cuyos integrantes cuentan con un sistema de protección suficiente como para no verse afectados por las deudas de la empresa. </w:t>
      </w:r>
    </w:p>
    <w:p w14:paraId="0C23CEC0" w14:textId="44692BFC" w:rsidR="00FB0871" w:rsidRPr="00E6248E" w:rsidRDefault="00D111AD" w:rsidP="00D111AD">
      <w:pPr>
        <w:pStyle w:val="SingleTxtG"/>
        <w:suppressAutoHyphens/>
      </w:pPr>
      <w:r>
        <w:t>7.3</w:t>
      </w:r>
      <w:r>
        <w:tab/>
      </w:r>
      <w:r w:rsidR="00FB0871">
        <w:t>Los autores reiteran que los hechos revelan una violación de su derecho a una vivienda adecuada contenido en el artículo 11 del Pacto.</w:t>
      </w:r>
    </w:p>
    <w:p w14:paraId="54BF5FEF" w14:textId="77777777" w:rsidR="00FB0871" w:rsidRPr="0005367E" w:rsidRDefault="00FB0871" w:rsidP="00FB0871">
      <w:pPr>
        <w:pStyle w:val="H1G"/>
      </w:pPr>
      <w:r w:rsidRPr="0005367E">
        <w:lastRenderedPageBreak/>
        <w:tab/>
        <w:t>B.</w:t>
      </w:r>
      <w:r w:rsidRPr="0005367E">
        <w:tab/>
        <w:t>Consideraciones del Comité sobre la admisibilidad</w:t>
      </w:r>
    </w:p>
    <w:p w14:paraId="4CD038E7" w14:textId="5056ECD6" w:rsidR="00FB0871" w:rsidRPr="00BB7845" w:rsidRDefault="00D111AD" w:rsidP="00FB0871">
      <w:pPr>
        <w:pStyle w:val="SingleTxtG"/>
      </w:pPr>
      <w:r>
        <w:t>8</w:t>
      </w:r>
      <w:r w:rsidR="00FB0871" w:rsidRPr="00BB7845">
        <w:t>.1</w:t>
      </w:r>
      <w:r w:rsidR="00FB0871" w:rsidRPr="00BB7845">
        <w:tab/>
        <w:t>Antes de examinar cualquier reclamación formulada en una comunicación, el Comité debe decidir, de conformidad con el Protocolo Facultativo, si el caso es admisible.</w:t>
      </w:r>
    </w:p>
    <w:p w14:paraId="6B23D107" w14:textId="6A15E93D" w:rsidR="00FB0871" w:rsidRPr="00A5177D" w:rsidRDefault="00D111AD">
      <w:pPr>
        <w:pStyle w:val="SingleTxtG"/>
        <w:rPr>
          <w:rFonts w:eastAsia="SimSun"/>
        </w:rPr>
      </w:pPr>
      <w:r>
        <w:t>8</w:t>
      </w:r>
      <w:r w:rsidR="00FB0871" w:rsidRPr="00BB7845">
        <w:t>.2</w:t>
      </w:r>
      <w:r w:rsidR="00FB0871" w:rsidRPr="00BB7845">
        <w:tab/>
        <w:t xml:space="preserve">El Comité toma nota del argumento del </w:t>
      </w:r>
      <w:r w:rsidR="00FB0871">
        <w:t>Estado parte</w:t>
      </w:r>
      <w:r w:rsidR="00FB0871" w:rsidRPr="00BB7845">
        <w:t xml:space="preserve"> de que la comunicación es inadmisible en virtud de lo establecido en el artículo 3, párr. </w:t>
      </w:r>
      <w:r w:rsidR="00FB0871" w:rsidRPr="0005367E">
        <w:t xml:space="preserve">1, del Protocolo Facultativo </w:t>
      </w:r>
      <w:r w:rsidR="00FB0871" w:rsidRPr="0005367E">
        <w:rPr>
          <w:rFonts w:eastAsia="SimSun"/>
        </w:rPr>
        <w:t xml:space="preserve">ya </w:t>
      </w:r>
      <w:r w:rsidR="00FB0871">
        <w:rPr>
          <w:rFonts w:eastAsia="SimSun"/>
        </w:rPr>
        <w:t>que existen dos procedimientos separados, el proceso declarativo y el de ejecución de títulos judiciales y s</w:t>
      </w:r>
      <w:r w:rsidR="009E6F53">
        <w:rPr>
          <w:rFonts w:eastAsia="SimSun"/>
        </w:rPr>
        <w:t>o</w:t>
      </w:r>
      <w:r w:rsidR="00FB0871">
        <w:rPr>
          <w:rFonts w:eastAsia="SimSun"/>
        </w:rPr>
        <w:t>lo el autor agotó los recursos internos, llegando al Tribunal Constitucional alegando violación a su derecho a la tutela judicial efectiva, mientras que la autora no recurrió la sentencia de la Audiencia Provincial sobre la ejecución de títulos judiciales.</w:t>
      </w:r>
    </w:p>
    <w:p w14:paraId="5816F4F3" w14:textId="087DA011" w:rsidR="00FB0871" w:rsidRPr="00836FAD" w:rsidRDefault="00D111AD">
      <w:pPr>
        <w:pStyle w:val="SingleTxtG"/>
      </w:pPr>
      <w:r>
        <w:t>8</w:t>
      </w:r>
      <w:r w:rsidR="00FB0871" w:rsidRPr="00BB7845">
        <w:t>.3</w:t>
      </w:r>
      <w:r w:rsidR="00FB0871" w:rsidRPr="00BB7845">
        <w:tab/>
        <w:t xml:space="preserve">El Comité también nota que </w:t>
      </w:r>
      <w:r w:rsidR="00FB0871">
        <w:t>los autores argumentan que s</w:t>
      </w:r>
      <w:r w:rsidR="009E6F53">
        <w:t>o</w:t>
      </w:r>
      <w:r w:rsidR="00FB0871" w:rsidRPr="00FD7B47">
        <w:t>lo hay un conjunto de procesos judiciales involucrados en su caso</w:t>
      </w:r>
      <w:r w:rsidR="00FB0871">
        <w:t xml:space="preserve">, habiendo </w:t>
      </w:r>
      <w:r w:rsidR="00FB0871" w:rsidRPr="00FD7B47">
        <w:t xml:space="preserve">agotado los recursos internos </w:t>
      </w:r>
      <w:r w:rsidR="00FB0871">
        <w:t>respecto a la sentencia declarativa, y que, c</w:t>
      </w:r>
      <w:r w:rsidR="00FB0871" w:rsidRPr="00FD7B47">
        <w:t xml:space="preserve">omo los </w:t>
      </w:r>
      <w:r w:rsidR="00FB0871">
        <w:t>procesos de desahucios</w:t>
      </w:r>
      <w:r w:rsidR="00FB0871" w:rsidRPr="00FD7B47">
        <w:t xml:space="preserve"> en España no permiten la suspensión </w:t>
      </w:r>
      <w:r w:rsidR="00FB0871">
        <w:t>de la ejecución</w:t>
      </w:r>
      <w:r w:rsidR="00FB0871" w:rsidRPr="00FD7B47">
        <w:t xml:space="preserve"> d</w:t>
      </w:r>
      <w:r w:rsidR="00FB0871">
        <w:t xml:space="preserve">urante la apelación, estas apelaciones </w:t>
      </w:r>
      <w:r w:rsidR="00FB0871" w:rsidRPr="00FD7B47">
        <w:t xml:space="preserve">no </w:t>
      </w:r>
      <w:r w:rsidR="00FB0871">
        <w:t>constituyen</w:t>
      </w:r>
      <w:r w:rsidR="00FB0871" w:rsidRPr="00FD7B47">
        <w:t xml:space="preserve"> un recurso efectivo</w:t>
      </w:r>
      <w:r w:rsidR="00FB0871">
        <w:t xml:space="preserve">. El Comité nota igualmente </w:t>
      </w:r>
      <w:r w:rsidR="004365B5">
        <w:t xml:space="preserve">de </w:t>
      </w:r>
      <w:r w:rsidR="00FB0871">
        <w:t xml:space="preserve">que el autor recurrió la sentencia </w:t>
      </w:r>
      <w:r w:rsidR="00FB0871" w:rsidRPr="00836FAD">
        <w:rPr>
          <w:color w:val="000000"/>
          <w:lang w:eastAsia="en-GB"/>
        </w:rPr>
        <w:t xml:space="preserve">del Juzgado </w:t>
      </w:r>
      <w:r w:rsidR="009E6F53">
        <w:rPr>
          <w:color w:val="000000"/>
          <w:lang w:eastAsia="en-GB"/>
        </w:rPr>
        <w:t>núm.</w:t>
      </w:r>
      <w:r w:rsidR="00FB0871" w:rsidRPr="00836FAD">
        <w:rPr>
          <w:color w:val="000000"/>
          <w:lang w:eastAsia="en-GB"/>
        </w:rPr>
        <w:t xml:space="preserve"> 18</w:t>
      </w:r>
      <w:r w:rsidR="00FB0871">
        <w:rPr>
          <w:color w:val="000000"/>
          <w:lang w:eastAsia="en-GB"/>
        </w:rPr>
        <w:t xml:space="preserve"> </w:t>
      </w:r>
      <w:r w:rsidR="00FB0871">
        <w:t xml:space="preserve">de fecha </w:t>
      </w:r>
      <w:r w:rsidR="00FB0871" w:rsidRPr="00836FAD">
        <w:rPr>
          <w:color w:val="000000"/>
          <w:lang w:eastAsia="en-GB"/>
        </w:rPr>
        <w:t>22 de diciembre de 2010</w:t>
      </w:r>
      <w:r w:rsidR="00FB0871">
        <w:rPr>
          <w:color w:val="000000"/>
          <w:lang w:eastAsia="en-GB"/>
        </w:rPr>
        <w:t xml:space="preserve"> llegando hasta el Tribunal Constitucional en un recurso por violación del derecho a la tutela judicial efectiva, </w:t>
      </w:r>
      <w:r w:rsidR="004365B5">
        <w:rPr>
          <w:color w:val="000000"/>
          <w:lang w:eastAsia="en-GB"/>
        </w:rPr>
        <w:t xml:space="preserve">y </w:t>
      </w:r>
      <w:r w:rsidR="00FB0871">
        <w:rPr>
          <w:color w:val="000000"/>
          <w:lang w:eastAsia="en-GB"/>
        </w:rPr>
        <w:t>que</w:t>
      </w:r>
      <w:r w:rsidR="00FB0871" w:rsidRPr="00836FAD">
        <w:rPr>
          <w:color w:val="000000"/>
          <w:lang w:eastAsia="en-GB"/>
        </w:rPr>
        <w:t xml:space="preserve"> </w:t>
      </w:r>
      <w:r w:rsidR="00FB0871">
        <w:t xml:space="preserve">la autora recurrió la ejecución de </w:t>
      </w:r>
      <w:r w:rsidR="00FB0871" w:rsidRPr="003C4152">
        <w:t>la sentencia</w:t>
      </w:r>
      <w:r w:rsidR="00FB0871">
        <w:t>, cuya ejecución fue suspendida y retomada el 6 de marzo de 2014,</w:t>
      </w:r>
      <w:r w:rsidR="00FB0871" w:rsidRPr="003C4152">
        <w:t xml:space="preserve"> agotando </w:t>
      </w:r>
      <w:r w:rsidR="00FB0871">
        <w:t xml:space="preserve">todos </w:t>
      </w:r>
      <w:r w:rsidR="00FB0871" w:rsidRPr="003C4152">
        <w:t>los recursos efec</w:t>
      </w:r>
      <w:r w:rsidR="00FB0871">
        <w:t>tivos para impedir su ejecución.</w:t>
      </w:r>
      <w:r w:rsidR="00FB0871">
        <w:rPr>
          <w:color w:val="000000"/>
          <w:lang w:eastAsia="en-GB"/>
        </w:rPr>
        <w:t xml:space="preserve"> </w:t>
      </w:r>
      <w:r w:rsidR="00FB0871" w:rsidRPr="0005367E">
        <w:t xml:space="preserve">Por tanto, el Comité considera que </w:t>
      </w:r>
      <w:r w:rsidR="00FB0871">
        <w:t>los autores agotaron</w:t>
      </w:r>
      <w:r w:rsidR="00FB0871" w:rsidRPr="0005367E">
        <w:t xml:space="preserve"> todos los recursos disponibles en la jurisdicción interna y que su comunicación es admisible con arreglo al artículo 3, párr. </w:t>
      </w:r>
      <w:r w:rsidR="00FB0871" w:rsidRPr="00BB7845">
        <w:t>1, del Protocolo Facultativo.</w:t>
      </w:r>
      <w:r w:rsidR="00FB0871">
        <w:t xml:space="preserve"> </w:t>
      </w:r>
    </w:p>
    <w:p w14:paraId="03BFEE6A" w14:textId="23278B91" w:rsidR="00FB0871" w:rsidRDefault="00D111AD">
      <w:pPr>
        <w:pStyle w:val="SingleTxtG"/>
      </w:pPr>
      <w:r>
        <w:t>8</w:t>
      </w:r>
      <w:r w:rsidR="00FB0871" w:rsidRPr="00BB7845">
        <w:t>.4</w:t>
      </w:r>
      <w:r w:rsidR="00FB0871" w:rsidRPr="00BB7845">
        <w:tab/>
      </w:r>
      <w:r w:rsidR="00FB0871">
        <w:t>El Comité toma nota de</w:t>
      </w:r>
      <w:r w:rsidR="00FB0871" w:rsidRPr="00BB7845">
        <w:t xml:space="preserve"> las alegaciones </w:t>
      </w:r>
      <w:r w:rsidR="00FB0871">
        <w:t>de los autores</w:t>
      </w:r>
      <w:r w:rsidR="00FB0871" w:rsidRPr="00BB7845">
        <w:t xml:space="preserve"> según las cuales</w:t>
      </w:r>
      <w:r w:rsidR="00FB0871">
        <w:t xml:space="preserve"> se habrían violado sus</w:t>
      </w:r>
      <w:r w:rsidR="00FB0871" w:rsidRPr="0068439D">
        <w:t xml:space="preserve"> derechos en virtud de los artículos 2 y 11 del Pacto</w:t>
      </w:r>
      <w:r w:rsidR="00FB0871">
        <w:t xml:space="preserve"> ya que </w:t>
      </w:r>
      <w:r w:rsidR="00FB0871" w:rsidRPr="0068439D">
        <w:t xml:space="preserve">la </w:t>
      </w:r>
      <w:r w:rsidR="00FB0871">
        <w:t>autora</w:t>
      </w:r>
      <w:r w:rsidR="00FB0871" w:rsidRPr="0068439D">
        <w:t xml:space="preserve"> no </w:t>
      </w:r>
      <w:r w:rsidR="00FB0871">
        <w:t>pudo ser</w:t>
      </w:r>
      <w:r w:rsidR="00FB0871" w:rsidRPr="0068439D">
        <w:t xml:space="preserve"> parte en el </w:t>
      </w:r>
      <w:r w:rsidR="00FB0871">
        <w:t>proceso</w:t>
      </w:r>
      <w:r w:rsidR="00FB0871" w:rsidRPr="0068439D">
        <w:t xml:space="preserve"> principal en relación con la validez del contrato</w:t>
      </w:r>
      <w:r w:rsidR="00FB0871">
        <w:t xml:space="preserve"> y que existe un alto riesgo de que la vivienda familiar sea subastada. A este respecto, el Comité </w:t>
      </w:r>
      <w:r w:rsidR="00FB0871" w:rsidRPr="00BB7845">
        <w:t xml:space="preserve">toma nota de las observaciones del </w:t>
      </w:r>
      <w:r w:rsidR="00FB0871">
        <w:t>Estado parte</w:t>
      </w:r>
      <w:r w:rsidR="00FB0871" w:rsidRPr="00BB7845">
        <w:t xml:space="preserve"> de que </w:t>
      </w:r>
      <w:r w:rsidR="00FB0871">
        <w:t xml:space="preserve">la comunicación es manifiestamente infundada </w:t>
      </w:r>
      <w:r w:rsidR="00FB0871" w:rsidRPr="003C4152">
        <w:t xml:space="preserve">pues su origen se encuentra </w:t>
      </w:r>
      <w:r w:rsidR="00FB0871">
        <w:t>en una inversión inmobiliaria,</w:t>
      </w:r>
      <w:r w:rsidR="00FB0871" w:rsidRPr="003C4152">
        <w:t xml:space="preserve"> no en la compra de una vivienda habitual, y </w:t>
      </w:r>
      <w:r w:rsidR="00F93FAE">
        <w:t xml:space="preserve">que </w:t>
      </w:r>
      <w:r w:rsidR="00FB0871" w:rsidRPr="003C4152">
        <w:t>no ha existido embargo alguno contra la vivienda de los autores</w:t>
      </w:r>
      <w:r w:rsidR="00FB0871">
        <w:t xml:space="preserve">. El Comité también toma nota de que el Juzgado </w:t>
      </w:r>
      <w:r w:rsidR="009E6F53">
        <w:t>núm</w:t>
      </w:r>
      <w:r w:rsidR="00FB0871">
        <w:t>. 18 de Málaga ha procedido al embargo preventivo de dos de las propiedades de los autores</w:t>
      </w:r>
      <w:r w:rsidR="009E6F53">
        <w:t>,</w:t>
      </w:r>
      <w:r w:rsidR="00FB0871">
        <w:t xml:space="preserve"> pero </w:t>
      </w:r>
      <w:r w:rsidR="00F93FAE">
        <w:t xml:space="preserve">que </w:t>
      </w:r>
      <w:r w:rsidR="00FB0871">
        <w:t xml:space="preserve">el embargo no ha afectado su vivienda principal y los autores no han acreditado que exista un riesgo inminente de que esa propiedad sea embargada, de que se proceda a su desalojo forzoso, y de que, en consecuencia, su derecho a la vivienda pueda verse afectado. Los autores </w:t>
      </w:r>
      <w:r w:rsidR="00FB0871" w:rsidRPr="00AC3EB1">
        <w:t>no</w:t>
      </w:r>
      <w:r w:rsidR="00FB0871">
        <w:t xml:space="preserve"> mostraron realmente que si continúa el proceso </w:t>
      </w:r>
      <w:r w:rsidR="00FB0871" w:rsidRPr="00FD7B47">
        <w:t xml:space="preserve">de ejecución </w:t>
      </w:r>
      <w:r w:rsidR="00FB0871">
        <w:t>judicial en su contra sería</w:t>
      </w:r>
      <w:r w:rsidR="00FB0871" w:rsidRPr="00FD7B47">
        <w:t xml:space="preserve">n </w:t>
      </w:r>
      <w:r w:rsidR="00FB0871">
        <w:t xml:space="preserve">ineluctablemente </w:t>
      </w:r>
      <w:r w:rsidR="00FB0871" w:rsidRPr="00FD7B47">
        <w:t>desalojados de su residencia principal</w:t>
      </w:r>
      <w:r w:rsidR="00FB0871">
        <w:t xml:space="preserve">, que ni siquiera ha sido embargada. </w:t>
      </w:r>
      <w:r w:rsidR="000B71C6" w:rsidRPr="000B71C6">
        <w:t xml:space="preserve">Los hechos aducidos en la comunicación deberían, como mínimo, permitir al </w:t>
      </w:r>
      <w:r w:rsidR="000B71C6" w:rsidRPr="00AC3EB1">
        <w:t>Comité</w:t>
      </w:r>
      <w:r w:rsidR="000B71C6" w:rsidRPr="000B71C6">
        <w:t xml:space="preserve"> valorar si ponen de manifiesto una violación del Pacto</w:t>
      </w:r>
      <w:r w:rsidR="00624BA8" w:rsidRPr="0024457B">
        <w:rPr>
          <w:rStyle w:val="Refdenotaalpie"/>
          <w:szCs w:val="18"/>
        </w:rPr>
        <w:footnoteReference w:id="4"/>
      </w:r>
      <w:r w:rsidR="009E6F53">
        <w:t>.</w:t>
      </w:r>
      <w:r w:rsidR="000B71C6">
        <w:t xml:space="preserve"> </w:t>
      </w:r>
      <w:r w:rsidR="00FB0871">
        <w:t xml:space="preserve">Teniendo en cuenta que el proceso judicial al que se refieren los autores no ha afectado su vivienda y que </w:t>
      </w:r>
      <w:r w:rsidR="00F269B3">
        <w:t>e</w:t>
      </w:r>
      <w:r w:rsidR="00FB0871">
        <w:t xml:space="preserve">stos no han acreditado haberse visto privados de su derecho a una vivienda adecuada o que este derecho se encuentre realmente amenazado, el Comité considera que la comunicación no está suficientemente fundamentada a efectos de la admisibilidad y que es inadmisible </w:t>
      </w:r>
      <w:r w:rsidR="00FB0871" w:rsidRPr="0005367E">
        <w:t xml:space="preserve">con arreglo al artículo 3, párr. </w:t>
      </w:r>
      <w:r w:rsidR="00FB0871" w:rsidRPr="007D298B">
        <w:t>2, apdo. e), del Protocolo Facultativo.</w:t>
      </w:r>
    </w:p>
    <w:p w14:paraId="752A0DB4" w14:textId="77777777" w:rsidR="00FB0871" w:rsidRPr="007D298B" w:rsidRDefault="00FB0871" w:rsidP="00FB0871">
      <w:pPr>
        <w:pStyle w:val="H1G"/>
      </w:pPr>
      <w:r w:rsidRPr="007D298B">
        <w:tab/>
        <w:t>C.</w:t>
      </w:r>
      <w:r w:rsidRPr="007D298B">
        <w:tab/>
        <w:t>Conclusión</w:t>
      </w:r>
    </w:p>
    <w:p w14:paraId="695CB13E" w14:textId="15155AE2" w:rsidR="00FB0871" w:rsidRPr="00D76D7E" w:rsidRDefault="00D111AD" w:rsidP="00FB0871">
      <w:pPr>
        <w:pStyle w:val="SingleTxtG"/>
      </w:pPr>
      <w:r>
        <w:t>9</w:t>
      </w:r>
      <w:r w:rsidR="00FB0871" w:rsidRPr="00D76D7E">
        <w:t>.</w:t>
      </w:r>
      <w:r w:rsidR="00FB0871" w:rsidRPr="00D76D7E">
        <w:tab/>
        <w:t xml:space="preserve">Tomando en consideración toda la información proporcionada, el Comité, actuando en virtud del </w:t>
      </w:r>
      <w:r w:rsidR="00FB0871" w:rsidRPr="007D298B">
        <w:t>Protocolo</w:t>
      </w:r>
      <w:r w:rsidR="00FB0871" w:rsidRPr="00D76D7E">
        <w:t xml:space="preserve"> Facultativo, dictamina que la comunicación es inadmisible</w:t>
      </w:r>
      <w:r w:rsidR="00FB0871" w:rsidRPr="00CE38F9">
        <w:t xml:space="preserve"> </w:t>
      </w:r>
      <w:r w:rsidR="00FB0871" w:rsidRPr="00D76D7E">
        <w:t>de conformidad con el artículo 3, párr. 2, apdo. e), del Protocolo Facultati</w:t>
      </w:r>
      <w:r w:rsidR="00FB0871">
        <w:t>vo</w:t>
      </w:r>
      <w:r w:rsidR="00FB0871" w:rsidRPr="00D76D7E">
        <w:t>.</w:t>
      </w:r>
    </w:p>
    <w:p w14:paraId="561C3133" w14:textId="48BCC7EF" w:rsidR="00FB0871" w:rsidRDefault="00D111AD" w:rsidP="00A81CC4">
      <w:pPr>
        <w:pStyle w:val="SingleTxtG"/>
        <w:keepNext/>
      </w:pPr>
      <w:r>
        <w:rPr>
          <w:bCs/>
        </w:rPr>
        <w:lastRenderedPageBreak/>
        <w:t>10</w:t>
      </w:r>
      <w:r w:rsidR="00FB0871" w:rsidRPr="00D76D7E">
        <w:rPr>
          <w:bCs/>
        </w:rPr>
        <w:t>.</w:t>
      </w:r>
      <w:r w:rsidR="00FB0871">
        <w:rPr>
          <w:bCs/>
        </w:rPr>
        <w:tab/>
        <w:t xml:space="preserve">Por lo tanto, el Comité decide que </w:t>
      </w:r>
      <w:r w:rsidR="00FB0871" w:rsidRPr="00D76D7E">
        <w:rPr>
          <w:bCs/>
        </w:rPr>
        <w:t xml:space="preserve">en virtud del artículo 9, párr. 1, del Protocolo Facultativo, el presente dictamen será transmitido al autor de la comunicación y al </w:t>
      </w:r>
      <w:r w:rsidR="00FB0871">
        <w:rPr>
          <w:bCs/>
        </w:rPr>
        <w:t>Estado parte</w:t>
      </w:r>
      <w:r w:rsidR="00FB0871" w:rsidRPr="00D76D7E">
        <w:rPr>
          <w:bCs/>
        </w:rPr>
        <w:t>.</w:t>
      </w:r>
    </w:p>
    <w:p w14:paraId="151E3E2E" w14:textId="0DC03693" w:rsidR="003B7231" w:rsidRPr="003B7231" w:rsidRDefault="003B7231" w:rsidP="00A81CC4">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3B7231" w:rsidRPr="003B7231" w:rsidSect="004677B6">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1E3E33" w14:textId="77777777" w:rsidR="00575FF3" w:rsidRPr="00093664" w:rsidRDefault="00575FF3" w:rsidP="00093664">
      <w:pPr>
        <w:pStyle w:val="Piedepgina"/>
      </w:pPr>
    </w:p>
  </w:endnote>
  <w:endnote w:type="continuationSeparator" w:id="0">
    <w:p w14:paraId="151E3E34" w14:textId="77777777" w:rsidR="00575FF3" w:rsidRPr="00093664" w:rsidRDefault="00575FF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E3E37" w14:textId="2A4621EA" w:rsidR="004677B6" w:rsidRPr="004677B6" w:rsidRDefault="004677B6" w:rsidP="004677B6">
    <w:pPr>
      <w:pStyle w:val="Piedepgina"/>
      <w:tabs>
        <w:tab w:val="right" w:pos="9638"/>
      </w:tabs>
    </w:pPr>
    <w:r w:rsidRPr="004677B6">
      <w:rPr>
        <w:b/>
        <w:sz w:val="18"/>
      </w:rPr>
      <w:fldChar w:fldCharType="begin"/>
    </w:r>
    <w:r w:rsidRPr="004677B6">
      <w:rPr>
        <w:b/>
        <w:sz w:val="18"/>
      </w:rPr>
      <w:instrText xml:space="preserve"> PAGE  \* MERGEFORMAT </w:instrText>
    </w:r>
    <w:r w:rsidRPr="004677B6">
      <w:rPr>
        <w:b/>
        <w:sz w:val="18"/>
      </w:rPr>
      <w:fldChar w:fldCharType="separate"/>
    </w:r>
    <w:r w:rsidR="002A47CC">
      <w:rPr>
        <w:b/>
        <w:noProof/>
        <w:sz w:val="18"/>
      </w:rPr>
      <w:t>2</w:t>
    </w:r>
    <w:r w:rsidRPr="004677B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E3E38" w14:textId="41A597F3" w:rsidR="004677B6" w:rsidRPr="004677B6" w:rsidRDefault="004677B6" w:rsidP="004677B6">
    <w:pPr>
      <w:pStyle w:val="Piedepgina"/>
      <w:tabs>
        <w:tab w:val="right" w:pos="9638"/>
      </w:tabs>
      <w:rPr>
        <w:b/>
        <w:sz w:val="18"/>
      </w:rPr>
    </w:pPr>
    <w:r>
      <w:tab/>
    </w:r>
    <w:r w:rsidRPr="004677B6">
      <w:rPr>
        <w:b/>
        <w:sz w:val="18"/>
      </w:rPr>
      <w:fldChar w:fldCharType="begin"/>
    </w:r>
    <w:r w:rsidRPr="004677B6">
      <w:rPr>
        <w:b/>
        <w:sz w:val="18"/>
      </w:rPr>
      <w:instrText xml:space="preserve"> PAGE  \* MERGEFORMAT </w:instrText>
    </w:r>
    <w:r w:rsidRPr="004677B6">
      <w:rPr>
        <w:b/>
        <w:sz w:val="18"/>
      </w:rPr>
      <w:fldChar w:fldCharType="separate"/>
    </w:r>
    <w:r w:rsidR="002A47CC">
      <w:rPr>
        <w:b/>
        <w:noProof/>
        <w:sz w:val="18"/>
      </w:rPr>
      <w:t>7</w:t>
    </w:r>
    <w:r w:rsidRPr="004677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E3E39" w14:textId="4ED24BE9" w:rsidR="005016AF" w:rsidRPr="00A81CC4" w:rsidRDefault="00A81CC4" w:rsidP="00A81CC4">
    <w:pPr>
      <w:pStyle w:val="Piedepgina"/>
      <w:spacing w:before="120" w:line="240" w:lineRule="auto"/>
      <w:rPr>
        <w:sz w:val="20"/>
      </w:rPr>
    </w:pPr>
    <w:r>
      <w:rPr>
        <w:sz w:val="20"/>
      </w:rPr>
      <w:t>GE.19-04903  (S)</w:t>
    </w:r>
    <w:r>
      <w:rPr>
        <w:sz w:val="20"/>
      </w:rPr>
      <w:br/>
    </w:r>
    <w:r w:rsidRPr="00A81CC4">
      <w:rPr>
        <w:rFonts w:ascii="C39T30Lfz" w:hAnsi="C39T30Lfz"/>
        <w:sz w:val="56"/>
      </w:rPr>
      <w:t></w:t>
    </w:r>
    <w:r w:rsidRPr="00A81CC4">
      <w:rPr>
        <w:rFonts w:ascii="C39T30Lfz" w:hAnsi="C39T30Lfz"/>
        <w:sz w:val="56"/>
      </w:rPr>
      <w:t></w:t>
    </w:r>
    <w:r w:rsidRPr="00A81CC4">
      <w:rPr>
        <w:rFonts w:ascii="C39T30Lfz" w:hAnsi="C39T30Lfz"/>
        <w:sz w:val="56"/>
      </w:rPr>
      <w:t></w:t>
    </w:r>
    <w:r w:rsidRPr="00A81CC4">
      <w:rPr>
        <w:rFonts w:ascii="C39T30Lfz" w:hAnsi="C39T30Lfz"/>
        <w:sz w:val="56"/>
      </w:rPr>
      <w:t></w:t>
    </w:r>
    <w:r w:rsidRPr="00A81CC4">
      <w:rPr>
        <w:rFonts w:ascii="C39T30Lfz" w:hAnsi="C39T30Lfz"/>
        <w:sz w:val="56"/>
      </w:rPr>
      <w:t></w:t>
    </w:r>
    <w:r w:rsidRPr="00A81CC4">
      <w:rPr>
        <w:rFonts w:ascii="C39T30Lfz" w:hAnsi="C39T30Lfz"/>
        <w:sz w:val="56"/>
      </w:rPr>
      <w:t></w:t>
    </w:r>
    <w:r w:rsidRPr="00A81CC4">
      <w:rPr>
        <w:rFonts w:ascii="C39T30Lfz" w:hAnsi="C39T30Lfz"/>
        <w:sz w:val="56"/>
      </w:rPr>
      <w:t></w:t>
    </w:r>
    <w:r w:rsidRPr="00A81CC4">
      <w:rPr>
        <w:rFonts w:ascii="C39T30Lfz" w:hAnsi="C39T30Lfz"/>
        <w:sz w:val="56"/>
      </w:rPr>
      <w:t></w:t>
    </w:r>
    <w:r w:rsidRPr="00A81CC4">
      <w:rPr>
        <w:rFonts w:ascii="C39T30Lfz" w:hAnsi="C39T30Lfz"/>
        <w:sz w:val="56"/>
      </w:rPr>
      <w:t></w:t>
    </w:r>
    <w:r w:rsidRPr="00A81CC4">
      <w:rPr>
        <w:rFonts w:ascii="C39T30Lfz" w:hAnsi="C39T30Lfz"/>
        <w:noProof/>
        <w:sz w:val="56"/>
        <w:lang w:eastAsia="zh-CN"/>
      </w:rPr>
      <w:drawing>
        <wp:anchor distT="0" distB="0" distL="114300" distR="114300" simplePos="0" relativeHeight="251660288" behindDoc="0" locked="1" layoutInCell="1" allowOverlap="1" wp14:anchorId="74B6FFA9" wp14:editId="2B7AE45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799BB61D" wp14:editId="6929246B">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E/C.12/65/D/9/201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5/D/9/201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1E3E31" w14:textId="77777777" w:rsidR="00575FF3" w:rsidRPr="001075E9" w:rsidRDefault="00575FF3" w:rsidP="001075E9">
      <w:pPr>
        <w:tabs>
          <w:tab w:val="right" w:pos="2155"/>
        </w:tabs>
        <w:spacing w:after="80" w:line="240" w:lineRule="auto"/>
        <w:ind w:left="680"/>
        <w:rPr>
          <w:u w:val="single"/>
        </w:rPr>
      </w:pPr>
      <w:r>
        <w:rPr>
          <w:u w:val="single"/>
        </w:rPr>
        <w:tab/>
      </w:r>
    </w:p>
  </w:footnote>
  <w:footnote w:type="continuationSeparator" w:id="0">
    <w:p w14:paraId="151E3E32" w14:textId="77777777" w:rsidR="00575FF3" w:rsidRDefault="00575FF3" w:rsidP="00093664">
      <w:pPr>
        <w:tabs>
          <w:tab w:val="right" w:pos="2155"/>
        </w:tabs>
        <w:spacing w:after="80" w:line="240" w:lineRule="auto"/>
        <w:ind w:left="680"/>
        <w:rPr>
          <w:u w:val="single"/>
        </w:rPr>
      </w:pPr>
      <w:r>
        <w:rPr>
          <w:u w:val="single"/>
        </w:rPr>
        <w:tab/>
      </w:r>
    </w:p>
  </w:footnote>
  <w:footnote w:id="1">
    <w:p w14:paraId="72D4DEE0" w14:textId="06118295" w:rsidR="00246D6C" w:rsidRPr="00246D6C" w:rsidRDefault="00246D6C" w:rsidP="002E09A6">
      <w:pPr>
        <w:pStyle w:val="Textonotapie"/>
      </w:pPr>
      <w:r>
        <w:rPr>
          <w:rStyle w:val="Refdenotaalpie"/>
        </w:rPr>
        <w:tab/>
      </w:r>
      <w:r w:rsidRPr="0024457B">
        <w:rPr>
          <w:rStyle w:val="Refdenotaalpie"/>
          <w:sz w:val="20"/>
          <w:vertAlign w:val="baseline"/>
        </w:rPr>
        <w:t>*</w:t>
      </w:r>
      <w:r>
        <w:rPr>
          <w:rStyle w:val="Refdenotaalpie"/>
          <w:sz w:val="20"/>
          <w:vertAlign w:val="baseline"/>
        </w:rPr>
        <w:tab/>
      </w:r>
      <w:r w:rsidR="00E6309E" w:rsidRPr="0024457B">
        <w:rPr>
          <w:lang w:val="es-419"/>
        </w:rPr>
        <w:t>Aprobad</w:t>
      </w:r>
      <w:r w:rsidR="00D97B5E">
        <w:rPr>
          <w:lang w:val="es-419"/>
        </w:rPr>
        <w:t>a</w:t>
      </w:r>
      <w:r w:rsidR="00E6309E" w:rsidRPr="0024457B">
        <w:rPr>
          <w:lang w:val="es-419"/>
        </w:rPr>
        <w:t xml:space="preserve"> por el Comité en su 65</w:t>
      </w:r>
      <w:r w:rsidR="002E09A6">
        <w:rPr>
          <w:lang w:val="es-419"/>
        </w:rPr>
        <w:t>º</w:t>
      </w:r>
      <w:r w:rsidR="00E6309E" w:rsidRPr="0024457B">
        <w:rPr>
          <w:lang w:val="es-419"/>
        </w:rPr>
        <w:t xml:space="preserve"> período de sesiones (18 de febrero a 8 de marzo </w:t>
      </w:r>
      <w:r w:rsidR="00906786">
        <w:rPr>
          <w:lang w:val="es-419"/>
        </w:rPr>
        <w:t xml:space="preserve">de </w:t>
      </w:r>
      <w:r w:rsidR="00E6309E" w:rsidRPr="0024457B">
        <w:rPr>
          <w:lang w:val="es-419"/>
        </w:rPr>
        <w:t>2019)</w:t>
      </w:r>
      <w:r w:rsidR="00E6309E">
        <w:rPr>
          <w:lang w:val="es-419"/>
        </w:rPr>
        <w:t>.</w:t>
      </w:r>
    </w:p>
  </w:footnote>
  <w:footnote w:id="2">
    <w:p w14:paraId="3F2B231B" w14:textId="4CF84696" w:rsidR="00FB0871" w:rsidRPr="00B71710" w:rsidRDefault="005B4E9A">
      <w:pPr>
        <w:pStyle w:val="Textonotapie"/>
      </w:pPr>
      <w:r w:rsidRPr="00246D6C">
        <w:tab/>
      </w:r>
      <w:r w:rsidR="00FB0871">
        <w:rPr>
          <w:rStyle w:val="Refdenotaalpie"/>
        </w:rPr>
        <w:footnoteRef/>
      </w:r>
      <w:r>
        <w:tab/>
      </w:r>
      <w:r w:rsidR="00FB0871">
        <w:t xml:space="preserve">Observación general </w:t>
      </w:r>
      <w:r w:rsidR="00205D52">
        <w:t xml:space="preserve">núm. </w:t>
      </w:r>
      <w:r w:rsidR="00FB0871">
        <w:t xml:space="preserve">4 (1991) </w:t>
      </w:r>
      <w:r w:rsidR="00205D52">
        <w:t>sobre e</w:t>
      </w:r>
      <w:r w:rsidR="00FB0871" w:rsidRPr="007D6299">
        <w:t>l derecho a una vivienda adecuada</w:t>
      </w:r>
      <w:r w:rsidR="00FB0871">
        <w:t>, párr. 18</w:t>
      </w:r>
      <w:r w:rsidR="00D66074">
        <w:t>,</w:t>
      </w:r>
      <w:r w:rsidR="00FB0871">
        <w:t xml:space="preserve"> y </w:t>
      </w:r>
      <w:r w:rsidR="00205D52">
        <w:t>o</w:t>
      </w:r>
      <w:r w:rsidR="00FB0871" w:rsidRPr="007D6299">
        <w:t xml:space="preserve">bservación general </w:t>
      </w:r>
      <w:r w:rsidR="00205D52">
        <w:t xml:space="preserve">núm. </w:t>
      </w:r>
      <w:r w:rsidR="00FB0871" w:rsidRPr="007D6299">
        <w:t>7</w:t>
      </w:r>
      <w:r w:rsidR="00FB0871">
        <w:t xml:space="preserve"> (1997) </w:t>
      </w:r>
      <w:r w:rsidR="00205D52">
        <w:t>sobre e</w:t>
      </w:r>
      <w:r w:rsidR="00FB0871" w:rsidRPr="007D6299">
        <w:t>l derecho a una v</w:t>
      </w:r>
      <w:r w:rsidR="00FB0871">
        <w:t>ivienda adecuada</w:t>
      </w:r>
      <w:r w:rsidR="00FB0871" w:rsidRPr="007D6299">
        <w:t>: los desalojos forzosos</w:t>
      </w:r>
      <w:r w:rsidR="00FB0871">
        <w:t>, párr</w:t>
      </w:r>
      <w:r w:rsidR="00FB0871" w:rsidRPr="00B71710">
        <w:t xml:space="preserve">. </w:t>
      </w:r>
      <w:r w:rsidR="00FB0871">
        <w:t>8</w:t>
      </w:r>
      <w:r w:rsidR="00FB0871" w:rsidRPr="00B71710">
        <w:t>.</w:t>
      </w:r>
    </w:p>
  </w:footnote>
  <w:footnote w:id="3">
    <w:p w14:paraId="74EEA39D" w14:textId="0585EDC6" w:rsidR="00FB0871" w:rsidRPr="00F067F9" w:rsidRDefault="005B4E9A">
      <w:pPr>
        <w:pStyle w:val="Textonotapie"/>
      </w:pPr>
      <w:r>
        <w:tab/>
      </w:r>
      <w:r w:rsidR="00FB0871">
        <w:rPr>
          <w:rStyle w:val="Refdenotaalpie"/>
        </w:rPr>
        <w:footnoteRef/>
      </w:r>
      <w:r>
        <w:tab/>
      </w:r>
      <w:r w:rsidR="00FB0871">
        <w:t>Véase</w:t>
      </w:r>
      <w:r w:rsidR="00FB0871" w:rsidRPr="00F067F9">
        <w:t xml:space="preserve"> la sentencia del Tribunal de Justicia de la Unión Europea, </w:t>
      </w:r>
      <w:r w:rsidR="00FB0871" w:rsidRPr="0024457B">
        <w:rPr>
          <w:i/>
          <w:iCs/>
        </w:rPr>
        <w:t>Juan Carlos Sánchez Morcillo y María del Carmen Abril García c</w:t>
      </w:r>
      <w:r w:rsidR="00F922C3" w:rsidRPr="0024457B">
        <w:rPr>
          <w:i/>
          <w:iCs/>
        </w:rPr>
        <w:t xml:space="preserve">. </w:t>
      </w:r>
      <w:r w:rsidR="00FB0871" w:rsidRPr="0024457B">
        <w:rPr>
          <w:i/>
          <w:iCs/>
        </w:rPr>
        <w:t>Banco Bilbao Vizcaya Argentaria</w:t>
      </w:r>
      <w:r w:rsidR="00FB0871" w:rsidRPr="00F067F9">
        <w:t xml:space="preserve"> </w:t>
      </w:r>
      <w:r w:rsidR="00FB0871" w:rsidRPr="0024457B">
        <w:rPr>
          <w:i/>
          <w:iCs/>
        </w:rPr>
        <w:t>SA</w:t>
      </w:r>
      <w:r w:rsidR="00FB0871">
        <w:t xml:space="preserve"> (</w:t>
      </w:r>
      <w:r w:rsidR="00FB0871" w:rsidRPr="00F067F9">
        <w:t>C-169/14</w:t>
      </w:r>
      <w:r w:rsidR="00FB0871">
        <w:t>) de 17 de julio de</w:t>
      </w:r>
      <w:r w:rsidR="00973BD0">
        <w:t> </w:t>
      </w:r>
      <w:r w:rsidR="00FB0871">
        <w:t>2014, párr. 50, que consideró que no existían modalidades procesales suficientes en el ordenamiento jurídico aplicable para lograr el cese de aplicación de una cláusula abusiva en un documento auténtico de constitución de hipoteca</w:t>
      </w:r>
      <w:r w:rsidR="00FB0871" w:rsidRPr="001E78B3">
        <w:t>.</w:t>
      </w:r>
    </w:p>
  </w:footnote>
  <w:footnote w:id="4">
    <w:p w14:paraId="692647B2" w14:textId="4A6DB9F7" w:rsidR="00624BA8" w:rsidRPr="00624BA8" w:rsidRDefault="00AC3EB1">
      <w:pPr>
        <w:pStyle w:val="Textonotapie"/>
      </w:pPr>
      <w:r>
        <w:tab/>
      </w:r>
      <w:r w:rsidR="00624BA8">
        <w:rPr>
          <w:rStyle w:val="Refdenotaalpie"/>
        </w:rPr>
        <w:footnoteRef/>
      </w:r>
      <w:r>
        <w:tab/>
      </w:r>
      <w:r w:rsidR="00624BA8" w:rsidRPr="00624BA8">
        <w:t xml:space="preserve">Véase </w:t>
      </w:r>
      <w:r w:rsidR="00624BA8" w:rsidRPr="0024457B">
        <w:rPr>
          <w:i/>
          <w:iCs/>
        </w:rPr>
        <w:t>Martins Coelho c. Portugal</w:t>
      </w:r>
      <w:r w:rsidR="00624BA8" w:rsidRPr="00624BA8">
        <w:t xml:space="preserve"> (E/C.12/61/D/21/2017</w:t>
      </w:r>
      <w:r w:rsidR="00624BA8">
        <w:t>)</w:t>
      </w:r>
      <w:r w:rsidR="00175AF6">
        <w:t>,</w:t>
      </w:r>
      <w:r w:rsidR="00624BA8">
        <w:t xml:space="preserve"> párr. 4.3</w:t>
      </w:r>
      <w:r w:rsidR="00246D6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E3E35" w14:textId="1382839E" w:rsidR="004677B6" w:rsidRPr="00FB0871" w:rsidRDefault="00EE0BD2">
    <w:pPr>
      <w:pStyle w:val="Encabezado"/>
    </w:pPr>
    <w:r>
      <w:rPr>
        <w:rFonts w:eastAsia="SimSun"/>
        <w:lang w:val="en-GB" w:eastAsia="zh-CN"/>
      </w:rPr>
      <w:t>E/C.12/65/D/9/2015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E3E36" w14:textId="4A787425" w:rsidR="004677B6" w:rsidRPr="004677B6" w:rsidRDefault="00EE0BD2" w:rsidP="004677B6">
    <w:pPr>
      <w:pStyle w:val="Encabezado"/>
      <w:jc w:val="right"/>
    </w:pPr>
    <w:r>
      <w:t>E/C.12/65/D/9/2015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C6F4A" w14:textId="77777777" w:rsidR="00A81CC4" w:rsidRDefault="00A81C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660077E"/>
    <w:multiLevelType w:val="hybridMultilevel"/>
    <w:tmpl w:val="19FADB7E"/>
    <w:lvl w:ilvl="0" w:tplc="70EA4316">
      <w:start w:val="1"/>
      <w:numFmt w:val="decimal"/>
      <w:lvlText w:val="4.%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0A3325"/>
    <w:multiLevelType w:val="multilevel"/>
    <w:tmpl w:val="9C68D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B0222D"/>
    <w:multiLevelType w:val="hybridMultilevel"/>
    <w:tmpl w:val="A058D416"/>
    <w:lvl w:ilvl="0" w:tplc="C99C2068">
      <w:start w:val="1"/>
      <w:numFmt w:val="decimal"/>
      <w:lvlText w:val="3.%1"/>
      <w:lvlJc w:val="left"/>
      <w:pPr>
        <w:ind w:left="185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8171139"/>
    <w:multiLevelType w:val="hybridMultilevel"/>
    <w:tmpl w:val="DFF416FE"/>
    <w:lvl w:ilvl="0" w:tplc="5226D07C">
      <w:start w:val="1"/>
      <w:numFmt w:val="decimal"/>
      <w:lvlText w:val="7.%1"/>
      <w:lvlJc w:val="left"/>
      <w:pPr>
        <w:ind w:left="185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23233DB"/>
    <w:multiLevelType w:val="hybridMultilevel"/>
    <w:tmpl w:val="0EB80F58"/>
    <w:lvl w:ilvl="0" w:tplc="43824F48">
      <w:start w:val="1"/>
      <w:numFmt w:val="decimal"/>
      <w:lvlText w:val="6.%1"/>
      <w:lvlJc w:val="left"/>
      <w:pPr>
        <w:ind w:left="185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F5F3CC1"/>
    <w:multiLevelType w:val="hybridMultilevel"/>
    <w:tmpl w:val="FB162B1C"/>
    <w:lvl w:ilvl="0" w:tplc="473E7222">
      <w:start w:val="1"/>
      <w:numFmt w:val="decimal"/>
      <w:lvlText w:val="2.%1"/>
      <w:lvlJc w:val="left"/>
      <w:pPr>
        <w:ind w:left="185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1"/>
  </w:num>
  <w:num w:numId="3">
    <w:abstractNumId w:val="19"/>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3"/>
  </w:num>
  <w:num w:numId="18">
    <w:abstractNumId w:val="10"/>
  </w:num>
  <w:num w:numId="19">
    <w:abstractNumId w:val="18"/>
  </w:num>
  <w:num w:numId="20">
    <w:abstractNumId w:val="15"/>
  </w:num>
  <w:num w:numId="21">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55298"/>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FF3"/>
    <w:rsid w:val="00010F3B"/>
    <w:rsid w:val="000225BD"/>
    <w:rsid w:val="000312AB"/>
    <w:rsid w:val="00032D03"/>
    <w:rsid w:val="00060246"/>
    <w:rsid w:val="000660FD"/>
    <w:rsid w:val="0008650D"/>
    <w:rsid w:val="00093664"/>
    <w:rsid w:val="000977AA"/>
    <w:rsid w:val="000A6FE0"/>
    <w:rsid w:val="000B1A54"/>
    <w:rsid w:val="000B57E7"/>
    <w:rsid w:val="000B71C6"/>
    <w:rsid w:val="000D15B1"/>
    <w:rsid w:val="000D359E"/>
    <w:rsid w:val="000E05CB"/>
    <w:rsid w:val="000F09DF"/>
    <w:rsid w:val="000F61B2"/>
    <w:rsid w:val="00105B99"/>
    <w:rsid w:val="001075E9"/>
    <w:rsid w:val="00143FE5"/>
    <w:rsid w:val="0016010D"/>
    <w:rsid w:val="00175AF6"/>
    <w:rsid w:val="00180183"/>
    <w:rsid w:val="00196389"/>
    <w:rsid w:val="001C7A89"/>
    <w:rsid w:val="001F3EC3"/>
    <w:rsid w:val="00204526"/>
    <w:rsid w:val="00205748"/>
    <w:rsid w:val="00205D52"/>
    <w:rsid w:val="002069D6"/>
    <w:rsid w:val="0024457B"/>
    <w:rsid w:val="00246D6C"/>
    <w:rsid w:val="002526CE"/>
    <w:rsid w:val="00274FD1"/>
    <w:rsid w:val="002967E3"/>
    <w:rsid w:val="002A2EFC"/>
    <w:rsid w:val="002A47CC"/>
    <w:rsid w:val="002D16F0"/>
    <w:rsid w:val="002D4661"/>
    <w:rsid w:val="002D5AAC"/>
    <w:rsid w:val="002E09A6"/>
    <w:rsid w:val="002E551A"/>
    <w:rsid w:val="00301299"/>
    <w:rsid w:val="00303186"/>
    <w:rsid w:val="00303CA1"/>
    <w:rsid w:val="00313431"/>
    <w:rsid w:val="00322004"/>
    <w:rsid w:val="003402C2"/>
    <w:rsid w:val="003417BC"/>
    <w:rsid w:val="003538EB"/>
    <w:rsid w:val="00355307"/>
    <w:rsid w:val="00381C24"/>
    <w:rsid w:val="003958D0"/>
    <w:rsid w:val="003B3204"/>
    <w:rsid w:val="003B3F5E"/>
    <w:rsid w:val="003B7231"/>
    <w:rsid w:val="003D064D"/>
    <w:rsid w:val="003E2E37"/>
    <w:rsid w:val="0041031F"/>
    <w:rsid w:val="00423BC8"/>
    <w:rsid w:val="004365B5"/>
    <w:rsid w:val="00454E07"/>
    <w:rsid w:val="00454ED9"/>
    <w:rsid w:val="004677B6"/>
    <w:rsid w:val="004B19F2"/>
    <w:rsid w:val="004F7BE8"/>
    <w:rsid w:val="0050108D"/>
    <w:rsid w:val="005016AF"/>
    <w:rsid w:val="005076AF"/>
    <w:rsid w:val="0052159C"/>
    <w:rsid w:val="0056015C"/>
    <w:rsid w:val="00572E19"/>
    <w:rsid w:val="00575FF3"/>
    <w:rsid w:val="005A28BB"/>
    <w:rsid w:val="005B4E9A"/>
    <w:rsid w:val="005F0B42"/>
    <w:rsid w:val="00624BA8"/>
    <w:rsid w:val="0064421C"/>
    <w:rsid w:val="00681A6F"/>
    <w:rsid w:val="006A7666"/>
    <w:rsid w:val="006B20B3"/>
    <w:rsid w:val="006D0200"/>
    <w:rsid w:val="006E27AD"/>
    <w:rsid w:val="006F35EE"/>
    <w:rsid w:val="00706691"/>
    <w:rsid w:val="00710CF8"/>
    <w:rsid w:val="00715CDD"/>
    <w:rsid w:val="00716C6F"/>
    <w:rsid w:val="007464CC"/>
    <w:rsid w:val="00751B7F"/>
    <w:rsid w:val="007807B5"/>
    <w:rsid w:val="007907D2"/>
    <w:rsid w:val="007A5A5A"/>
    <w:rsid w:val="007B7ED5"/>
    <w:rsid w:val="007C139A"/>
    <w:rsid w:val="007C7C17"/>
    <w:rsid w:val="007D6339"/>
    <w:rsid w:val="007E2647"/>
    <w:rsid w:val="00802199"/>
    <w:rsid w:val="00830923"/>
    <w:rsid w:val="00834B71"/>
    <w:rsid w:val="0086445C"/>
    <w:rsid w:val="008A08D7"/>
    <w:rsid w:val="008E5F30"/>
    <w:rsid w:val="008F391B"/>
    <w:rsid w:val="00906786"/>
    <w:rsid w:val="00906890"/>
    <w:rsid w:val="009179A3"/>
    <w:rsid w:val="00930BE9"/>
    <w:rsid w:val="00951972"/>
    <w:rsid w:val="00973BD0"/>
    <w:rsid w:val="0097665B"/>
    <w:rsid w:val="00987051"/>
    <w:rsid w:val="009B060E"/>
    <w:rsid w:val="009B444E"/>
    <w:rsid w:val="009E6F53"/>
    <w:rsid w:val="009E78C4"/>
    <w:rsid w:val="00A00CB2"/>
    <w:rsid w:val="00A03415"/>
    <w:rsid w:val="00A500CE"/>
    <w:rsid w:val="00A645FF"/>
    <w:rsid w:val="00A71242"/>
    <w:rsid w:val="00A81CC4"/>
    <w:rsid w:val="00A917B3"/>
    <w:rsid w:val="00AB393D"/>
    <w:rsid w:val="00AB4B51"/>
    <w:rsid w:val="00AB4EB2"/>
    <w:rsid w:val="00AC3EB1"/>
    <w:rsid w:val="00AC58DC"/>
    <w:rsid w:val="00AC7128"/>
    <w:rsid w:val="00AF0918"/>
    <w:rsid w:val="00B05775"/>
    <w:rsid w:val="00B10B3B"/>
    <w:rsid w:val="00B10CC7"/>
    <w:rsid w:val="00B62458"/>
    <w:rsid w:val="00B6350A"/>
    <w:rsid w:val="00B74D61"/>
    <w:rsid w:val="00B76EDC"/>
    <w:rsid w:val="00B771DD"/>
    <w:rsid w:val="00BC161C"/>
    <w:rsid w:val="00BC1660"/>
    <w:rsid w:val="00BD33EE"/>
    <w:rsid w:val="00BD51A3"/>
    <w:rsid w:val="00C377E3"/>
    <w:rsid w:val="00C40853"/>
    <w:rsid w:val="00C601E2"/>
    <w:rsid w:val="00C60F0C"/>
    <w:rsid w:val="00C805C9"/>
    <w:rsid w:val="00C95092"/>
    <w:rsid w:val="00CA1679"/>
    <w:rsid w:val="00CC4BCF"/>
    <w:rsid w:val="00CD1CA0"/>
    <w:rsid w:val="00CE34F5"/>
    <w:rsid w:val="00CF09A3"/>
    <w:rsid w:val="00CF0A6C"/>
    <w:rsid w:val="00CF3241"/>
    <w:rsid w:val="00D02870"/>
    <w:rsid w:val="00D111AD"/>
    <w:rsid w:val="00D2169E"/>
    <w:rsid w:val="00D66074"/>
    <w:rsid w:val="00D738F9"/>
    <w:rsid w:val="00D759B3"/>
    <w:rsid w:val="00D90138"/>
    <w:rsid w:val="00D97076"/>
    <w:rsid w:val="00D97B5E"/>
    <w:rsid w:val="00DA451B"/>
    <w:rsid w:val="00DC6544"/>
    <w:rsid w:val="00E25F1C"/>
    <w:rsid w:val="00E3587C"/>
    <w:rsid w:val="00E6309E"/>
    <w:rsid w:val="00E73F76"/>
    <w:rsid w:val="00E95888"/>
    <w:rsid w:val="00EB4E08"/>
    <w:rsid w:val="00EB79CF"/>
    <w:rsid w:val="00EE0BD2"/>
    <w:rsid w:val="00EE1A32"/>
    <w:rsid w:val="00EF1360"/>
    <w:rsid w:val="00EF3220"/>
    <w:rsid w:val="00F269B3"/>
    <w:rsid w:val="00F33585"/>
    <w:rsid w:val="00F50944"/>
    <w:rsid w:val="00F50ABC"/>
    <w:rsid w:val="00F60A7D"/>
    <w:rsid w:val="00F611BB"/>
    <w:rsid w:val="00F922C3"/>
    <w:rsid w:val="00F93FAE"/>
    <w:rsid w:val="00FA13D3"/>
    <w:rsid w:val="00FB0871"/>
    <w:rsid w:val="00FB65AD"/>
    <w:rsid w:val="00FB6CD8"/>
    <w:rsid w:val="00FC1558"/>
    <w:rsid w:val="00FD2EF7"/>
    <w:rsid w:val="00FD622B"/>
    <w:rsid w:val="00FF091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14:docId w14:val="151E3E0D"/>
  <w15:docId w15:val="{7FB661E6-5F28-4724-B29E-0940BB579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1 Car,Footnote Text Char1 Char Char Char Char Car"/>
    <w:basedOn w:val="Fuentedeprrafopredeter"/>
    <w:link w:val="Textonotapie"/>
    <w:rsid w:val="004677B6"/>
    <w:rPr>
      <w:sz w:val="18"/>
      <w:lang w:val="es-ES" w:eastAsia="es-ES"/>
    </w:rPr>
  </w:style>
  <w:style w:type="character" w:customStyle="1" w:styleId="HChGChar">
    <w:name w:val="_ H _Ch_G Char"/>
    <w:link w:val="HChG"/>
    <w:rsid w:val="00FB0871"/>
    <w:rPr>
      <w:b/>
      <w:sz w:val="28"/>
      <w:lang w:val="es-ES" w:eastAsia="es-ES"/>
    </w:rPr>
  </w:style>
  <w:style w:type="character" w:customStyle="1" w:styleId="SingleTxtGChar">
    <w:name w:val="_ Single Txt_G Char"/>
    <w:link w:val="SingleTxtG"/>
    <w:locked/>
    <w:rsid w:val="00FB0871"/>
    <w:rPr>
      <w:lang w:val="es-ES" w:eastAsia="es-ES"/>
    </w:rPr>
  </w:style>
  <w:style w:type="paragraph" w:styleId="Prrafodelista">
    <w:name w:val="List Paragraph"/>
    <w:basedOn w:val="Normal"/>
    <w:uiPriority w:val="34"/>
    <w:qFormat/>
    <w:rsid w:val="00FB0871"/>
    <w:pPr>
      <w:ind w:left="720"/>
      <w:contextualSpacing/>
    </w:pPr>
  </w:style>
  <w:style w:type="character" w:styleId="Refdecomentario">
    <w:name w:val="annotation reference"/>
    <w:basedOn w:val="Fuentedeprrafopredeter"/>
    <w:semiHidden/>
    <w:unhideWhenUsed/>
    <w:rsid w:val="00CF0A6C"/>
    <w:rPr>
      <w:sz w:val="16"/>
      <w:szCs w:val="16"/>
    </w:rPr>
  </w:style>
  <w:style w:type="paragraph" w:styleId="Textocomentario">
    <w:name w:val="annotation text"/>
    <w:basedOn w:val="Normal"/>
    <w:link w:val="TextocomentarioCar"/>
    <w:semiHidden/>
    <w:unhideWhenUsed/>
    <w:rsid w:val="00CF0A6C"/>
    <w:pPr>
      <w:spacing w:line="240" w:lineRule="auto"/>
    </w:pPr>
  </w:style>
  <w:style w:type="character" w:customStyle="1" w:styleId="TextocomentarioCar">
    <w:name w:val="Texto comentario Car"/>
    <w:basedOn w:val="Fuentedeprrafopredeter"/>
    <w:link w:val="Textocomentario"/>
    <w:semiHidden/>
    <w:rsid w:val="00CF0A6C"/>
    <w:rPr>
      <w:lang w:val="es-ES" w:eastAsia="es-ES"/>
    </w:rPr>
  </w:style>
  <w:style w:type="paragraph" w:styleId="Asuntodelcomentario">
    <w:name w:val="annotation subject"/>
    <w:basedOn w:val="Textocomentario"/>
    <w:next w:val="Textocomentario"/>
    <w:link w:val="AsuntodelcomentarioCar"/>
    <w:semiHidden/>
    <w:unhideWhenUsed/>
    <w:rsid w:val="00CF0A6C"/>
    <w:rPr>
      <w:b/>
      <w:bCs/>
    </w:rPr>
  </w:style>
  <w:style w:type="character" w:customStyle="1" w:styleId="AsuntodelcomentarioCar">
    <w:name w:val="Asunto del comentario Car"/>
    <w:basedOn w:val="TextocomentarioCar"/>
    <w:link w:val="Asuntodelcomentario"/>
    <w:semiHidden/>
    <w:rsid w:val="00CF0A6C"/>
    <w:rPr>
      <w:b/>
      <w:bCs/>
      <w:lang w:val="es-ES" w:eastAsia="es-ES"/>
    </w:rPr>
  </w:style>
  <w:style w:type="character" w:customStyle="1" w:styleId="lhead">
    <w:name w:val="lhead"/>
    <w:basedOn w:val="Fuentedeprrafopredeter"/>
    <w:rsid w:val="00EE1A32"/>
  </w:style>
  <w:style w:type="character" w:customStyle="1" w:styleId="span10">
    <w:name w:val="span10"/>
    <w:basedOn w:val="Fuentedeprrafopredeter"/>
    <w:rsid w:val="00EE1A32"/>
  </w:style>
  <w:style w:type="character" w:customStyle="1" w:styleId="es">
    <w:name w:val="es"/>
    <w:basedOn w:val="Fuentedeprrafopredeter"/>
    <w:rsid w:val="00EE1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373640">
      <w:bodyDiv w:val="1"/>
      <w:marLeft w:val="0"/>
      <w:marRight w:val="0"/>
      <w:marTop w:val="0"/>
      <w:marBottom w:val="0"/>
      <w:divBdr>
        <w:top w:val="none" w:sz="0" w:space="0" w:color="auto"/>
        <w:left w:val="none" w:sz="0" w:space="0" w:color="auto"/>
        <w:bottom w:val="none" w:sz="0" w:space="0" w:color="auto"/>
        <w:right w:val="none" w:sz="0" w:space="0" w:color="auto"/>
      </w:divBdr>
    </w:div>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 w:id="21074585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E89B9A523FF84E9CADE6C6FDF39262" ma:contentTypeVersion="0" ma:contentTypeDescription="Create a new document." ma:contentTypeScope="" ma:versionID="157b957a9bf4e2f23b81061c963d69d9">
  <xsd:schema xmlns:xsd="http://www.w3.org/2001/XMLSchema" xmlns:xs="http://www.w3.org/2001/XMLSchema" xmlns:p="http://schemas.microsoft.com/office/2006/metadata/properties" targetNamespace="http://schemas.microsoft.com/office/2006/metadata/properties" ma:root="true" ma:fieldsID="711b5f35d88f7f6ebfe284b0f73f439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C87F8-3156-46B4-AFFD-8F095E3377E5}">
  <ds:schemaRefs>
    <ds:schemaRef ds:uri="http://schemas.microsoft.com/sharepoint/v3/contenttype/forms"/>
  </ds:schemaRefs>
</ds:datastoreItem>
</file>

<file path=customXml/itemProps2.xml><?xml version="1.0" encoding="utf-8"?>
<ds:datastoreItem xmlns:ds="http://schemas.openxmlformats.org/officeDocument/2006/customXml" ds:itemID="{B107F5EA-99E3-4658-9F49-D0D62CA8C1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302FA99-D615-4B0C-87A7-4ACB16D49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B4BAD7A-2161-4E10-A5B4-3FA8FF4A6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8</Pages>
  <Words>4239</Words>
  <Characters>21240</Characters>
  <Application>Microsoft Office Word</Application>
  <DocSecurity>0</DocSecurity>
  <Lines>354</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E/C.12/65/D/9/2015</vt:lpstr>
      <vt:lpstr>E/C.12/65/DR/9/2015</vt:lpstr>
    </vt:vector>
  </TitlesOfParts>
  <Company/>
  <LinksUpToDate>false</LinksUpToDate>
  <CharactersWithSpaces>25382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E/C.12/65/D/9/2015</dc:title>
  <dc:subject/>
  <dc:creator>R. Maquera</dc:creator>
  <cp:keywords/>
  <dc:description/>
  <cp:lastModifiedBy>Ruth Maquera Cruz De Gagnebin</cp:lastModifiedBy>
  <cp:revision>3</cp:revision>
  <cp:lastPrinted>2019-03-25T11:35:00Z</cp:lastPrinted>
  <dcterms:created xsi:type="dcterms:W3CDTF">2019-03-25T11:35:00Z</dcterms:created>
  <dcterms:modified xsi:type="dcterms:W3CDTF">2019-03-25T11:36:00Z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0x010100B6E89B9A523FF84E9CADE6C6FDF39262</vt:lpwstr>
  </property>
</Properties>
</file>