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41112</w:t>
                  </w:r>
                  <w:r>
                    <w:rPr>
                      <w:lang w:val="en-US"/>
                    </w:rPr>
                    <w:fldChar w:fldCharType="end"/>
                  </w:r>
                  <w:r>
                    <w:rPr>
                      <w:lang w:val="en-US"/>
                    </w:rPr>
                    <w:t xml:space="preserve">   (R)</w:t>
                  </w:r>
                  <w:r>
                    <w:t xml:space="preserve">    070806</w:t>
                  </w:r>
                  <w:r>
                    <w:rPr>
                      <w:lang w:val="en-US"/>
                    </w:rPr>
                    <w:t xml:space="preserve">    181006</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83168"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w:t>
            </w:r>
            <w:proofErr w:type="spellStart"/>
            <w:r>
              <w:rPr>
                <w:lang w:val="en-US"/>
              </w:rPr>
              <w:t>MKD</w:t>
            </w:r>
            <w:proofErr w:type="spellEnd"/>
            <w:r>
              <w:rPr>
                <w:lang w:val="en-US"/>
              </w:rPr>
              <w:t>/1</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29 March 2006</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r>
        <w:t>Основная сессия 2006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Первоначальные доклады, представляемые государствами-участниками в 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pPr>
      <w:r>
        <w:rPr>
          <w:b/>
          <w:bCs/>
        </w:rPr>
        <w:t>БЫВШАЯ ЮГОСЛАВСКАЯ РЕСПУБЛИКА МАКЕДОНИЯ</w:t>
      </w:r>
      <w:r>
        <w:rPr>
          <w:rStyle w:val="FootnoteReference"/>
        </w:rPr>
        <w:footnoteReference w:customMarkFollows="1" w:id="1"/>
        <w:t>*</w:t>
      </w:r>
    </w:p>
    <w:p w:rsidR="00000000" w:rsidRDefault="00000000">
      <w:pPr>
        <w:jc w:val="center"/>
      </w:pPr>
    </w:p>
    <w:p w:rsidR="00000000" w:rsidRDefault="00000000">
      <w:pPr>
        <w:jc w:val="right"/>
      </w:pPr>
      <w:r>
        <w:t>[21 июля 2005 года]</w:t>
      </w:r>
    </w:p>
    <w:p w:rsidR="00000000" w:rsidRDefault="00000000">
      <w:pPr>
        <w:jc w:val="right"/>
      </w:pPr>
    </w:p>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center" w:pos="8039"/>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center" w:pos="8039"/>
          <w:tab w:val="center" w:pos="9122"/>
        </w:tabs>
        <w:rPr>
          <w:i/>
          <w:iCs/>
        </w:rPr>
      </w:pPr>
    </w:p>
    <w:p w:rsidR="00000000" w:rsidRDefault="00000000">
      <w:pPr>
        <w:tabs>
          <w:tab w:val="clear" w:pos="1701"/>
          <w:tab w:val="clear" w:pos="2268"/>
          <w:tab w:val="clear" w:pos="6237"/>
          <w:tab w:val="right" w:leader="dot" w:pos="7172"/>
          <w:tab w:val="center" w:pos="8039"/>
          <w:tab w:val="center" w:pos="9122"/>
        </w:tabs>
      </w:pPr>
      <w:r>
        <w:t xml:space="preserve">Статья 1 Пакта </w:t>
      </w:r>
      <w:r>
        <w:tab/>
      </w:r>
      <w:r>
        <w:tab/>
        <w:t xml:space="preserve">  1 – 10</w:t>
      </w:r>
      <w:r>
        <w:tab/>
        <w:t>3</w:t>
      </w: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pPr>
      <w:r>
        <w:t xml:space="preserve">Статья 2 Пакта </w:t>
      </w:r>
      <w:r>
        <w:tab/>
      </w:r>
      <w:r>
        <w:tab/>
        <w:t>11 – 35</w:t>
      </w:r>
      <w:r>
        <w:tab/>
        <w:t>5</w:t>
      </w: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pPr>
      <w:r>
        <w:t xml:space="preserve">Статья 3 Пакта </w:t>
      </w:r>
      <w:r>
        <w:tab/>
      </w:r>
      <w:r>
        <w:tab/>
        <w:t>36 – 97</w:t>
      </w:r>
      <w:r>
        <w:tab/>
        <w:t>10</w:t>
      </w: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pPr>
      <w:r>
        <w:t xml:space="preserve">Статьи 4 и 5 Пакта </w:t>
      </w:r>
      <w:r>
        <w:tab/>
      </w:r>
      <w:r>
        <w:tab/>
        <w:t xml:space="preserve">  98 – 106</w:t>
      </w:r>
      <w:r>
        <w:tab/>
        <w:t>21</w:t>
      </w: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pPr>
      <w:r>
        <w:t xml:space="preserve">Статья 6 Пакта </w:t>
      </w:r>
      <w:r>
        <w:tab/>
      </w:r>
      <w:r>
        <w:tab/>
        <w:t>107 – 173</w:t>
      </w:r>
      <w:r>
        <w:tab/>
        <w:t>24</w:t>
      </w: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pPr>
      <w:r>
        <w:t xml:space="preserve">Статья 7 Пакта </w:t>
      </w:r>
      <w:r>
        <w:tab/>
      </w:r>
      <w:r>
        <w:tab/>
        <w:t>174 – 215</w:t>
      </w:r>
      <w:r>
        <w:tab/>
        <w:t>38</w:t>
      </w: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pPr>
      <w:r>
        <w:t xml:space="preserve">Статья 8 Пакта </w:t>
      </w:r>
      <w:r>
        <w:tab/>
      </w:r>
      <w:r>
        <w:tab/>
        <w:t>216 – 239</w:t>
      </w:r>
      <w:r>
        <w:tab/>
        <w:t>44</w:t>
      </w: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pPr>
      <w:r>
        <w:t xml:space="preserve">Статья 9 Пакта </w:t>
      </w:r>
      <w:r>
        <w:tab/>
      </w:r>
      <w:r>
        <w:tab/>
        <w:t>240 – 327</w:t>
      </w:r>
      <w:r>
        <w:tab/>
        <w:t>49</w:t>
      </w: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pPr>
      <w:r>
        <w:t xml:space="preserve">Статья 10 Пакта </w:t>
      </w:r>
      <w:r>
        <w:tab/>
      </w:r>
      <w:r>
        <w:tab/>
        <w:t>328 – 427</w:t>
      </w:r>
      <w:r>
        <w:tab/>
        <w:t>67</w:t>
      </w: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pPr>
      <w:r>
        <w:t xml:space="preserve">Статья 11 Пакта </w:t>
      </w:r>
      <w:r>
        <w:tab/>
      </w:r>
      <w:r>
        <w:tab/>
        <w:t>428 – 507</w:t>
      </w:r>
      <w:r>
        <w:tab/>
        <w:t>84</w:t>
      </w: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pPr>
      <w:r>
        <w:t xml:space="preserve">Статья 12 Пакта </w:t>
      </w:r>
      <w:r>
        <w:tab/>
      </w:r>
      <w:r>
        <w:tab/>
        <w:t>508 – 653</w:t>
      </w:r>
      <w:r>
        <w:tab/>
        <w:t>107</w:t>
      </w: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pPr>
      <w:r>
        <w:t xml:space="preserve">Статья 13 Пакта </w:t>
      </w:r>
      <w:r>
        <w:tab/>
      </w:r>
      <w:r>
        <w:tab/>
        <w:t>654 – 813</w:t>
      </w:r>
      <w:r>
        <w:tab/>
        <w:t>146</w:t>
      </w: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rPr>
          <w:lang w:val="en-US"/>
        </w:rPr>
      </w:pPr>
      <w:r>
        <w:t xml:space="preserve">Статья 15 Пакта </w:t>
      </w:r>
      <w:r>
        <w:tab/>
      </w:r>
      <w:r>
        <w:tab/>
        <w:t>814 – 976</w:t>
      </w:r>
      <w:r>
        <w:tab/>
      </w:r>
      <w:r>
        <w:rPr>
          <w:lang w:val="en-US"/>
        </w:rPr>
        <w:t>186</w:t>
      </w: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pPr>
    </w:p>
    <w:p w:rsidR="00000000" w:rsidRDefault="00000000">
      <w:pPr>
        <w:tabs>
          <w:tab w:val="clear" w:pos="1701"/>
          <w:tab w:val="clear" w:pos="2268"/>
          <w:tab w:val="clear" w:pos="6237"/>
          <w:tab w:val="right" w:leader="dot" w:pos="7172"/>
          <w:tab w:val="center" w:pos="8039"/>
          <w:tab w:val="center" w:pos="9122"/>
        </w:tabs>
      </w:pPr>
    </w:p>
    <w:p w:rsidR="00000000" w:rsidRDefault="00000000">
      <w:pPr>
        <w:jc w:val="center"/>
        <w:rPr>
          <w:b/>
          <w:bCs/>
        </w:rPr>
      </w:pPr>
      <w:r>
        <w:rPr>
          <w:b/>
          <w:bCs/>
        </w:rPr>
        <w:br w:type="page"/>
        <w:t>Статья 1 Пакта</w:t>
      </w:r>
    </w:p>
    <w:p w:rsidR="00000000" w:rsidRDefault="00000000">
      <w:pPr>
        <w:jc w:val="center"/>
        <w:rPr>
          <w:b/>
          <w:bCs/>
        </w:rPr>
      </w:pPr>
    </w:p>
    <w:p w:rsidR="00000000" w:rsidRDefault="00000000">
      <w:pPr>
        <w:rPr>
          <w:i/>
          <w:iCs/>
        </w:rPr>
      </w:pPr>
      <w:r>
        <w:t>1.</w:t>
      </w:r>
      <w:r>
        <w:tab/>
        <w:t xml:space="preserve">В соответствии с принципами Устава Организации Объединенных Наций о праве всех народов на самоопределение граждане бывшей югославской Республики Македонии выразили свою волю и на референдуме 8 сентября 1991 года отдали голоса за создание Республики как суверенного и независимого государства, подтвердив путем всенародного голосования государственный статус и суверенитет Республики.  Итоги референдума были официально подтверждены в Декларации, принятой Национальным собранием бывшей югославской Республики Македонии на сессии 17 сентября 1991 года, в которой, в частности, говорилось:  </w:t>
      </w:r>
      <w:r>
        <w:rPr>
          <w:i/>
          <w:iCs/>
        </w:rPr>
        <w:t xml:space="preserve">"Бывшая югославская Республика Македония как суверенное и независимое государство обязуется неизменно уважать общепризнанные принципы, содержащиеся в документах Организации Объединенных Наций, Заключительном акте Совещания по безопасности и сотрудничестве в Европе в Хельсинки и Парижской хартии для новой Европы.  Бывшая югославская Республика Македония в своей международной </w:t>
      </w:r>
      <w:proofErr w:type="spellStart"/>
      <w:r>
        <w:rPr>
          <w:i/>
          <w:iCs/>
        </w:rPr>
        <w:t>правосубъектности</w:t>
      </w:r>
      <w:proofErr w:type="spellEnd"/>
      <w:r>
        <w:rPr>
          <w:i/>
          <w:iCs/>
        </w:rPr>
        <w:t xml:space="preserve"> исходит из уважения международных норм, действующих в отношениях между государствами, и полного уважения принципов территориальной целостности и суверенитета, невмешательства во внутренние дела, упрочения взаимного уважения и доверия и развития всестороннего взаимовыгодного сотрудничества со всеми странами и народами".</w:t>
      </w:r>
    </w:p>
    <w:p w:rsidR="00000000" w:rsidRDefault="00000000">
      <w:pPr>
        <w:rPr>
          <w:i/>
          <w:iCs/>
        </w:rPr>
      </w:pPr>
    </w:p>
    <w:p w:rsidR="00000000" w:rsidRDefault="00000000">
      <w:r>
        <w:t>2.</w:t>
      </w:r>
      <w:r>
        <w:tab/>
        <w:t xml:space="preserve">Новая Конституция бывшей югославской Республики Македонии (далее "Конституция"), разработка которой велась параллельно с мероприятиями по получению независимости, была принята Собранием бывшей югославской Республики Македонии 17 ноября 1991 года.  </w:t>
      </w:r>
    </w:p>
    <w:p w:rsidR="00000000" w:rsidRDefault="00000000"/>
    <w:p w:rsidR="00000000" w:rsidRDefault="00000000">
      <w:r>
        <w:t>3.</w:t>
      </w:r>
      <w:r>
        <w:tab/>
        <w:t>19 декабря 1991 года Собрание бывшей югославской Республики Македонии приняло декларацию, призывающую к международному признанию Республики в качестве суверенного и независимого государства.</w:t>
      </w:r>
    </w:p>
    <w:p w:rsidR="00000000" w:rsidRDefault="00000000"/>
    <w:p w:rsidR="00000000" w:rsidRDefault="00000000">
      <w:r>
        <w:t>4.</w:t>
      </w:r>
      <w:r>
        <w:tab/>
        <w:t>Бывшая югославская Республика Македония стала полноправным членом Организации Объединенных Наций 8 апреля 1993 года.</w:t>
      </w:r>
    </w:p>
    <w:p w:rsidR="00000000" w:rsidRDefault="00000000"/>
    <w:p w:rsidR="00000000" w:rsidRDefault="00000000">
      <w:r>
        <w:t>5.</w:t>
      </w:r>
      <w:r>
        <w:tab/>
        <w:t>17 ноября 2001 года были приняты поправки 4-18 к Конституции.</w:t>
      </w:r>
    </w:p>
    <w:p w:rsidR="00000000" w:rsidRDefault="00000000"/>
    <w:p w:rsidR="00000000" w:rsidRDefault="00000000">
      <w:r>
        <w:t>6.</w:t>
      </w:r>
      <w:r>
        <w:tab/>
        <w:t>Политическая система и лежащие в ее основе цели провозглашены в преамбуле Конституции:</w:t>
      </w:r>
    </w:p>
    <w:p w:rsidR="00000000" w:rsidRDefault="00000000"/>
    <w:p w:rsidR="00000000" w:rsidRDefault="00000000">
      <w:pPr>
        <w:ind w:left="567" w:hanging="567"/>
      </w:pPr>
      <w:r>
        <w:tab/>
      </w:r>
      <w:r>
        <w:tab/>
        <w:t xml:space="preserve">"Основываясь на историческом, культурном, духовном и государственном наследии македонского народа и его вековой борьбе за национальную и социальную свободу, за создание своего государства, а в особенности на государственно-правовых традициях </w:t>
      </w:r>
      <w:proofErr w:type="spellStart"/>
      <w:r>
        <w:t>Крушевской</w:t>
      </w:r>
      <w:proofErr w:type="spellEnd"/>
      <w:r>
        <w:t xml:space="preserve"> республики, исторических решениях Антифашистского собрания за национальное освобождение Македонии и конституционно-правовой преемственности македонского государства как суверенной республики в составе Федеративной Югославии, на свободно выраженной воле граждан Республики на референдуме 8 сентября 1991 года, и исходя из исторического факта </w:t>
      </w:r>
      <w:proofErr w:type="spellStart"/>
      <w:r>
        <w:t>конституирования</w:t>
      </w:r>
      <w:proofErr w:type="spellEnd"/>
      <w:r>
        <w:t xml:space="preserve"> Македонии как национального государства македонского народа, в котором обеспечивается полное гражданское равноправие и постоянное сосуществование македонского народа с албанцами, турками, влахами, цыганами и другими национальностями, которые проживают в Республике Македонии, чтобы конституировать Республику Македонию как суверенное и независимое, гражданское и демократическое государство;  восстановить и утвердить верховенство права в качестве системы власти;  гарантировать права человека, гражданские свободы и национальное равноправие;  обеспечить мир и сосуществование македонского народа с другими национальностями, проживающими в Республике Македонии, и обеспечить социальную справедливость, экономическое благосостояние и прогресс личной и общественной жизни, Собрание Республики Македонии принимает Конституцию Республики Македонии".</w:t>
      </w:r>
    </w:p>
    <w:p w:rsidR="00000000" w:rsidRDefault="00000000">
      <w:pPr>
        <w:ind w:left="567" w:hanging="567"/>
      </w:pPr>
    </w:p>
    <w:p w:rsidR="00000000" w:rsidRDefault="00000000">
      <w:r>
        <w:t>7.</w:t>
      </w:r>
      <w:r>
        <w:tab/>
        <w:t>Согласно статье 1 Конституции, бывшая югославская Республика Македония - суверенное, независимое, демократическое и социальное государство.  Согласно статье 2, ее суверенитет исходит от граждан и принадлежит гражданам.  Граждане Республики осуществляют власть через демократически избранных представителей, путем референдума и с использованием других форм прямого волеизъявления.</w:t>
      </w:r>
    </w:p>
    <w:p w:rsidR="00000000" w:rsidRDefault="00000000"/>
    <w:p w:rsidR="00000000" w:rsidRDefault="00000000">
      <w:r>
        <w:t>8.</w:t>
      </w:r>
      <w:r>
        <w:tab/>
        <w:t xml:space="preserve">В статье 8 Конституции определены основополагающие ценности конституционного устройства бывшей югославской Республики Македонии:  основные свободы и права человека и гражданина, признанные международным правом и определенные Конституцией;  свободное определение национальной принадлежности;  верховенство права;  разделение государственной власти на законодательную, исполнительную и судебную;  политический плюрализм, свободные, прямые и демократические выборы;  правовая защита собственности;  свободный рынок и предпринимательство;  гуманизм, социальная справедливость и солидарность;  местное самоуправление;  обустройство и </w:t>
      </w:r>
      <w:proofErr w:type="spellStart"/>
      <w:r>
        <w:t>гуманизация</w:t>
      </w:r>
      <w:proofErr w:type="spellEnd"/>
      <w:r>
        <w:t xml:space="preserve"> территории, охрана и улучшение окружающей среды и природы;  уважение общепринятых норм международного права.</w:t>
      </w:r>
    </w:p>
    <w:p w:rsidR="00000000" w:rsidRDefault="00000000"/>
    <w:p w:rsidR="00000000" w:rsidRDefault="00000000">
      <w:r>
        <w:t>9.</w:t>
      </w:r>
      <w:r>
        <w:tab/>
      </w:r>
      <w:r>
        <w:rPr>
          <w:i/>
          <w:iCs/>
        </w:rPr>
        <w:t>"Все природные богатства Республики Македонии, растительный и животный мир, имущество, находящееся в общем пользовании, а также предметы и объекты особого культурного и исторического значения в соответствии с законом представляют общественный интерес Республики Македонии и пользуются особой защитой.  Республика гарантирует охрану, развитие и преумножение исторического и художественного богатства македонского народа и национальностей, а также составляющих его предметов и объектов, независимо от правового режима"</w:t>
      </w:r>
      <w:r>
        <w:t xml:space="preserve"> (статья 56 Конституции).</w:t>
      </w:r>
    </w:p>
    <w:p w:rsidR="00000000" w:rsidRDefault="00000000"/>
    <w:p w:rsidR="00000000" w:rsidRDefault="00000000">
      <w:r>
        <w:t>10.</w:t>
      </w:r>
      <w:r>
        <w:tab/>
        <w:t>Процедура и условия, при которых может даваться разрешение на использование предметов и объектов, представляющих для Республики общественный интерес, определяются в Законе о концессиях.</w:t>
      </w:r>
    </w:p>
    <w:p w:rsidR="00000000" w:rsidRDefault="00000000"/>
    <w:p w:rsidR="00000000" w:rsidRDefault="00000000">
      <w:pPr>
        <w:jc w:val="center"/>
        <w:rPr>
          <w:b/>
          <w:bCs/>
        </w:rPr>
      </w:pPr>
      <w:r>
        <w:rPr>
          <w:b/>
          <w:bCs/>
        </w:rPr>
        <w:t>Статья 2 Пакта</w:t>
      </w:r>
    </w:p>
    <w:p w:rsidR="00000000" w:rsidRDefault="00000000">
      <w:pPr>
        <w:jc w:val="center"/>
        <w:rPr>
          <w:b/>
          <w:bCs/>
        </w:rPr>
      </w:pPr>
    </w:p>
    <w:p w:rsidR="00000000" w:rsidRDefault="00000000">
      <w:r>
        <w:t>11.</w:t>
      </w:r>
      <w:r>
        <w:tab/>
        <w:t xml:space="preserve">Решением правительства от 20 сентября 1993 </w:t>
      </w:r>
      <w:proofErr w:type="spellStart"/>
      <w:r>
        <w:t>год</w:t>
      </w:r>
      <w:r>
        <w:rPr>
          <w:b/>
          <w:bCs/>
          <w:vertAlign w:val="superscript"/>
        </w:rPr>
        <w:t>1</w:t>
      </w:r>
      <w:proofErr w:type="spellEnd"/>
      <w:r>
        <w:t xml:space="preserve"> бывшая югославская Республика Македония присоединилась к Международному пакту об экономических, социальных и культурных правах.  Права, гарантированные Пактом, включены в правовую систему бывшей югославской Республики Македонии через Конституцию 1991 года, в которой содержится особая глава (глава 2), посвященная экономическим, социальным и культурным правам.  Как по структуре, так и по содержанию этих прав Конституция полностью отражает положения Международного пакта об экономических, социальных и культурных правах.  В настоящем докладе постатейно дается подробная информация о выполнении положений Пакта.</w:t>
      </w:r>
    </w:p>
    <w:p w:rsidR="00000000" w:rsidRDefault="00000000"/>
    <w:p w:rsidR="00000000" w:rsidRDefault="00000000">
      <w:pPr>
        <w:rPr>
          <w:i/>
          <w:iCs/>
        </w:rPr>
      </w:pPr>
      <w:r>
        <w:t>12.</w:t>
      </w:r>
      <w:r>
        <w:tab/>
        <w:t>Все граждане, подпадающие под юрисдикцию бывшей югославской Республики Македонии, пользуются правами и свободами, гарантированными Конституцией и детализированными во внутреннем законодательстве.  Согласно статье 9 Конституции, "</w:t>
      </w:r>
      <w:r>
        <w:rPr>
          <w:i/>
          <w:iCs/>
        </w:rPr>
        <w:t>Граждане Республики Македонии пользуются равными свободами и правами независимо от пола и расовой принадлежности, цвета кожи, национального и социального происхождения, политических и религиозных убеждений, имущественного и общественного положения.  Перед Конституцией и законом все граждане равны".</w:t>
      </w:r>
    </w:p>
    <w:p w:rsidR="00000000" w:rsidRDefault="00000000">
      <w:pPr>
        <w:rPr>
          <w:i/>
          <w:iCs/>
        </w:rPr>
      </w:pPr>
    </w:p>
    <w:p w:rsidR="00000000" w:rsidRDefault="00000000">
      <w:r>
        <w:t>13.</w:t>
      </w:r>
      <w:r>
        <w:tab/>
        <w:t>Уважение прав и свобод человека является одним из основополагающих конституционных устоев внутренней правовой системы.  Как правило, свободы и права признаются на основе Конституции, в то время как условия и формы их реализации могут прописываться в законах лишь при наличии ясно выраженного в Конституции указания на этот счет и лишь в его рамках.</w:t>
      </w:r>
    </w:p>
    <w:p w:rsidR="00000000" w:rsidRDefault="00000000">
      <w:pPr>
        <w:rPr>
          <w:lang w:val="en-US"/>
        </w:rPr>
      </w:pPr>
    </w:p>
    <w:p w:rsidR="00000000" w:rsidRDefault="00000000">
      <w:pPr>
        <w:rPr>
          <w:i/>
          <w:iCs/>
        </w:rPr>
      </w:pPr>
      <w:r>
        <w:t>14.</w:t>
      </w:r>
      <w:r>
        <w:tab/>
        <w:t xml:space="preserve">Защита прав и свобод человека гарантируется статьей 50 Конституции, гласящей:  </w:t>
      </w:r>
      <w:r>
        <w:rPr>
          <w:i/>
          <w:iCs/>
        </w:rPr>
        <w:t xml:space="preserve">"Каждый гражданин вправе защищать свои права и свободы, гарантированные Конституцией, в судах и Конституционном суде Республики Македонии в соответствии с процедурой, основанной на принципах приоритета и неотложности.  Гарантируется судебная защита законности отдельных актов органов государственного управления и других учреждений, наделенных публичными полномочиями.  </w:t>
      </w:r>
    </w:p>
    <w:p w:rsidR="00000000" w:rsidRDefault="00000000">
      <w:pPr>
        <w:rPr>
          <w:i/>
          <w:iCs/>
        </w:rPr>
      </w:pPr>
    </w:p>
    <w:p w:rsidR="00000000" w:rsidRDefault="00000000">
      <w:pPr>
        <w:ind w:left="567" w:hanging="567"/>
        <w:rPr>
          <w:i/>
          <w:iCs/>
        </w:rPr>
      </w:pPr>
      <w:r>
        <w:rPr>
          <w:i/>
          <w:iCs/>
        </w:rPr>
        <w:tab/>
        <w:t xml:space="preserve">Гражданин имеет право на ознакомление с правами человека и основными свободами и на активное участие как лично, так и совместно с другими в их поощрении и защите".  </w:t>
      </w:r>
    </w:p>
    <w:p w:rsidR="00000000" w:rsidRDefault="00000000">
      <w:pPr>
        <w:ind w:left="567" w:hanging="567"/>
        <w:rPr>
          <w:i/>
          <w:iCs/>
        </w:rPr>
      </w:pPr>
    </w:p>
    <w:p w:rsidR="00000000" w:rsidRDefault="00000000">
      <w:r>
        <w:t>15.</w:t>
      </w:r>
      <w:r>
        <w:tab/>
        <w:t xml:space="preserve">Деятельность судебной системы имеет ключевое значение для эффективного осуществления этой формы защиты, особенно ее независимого и автономного характера.  Ряд положений Закона о судах гарантирует независимость судов при осуществлении ими судебной функции.  Кроме того, для эффективного обеспечения правовой защиты Закон предусматривает, что каждый государственный орган обязан выполнять решения судов в пределах своей компетенции.  Решения судов выполняются оперативно и эффективно, и этому не может препятствовать решение никакого другого государственного органа.  </w:t>
      </w:r>
    </w:p>
    <w:p w:rsidR="00000000" w:rsidRDefault="00000000"/>
    <w:p w:rsidR="00000000" w:rsidRDefault="00000000">
      <w:r>
        <w:t>16.</w:t>
      </w:r>
      <w:r>
        <w:tab/>
        <w:t>Помимо обычных судов, права и свободы граждан защищаются также Конституционным судом бывшей югославской Республики Македонии (далее "Конституционный суд").  Согласно подпункту 3 пункта 1 статьи 110 Конституции, Конституционный суд защищает свободы и права человека и гражданина, касающиеся свободы убеждений, совести, мнений и публичного выражения мысли, создания и деятельности политических организаций и дискриминации граждан на основании пола, расовой, религиозной, национальной, социальной и политической принадлежности.</w:t>
      </w:r>
    </w:p>
    <w:p w:rsidR="00000000" w:rsidRDefault="00000000"/>
    <w:p w:rsidR="00000000" w:rsidRDefault="00000000">
      <w:r>
        <w:t>17.</w:t>
      </w:r>
      <w:r>
        <w:tab/>
        <w:t xml:space="preserve">Защита прав и свобод человека в Конституционном суде ведется в соответствии с правилами процедуры Конституционного суда, согласно которым любой гражданин может потребовать защиты своих прав и свобод в Конституционном суде в течение двух месяцев после принятия соответствующего решения, т.е. с того дня, когда то или иное лицо узнало о факте нарушения, но не позже пяти лет с даты нарушения.  Как правило, Конституционный суд принимает решение на основе результатов публичных слушаний, в которых принимает участие Народный правозаступник.  Конституционный суд выносит решение, имело ли место нарушение прав и свобод человека, и в зависимости от принимаемого решения он полномочен отменить конкретный акт, ввести запрет на действия, лежащие в основе нарушения, или оставляет иск без удовлетворения.  Конституционный суд может принять решение о приостановке рассмотрения отдельного дела или действий до вынесения окончательного решения.  </w:t>
      </w:r>
    </w:p>
    <w:p w:rsidR="00000000" w:rsidRDefault="00000000"/>
    <w:p w:rsidR="00000000" w:rsidRDefault="00000000">
      <w:r>
        <w:t>18.</w:t>
      </w:r>
      <w:r>
        <w:tab/>
        <w:t>Помимо обеспечения прямой конституционной и судебной защиты Конституционный суд, действуя в рамках своей основной компетенции (контроль над соблюдением конституционности и законности), на постоянной основе обеспечивает так называемую абстрактную защиту прав человека, используя свои полномочия аннулировать или отменять положения законов и подзаконных актов, противоречащих Конституции, иными словами тех из них, через которые нарушаются гарантированные Конституцией права.  В период 1993-1997 годов Конституционный суд при вынесении решений о соответствии законов положениям Конституции во многих случаях отменял конкретные положения законов и других нормативных актов, нарушавших гарантированные Конституцией права.</w:t>
      </w:r>
    </w:p>
    <w:p w:rsidR="00000000" w:rsidRDefault="00000000"/>
    <w:p w:rsidR="00000000" w:rsidRDefault="00000000">
      <w:r>
        <w:t>19.</w:t>
      </w:r>
      <w:r>
        <w:tab/>
        <w:t xml:space="preserve">В целях защиты конституционных и законных прав граждан, нарушенных органами государственного управления или другими органами и организациями, наделенными публичными полномочиями, Конституция предусматривает избрание Народного правозаступника.  Он избирается Собранием бывшей югославской Республики Македонии на восьмилетний срок с правом переизбрания на второй срок.  В соответствии с Законом о Народном правозаступнике последний имеет одного или нескольких заместителей, которые избираются и освобождаются от должности Собранием бывшей югославской Республики Македонии по предложению Народного правозаступника на восьмилетний срок с правом переизбрания на второй срок.  </w:t>
      </w:r>
    </w:p>
    <w:p w:rsidR="00000000" w:rsidRDefault="00000000"/>
    <w:p w:rsidR="00000000" w:rsidRDefault="00000000">
      <w:r>
        <w:t>20.</w:t>
      </w:r>
      <w:r>
        <w:tab/>
        <w:t xml:space="preserve">Собрание учреждает Постоянную исследовательскую комиссию для защиты свобод и прав гражданина (пункт 4 статьи 76 Конституции) в целях защиты индивидуальных прав человека.  Ее выводы служат основанием для начала процедуры определения степени ответственности государственных должностных лиц, виновных в ущемлении или нарушении прав и свобод граждан.  В своей деятельности Комиссия сотрудничает с научными и профессиональными организациями, соответствующими зарубежными и международными органами, а также с рабочими органами Собрания.  </w:t>
      </w:r>
    </w:p>
    <w:p w:rsidR="00000000" w:rsidRDefault="00000000"/>
    <w:p w:rsidR="00000000" w:rsidRDefault="00000000">
      <w:r>
        <w:t>21.</w:t>
      </w:r>
      <w:r>
        <w:tab/>
        <w:t>В соответствии со статьей 29 Конституции иностранные граждане, находящиеся в бывшей югославской Республике Македонии, пользуются свободами и правами, предусмотренными Конституцией, в соответствии с условиями, предусмотренными законом и международными договорами.  Бывшая югославская Республика Македония гарантирует право убежища иностранным гражданам и лицам без гражданства, преследуемым за демократические или политические убеждения и деятельность.  Экстрадиция иностранного гражданина может быть произведена лишь на основании ратифицированного международного договора и обоюдного согласия.  Иностранный гражданин не может быть экстрадирован за политическое преступление, причем террористические акты не являются политическими преступлениями.</w:t>
      </w:r>
    </w:p>
    <w:p w:rsidR="00000000" w:rsidRDefault="00000000">
      <w:r>
        <w:t>22.</w:t>
      </w:r>
      <w:r>
        <w:tab/>
        <w:t xml:space="preserve">В соответствии со статьей 31 Конституции иностранный гражданин в бывшей югославской Республике Македонии может получить право собственности на условиях, предусмотренных законом.  Согласно статье 2 Закона о праве владения и других правах, связанных с собственностью ("Официальный вестник" бывшей югославской Республики Македонии № 18/2001), все национальные и зарубежные физические и юридические лица могут получить право собственности.  Помимо этого, в статье 59 Конституции гарантируется также право свободного вывоза вложенного капитала и полученных доходов.  </w:t>
      </w:r>
    </w:p>
    <w:p w:rsidR="00000000" w:rsidRDefault="00000000"/>
    <w:p w:rsidR="00000000" w:rsidRDefault="00000000">
      <w:r>
        <w:t>23.</w:t>
      </w:r>
      <w:r>
        <w:tab/>
        <w:t xml:space="preserve">Согласно Закону о передвижении и месте постоянного проживания иностранцев ("Официальный вестник" бывшей югославской Республики Македонии № 36/92, 66/92, 26/93 и 45/02), иностранные граждане имеют право временного и постоянного проживания в стране в соответствии с требованиями и условиями, устанавливаемыми этим Законом.  Положения Закона детально прописывают условия и процедуру получения права временного или постоянного проживания, а также права и обязанности лиц, ходатайствующих о таком праве проживания.  </w:t>
      </w:r>
    </w:p>
    <w:p w:rsidR="00000000" w:rsidRDefault="00000000"/>
    <w:p w:rsidR="00000000" w:rsidRDefault="00000000">
      <w:r>
        <w:t>24.</w:t>
      </w:r>
      <w:r>
        <w:tab/>
        <w:t>В статье 12 упомянутого Закона оговаривается, что иностранный гражданин, въезжающий в страну с целью работы, получения образования, проведения научных исследований или занятия определенной профессиональной деятельностью, должен иметь визу.  Заявление на получение визы подается в консульство за рубежом.  В заявлении иностранный гражданин указывает причины въезда в страну, к примеру, название компании/организации, принимающей на работу, учебного учреждения, в котором он будет учиться, или вид научных исследований, которыми он будет заниматься.</w:t>
      </w:r>
    </w:p>
    <w:p w:rsidR="00000000" w:rsidRDefault="00000000"/>
    <w:p w:rsidR="00000000" w:rsidRDefault="00000000">
      <w:r>
        <w:t>25.</w:t>
      </w:r>
      <w:r>
        <w:tab/>
        <w:t>Для выдачи определенных категорий визы необходимо получение согласия министерства внутренних дел.  По получении запроса консульского учреждения министерство внутренних дел, прежде чем одобрить его, консультируется с соответствующим отраслевым министерством, отвечающим за область, в которой иностранный гражданин будет занят во время пребывания в стране.</w:t>
      </w:r>
    </w:p>
    <w:p w:rsidR="00000000" w:rsidRDefault="00000000"/>
    <w:p w:rsidR="00000000" w:rsidRDefault="00000000">
      <w:r>
        <w:t>26.</w:t>
      </w:r>
      <w:r>
        <w:tab/>
        <w:t xml:space="preserve">После получения консульским учреждением одобрения министерства внутренних дел иностранному гражданину выдается въездная/выездная виза сроком до одного месяца.  В визе ясно указывается цель выдачи визы, например работа, учеба или научное исследование.  </w:t>
      </w:r>
    </w:p>
    <w:p w:rsidR="00000000" w:rsidRDefault="00000000"/>
    <w:p w:rsidR="00000000" w:rsidRDefault="00000000">
      <w:r>
        <w:t>27.</w:t>
      </w:r>
      <w:r>
        <w:tab/>
        <w:t xml:space="preserve">Въехав в бывшую югославскую Республику Македонию, иностранный гражданин, имеющий визу, обязан подать ходатайство о получении временного вида на жительство в местное отделение министерства внутренних дел по месту проживания.  </w:t>
      </w:r>
    </w:p>
    <w:p w:rsidR="00000000" w:rsidRDefault="00000000">
      <w:r>
        <w:t>28.</w:t>
      </w:r>
      <w:r>
        <w:tab/>
        <w:t xml:space="preserve">Иностранный гражданин, ходатайствующий о получении временного вида на жительство в целях трудоустройства, должен приложить к своему заявлению разрешение на трудоустройство (разрешение на работу), которое следует получить в Бюро по трудоустройству по въезде в страну.  Иностранный гражданин, подающий заявление для получения временного вида на жительство для продолжения учебы, обязан приложить свидетельство, удостоверяющее его статус очного студента в соответствующем учебном заведении или университете страны.  </w:t>
      </w:r>
    </w:p>
    <w:p w:rsidR="00000000" w:rsidRDefault="00000000"/>
    <w:p w:rsidR="00000000" w:rsidRDefault="00000000">
      <w:r>
        <w:t>29.</w:t>
      </w:r>
      <w:r>
        <w:tab/>
        <w:t>Иностранный гражданин, ходатайствующий о получении временного вида на жительство для проведения научной работы, должен также представить разрешение на занятие научной деятельностью, выданное компетентным учреждением или организацией.</w:t>
      </w:r>
    </w:p>
    <w:p w:rsidR="00000000" w:rsidRDefault="00000000"/>
    <w:p w:rsidR="00000000" w:rsidRDefault="00000000">
      <w:r>
        <w:t>30.</w:t>
      </w:r>
      <w:r>
        <w:tab/>
        <w:t>Помимо указанных выше документов иностранный гражданин обязан также представить доказательства наличия у него/нее средств к существованию или иных подтверждающих документов, таких, как выписку из  банковского счета, справку о заработной плате или стипендии.</w:t>
      </w:r>
    </w:p>
    <w:p w:rsidR="00000000" w:rsidRDefault="00000000"/>
    <w:p w:rsidR="00000000" w:rsidRDefault="00000000">
      <w:r>
        <w:t>31.</w:t>
      </w:r>
      <w:r>
        <w:tab/>
        <w:t>Местное отделение министерства внутренних дел выдает временный вид на жительство путем проставления штампа в проездном документе иностранца сроком на один год или до истечения проездного документа со сроком действия менее одного года.  Временный вид на жительство может быть продлен по заявлению иностранного гражданина, которое должно быть подано до срока истечения временного вида на жительство при условии сохранения обстоятельств, при которых был выдан первоначальный вид на жительство, и подтверждения соответствующими документами причины для продления.</w:t>
      </w:r>
    </w:p>
    <w:p w:rsidR="00000000" w:rsidRDefault="00000000"/>
    <w:p w:rsidR="00000000" w:rsidRDefault="00000000">
      <w:r>
        <w:t>32.</w:t>
      </w:r>
      <w:r>
        <w:tab/>
        <w:t>Иностранный гражданин, постоянно проживавший на территории бывшей югославской Республики Македонии не менее трех лет (на основании временного вида на жительство), может претендовать на получение постоянного вида на жительство.</w:t>
      </w:r>
    </w:p>
    <w:p w:rsidR="00000000" w:rsidRDefault="00000000"/>
    <w:p w:rsidR="00000000" w:rsidRDefault="00000000">
      <w:r>
        <w:t>33.</w:t>
      </w:r>
      <w:r>
        <w:tab/>
        <w:t xml:space="preserve">В соответствии с законодательством страны, международными конвенциями и соглашениями, заключенными с другими государствами, иностранные граждане обладают теми же правами, что и граждане бывшей югославской Республики Македонии, или пользуются ими в объеме, установленном двусторонними соглашениями в порядке взаимности.  </w:t>
      </w:r>
    </w:p>
    <w:p w:rsidR="00000000" w:rsidRDefault="00000000"/>
    <w:p w:rsidR="00000000" w:rsidRDefault="00000000">
      <w:r>
        <w:t>34.</w:t>
      </w:r>
      <w:r>
        <w:tab/>
        <w:t>В соответствии с Законом о социальной защите ("Официальный вестник" бывшей югославской Республики Македонии № 50/1997, 16/2000, 17/2003 и 65/2004) иностранные граждане, имеющие постоянный вид на жительство, пользуются теми же правами на социальную защиту, что и граждане бывшей югославской Республики Македонии.</w:t>
      </w:r>
    </w:p>
    <w:p w:rsidR="00000000" w:rsidRDefault="00000000"/>
    <w:p w:rsidR="00000000" w:rsidRDefault="00000000">
      <w:r>
        <w:t>35.</w:t>
      </w:r>
      <w:r>
        <w:tab/>
        <w:t>Эти лица могут также выходить на рынок труда на условиях, предписываемых Законом об условиях установления трудовых отношений с иностранцами ("Официальный вестник" Федеративной Республики Югославии № 11/1978 и 65/1989, а также "Официальный вестник" бывшей югославской Республики Македонии № 12/1993).  В этом законе определяются порядок и условия выхода иностранных граждан на рынок труда и их права и обязательства в связи с трудоустройством в бывшей югославской Республике Македонии.  Иностранные граждане принимаются на работу на основании ранее выданного разрешения на работу, после чего они получают временный вид на жительство.</w:t>
      </w:r>
    </w:p>
    <w:p w:rsidR="00000000" w:rsidRDefault="00000000"/>
    <w:p w:rsidR="00000000" w:rsidRDefault="00000000">
      <w:pPr>
        <w:jc w:val="center"/>
        <w:rPr>
          <w:b/>
          <w:bCs/>
        </w:rPr>
      </w:pPr>
      <w:r>
        <w:rPr>
          <w:b/>
          <w:bCs/>
        </w:rPr>
        <w:t xml:space="preserve">Статья 3 </w:t>
      </w:r>
      <w:proofErr w:type="spellStart"/>
      <w:r>
        <w:rPr>
          <w:b/>
          <w:bCs/>
        </w:rPr>
        <w:t>Пакта</w:t>
      </w:r>
      <w:r>
        <w:rPr>
          <w:b/>
          <w:bCs/>
          <w:vertAlign w:val="superscript"/>
        </w:rPr>
        <w:t>2</w:t>
      </w:r>
      <w:proofErr w:type="spellEnd"/>
    </w:p>
    <w:p w:rsidR="00000000" w:rsidRDefault="00000000">
      <w:pPr>
        <w:rPr>
          <w:b/>
          <w:bCs/>
        </w:rPr>
      </w:pPr>
    </w:p>
    <w:p w:rsidR="00000000" w:rsidRDefault="00000000">
      <w:r>
        <w:t>36.</w:t>
      </w:r>
      <w:r>
        <w:tab/>
        <w:t xml:space="preserve">В соответствии со статьей 9 Конституции все граждане страны пользуются равными правами и свободами независимо от пола и расовой принадлежности, цвета кожи, национального и социального происхождения, политических и религиозных убеждений, имущественного и общественного положения.  </w:t>
      </w:r>
    </w:p>
    <w:p w:rsidR="00000000" w:rsidRDefault="00000000"/>
    <w:p w:rsidR="00000000" w:rsidRDefault="00000000">
      <w:r>
        <w:t>37.</w:t>
      </w:r>
      <w:r>
        <w:tab/>
        <w:t xml:space="preserve"> Соответственно, Конституция признает в равной степени и для женщин, и для мужчин все экономические, социальные и культурные права, гарантированные Международным пактом об экономических, социальных и культурных правах.</w:t>
      </w:r>
    </w:p>
    <w:p w:rsidR="00000000" w:rsidRDefault="00000000"/>
    <w:p w:rsidR="00000000" w:rsidRDefault="00000000">
      <w:r>
        <w:t>38.</w:t>
      </w:r>
      <w:r>
        <w:tab/>
        <w:t>Кроме того, вся правовая система построена на уважении принципа равенства мужчин и женщин.</w:t>
      </w:r>
    </w:p>
    <w:p w:rsidR="00000000" w:rsidRDefault="00000000"/>
    <w:p w:rsidR="00000000" w:rsidRDefault="00000000">
      <w:r>
        <w:t>39.</w:t>
      </w:r>
      <w:r>
        <w:tab/>
        <w:t>Решением правительства от января 1997 года в министерстве труда и социальной политики был создан Департамент по поощрению равенства мужчин и женщин (</w:t>
      </w:r>
      <w:proofErr w:type="spellStart"/>
      <w:r>
        <w:t>ДПРМЖ</w:t>
      </w:r>
      <w:proofErr w:type="spellEnd"/>
      <w:r>
        <w:t xml:space="preserve">).  Основная задача </w:t>
      </w:r>
      <w:proofErr w:type="spellStart"/>
      <w:r>
        <w:t>ДПРМЖ</w:t>
      </w:r>
      <w:proofErr w:type="spellEnd"/>
      <w:r>
        <w:t xml:space="preserve"> - содействовать улучшению положения женщин и поощрять равенство мужчин и женщин в соответствии с ратифицированными бывшей югославской Республикой Македонией международными конвенциями, обеспечивая для женщин возможность реализовать права человека в полном объеме.  </w:t>
      </w:r>
      <w:proofErr w:type="spellStart"/>
      <w:r>
        <w:t>ДПРМЖ</w:t>
      </w:r>
      <w:proofErr w:type="spellEnd"/>
      <w:r>
        <w:t xml:space="preserve"> выполняет эту задачу путем проведения конкретных мероприятий в рамках принятого правительством в 1999 году Национального плана действий по вопросам равенства мужчин и женщин для достижения целей и приоритетов, поставленных в этом Плане действий.</w:t>
      </w:r>
    </w:p>
    <w:p w:rsidR="00000000" w:rsidRDefault="00000000"/>
    <w:p w:rsidR="00000000" w:rsidRDefault="00000000">
      <w:r>
        <w:t>40.</w:t>
      </w:r>
      <w:r>
        <w:tab/>
        <w:t xml:space="preserve">Кроме того, </w:t>
      </w:r>
      <w:proofErr w:type="spellStart"/>
      <w:r>
        <w:t>ДПРМЖ</w:t>
      </w:r>
      <w:proofErr w:type="spellEnd"/>
      <w:r>
        <w:t xml:space="preserve"> координирует мероприятия в области обеспечения равенства мужчин и женщин в государственном секторе, рассматривая законы, подзаконные акты и решения, принимаемые правительством, и внося предложения и инициативы по решению проблем, с которыми сталкиваются женщины в бывшей югославской Республике Македонии.  </w:t>
      </w:r>
      <w:proofErr w:type="spellStart"/>
      <w:r>
        <w:t>ДПРМЖ</w:t>
      </w:r>
      <w:proofErr w:type="spellEnd"/>
      <w:r>
        <w:t xml:space="preserve"> также сотрудничает с многочисленными неправительственными организациями (НПО) и поддерживает их деятельность.</w:t>
      </w:r>
    </w:p>
    <w:p w:rsidR="00000000" w:rsidRDefault="00000000"/>
    <w:p w:rsidR="00000000" w:rsidRDefault="00000000">
      <w:r>
        <w:t>41.</w:t>
      </w:r>
      <w:r>
        <w:tab/>
        <w:t>Для актуализации гендерной проблематики и улучшения положения женщин на местном уровне в десяти городах страны было создано десять комитетов по вопросам равенства мужчин и женщин.  Эти комитеты были учреждены в соответствии со Статутом советов местного самоуправления, и в них входят мужчины и женщины, являющиеся членами муниципальных советов.  Члены комитетов представляют различные политические партии.</w:t>
      </w:r>
    </w:p>
    <w:p w:rsidR="00000000" w:rsidRDefault="00000000"/>
    <w:p w:rsidR="00000000" w:rsidRDefault="00000000">
      <w:r>
        <w:t>42.</w:t>
      </w:r>
      <w:r>
        <w:tab/>
        <w:t xml:space="preserve">Основная задача комитетов по вопросам равенства мужчин и женщин </w:t>
      </w:r>
      <w:r>
        <w:noBreakHyphen/>
        <w:t xml:space="preserve"> оказывать положительное влияние на формирование политики на местах с учетом гендерных аспектов в интересах преодоления конкретных проблем, с которыми сталкиваются женщины на местном уровне.  Эти комитеты разрабатывают собственные планы действий на местах, в которых ставятся различные цели и определяются потребности каждого муниципалитета на краткосрочную перспективу.</w:t>
      </w:r>
    </w:p>
    <w:p w:rsidR="00000000" w:rsidRDefault="00000000"/>
    <w:p w:rsidR="00000000" w:rsidRDefault="00000000">
      <w:r>
        <w:t>43.</w:t>
      </w:r>
      <w:r>
        <w:tab/>
        <w:t>В стране действует большое число НПО, работающих на благо продвижения прав человека, ликвидации дискриминации женщин и достижения равенства мужчин и женщин.  В последние годы многочисленные мероприятия по линии женского движения позволили добиться большего прогресса на этом участке.</w:t>
      </w:r>
    </w:p>
    <w:p w:rsidR="00000000" w:rsidRDefault="00000000"/>
    <w:p w:rsidR="00000000" w:rsidRDefault="00000000">
      <w:r>
        <w:t>44.</w:t>
      </w:r>
      <w:r>
        <w:tab/>
        <w:t xml:space="preserve">В марте 2000 года было создано Македонское женское лобби (МЖЛ).  Оно работает с органами государственной власти и СМИ.  Лобби представляет собой коалицию открытого состава и объединяет женщин, представляющих женские объединения на различных уровнях:  на уровне НПО, политических партий, государственных учреждений, органов местного самоуправления, профсоюзов, СМИ, а также отдельных женщин в различных сферах и с различной национальной, этнической, партийной и религиозной принадлежностью.  В том же году министерство труда и социальной политики выделило помещения для национального бюро Македонского женского лобби, задача которого </w:t>
      </w:r>
      <w:r>
        <w:noBreakHyphen/>
        <w:t xml:space="preserve"> оказывать материально-техническую поддержку проведению программных мероприятий, иными словами </w:t>
      </w:r>
      <w:r>
        <w:noBreakHyphen/>
        <w:t xml:space="preserve"> выполнению целей МЖЛ в соответствии с национальным планом действий по вопросам равенства мужчин и женщин.</w:t>
      </w:r>
    </w:p>
    <w:p w:rsidR="00000000" w:rsidRDefault="00000000"/>
    <w:p w:rsidR="00000000" w:rsidRDefault="00000000">
      <w:r>
        <w:t>45.</w:t>
      </w:r>
      <w:r>
        <w:tab/>
        <w:t xml:space="preserve">В марте 2003 года была создана Ассоциация женщин-парламентариев.  Она оказывает материально-техническую поддержку женщинам-депутатам парламента в выполнении их профессиональных функций с особым упором на равенство мужчин и женщин.  Ассоциация дает возможность всем депутатам парламента, представляющим в парламенте различные политические партии, организовывать встречи, обмениваться мнениями и обсуждать текущие вопросы, встречаться с представителями НПО, профсоюзов, СМИ и рядовыми гражданами.  Кроме того, ассоциация содействует обмену опытом и сотрудничеству с женщинами </w:t>
      </w:r>
      <w:r>
        <w:noBreakHyphen/>
        <w:t xml:space="preserve"> депутатами парламентов из других стран.</w:t>
      </w:r>
    </w:p>
    <w:p w:rsidR="00000000" w:rsidRDefault="00000000"/>
    <w:p w:rsidR="00000000" w:rsidRDefault="00000000">
      <w:r>
        <w:t>46.</w:t>
      </w:r>
      <w:r>
        <w:tab/>
        <w:t>У истоков создания МЖЛ и Ассоциации женщин-парламентариев стояла работающая в рамках структур Пакта стабильности Целевая группа по вопросам равенства мужчин и женщин, частью проектной деятельности которой было создание этих двух объединений.</w:t>
      </w:r>
    </w:p>
    <w:p w:rsidR="00000000" w:rsidRDefault="00000000"/>
    <w:p w:rsidR="00000000" w:rsidRDefault="00000000">
      <w:r>
        <w:t>47.</w:t>
      </w:r>
      <w:r>
        <w:tab/>
        <w:t>В бывшей югославской Республике Македонии действует более 45 женских НПО, ряды которых насчитывают более 100 000 членов.</w:t>
      </w:r>
    </w:p>
    <w:p w:rsidR="00000000" w:rsidRDefault="00000000"/>
    <w:p w:rsidR="00000000" w:rsidRDefault="00000000">
      <w:r>
        <w:t>48.</w:t>
      </w:r>
      <w:r>
        <w:tab/>
        <w:t>За годы сотрудничества НПО и государственные учреждения доказали свой высокий профессионализм и добились прогресса в обеспечении равенства мужчин и женщин.</w:t>
      </w:r>
    </w:p>
    <w:p w:rsidR="00000000" w:rsidRDefault="00000000"/>
    <w:p w:rsidR="00000000" w:rsidRDefault="00000000">
      <w:pPr>
        <w:rPr>
          <w:b/>
          <w:bCs/>
        </w:rPr>
      </w:pPr>
      <w:r>
        <w:rPr>
          <w:b/>
          <w:bCs/>
        </w:rPr>
        <w:t>Представленность женщин в законодательной, исполнительной и судебной ветвях власти и в органах местного самоуправления</w:t>
      </w:r>
    </w:p>
    <w:p w:rsidR="00000000" w:rsidRDefault="00000000">
      <w:pPr>
        <w:rPr>
          <w:b/>
          <w:bCs/>
        </w:rPr>
      </w:pPr>
    </w:p>
    <w:p w:rsidR="00000000" w:rsidRDefault="00000000">
      <w:r>
        <w:t>49.</w:t>
      </w:r>
      <w:r>
        <w:tab/>
        <w:t xml:space="preserve">В настоящее время в стране работает многопартийный парламент, сформированный по результатам четвертых парламентских выборов в 2002 году.  Следует отметить рост числа женщин-парламентариев.  Впервые среди 120 мест парламента женщины занимают 22, что составляет 18,3%.  Это стало возможным благодаря внесению поправок и добавлений в Закон о выборах в парламент от 2002 года, в статье 37 которого предусматривается минимальная квота в списках кандидатов в размере 30% как для мужчин, так и женщин. </w:t>
      </w:r>
    </w:p>
    <w:p w:rsidR="00000000" w:rsidRDefault="00000000"/>
    <w:p w:rsidR="00000000" w:rsidRDefault="00000000">
      <w:r>
        <w:t>50.</w:t>
      </w:r>
      <w:r>
        <w:tab/>
        <w:t>На первых парламентских выборах 1990 года, проводившихся по мажоритарной системе, пять из 120 мест в парламенте досталось женщинам, что составило 4,2%.  В 1994 году на вторых парламентских выборах, проводившихся по той же системе, из 120 мест в парламенте женщины получили четыре места, или 3,3%.  На третьих выборах в 1998</w:t>
      </w:r>
      <w:r>
        <w:rPr>
          <w:lang w:val="en-US"/>
        </w:rPr>
        <w:t> </w:t>
      </w:r>
      <w:r>
        <w:t xml:space="preserve">году, проходивших по комбинированной схеме - при сочетании мажоритарной и пропорциональной систем, из 120 мест в парламенте женщинам досталось девять мест, или </w:t>
      </w:r>
      <w:proofErr w:type="spellStart"/>
      <w:r>
        <w:t>7,5%</w:t>
      </w:r>
      <w:proofErr w:type="spellEnd"/>
      <w:r>
        <w:t>.</w:t>
      </w:r>
    </w:p>
    <w:p w:rsidR="00000000" w:rsidRDefault="00000000"/>
    <w:p w:rsidR="00000000" w:rsidRDefault="00000000">
      <w:r>
        <w:t>51.</w:t>
      </w:r>
      <w:r>
        <w:tab/>
        <w:t>В исполнительной ветви власти положение следующее:  до сих пор в правительство, в состав которого входит 20</w:t>
      </w:r>
      <w:r>
        <w:noBreakHyphen/>
        <w:t xml:space="preserve">27 министров, было не более трех женщин.  В нынешнем коалиционном правительстве из 19 министров три женщины, а именно:  министр иностранных дел, министр юстиции и заместитель премьер-министра по вопросам европейской интеграции.  Согласно полученным от правительства данным в Генеральном секретариате правительства - занимающемся профессиональным обслуживанием правительственных функций - работают 107 государственных служащих, 70 из которых составляют женщины, причем 32 из них </w:t>
      </w:r>
      <w:r>
        <w:noBreakHyphen/>
        <w:t xml:space="preserve"> в руководящем звене.</w:t>
      </w:r>
    </w:p>
    <w:p w:rsidR="00000000" w:rsidRDefault="00000000"/>
    <w:p w:rsidR="00000000" w:rsidRDefault="00000000">
      <w:r>
        <w:t>52.</w:t>
      </w:r>
      <w:r>
        <w:tab/>
        <w:t>Согласно еще уточняемой информации Управления гражданской службы (Центральный реестр), общее число гражданских служащих (без учета сотрудников аппарата парламента, министерства внутренних дел, министерства экономики и ряда судов первой инстанции) насчитывает 7 500 человек, из которых 3 834 составляют женщины (51,12%).  Из 1 014 гражданских служащих руководящего звена 447 (44,08%) составляют женщины.</w:t>
      </w:r>
    </w:p>
    <w:p w:rsidR="00000000" w:rsidRDefault="00000000"/>
    <w:p w:rsidR="00000000" w:rsidRDefault="00000000">
      <w:r>
        <w:t>53.</w:t>
      </w:r>
      <w:r>
        <w:tab/>
        <w:t>Согласно полученным от парламента данным, в его аппарате насчитывается 113 женщин, причем 32 из них занимают руководящие посты (28,31%).</w:t>
      </w:r>
    </w:p>
    <w:p w:rsidR="00000000" w:rsidRDefault="00000000"/>
    <w:p w:rsidR="00000000" w:rsidRDefault="00000000">
      <w:r>
        <w:t>54.</w:t>
      </w:r>
      <w:r>
        <w:tab/>
        <w:t>Шире представлены женщины в судебной ветви власти:  по состоянию на 30 июня 2004 года в Верховном суде из 24 судей семь - женщины (</w:t>
      </w:r>
      <w:proofErr w:type="spellStart"/>
      <w:r>
        <w:t>29,16%</w:t>
      </w:r>
      <w:proofErr w:type="spellEnd"/>
      <w:r>
        <w:t>).</w:t>
      </w:r>
    </w:p>
    <w:p w:rsidR="00000000" w:rsidRDefault="00000000"/>
    <w:p w:rsidR="00000000" w:rsidRDefault="00000000">
      <w:r>
        <w:t>55.</w:t>
      </w:r>
      <w:r>
        <w:tab/>
        <w:t>Кроме того, в трех апелляционных судах городов Скопье, Битола и Штии, в которых общее число судей насчитывает 83 человека, на женщин приходится 39 мест, или 46,98%.</w:t>
      </w:r>
    </w:p>
    <w:p w:rsidR="00000000" w:rsidRDefault="00000000"/>
    <w:p w:rsidR="00000000" w:rsidRDefault="00000000">
      <w:r>
        <w:t>56.</w:t>
      </w:r>
      <w:r>
        <w:tab/>
        <w:t>В судах первой инстанции бывшей югославской Республики Македонии насчитывается в общей сложности 525</w:t>
      </w:r>
      <w:r>
        <w:rPr>
          <w:lang w:val="en-US"/>
        </w:rPr>
        <w:t> </w:t>
      </w:r>
      <w:r>
        <w:t xml:space="preserve">судей, из них 286 </w:t>
      </w:r>
      <w:r>
        <w:noBreakHyphen/>
        <w:t xml:space="preserve"> это судьи-женщины (</w:t>
      </w:r>
      <w:proofErr w:type="spellStart"/>
      <w:r>
        <w:t>54,47%</w:t>
      </w:r>
      <w:proofErr w:type="spellEnd"/>
      <w:r>
        <w:t>).  Таким образом, в числе 632 судей всех инстанций - 332 женщины, или 52,53%.</w:t>
      </w:r>
    </w:p>
    <w:p w:rsidR="00000000" w:rsidRDefault="00000000"/>
    <w:p w:rsidR="00000000" w:rsidRDefault="00000000">
      <w:r>
        <w:t>57.</w:t>
      </w:r>
      <w:r>
        <w:tab/>
        <w:t>Из этого можно сделать вывод, что численность судей-женщин в судах низшей инстанции удовлетворительна в силу сбалансированной представленности как мужчин, так и женщин.  Однако, если рассматривать число женщин, являющихся членами Верховного суда как высшей инстанции судебной власти в бывшей югославской Республике Македонии, то картина совершенно иная.  Вряд ли можно считать удовлетворительным такое положение, при котором из 24 членов Суда только семь женщин (в 29,16%).</w:t>
      </w:r>
    </w:p>
    <w:p w:rsidR="00000000" w:rsidRDefault="00000000"/>
    <w:p w:rsidR="00000000" w:rsidRDefault="00000000">
      <w:r>
        <w:t>58.</w:t>
      </w:r>
      <w:r>
        <w:tab/>
        <w:t>Коллегия адвокатов бывшей югославской Республики Македонии насчитывает 1</w:t>
      </w:r>
      <w:r>
        <w:rPr>
          <w:lang w:val="en-US"/>
        </w:rPr>
        <w:t> </w:t>
      </w:r>
      <w:r>
        <w:t xml:space="preserve">314 членов, из которых 419, или </w:t>
      </w:r>
      <w:proofErr w:type="spellStart"/>
      <w:r>
        <w:t>31,88%</w:t>
      </w:r>
      <w:proofErr w:type="spellEnd"/>
      <w:r>
        <w:t>, составляют женщины.  Это - данные коллегии адвокатов страны по состоянию на 31 декабря 2003 года.</w:t>
      </w:r>
    </w:p>
    <w:p w:rsidR="00000000" w:rsidRDefault="00000000"/>
    <w:p w:rsidR="00000000" w:rsidRDefault="00000000">
      <w:r>
        <w:t>59.</w:t>
      </w:r>
      <w:r>
        <w:tab/>
        <w:t>В органах местного самоуправления положение следующее.  В марте 2005</w:t>
      </w:r>
      <w:r>
        <w:rPr>
          <w:lang w:val="en-US"/>
        </w:rPr>
        <w:t> </w:t>
      </w:r>
      <w:r>
        <w:t>года были проведены выборы в органы местного самоуправления в соответствии с новым территориальным делением страны.  Из 1 391 избранного члена советов 309 составили женщины.  Из 85 избранных мэров три являются женщинами.</w:t>
      </w:r>
    </w:p>
    <w:p w:rsidR="00000000" w:rsidRDefault="00000000"/>
    <w:p w:rsidR="00000000" w:rsidRDefault="00000000">
      <w:r>
        <w:t>60.</w:t>
      </w:r>
      <w:r>
        <w:tab/>
        <w:t>По итогам первых выборов в органы местного самоуправления, состоявшихся в 1990</w:t>
      </w:r>
      <w:r>
        <w:rPr>
          <w:lang w:val="en-US"/>
        </w:rPr>
        <w:t> </w:t>
      </w:r>
      <w:r>
        <w:t xml:space="preserve">году, из 70 человек, избранных в муниципальное собрание Скопье, лишь четыре были женщинами, что составило </w:t>
      </w:r>
      <w:proofErr w:type="spellStart"/>
      <w:r>
        <w:t>5,7%</w:t>
      </w:r>
      <w:proofErr w:type="spellEnd"/>
      <w:r>
        <w:t xml:space="preserve">, в то время как среди 1 510 избранных членов муниципальных собраний было только 74 женщины, или </w:t>
      </w:r>
      <w:proofErr w:type="spellStart"/>
      <w:r>
        <w:t>4,9%</w:t>
      </w:r>
      <w:proofErr w:type="spellEnd"/>
      <w:r>
        <w:t>.  На выборах 1996</w:t>
      </w:r>
      <w:r>
        <w:rPr>
          <w:lang w:val="en-US"/>
        </w:rPr>
        <w:t> </w:t>
      </w:r>
      <w:r>
        <w:t>года среди избранных 124 мэров женщин вообще не было, а в муниципальных советах из 1 710 членов на женщин приходилось</w:t>
      </w:r>
      <w:r>
        <w:rPr>
          <w:lang w:val="en-US"/>
        </w:rPr>
        <w:t> </w:t>
      </w:r>
      <w:r>
        <w:t>105 мест (6,1%).  На выборах 2000</w:t>
      </w:r>
      <w:r>
        <w:rPr>
          <w:lang w:val="en-US"/>
        </w:rPr>
        <w:t> </w:t>
      </w:r>
      <w:r>
        <w:t>года мэрами были избраны три женщины (2,5%), а среди 1</w:t>
      </w:r>
      <w:r>
        <w:rPr>
          <w:lang w:val="en-US"/>
        </w:rPr>
        <w:t> </w:t>
      </w:r>
      <w:r>
        <w:t xml:space="preserve">906 избранных членов советов была 161 женщина (8,4%).  </w:t>
      </w:r>
    </w:p>
    <w:p w:rsidR="00000000" w:rsidRDefault="00000000"/>
    <w:p w:rsidR="00000000" w:rsidRDefault="00000000">
      <w:pPr>
        <w:pStyle w:val="Heading2"/>
        <w:jc w:val="center"/>
        <w:rPr>
          <w:b/>
          <w:bCs/>
          <w:u w:val="none"/>
          <w:lang w:val="en-US"/>
        </w:rPr>
      </w:pPr>
      <w:r>
        <w:rPr>
          <w:b/>
          <w:bCs/>
          <w:u w:val="none"/>
        </w:rPr>
        <w:t>Кандидаты и избранные депутаты местных органов самоуправления</w:t>
      </w:r>
    </w:p>
    <w:p w:rsidR="00000000" w:rsidRDefault="00000000">
      <w:pPr>
        <w:pStyle w:val="Heading2"/>
        <w:jc w:val="center"/>
        <w:rPr>
          <w:b/>
          <w:bCs/>
          <w:u w:val="none"/>
        </w:rPr>
      </w:pPr>
      <w:r>
        <w:rPr>
          <w:b/>
          <w:bCs/>
          <w:u w:val="none"/>
        </w:rPr>
        <w:t>на выборах 1990, 1996 и 2000 годов</w:t>
      </w:r>
    </w:p>
    <w:p w:rsidR="00000000" w:rsidRDefault="00000000"/>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2"/>
        <w:gridCol w:w="1872"/>
        <w:gridCol w:w="1872"/>
        <w:gridCol w:w="1872"/>
        <w:gridCol w:w="1872"/>
      </w:tblGrid>
      <w:tr w:rsidR="00000000">
        <w:tblPrEx>
          <w:tblCellMar>
            <w:top w:w="0" w:type="dxa"/>
            <w:bottom w:w="0" w:type="dxa"/>
          </w:tblCellMar>
        </w:tblPrEx>
        <w:trPr>
          <w:cantSplit/>
          <w:jc w:val="center"/>
        </w:trPr>
        <w:tc>
          <w:tcPr>
            <w:tcW w:w="1872" w:type="dxa"/>
            <w:vMerge w:val="restart"/>
            <w:vAlign w:val="center"/>
          </w:tcPr>
          <w:p w:rsidR="00000000" w:rsidRDefault="00000000">
            <w:pPr>
              <w:jc w:val="center"/>
            </w:pPr>
            <w:r>
              <w:t>Период</w:t>
            </w:r>
          </w:p>
        </w:tc>
        <w:tc>
          <w:tcPr>
            <w:tcW w:w="3744" w:type="dxa"/>
            <w:gridSpan w:val="2"/>
          </w:tcPr>
          <w:p w:rsidR="00000000" w:rsidRDefault="00000000">
            <w:pPr>
              <w:jc w:val="center"/>
            </w:pPr>
            <w:r>
              <w:t>Кандидаты</w:t>
            </w:r>
          </w:p>
        </w:tc>
        <w:tc>
          <w:tcPr>
            <w:tcW w:w="3744" w:type="dxa"/>
            <w:gridSpan w:val="2"/>
          </w:tcPr>
          <w:p w:rsidR="00000000" w:rsidRDefault="00000000">
            <w:pPr>
              <w:jc w:val="center"/>
            </w:pPr>
            <w:r>
              <w:t>Избранные депутаты</w:t>
            </w:r>
          </w:p>
        </w:tc>
      </w:tr>
      <w:tr w:rsidR="00000000">
        <w:tblPrEx>
          <w:tblCellMar>
            <w:top w:w="0" w:type="dxa"/>
            <w:bottom w:w="0" w:type="dxa"/>
          </w:tblCellMar>
        </w:tblPrEx>
        <w:trPr>
          <w:cantSplit/>
          <w:jc w:val="center"/>
        </w:trPr>
        <w:tc>
          <w:tcPr>
            <w:tcW w:w="1872" w:type="dxa"/>
            <w:vMerge/>
          </w:tcPr>
          <w:p w:rsidR="00000000" w:rsidRDefault="00000000">
            <w:pPr>
              <w:jc w:val="center"/>
            </w:pPr>
          </w:p>
        </w:tc>
        <w:tc>
          <w:tcPr>
            <w:tcW w:w="1872" w:type="dxa"/>
          </w:tcPr>
          <w:p w:rsidR="00000000" w:rsidRDefault="00000000">
            <w:pPr>
              <w:jc w:val="center"/>
            </w:pPr>
            <w:r>
              <w:t>Женщины</w:t>
            </w:r>
          </w:p>
        </w:tc>
        <w:tc>
          <w:tcPr>
            <w:tcW w:w="1872" w:type="dxa"/>
          </w:tcPr>
          <w:p w:rsidR="00000000" w:rsidRDefault="00000000">
            <w:pPr>
              <w:jc w:val="center"/>
            </w:pPr>
            <w:r>
              <w:t>Мужчины</w:t>
            </w:r>
          </w:p>
        </w:tc>
        <w:tc>
          <w:tcPr>
            <w:tcW w:w="1872" w:type="dxa"/>
          </w:tcPr>
          <w:p w:rsidR="00000000" w:rsidRDefault="00000000">
            <w:pPr>
              <w:jc w:val="center"/>
            </w:pPr>
            <w:r>
              <w:t>Женщины</w:t>
            </w:r>
          </w:p>
        </w:tc>
        <w:tc>
          <w:tcPr>
            <w:tcW w:w="1872" w:type="dxa"/>
          </w:tcPr>
          <w:p w:rsidR="00000000" w:rsidRDefault="00000000">
            <w:pPr>
              <w:jc w:val="center"/>
            </w:pPr>
            <w:r>
              <w:t>Мужчины</w:t>
            </w:r>
          </w:p>
        </w:tc>
      </w:tr>
      <w:tr w:rsidR="00000000">
        <w:tblPrEx>
          <w:tblCellMar>
            <w:top w:w="0" w:type="dxa"/>
            <w:bottom w:w="0" w:type="dxa"/>
          </w:tblCellMar>
        </w:tblPrEx>
        <w:trPr>
          <w:jc w:val="center"/>
        </w:trPr>
        <w:tc>
          <w:tcPr>
            <w:tcW w:w="1872" w:type="dxa"/>
            <w:tcBorders>
              <w:bottom w:val="nil"/>
            </w:tcBorders>
          </w:tcPr>
          <w:p w:rsidR="00000000" w:rsidRDefault="00000000">
            <w:pPr>
              <w:jc w:val="center"/>
            </w:pPr>
            <w:r>
              <w:t>1990 год</w:t>
            </w:r>
          </w:p>
        </w:tc>
        <w:tc>
          <w:tcPr>
            <w:tcW w:w="1872" w:type="dxa"/>
            <w:tcBorders>
              <w:bottom w:val="nil"/>
            </w:tcBorders>
          </w:tcPr>
          <w:p w:rsidR="00000000" w:rsidRDefault="00000000">
            <w:pPr>
              <w:pStyle w:val="Header"/>
              <w:tabs>
                <w:tab w:val="right" w:pos="662"/>
                <w:tab w:val="left" w:pos="782"/>
              </w:tabs>
            </w:pPr>
            <w:r>
              <w:tab/>
              <w:t>352</w:t>
            </w:r>
            <w:r>
              <w:tab/>
              <w:t>(6,34%)</w:t>
            </w:r>
          </w:p>
        </w:tc>
        <w:tc>
          <w:tcPr>
            <w:tcW w:w="1872" w:type="dxa"/>
            <w:tcBorders>
              <w:bottom w:val="nil"/>
            </w:tcBorders>
          </w:tcPr>
          <w:p w:rsidR="00000000" w:rsidRDefault="00000000">
            <w:pPr>
              <w:jc w:val="right"/>
            </w:pPr>
            <w:r>
              <w:t>5 194 (93,6%)</w:t>
            </w:r>
          </w:p>
        </w:tc>
        <w:tc>
          <w:tcPr>
            <w:tcW w:w="1872" w:type="dxa"/>
            <w:tcBorders>
              <w:bottom w:val="nil"/>
            </w:tcBorders>
          </w:tcPr>
          <w:p w:rsidR="00000000" w:rsidRDefault="00000000">
            <w:pPr>
              <w:tabs>
                <w:tab w:val="clear" w:pos="1701"/>
              </w:tabs>
              <w:ind w:right="271"/>
              <w:jc w:val="right"/>
            </w:pPr>
            <w:r>
              <w:t>74 (4,9%)</w:t>
            </w:r>
          </w:p>
        </w:tc>
        <w:tc>
          <w:tcPr>
            <w:tcW w:w="1872" w:type="dxa"/>
            <w:tcBorders>
              <w:bottom w:val="nil"/>
            </w:tcBorders>
          </w:tcPr>
          <w:p w:rsidR="00000000" w:rsidRDefault="00000000">
            <w:pPr>
              <w:jc w:val="center"/>
            </w:pPr>
            <w:r>
              <w:t>1 436 (95,1%)</w:t>
            </w:r>
          </w:p>
        </w:tc>
      </w:tr>
      <w:tr w:rsidR="00000000">
        <w:tblPrEx>
          <w:tblCellMar>
            <w:top w:w="0" w:type="dxa"/>
            <w:bottom w:w="0" w:type="dxa"/>
          </w:tblCellMar>
        </w:tblPrEx>
        <w:trPr>
          <w:jc w:val="center"/>
        </w:trPr>
        <w:tc>
          <w:tcPr>
            <w:tcW w:w="1872" w:type="dxa"/>
            <w:tcBorders>
              <w:top w:val="nil"/>
              <w:bottom w:val="nil"/>
            </w:tcBorders>
          </w:tcPr>
          <w:p w:rsidR="00000000" w:rsidRDefault="00000000">
            <w:pPr>
              <w:jc w:val="center"/>
            </w:pPr>
            <w:r>
              <w:t>1996 год</w:t>
            </w:r>
          </w:p>
        </w:tc>
        <w:tc>
          <w:tcPr>
            <w:tcW w:w="1872" w:type="dxa"/>
            <w:tcBorders>
              <w:top w:val="nil"/>
              <w:bottom w:val="nil"/>
            </w:tcBorders>
          </w:tcPr>
          <w:p w:rsidR="00000000" w:rsidRDefault="00000000">
            <w:pPr>
              <w:pStyle w:val="Header"/>
              <w:tabs>
                <w:tab w:val="right" w:pos="662"/>
                <w:tab w:val="right" w:pos="1502"/>
              </w:tabs>
            </w:pPr>
            <w:r>
              <w:tab/>
              <w:t>1 230</w:t>
            </w:r>
            <w:r>
              <w:tab/>
              <w:t>(9,7%)</w:t>
            </w:r>
          </w:p>
        </w:tc>
        <w:tc>
          <w:tcPr>
            <w:tcW w:w="1872" w:type="dxa"/>
            <w:tcBorders>
              <w:top w:val="nil"/>
              <w:bottom w:val="nil"/>
            </w:tcBorders>
          </w:tcPr>
          <w:p w:rsidR="00000000" w:rsidRDefault="00000000">
            <w:pPr>
              <w:jc w:val="right"/>
            </w:pPr>
            <w:r>
              <w:t>11 494 (90,3%)</w:t>
            </w:r>
          </w:p>
        </w:tc>
        <w:tc>
          <w:tcPr>
            <w:tcW w:w="1872" w:type="dxa"/>
            <w:tcBorders>
              <w:top w:val="nil"/>
              <w:bottom w:val="nil"/>
            </w:tcBorders>
          </w:tcPr>
          <w:p w:rsidR="00000000" w:rsidRDefault="00000000">
            <w:pPr>
              <w:tabs>
                <w:tab w:val="clear" w:pos="1701"/>
              </w:tabs>
              <w:ind w:right="271"/>
              <w:jc w:val="right"/>
            </w:pPr>
            <w:r>
              <w:t>105 (6,1%)</w:t>
            </w:r>
          </w:p>
        </w:tc>
        <w:tc>
          <w:tcPr>
            <w:tcW w:w="1872" w:type="dxa"/>
            <w:tcBorders>
              <w:top w:val="nil"/>
              <w:bottom w:val="nil"/>
            </w:tcBorders>
          </w:tcPr>
          <w:p w:rsidR="00000000" w:rsidRDefault="00000000">
            <w:pPr>
              <w:jc w:val="center"/>
            </w:pPr>
            <w:r>
              <w:t>1 615 (93,9%)</w:t>
            </w:r>
          </w:p>
        </w:tc>
      </w:tr>
      <w:tr w:rsidR="00000000">
        <w:tblPrEx>
          <w:tblCellMar>
            <w:top w:w="0" w:type="dxa"/>
            <w:bottom w:w="0" w:type="dxa"/>
          </w:tblCellMar>
        </w:tblPrEx>
        <w:trPr>
          <w:jc w:val="center"/>
        </w:trPr>
        <w:tc>
          <w:tcPr>
            <w:tcW w:w="1872" w:type="dxa"/>
            <w:tcBorders>
              <w:top w:val="nil"/>
            </w:tcBorders>
          </w:tcPr>
          <w:p w:rsidR="00000000" w:rsidRDefault="00000000">
            <w:pPr>
              <w:jc w:val="center"/>
            </w:pPr>
            <w:r>
              <w:t>2000 год</w:t>
            </w:r>
          </w:p>
        </w:tc>
        <w:tc>
          <w:tcPr>
            <w:tcW w:w="1872" w:type="dxa"/>
            <w:tcBorders>
              <w:top w:val="nil"/>
            </w:tcBorders>
          </w:tcPr>
          <w:p w:rsidR="00000000" w:rsidRDefault="00000000">
            <w:pPr>
              <w:pStyle w:val="Header"/>
              <w:tabs>
                <w:tab w:val="right" w:pos="662"/>
                <w:tab w:val="right" w:pos="1502"/>
              </w:tabs>
            </w:pPr>
            <w:r>
              <w:tab/>
              <w:t>1 265</w:t>
            </w:r>
            <w:r>
              <w:tab/>
              <w:t>(12,9%)</w:t>
            </w:r>
          </w:p>
        </w:tc>
        <w:tc>
          <w:tcPr>
            <w:tcW w:w="1872" w:type="dxa"/>
            <w:tcBorders>
              <w:top w:val="nil"/>
            </w:tcBorders>
          </w:tcPr>
          <w:p w:rsidR="00000000" w:rsidRDefault="00000000">
            <w:pPr>
              <w:jc w:val="right"/>
              <w:rPr>
                <w:lang w:val="en-US"/>
              </w:rPr>
            </w:pPr>
            <w:r>
              <w:rPr>
                <w:lang w:val="en-US"/>
              </w:rPr>
              <w:t>8 526 (87,1%)</w:t>
            </w:r>
          </w:p>
        </w:tc>
        <w:tc>
          <w:tcPr>
            <w:tcW w:w="1872" w:type="dxa"/>
            <w:tcBorders>
              <w:top w:val="nil"/>
            </w:tcBorders>
          </w:tcPr>
          <w:p w:rsidR="00000000" w:rsidRDefault="00000000">
            <w:pPr>
              <w:tabs>
                <w:tab w:val="clear" w:pos="1701"/>
              </w:tabs>
              <w:ind w:right="271"/>
              <w:jc w:val="right"/>
              <w:rPr>
                <w:lang w:val="en-US"/>
              </w:rPr>
            </w:pPr>
            <w:r>
              <w:rPr>
                <w:lang w:val="en-US"/>
              </w:rPr>
              <w:t>161 (8,4%)</w:t>
            </w:r>
          </w:p>
        </w:tc>
        <w:tc>
          <w:tcPr>
            <w:tcW w:w="1872" w:type="dxa"/>
            <w:tcBorders>
              <w:top w:val="nil"/>
            </w:tcBorders>
          </w:tcPr>
          <w:p w:rsidR="00000000" w:rsidRDefault="00000000">
            <w:pPr>
              <w:jc w:val="center"/>
              <w:rPr>
                <w:lang w:val="en-US"/>
              </w:rPr>
            </w:pPr>
            <w:r>
              <w:rPr>
                <w:lang w:val="en-US"/>
              </w:rPr>
              <w:t>1 745 (91,6%)</w:t>
            </w:r>
          </w:p>
        </w:tc>
      </w:tr>
    </w:tbl>
    <w:p w:rsidR="00000000" w:rsidRDefault="00000000">
      <w:pPr>
        <w:rPr>
          <w:lang w:val="en-US"/>
        </w:rPr>
      </w:pPr>
    </w:p>
    <w:p w:rsidR="00000000" w:rsidRDefault="00000000">
      <w:r>
        <w:t>61.</w:t>
      </w:r>
      <w:r>
        <w:tab/>
        <w:t>Приведенная выше таблица свидетельствует о том, что число кандидатов-женщин выросло с 9,7% на выборах 1996 года до 12,9% на выборах 2000 года.  Число избранных депутатов-женщин также выросло с 6,1% в 1996 году до 8,4% в 2000 году.</w:t>
      </w:r>
    </w:p>
    <w:p w:rsidR="00000000" w:rsidRDefault="00000000"/>
    <w:p w:rsidR="00000000" w:rsidRDefault="00000000">
      <w:pPr>
        <w:jc w:val="center"/>
        <w:rPr>
          <w:b/>
          <w:bCs/>
        </w:rPr>
      </w:pPr>
      <w:r>
        <w:rPr>
          <w:b/>
          <w:bCs/>
        </w:rPr>
        <w:t xml:space="preserve">Кандидаты и избранные на местных выборах мэры </w:t>
      </w:r>
    </w:p>
    <w:p w:rsidR="00000000" w:rsidRDefault="00000000">
      <w:pPr>
        <w:jc w:val="cente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2"/>
        <w:gridCol w:w="1872"/>
        <w:gridCol w:w="1872"/>
        <w:gridCol w:w="1872"/>
        <w:gridCol w:w="1872"/>
      </w:tblGrid>
      <w:tr w:rsidR="00000000">
        <w:tblPrEx>
          <w:tblCellMar>
            <w:top w:w="0" w:type="dxa"/>
            <w:bottom w:w="0" w:type="dxa"/>
          </w:tblCellMar>
        </w:tblPrEx>
        <w:trPr>
          <w:cantSplit/>
          <w:jc w:val="center"/>
        </w:trPr>
        <w:tc>
          <w:tcPr>
            <w:tcW w:w="1872" w:type="dxa"/>
            <w:vMerge w:val="restart"/>
            <w:vAlign w:val="center"/>
          </w:tcPr>
          <w:p w:rsidR="00000000" w:rsidRDefault="00000000">
            <w:pPr>
              <w:jc w:val="center"/>
            </w:pPr>
            <w:r>
              <w:t xml:space="preserve">Период </w:t>
            </w:r>
          </w:p>
        </w:tc>
        <w:tc>
          <w:tcPr>
            <w:tcW w:w="3744" w:type="dxa"/>
            <w:gridSpan w:val="2"/>
          </w:tcPr>
          <w:p w:rsidR="00000000" w:rsidRDefault="00000000">
            <w:pPr>
              <w:jc w:val="center"/>
            </w:pPr>
            <w:r>
              <w:t>Кандидаты</w:t>
            </w:r>
          </w:p>
        </w:tc>
        <w:tc>
          <w:tcPr>
            <w:tcW w:w="3744" w:type="dxa"/>
            <w:gridSpan w:val="2"/>
          </w:tcPr>
          <w:p w:rsidR="00000000" w:rsidRDefault="00000000">
            <w:pPr>
              <w:jc w:val="center"/>
            </w:pPr>
            <w:r>
              <w:t>Избранные мэры</w:t>
            </w:r>
          </w:p>
        </w:tc>
      </w:tr>
      <w:tr w:rsidR="00000000">
        <w:tblPrEx>
          <w:tblCellMar>
            <w:top w:w="0" w:type="dxa"/>
            <w:bottom w:w="0" w:type="dxa"/>
          </w:tblCellMar>
        </w:tblPrEx>
        <w:trPr>
          <w:cantSplit/>
          <w:jc w:val="center"/>
        </w:trPr>
        <w:tc>
          <w:tcPr>
            <w:tcW w:w="1872" w:type="dxa"/>
            <w:vMerge/>
          </w:tcPr>
          <w:p w:rsidR="00000000" w:rsidRDefault="00000000">
            <w:pPr>
              <w:jc w:val="center"/>
            </w:pPr>
          </w:p>
        </w:tc>
        <w:tc>
          <w:tcPr>
            <w:tcW w:w="1872" w:type="dxa"/>
          </w:tcPr>
          <w:p w:rsidR="00000000" w:rsidRDefault="00000000">
            <w:pPr>
              <w:jc w:val="center"/>
            </w:pPr>
            <w:r>
              <w:t>Женщины</w:t>
            </w:r>
          </w:p>
        </w:tc>
        <w:tc>
          <w:tcPr>
            <w:tcW w:w="1872" w:type="dxa"/>
          </w:tcPr>
          <w:p w:rsidR="00000000" w:rsidRDefault="00000000">
            <w:pPr>
              <w:jc w:val="center"/>
            </w:pPr>
            <w:r>
              <w:t>Мужчины</w:t>
            </w:r>
          </w:p>
        </w:tc>
        <w:tc>
          <w:tcPr>
            <w:tcW w:w="1872" w:type="dxa"/>
          </w:tcPr>
          <w:p w:rsidR="00000000" w:rsidRDefault="00000000">
            <w:pPr>
              <w:jc w:val="center"/>
            </w:pPr>
            <w:r>
              <w:t>Женщины</w:t>
            </w:r>
          </w:p>
        </w:tc>
        <w:tc>
          <w:tcPr>
            <w:tcW w:w="1872" w:type="dxa"/>
          </w:tcPr>
          <w:p w:rsidR="00000000" w:rsidRDefault="00000000">
            <w:pPr>
              <w:jc w:val="center"/>
            </w:pPr>
            <w:r>
              <w:t>Мужчины</w:t>
            </w:r>
          </w:p>
        </w:tc>
      </w:tr>
      <w:tr w:rsidR="00000000">
        <w:tblPrEx>
          <w:tblCellMar>
            <w:top w:w="0" w:type="dxa"/>
            <w:bottom w:w="0" w:type="dxa"/>
          </w:tblCellMar>
        </w:tblPrEx>
        <w:trPr>
          <w:jc w:val="center"/>
        </w:trPr>
        <w:tc>
          <w:tcPr>
            <w:tcW w:w="1872" w:type="dxa"/>
            <w:tcBorders>
              <w:bottom w:val="nil"/>
            </w:tcBorders>
          </w:tcPr>
          <w:p w:rsidR="00000000" w:rsidRDefault="00000000">
            <w:pPr>
              <w:jc w:val="center"/>
            </w:pPr>
            <w:r>
              <w:rPr>
                <w:lang w:val="en-US"/>
              </w:rPr>
              <w:t>1996</w:t>
            </w:r>
            <w:r>
              <w:t xml:space="preserve"> год</w:t>
            </w:r>
          </w:p>
        </w:tc>
        <w:tc>
          <w:tcPr>
            <w:tcW w:w="1872" w:type="dxa"/>
            <w:tcBorders>
              <w:bottom w:val="nil"/>
            </w:tcBorders>
          </w:tcPr>
          <w:p w:rsidR="00000000" w:rsidRDefault="00000000">
            <w:pPr>
              <w:jc w:val="center"/>
              <w:rPr>
                <w:lang w:val="en-US"/>
              </w:rPr>
            </w:pPr>
            <w:r>
              <w:rPr>
                <w:lang w:val="en-US"/>
              </w:rPr>
              <w:t>23 (3,9%)</w:t>
            </w:r>
          </w:p>
        </w:tc>
        <w:tc>
          <w:tcPr>
            <w:tcW w:w="1872" w:type="dxa"/>
            <w:tcBorders>
              <w:bottom w:val="nil"/>
            </w:tcBorders>
          </w:tcPr>
          <w:p w:rsidR="00000000" w:rsidRDefault="00000000">
            <w:pPr>
              <w:jc w:val="center"/>
              <w:rPr>
                <w:lang w:val="en-US"/>
              </w:rPr>
            </w:pPr>
            <w:r>
              <w:rPr>
                <w:lang w:val="en-US"/>
              </w:rPr>
              <w:t>563 (96,1%)</w:t>
            </w:r>
          </w:p>
        </w:tc>
        <w:tc>
          <w:tcPr>
            <w:tcW w:w="1872" w:type="dxa"/>
            <w:tcBorders>
              <w:bottom w:val="nil"/>
            </w:tcBorders>
          </w:tcPr>
          <w:p w:rsidR="00000000" w:rsidRDefault="00000000">
            <w:pPr>
              <w:jc w:val="center"/>
              <w:rPr>
                <w:lang w:val="en-US"/>
              </w:rPr>
            </w:pPr>
            <w:r>
              <w:rPr>
                <w:lang w:val="en-US"/>
              </w:rPr>
              <w:t>-</w:t>
            </w:r>
          </w:p>
        </w:tc>
        <w:tc>
          <w:tcPr>
            <w:tcW w:w="1872" w:type="dxa"/>
            <w:tcBorders>
              <w:bottom w:val="nil"/>
            </w:tcBorders>
          </w:tcPr>
          <w:p w:rsidR="00000000" w:rsidRDefault="00000000">
            <w:pPr>
              <w:jc w:val="center"/>
              <w:rPr>
                <w:lang w:val="en-US"/>
              </w:rPr>
            </w:pPr>
            <w:r>
              <w:rPr>
                <w:lang w:val="en-US"/>
              </w:rPr>
              <w:t>118 (100%)</w:t>
            </w:r>
          </w:p>
        </w:tc>
      </w:tr>
      <w:tr w:rsidR="00000000">
        <w:tblPrEx>
          <w:tblCellMar>
            <w:top w:w="0" w:type="dxa"/>
            <w:bottom w:w="0" w:type="dxa"/>
          </w:tblCellMar>
        </w:tblPrEx>
        <w:trPr>
          <w:jc w:val="center"/>
        </w:trPr>
        <w:tc>
          <w:tcPr>
            <w:tcW w:w="1872" w:type="dxa"/>
            <w:tcBorders>
              <w:top w:val="nil"/>
              <w:bottom w:val="single" w:sz="4" w:space="0" w:color="auto"/>
            </w:tcBorders>
          </w:tcPr>
          <w:p w:rsidR="00000000" w:rsidRDefault="00000000">
            <w:pPr>
              <w:jc w:val="center"/>
              <w:rPr>
                <w:lang w:val="en-US"/>
              </w:rPr>
            </w:pPr>
            <w:r>
              <w:rPr>
                <w:lang w:val="en-US"/>
              </w:rPr>
              <w:t xml:space="preserve">2000 </w:t>
            </w:r>
            <w:r>
              <w:t>год</w:t>
            </w:r>
          </w:p>
        </w:tc>
        <w:tc>
          <w:tcPr>
            <w:tcW w:w="1872" w:type="dxa"/>
            <w:tcBorders>
              <w:top w:val="nil"/>
              <w:bottom w:val="single" w:sz="4" w:space="0" w:color="auto"/>
            </w:tcBorders>
          </w:tcPr>
          <w:p w:rsidR="00000000" w:rsidRDefault="00000000">
            <w:pPr>
              <w:jc w:val="center"/>
              <w:rPr>
                <w:lang w:val="en-US"/>
              </w:rPr>
            </w:pPr>
            <w:r>
              <w:rPr>
                <w:lang w:val="en-US"/>
              </w:rPr>
              <w:t>26 (5,2%)</w:t>
            </w:r>
          </w:p>
        </w:tc>
        <w:tc>
          <w:tcPr>
            <w:tcW w:w="1872" w:type="dxa"/>
            <w:tcBorders>
              <w:top w:val="nil"/>
              <w:bottom w:val="single" w:sz="4" w:space="0" w:color="auto"/>
            </w:tcBorders>
          </w:tcPr>
          <w:p w:rsidR="00000000" w:rsidRDefault="00000000">
            <w:pPr>
              <w:jc w:val="center"/>
              <w:rPr>
                <w:lang w:val="en-US"/>
              </w:rPr>
            </w:pPr>
            <w:r>
              <w:rPr>
                <w:lang w:val="en-US"/>
              </w:rPr>
              <w:t>471 (94,8%)</w:t>
            </w:r>
          </w:p>
        </w:tc>
        <w:tc>
          <w:tcPr>
            <w:tcW w:w="1872" w:type="dxa"/>
            <w:tcBorders>
              <w:top w:val="nil"/>
              <w:bottom w:val="single" w:sz="4" w:space="0" w:color="auto"/>
            </w:tcBorders>
          </w:tcPr>
          <w:p w:rsidR="00000000" w:rsidRDefault="00000000">
            <w:pPr>
              <w:jc w:val="center"/>
              <w:rPr>
                <w:lang w:val="en-US"/>
              </w:rPr>
            </w:pPr>
            <w:r>
              <w:rPr>
                <w:lang w:val="en-US"/>
              </w:rPr>
              <w:t>3 (2,5%)</w:t>
            </w:r>
          </w:p>
        </w:tc>
        <w:tc>
          <w:tcPr>
            <w:tcW w:w="1872" w:type="dxa"/>
            <w:tcBorders>
              <w:top w:val="nil"/>
              <w:bottom w:val="single" w:sz="4" w:space="0" w:color="auto"/>
            </w:tcBorders>
          </w:tcPr>
          <w:p w:rsidR="00000000" w:rsidRDefault="00000000">
            <w:pPr>
              <w:jc w:val="center"/>
              <w:rPr>
                <w:lang w:val="en-US"/>
              </w:rPr>
            </w:pPr>
            <w:r>
              <w:rPr>
                <w:lang w:val="en-US"/>
              </w:rPr>
              <w:t xml:space="preserve"> 120 (97,5%)</w:t>
            </w:r>
          </w:p>
        </w:tc>
      </w:tr>
    </w:tbl>
    <w:p w:rsidR="00000000" w:rsidRDefault="00000000">
      <w:pPr>
        <w:rPr>
          <w:lang w:val="en-US"/>
        </w:rPr>
      </w:pPr>
    </w:p>
    <w:p w:rsidR="00000000" w:rsidRDefault="00000000">
      <w:pPr>
        <w:rPr>
          <w:i/>
          <w:iCs/>
        </w:rPr>
      </w:pPr>
      <w:r>
        <w:t>62.</w:t>
      </w:r>
      <w:r>
        <w:tab/>
        <w:t>В июне 2004</w:t>
      </w:r>
      <w:r>
        <w:rPr>
          <w:lang w:val="en-US"/>
        </w:rPr>
        <w:t> </w:t>
      </w:r>
      <w:r>
        <w:t xml:space="preserve">года среди поправок и добавлений к Закону о местных выборах фигурировал новый подпункт </w:t>
      </w:r>
      <w:r>
        <w:rPr>
          <w:lang w:val="en-US"/>
        </w:rPr>
        <w:t>a</w:t>
      </w:r>
      <w:r>
        <w:t>) статьи 15, который гласил:  "</w:t>
      </w:r>
      <w:r>
        <w:rPr>
          <w:i/>
          <w:iCs/>
        </w:rPr>
        <w:t>В верхней и нижней половинах списков кандидатов, выдвигаемых на избрание членами муниципальных советов и Городского совета Скопье, число как мужчин, так и женщин должно составлять не менее 30%</w:t>
      </w:r>
      <w:r>
        <w:t>".</w:t>
      </w:r>
    </w:p>
    <w:p w:rsidR="00000000" w:rsidRDefault="00000000">
      <w:pPr>
        <w:rPr>
          <w:i/>
          <w:iCs/>
        </w:rPr>
      </w:pPr>
    </w:p>
    <w:p w:rsidR="00000000" w:rsidRDefault="00000000">
      <w:pPr>
        <w:rPr>
          <w:b/>
          <w:bCs/>
        </w:rPr>
      </w:pPr>
      <w:r>
        <w:rPr>
          <w:b/>
          <w:bCs/>
        </w:rPr>
        <w:t>Женщины в системе образования</w:t>
      </w:r>
    </w:p>
    <w:p w:rsidR="00000000" w:rsidRDefault="00000000">
      <w:pPr>
        <w:rPr>
          <w:b/>
          <w:bCs/>
        </w:rPr>
      </w:pPr>
    </w:p>
    <w:p w:rsidR="00000000" w:rsidRDefault="00000000">
      <w:r>
        <w:t>63.</w:t>
      </w:r>
      <w:r>
        <w:tab/>
        <w:t>Согласно Конституции (статья 44), каждый имеет право на образование.  Образование доступно каждому на равных условиях.  Начальное образование является обязательным и бесплатным.</w:t>
      </w:r>
    </w:p>
    <w:p w:rsidR="00000000" w:rsidRDefault="00000000"/>
    <w:p w:rsidR="00000000" w:rsidRDefault="00000000">
      <w:r>
        <w:t>64.</w:t>
      </w:r>
      <w:r>
        <w:tab/>
        <w:t>Применимое законодательство в области образования предусматривает равное отношение к школьникам и студентам независимо от их пола.</w:t>
      </w:r>
    </w:p>
    <w:p w:rsidR="00000000" w:rsidRDefault="00000000"/>
    <w:p w:rsidR="00000000" w:rsidRDefault="00000000">
      <w:r>
        <w:t>65.</w:t>
      </w:r>
      <w:r>
        <w:tab/>
        <w:t xml:space="preserve">В рамках действующего законодательства о начальном образовании </w:t>
      </w:r>
      <w:r>
        <w:noBreakHyphen/>
        <w:t xml:space="preserve"> Закона о начальном образовании 1995 года, который соответствует Конституции и является частью программы по реформированию и трансформации системы образования, проглядывается явное стремление к обеспечению равенства школьников и студентов обоих полов в качестве важнейшей предпосылки и необходимого условия дальнейшего прогресса всей социальной системы.  Это предполагает необходимость создания равных условий во всех аспектах образования, включая равный доступ к образованию и всем видам профессиональной подготовки в рамках единой системы образования.  В системах дошкольного и начального образования также отсутствует дискриминация в отношении девочек.  Это подтверждает отсутствие дискриминации по признаку пола при осуществлении основополагающих прав и свобод школьниц в системе дошкольного и начального школьного образования.</w:t>
      </w:r>
    </w:p>
    <w:p w:rsidR="00000000" w:rsidRDefault="00000000"/>
    <w:p w:rsidR="00000000" w:rsidRDefault="00000000">
      <w:r>
        <w:t>66.</w:t>
      </w:r>
      <w:r>
        <w:tab/>
        <w:t>Кроме того, в Законе о среднем образовании от 1995</w:t>
      </w:r>
      <w:r>
        <w:rPr>
          <w:lang w:val="en-US"/>
        </w:rPr>
        <w:t> </w:t>
      </w:r>
      <w:r>
        <w:t>года, а точнее в пункте</w:t>
      </w:r>
      <w:r>
        <w:rPr>
          <w:lang w:val="en-US"/>
        </w:rPr>
        <w:t> </w:t>
      </w:r>
      <w:r>
        <w:t>2 его статьи</w:t>
      </w:r>
      <w:r>
        <w:rPr>
          <w:lang w:val="en-US"/>
        </w:rPr>
        <w:t> </w:t>
      </w:r>
      <w:r>
        <w:t xml:space="preserve">3, женщинам гарантируются равные права на доступ к среднему образованию и говорится следующее:  </w:t>
      </w:r>
      <w:r>
        <w:rPr>
          <w:i/>
          <w:iCs/>
        </w:rPr>
        <w:t>"Запрещается дискриминация по признаку пола, расовой принадлежности, убеждениям, имущественному или социальному статусу"</w:t>
      </w:r>
      <w:r>
        <w:t>.</w:t>
      </w:r>
    </w:p>
    <w:p w:rsidR="00000000" w:rsidRDefault="00000000"/>
    <w:p w:rsidR="00000000" w:rsidRDefault="00000000">
      <w:r>
        <w:t>67.</w:t>
      </w:r>
      <w:r>
        <w:tab/>
        <w:t>В Законе о высшем образовании от 2000</w:t>
      </w:r>
      <w:r>
        <w:rPr>
          <w:lang w:val="en-US"/>
        </w:rPr>
        <w:t> </w:t>
      </w:r>
      <w:r>
        <w:t>года содержится отдельная статья (статья</w:t>
      </w:r>
      <w:r>
        <w:rPr>
          <w:lang w:val="en-US"/>
        </w:rPr>
        <w:t> </w:t>
      </w:r>
      <w:r>
        <w:t>2), определяющая права граждан бывшей югославской Республики Македонии на получение образования в высших учебных заведениях на равных условиях, что означает равный доступ мужчин и женщин к высшему образованию.</w:t>
      </w:r>
    </w:p>
    <w:p w:rsidR="00000000" w:rsidRDefault="00000000"/>
    <w:p w:rsidR="00000000" w:rsidRDefault="00000000">
      <w:r>
        <w:t>68.</w:t>
      </w:r>
      <w:r>
        <w:tab/>
        <w:t>Все классы имеют смешанный состав и формируются из мальчиков и девочек, и для учащихся начальной школы действует одинаковый порядок независимо от пола.  Доля девочек среди учащихся, принятых в начальную школу за отчетный период, приводится в таблице ниже.</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1E0" w:firstRow="1" w:lastRow="1" w:firstColumn="1" w:lastColumn="1" w:noHBand="0" w:noVBand="0"/>
      </w:tblPr>
      <w:tblGrid>
        <w:gridCol w:w="419"/>
        <w:gridCol w:w="1555"/>
        <w:gridCol w:w="1932"/>
        <w:gridCol w:w="1456"/>
        <w:gridCol w:w="1525"/>
        <w:gridCol w:w="2524"/>
      </w:tblGrid>
      <w:tr w:rsidR="00000000">
        <w:trPr>
          <w:cantSplit/>
          <w:tblHeader/>
        </w:trPr>
        <w:tc>
          <w:tcPr>
            <w:tcW w:w="419" w:type="dxa"/>
            <w:tcBorders>
              <w:bottom w:val="single" w:sz="4" w:space="0" w:color="auto"/>
            </w:tcBorders>
          </w:tcPr>
          <w:p w:rsidR="00000000" w:rsidRDefault="00000000">
            <w:pPr>
              <w:spacing w:line="240" w:lineRule="auto"/>
              <w:jc w:val="center"/>
            </w:pPr>
            <w:r>
              <w:t>№</w:t>
            </w:r>
          </w:p>
        </w:tc>
        <w:tc>
          <w:tcPr>
            <w:tcW w:w="1555" w:type="dxa"/>
            <w:tcBorders>
              <w:bottom w:val="single" w:sz="4" w:space="0" w:color="auto"/>
            </w:tcBorders>
          </w:tcPr>
          <w:p w:rsidR="00000000" w:rsidRDefault="00000000">
            <w:pPr>
              <w:keepNext/>
              <w:spacing w:line="240" w:lineRule="auto"/>
              <w:jc w:val="center"/>
            </w:pPr>
            <w:r>
              <w:t>Учебный год</w:t>
            </w:r>
          </w:p>
        </w:tc>
        <w:tc>
          <w:tcPr>
            <w:tcW w:w="1932" w:type="dxa"/>
            <w:tcBorders>
              <w:bottom w:val="single" w:sz="4" w:space="0" w:color="auto"/>
            </w:tcBorders>
          </w:tcPr>
          <w:p w:rsidR="00000000" w:rsidRDefault="00000000">
            <w:pPr>
              <w:spacing w:line="240" w:lineRule="auto"/>
              <w:ind w:left="-57"/>
              <w:jc w:val="center"/>
            </w:pPr>
            <w:r>
              <w:t>Число обычных начальных школ</w:t>
            </w:r>
          </w:p>
        </w:tc>
        <w:tc>
          <w:tcPr>
            <w:tcW w:w="1456" w:type="dxa"/>
            <w:tcBorders>
              <w:bottom w:val="single" w:sz="4" w:space="0" w:color="auto"/>
            </w:tcBorders>
          </w:tcPr>
          <w:p w:rsidR="00000000" w:rsidRDefault="00000000">
            <w:pPr>
              <w:spacing w:line="240" w:lineRule="auto"/>
              <w:jc w:val="center"/>
            </w:pPr>
            <w:r>
              <w:t>Общее число учащихся</w:t>
            </w:r>
          </w:p>
        </w:tc>
        <w:tc>
          <w:tcPr>
            <w:tcW w:w="1525" w:type="dxa"/>
            <w:tcBorders>
              <w:bottom w:val="single" w:sz="4" w:space="0" w:color="auto"/>
            </w:tcBorders>
          </w:tcPr>
          <w:p w:rsidR="00000000" w:rsidRDefault="00000000">
            <w:pPr>
              <w:spacing w:line="240" w:lineRule="auto"/>
              <w:ind w:left="-57"/>
              <w:jc w:val="center"/>
            </w:pPr>
            <w:r>
              <w:t>Общее число школьниц</w:t>
            </w:r>
          </w:p>
        </w:tc>
        <w:tc>
          <w:tcPr>
            <w:tcW w:w="2524" w:type="dxa"/>
            <w:tcBorders>
              <w:bottom w:val="single" w:sz="4" w:space="0" w:color="auto"/>
            </w:tcBorders>
          </w:tcPr>
          <w:p w:rsidR="00000000" w:rsidRDefault="00000000">
            <w:pPr>
              <w:spacing w:line="240" w:lineRule="auto"/>
              <w:jc w:val="center"/>
            </w:pPr>
            <w:r>
              <w:t>Доля школьниц в процентах от общего числа учащихся</w:t>
            </w:r>
          </w:p>
        </w:tc>
      </w:tr>
      <w:tr w:rsidR="00000000">
        <w:trPr>
          <w:cantSplit/>
        </w:trPr>
        <w:tc>
          <w:tcPr>
            <w:tcW w:w="419" w:type="dxa"/>
            <w:tcBorders>
              <w:bottom w:val="nil"/>
            </w:tcBorders>
          </w:tcPr>
          <w:p w:rsidR="00000000" w:rsidRDefault="00000000">
            <w:pPr>
              <w:jc w:val="center"/>
            </w:pPr>
            <w:r>
              <w:t>1.</w:t>
            </w:r>
          </w:p>
        </w:tc>
        <w:tc>
          <w:tcPr>
            <w:tcW w:w="1555" w:type="dxa"/>
            <w:tcBorders>
              <w:bottom w:val="nil"/>
            </w:tcBorders>
          </w:tcPr>
          <w:p w:rsidR="00000000" w:rsidRDefault="00000000">
            <w:pPr>
              <w:jc w:val="center"/>
            </w:pPr>
            <w:r>
              <w:t>1995/96</w:t>
            </w:r>
          </w:p>
        </w:tc>
        <w:tc>
          <w:tcPr>
            <w:tcW w:w="1932" w:type="dxa"/>
            <w:tcBorders>
              <w:bottom w:val="nil"/>
            </w:tcBorders>
          </w:tcPr>
          <w:p w:rsidR="00000000" w:rsidRDefault="00000000">
            <w:pPr>
              <w:jc w:val="center"/>
            </w:pPr>
            <w:r>
              <w:t>1 046</w:t>
            </w:r>
          </w:p>
        </w:tc>
        <w:tc>
          <w:tcPr>
            <w:tcW w:w="1456" w:type="dxa"/>
            <w:tcBorders>
              <w:bottom w:val="nil"/>
            </w:tcBorders>
          </w:tcPr>
          <w:p w:rsidR="00000000" w:rsidRDefault="00000000">
            <w:pPr>
              <w:jc w:val="center"/>
            </w:pPr>
            <w:r>
              <w:t>259 515</w:t>
            </w:r>
          </w:p>
        </w:tc>
        <w:tc>
          <w:tcPr>
            <w:tcW w:w="1525" w:type="dxa"/>
            <w:tcBorders>
              <w:bottom w:val="nil"/>
            </w:tcBorders>
          </w:tcPr>
          <w:p w:rsidR="00000000" w:rsidRDefault="00000000">
            <w:pPr>
              <w:jc w:val="center"/>
            </w:pPr>
            <w:r>
              <w:t>125 310</w:t>
            </w:r>
          </w:p>
        </w:tc>
        <w:tc>
          <w:tcPr>
            <w:tcW w:w="2524" w:type="dxa"/>
            <w:tcBorders>
              <w:bottom w:val="nil"/>
            </w:tcBorders>
          </w:tcPr>
          <w:p w:rsidR="00000000" w:rsidRDefault="00000000">
            <w:pPr>
              <w:jc w:val="center"/>
            </w:pPr>
            <w:r>
              <w:t>48,3</w:t>
            </w:r>
          </w:p>
        </w:tc>
      </w:tr>
      <w:tr w:rsidR="00000000">
        <w:trPr>
          <w:cantSplit/>
        </w:trPr>
        <w:tc>
          <w:tcPr>
            <w:tcW w:w="419" w:type="dxa"/>
            <w:tcBorders>
              <w:top w:val="nil"/>
              <w:bottom w:val="nil"/>
            </w:tcBorders>
          </w:tcPr>
          <w:p w:rsidR="00000000" w:rsidRDefault="00000000">
            <w:pPr>
              <w:jc w:val="center"/>
            </w:pPr>
            <w:r>
              <w:t>2.</w:t>
            </w:r>
          </w:p>
        </w:tc>
        <w:tc>
          <w:tcPr>
            <w:tcW w:w="1555" w:type="dxa"/>
            <w:tcBorders>
              <w:top w:val="nil"/>
              <w:bottom w:val="nil"/>
            </w:tcBorders>
          </w:tcPr>
          <w:p w:rsidR="00000000" w:rsidRDefault="00000000">
            <w:pPr>
              <w:jc w:val="center"/>
            </w:pPr>
            <w:r>
              <w:t>1996/97</w:t>
            </w:r>
          </w:p>
        </w:tc>
        <w:tc>
          <w:tcPr>
            <w:tcW w:w="1932" w:type="dxa"/>
            <w:tcBorders>
              <w:top w:val="nil"/>
              <w:bottom w:val="nil"/>
            </w:tcBorders>
          </w:tcPr>
          <w:p w:rsidR="00000000" w:rsidRDefault="00000000">
            <w:pPr>
              <w:jc w:val="center"/>
            </w:pPr>
            <w:r>
              <w:t>1 045</w:t>
            </w:r>
          </w:p>
        </w:tc>
        <w:tc>
          <w:tcPr>
            <w:tcW w:w="1456" w:type="dxa"/>
            <w:tcBorders>
              <w:top w:val="nil"/>
              <w:bottom w:val="nil"/>
            </w:tcBorders>
          </w:tcPr>
          <w:p w:rsidR="00000000" w:rsidRDefault="00000000">
            <w:pPr>
              <w:jc w:val="center"/>
            </w:pPr>
            <w:r>
              <w:t>258 587</w:t>
            </w:r>
          </w:p>
        </w:tc>
        <w:tc>
          <w:tcPr>
            <w:tcW w:w="1525" w:type="dxa"/>
            <w:tcBorders>
              <w:top w:val="nil"/>
              <w:bottom w:val="nil"/>
            </w:tcBorders>
          </w:tcPr>
          <w:p w:rsidR="00000000" w:rsidRDefault="00000000">
            <w:pPr>
              <w:jc w:val="center"/>
            </w:pPr>
            <w:r>
              <w:t>124 817</w:t>
            </w:r>
          </w:p>
        </w:tc>
        <w:tc>
          <w:tcPr>
            <w:tcW w:w="2524" w:type="dxa"/>
            <w:tcBorders>
              <w:top w:val="nil"/>
              <w:bottom w:val="nil"/>
            </w:tcBorders>
          </w:tcPr>
          <w:p w:rsidR="00000000" w:rsidRDefault="00000000">
            <w:pPr>
              <w:jc w:val="center"/>
            </w:pPr>
            <w:r>
              <w:t>48,3</w:t>
            </w:r>
          </w:p>
        </w:tc>
      </w:tr>
      <w:tr w:rsidR="00000000">
        <w:trPr>
          <w:cantSplit/>
        </w:trPr>
        <w:tc>
          <w:tcPr>
            <w:tcW w:w="419" w:type="dxa"/>
            <w:tcBorders>
              <w:top w:val="nil"/>
              <w:bottom w:val="nil"/>
            </w:tcBorders>
          </w:tcPr>
          <w:p w:rsidR="00000000" w:rsidRDefault="00000000">
            <w:pPr>
              <w:jc w:val="center"/>
            </w:pPr>
            <w:r>
              <w:t>3.</w:t>
            </w:r>
          </w:p>
        </w:tc>
        <w:tc>
          <w:tcPr>
            <w:tcW w:w="1555" w:type="dxa"/>
            <w:tcBorders>
              <w:top w:val="nil"/>
              <w:bottom w:val="nil"/>
            </w:tcBorders>
          </w:tcPr>
          <w:p w:rsidR="00000000" w:rsidRDefault="00000000">
            <w:pPr>
              <w:jc w:val="center"/>
            </w:pPr>
            <w:r>
              <w:t>1997/98</w:t>
            </w:r>
          </w:p>
        </w:tc>
        <w:tc>
          <w:tcPr>
            <w:tcW w:w="1932" w:type="dxa"/>
            <w:tcBorders>
              <w:top w:val="nil"/>
              <w:bottom w:val="nil"/>
            </w:tcBorders>
          </w:tcPr>
          <w:p w:rsidR="00000000" w:rsidRDefault="00000000">
            <w:pPr>
              <w:jc w:val="center"/>
            </w:pPr>
            <w:r>
              <w:t>1 043</w:t>
            </w:r>
          </w:p>
        </w:tc>
        <w:tc>
          <w:tcPr>
            <w:tcW w:w="1456" w:type="dxa"/>
            <w:tcBorders>
              <w:top w:val="nil"/>
              <w:bottom w:val="nil"/>
            </w:tcBorders>
          </w:tcPr>
          <w:p w:rsidR="00000000" w:rsidRDefault="00000000">
            <w:pPr>
              <w:jc w:val="center"/>
            </w:pPr>
            <w:r>
              <w:t>256 275</w:t>
            </w:r>
          </w:p>
        </w:tc>
        <w:tc>
          <w:tcPr>
            <w:tcW w:w="1525" w:type="dxa"/>
            <w:tcBorders>
              <w:top w:val="nil"/>
              <w:bottom w:val="nil"/>
            </w:tcBorders>
          </w:tcPr>
          <w:p w:rsidR="00000000" w:rsidRDefault="00000000">
            <w:pPr>
              <w:jc w:val="center"/>
            </w:pPr>
            <w:r>
              <w:t>123 629</w:t>
            </w:r>
          </w:p>
        </w:tc>
        <w:tc>
          <w:tcPr>
            <w:tcW w:w="2524" w:type="dxa"/>
            <w:tcBorders>
              <w:top w:val="nil"/>
              <w:bottom w:val="nil"/>
            </w:tcBorders>
          </w:tcPr>
          <w:p w:rsidR="00000000" w:rsidRDefault="00000000">
            <w:pPr>
              <w:jc w:val="center"/>
            </w:pPr>
            <w:r>
              <w:t>48,2</w:t>
            </w:r>
          </w:p>
        </w:tc>
      </w:tr>
      <w:tr w:rsidR="00000000">
        <w:trPr>
          <w:cantSplit/>
        </w:trPr>
        <w:tc>
          <w:tcPr>
            <w:tcW w:w="419" w:type="dxa"/>
            <w:tcBorders>
              <w:top w:val="nil"/>
              <w:bottom w:val="nil"/>
            </w:tcBorders>
          </w:tcPr>
          <w:p w:rsidR="00000000" w:rsidRDefault="00000000">
            <w:pPr>
              <w:jc w:val="center"/>
            </w:pPr>
            <w:r>
              <w:t>4.</w:t>
            </w:r>
          </w:p>
        </w:tc>
        <w:tc>
          <w:tcPr>
            <w:tcW w:w="1555" w:type="dxa"/>
            <w:tcBorders>
              <w:top w:val="nil"/>
              <w:bottom w:val="nil"/>
            </w:tcBorders>
          </w:tcPr>
          <w:p w:rsidR="00000000" w:rsidRDefault="00000000">
            <w:pPr>
              <w:jc w:val="center"/>
            </w:pPr>
            <w:r>
              <w:t>1998/99</w:t>
            </w:r>
          </w:p>
        </w:tc>
        <w:tc>
          <w:tcPr>
            <w:tcW w:w="1932" w:type="dxa"/>
            <w:tcBorders>
              <w:top w:val="nil"/>
              <w:bottom w:val="nil"/>
            </w:tcBorders>
          </w:tcPr>
          <w:p w:rsidR="00000000" w:rsidRDefault="00000000">
            <w:pPr>
              <w:jc w:val="center"/>
            </w:pPr>
            <w:r>
              <w:t>1 041</w:t>
            </w:r>
          </w:p>
        </w:tc>
        <w:tc>
          <w:tcPr>
            <w:tcW w:w="1456" w:type="dxa"/>
            <w:tcBorders>
              <w:top w:val="nil"/>
              <w:bottom w:val="nil"/>
            </w:tcBorders>
          </w:tcPr>
          <w:p w:rsidR="00000000" w:rsidRDefault="00000000">
            <w:pPr>
              <w:jc w:val="center"/>
            </w:pPr>
            <w:r>
              <w:t>255 150</w:t>
            </w:r>
          </w:p>
        </w:tc>
        <w:tc>
          <w:tcPr>
            <w:tcW w:w="1525" w:type="dxa"/>
            <w:tcBorders>
              <w:top w:val="nil"/>
              <w:bottom w:val="nil"/>
            </w:tcBorders>
          </w:tcPr>
          <w:p w:rsidR="00000000" w:rsidRDefault="00000000">
            <w:pPr>
              <w:jc w:val="center"/>
            </w:pPr>
            <w:r>
              <w:t>123 068</w:t>
            </w:r>
          </w:p>
        </w:tc>
        <w:tc>
          <w:tcPr>
            <w:tcW w:w="2524" w:type="dxa"/>
            <w:tcBorders>
              <w:top w:val="nil"/>
              <w:bottom w:val="nil"/>
            </w:tcBorders>
          </w:tcPr>
          <w:p w:rsidR="00000000" w:rsidRDefault="00000000">
            <w:pPr>
              <w:jc w:val="center"/>
            </w:pPr>
            <w:r>
              <w:t>48,2</w:t>
            </w:r>
          </w:p>
        </w:tc>
      </w:tr>
      <w:tr w:rsidR="00000000">
        <w:trPr>
          <w:cantSplit/>
        </w:trPr>
        <w:tc>
          <w:tcPr>
            <w:tcW w:w="419" w:type="dxa"/>
            <w:tcBorders>
              <w:top w:val="nil"/>
              <w:bottom w:val="nil"/>
            </w:tcBorders>
          </w:tcPr>
          <w:p w:rsidR="00000000" w:rsidRDefault="00000000">
            <w:pPr>
              <w:jc w:val="center"/>
            </w:pPr>
            <w:r>
              <w:t>5.</w:t>
            </w:r>
          </w:p>
        </w:tc>
        <w:tc>
          <w:tcPr>
            <w:tcW w:w="1555" w:type="dxa"/>
            <w:tcBorders>
              <w:top w:val="nil"/>
              <w:bottom w:val="nil"/>
            </w:tcBorders>
          </w:tcPr>
          <w:p w:rsidR="00000000" w:rsidRDefault="00000000">
            <w:pPr>
              <w:jc w:val="center"/>
            </w:pPr>
            <w:r>
              <w:t>1999/2000</w:t>
            </w:r>
          </w:p>
        </w:tc>
        <w:tc>
          <w:tcPr>
            <w:tcW w:w="1932" w:type="dxa"/>
            <w:tcBorders>
              <w:top w:val="nil"/>
              <w:bottom w:val="nil"/>
            </w:tcBorders>
          </w:tcPr>
          <w:p w:rsidR="00000000" w:rsidRDefault="00000000">
            <w:pPr>
              <w:jc w:val="center"/>
            </w:pPr>
            <w:r>
              <w:t>1 036</w:t>
            </w:r>
          </w:p>
        </w:tc>
        <w:tc>
          <w:tcPr>
            <w:tcW w:w="1456" w:type="dxa"/>
            <w:tcBorders>
              <w:top w:val="nil"/>
              <w:bottom w:val="nil"/>
            </w:tcBorders>
          </w:tcPr>
          <w:p w:rsidR="00000000" w:rsidRDefault="00000000">
            <w:pPr>
              <w:jc w:val="center"/>
            </w:pPr>
            <w:r>
              <w:t>252 212</w:t>
            </w:r>
          </w:p>
        </w:tc>
        <w:tc>
          <w:tcPr>
            <w:tcW w:w="1525" w:type="dxa"/>
            <w:tcBorders>
              <w:top w:val="nil"/>
              <w:bottom w:val="nil"/>
            </w:tcBorders>
          </w:tcPr>
          <w:p w:rsidR="00000000" w:rsidRDefault="00000000">
            <w:pPr>
              <w:jc w:val="center"/>
            </w:pPr>
            <w:r>
              <w:t>121 768</w:t>
            </w:r>
          </w:p>
        </w:tc>
        <w:tc>
          <w:tcPr>
            <w:tcW w:w="2524" w:type="dxa"/>
            <w:tcBorders>
              <w:top w:val="nil"/>
              <w:bottom w:val="nil"/>
            </w:tcBorders>
          </w:tcPr>
          <w:p w:rsidR="00000000" w:rsidRDefault="00000000">
            <w:pPr>
              <w:jc w:val="center"/>
            </w:pPr>
            <w:r>
              <w:t>48,2</w:t>
            </w:r>
          </w:p>
        </w:tc>
      </w:tr>
      <w:tr w:rsidR="00000000">
        <w:trPr>
          <w:cantSplit/>
        </w:trPr>
        <w:tc>
          <w:tcPr>
            <w:tcW w:w="419" w:type="dxa"/>
            <w:tcBorders>
              <w:top w:val="nil"/>
              <w:bottom w:val="nil"/>
            </w:tcBorders>
          </w:tcPr>
          <w:p w:rsidR="00000000" w:rsidRDefault="00000000">
            <w:pPr>
              <w:jc w:val="center"/>
            </w:pPr>
            <w:r>
              <w:t>6.</w:t>
            </w:r>
          </w:p>
        </w:tc>
        <w:tc>
          <w:tcPr>
            <w:tcW w:w="1555" w:type="dxa"/>
            <w:tcBorders>
              <w:top w:val="nil"/>
              <w:bottom w:val="nil"/>
            </w:tcBorders>
          </w:tcPr>
          <w:p w:rsidR="00000000" w:rsidRDefault="00000000">
            <w:pPr>
              <w:jc w:val="center"/>
            </w:pPr>
            <w:r>
              <w:t>2000/01</w:t>
            </w:r>
          </w:p>
        </w:tc>
        <w:tc>
          <w:tcPr>
            <w:tcW w:w="1932" w:type="dxa"/>
            <w:tcBorders>
              <w:top w:val="nil"/>
              <w:bottom w:val="nil"/>
            </w:tcBorders>
          </w:tcPr>
          <w:p w:rsidR="00000000" w:rsidRDefault="00000000">
            <w:pPr>
              <w:jc w:val="center"/>
            </w:pPr>
            <w:r>
              <w:t>1 021</w:t>
            </w:r>
          </w:p>
        </w:tc>
        <w:tc>
          <w:tcPr>
            <w:tcW w:w="1456" w:type="dxa"/>
            <w:tcBorders>
              <w:top w:val="nil"/>
              <w:bottom w:val="nil"/>
            </w:tcBorders>
          </w:tcPr>
          <w:p w:rsidR="00000000" w:rsidRDefault="00000000">
            <w:pPr>
              <w:jc w:val="center"/>
            </w:pPr>
            <w:r>
              <w:t>249 375</w:t>
            </w:r>
          </w:p>
        </w:tc>
        <w:tc>
          <w:tcPr>
            <w:tcW w:w="1525" w:type="dxa"/>
            <w:tcBorders>
              <w:top w:val="nil"/>
              <w:bottom w:val="nil"/>
            </w:tcBorders>
          </w:tcPr>
          <w:p w:rsidR="00000000" w:rsidRDefault="00000000">
            <w:pPr>
              <w:jc w:val="center"/>
            </w:pPr>
            <w:r>
              <w:t>120 478</w:t>
            </w:r>
          </w:p>
        </w:tc>
        <w:tc>
          <w:tcPr>
            <w:tcW w:w="2524" w:type="dxa"/>
            <w:tcBorders>
              <w:top w:val="nil"/>
              <w:bottom w:val="nil"/>
            </w:tcBorders>
          </w:tcPr>
          <w:p w:rsidR="00000000" w:rsidRDefault="00000000">
            <w:pPr>
              <w:jc w:val="center"/>
            </w:pPr>
            <w:r>
              <w:t>48,4</w:t>
            </w:r>
          </w:p>
        </w:tc>
      </w:tr>
      <w:tr w:rsidR="00000000">
        <w:trPr>
          <w:cantSplit/>
        </w:trPr>
        <w:tc>
          <w:tcPr>
            <w:tcW w:w="419" w:type="dxa"/>
            <w:tcBorders>
              <w:top w:val="nil"/>
            </w:tcBorders>
          </w:tcPr>
          <w:p w:rsidR="00000000" w:rsidRDefault="00000000">
            <w:pPr>
              <w:jc w:val="center"/>
            </w:pPr>
            <w:r>
              <w:t>7.</w:t>
            </w:r>
          </w:p>
        </w:tc>
        <w:tc>
          <w:tcPr>
            <w:tcW w:w="1555" w:type="dxa"/>
            <w:tcBorders>
              <w:top w:val="nil"/>
            </w:tcBorders>
          </w:tcPr>
          <w:p w:rsidR="00000000" w:rsidRDefault="00000000">
            <w:pPr>
              <w:jc w:val="center"/>
            </w:pPr>
            <w:r>
              <w:t>2001/02</w:t>
            </w:r>
          </w:p>
        </w:tc>
        <w:tc>
          <w:tcPr>
            <w:tcW w:w="1932" w:type="dxa"/>
            <w:tcBorders>
              <w:top w:val="nil"/>
            </w:tcBorders>
          </w:tcPr>
          <w:p w:rsidR="00000000" w:rsidRDefault="00000000">
            <w:pPr>
              <w:jc w:val="center"/>
            </w:pPr>
            <w:r>
              <w:t>1 007</w:t>
            </w:r>
          </w:p>
        </w:tc>
        <w:tc>
          <w:tcPr>
            <w:tcW w:w="1456" w:type="dxa"/>
            <w:tcBorders>
              <w:top w:val="nil"/>
            </w:tcBorders>
          </w:tcPr>
          <w:p w:rsidR="00000000" w:rsidRDefault="00000000">
            <w:pPr>
              <w:jc w:val="center"/>
            </w:pPr>
            <w:r>
              <w:t>244 740</w:t>
            </w:r>
          </w:p>
        </w:tc>
        <w:tc>
          <w:tcPr>
            <w:tcW w:w="1525" w:type="dxa"/>
            <w:tcBorders>
              <w:top w:val="nil"/>
            </w:tcBorders>
          </w:tcPr>
          <w:p w:rsidR="00000000" w:rsidRDefault="00000000">
            <w:pPr>
              <w:jc w:val="center"/>
            </w:pPr>
            <w:r>
              <w:t>118 563</w:t>
            </w:r>
          </w:p>
        </w:tc>
        <w:tc>
          <w:tcPr>
            <w:tcW w:w="2524" w:type="dxa"/>
            <w:tcBorders>
              <w:top w:val="nil"/>
            </w:tcBorders>
          </w:tcPr>
          <w:p w:rsidR="00000000" w:rsidRDefault="00000000">
            <w:pPr>
              <w:jc w:val="center"/>
            </w:pPr>
            <w:r>
              <w:t>48,4</w:t>
            </w:r>
          </w:p>
        </w:tc>
      </w:tr>
    </w:tbl>
    <w:p w:rsidR="00000000" w:rsidRDefault="00000000"/>
    <w:p w:rsidR="00000000" w:rsidRDefault="00000000">
      <w:r>
        <w:t>69.</w:t>
      </w:r>
      <w:r>
        <w:tab/>
        <w:t>Из приведенных выше данных можно сделать вывод о наличии равных условий для мальчиков и девочек при зачислении в школу, прохождении учебного процесса и получении дипломов.  Минимальные различия в процентном соотношении показателей по мальчикам и девочкам объясняются разницей в темпах рождаемости и структурными особенностями поколений учащихся.</w:t>
      </w:r>
    </w:p>
    <w:p w:rsidR="00000000" w:rsidRDefault="00000000"/>
    <w:p w:rsidR="00000000" w:rsidRDefault="00000000">
      <w:r>
        <w:t>70.</w:t>
      </w:r>
      <w:r>
        <w:tab/>
        <w:t>В отчетный период доля школьниц в общем контингенте учащихся средних школ составила 48,6%, что соответствует доле девочек среди учащихся начальных школ и тем самым подтверждает равную представленность как девочек, так и мальчиков среди учащихся системы среднего образования.</w:t>
      </w:r>
    </w:p>
    <w:p w:rsidR="00000000" w:rsidRDefault="00000000"/>
    <w:p w:rsidR="00000000" w:rsidRDefault="00000000">
      <w:r>
        <w:t>71.</w:t>
      </w:r>
      <w:r>
        <w:tab/>
        <w:t xml:space="preserve">Что касается процентной доли школьниц среди общего числа учащихся в разбивке по этнической принадлежности, то здесь отмечается положительная динамика:  среди македонцев она выросла с </w:t>
      </w:r>
      <w:proofErr w:type="spellStart"/>
      <w:r>
        <w:t>51%</w:t>
      </w:r>
      <w:proofErr w:type="spellEnd"/>
      <w:r>
        <w:t xml:space="preserve"> до 52%, среди албанского населения с </w:t>
      </w:r>
      <w:proofErr w:type="spellStart"/>
      <w:r>
        <w:t>37%</w:t>
      </w:r>
      <w:proofErr w:type="spellEnd"/>
      <w:r>
        <w:t xml:space="preserve"> до 41%, среди турок с </w:t>
      </w:r>
      <w:proofErr w:type="spellStart"/>
      <w:r>
        <w:t>29%</w:t>
      </w:r>
      <w:proofErr w:type="spellEnd"/>
      <w:r>
        <w:t xml:space="preserve"> до 37%, среди цыган с </w:t>
      </w:r>
      <w:proofErr w:type="spellStart"/>
      <w:r>
        <w:t>31%</w:t>
      </w:r>
      <w:proofErr w:type="spellEnd"/>
      <w:r>
        <w:t xml:space="preserve"> до 40%, среди влахов с </w:t>
      </w:r>
      <w:proofErr w:type="spellStart"/>
      <w:r>
        <w:t>46%</w:t>
      </w:r>
      <w:proofErr w:type="spellEnd"/>
      <w:r>
        <w:t xml:space="preserve"> до </w:t>
      </w:r>
      <w:proofErr w:type="spellStart"/>
      <w:r>
        <w:t>52%</w:t>
      </w:r>
      <w:proofErr w:type="spellEnd"/>
      <w:r>
        <w:t xml:space="preserve"> и среди сербов с </w:t>
      </w:r>
      <w:proofErr w:type="spellStart"/>
      <w:r>
        <w:t>39%</w:t>
      </w:r>
      <w:proofErr w:type="spellEnd"/>
      <w:r>
        <w:t> до 42%.</w:t>
      </w:r>
    </w:p>
    <w:p w:rsidR="00000000" w:rsidRDefault="00000000"/>
    <w:p w:rsidR="00000000" w:rsidRDefault="00000000">
      <w:r>
        <w:t>72.</w:t>
      </w:r>
      <w:r>
        <w:tab/>
        <w:t>Гендерное равенство в системе среднего образования также соблюдается при выборе профессий, профессиональной ориентации и получении дипломов.  Несмотря на непрекращающуюся работу по продвижению идей гендерного равенства в охвате девочек и девушек школьным образованием в отсталых горных районах по</w:t>
      </w:r>
      <w:r>
        <w:noBreakHyphen/>
        <w:t>прежнему не изжиты традиционные взгляды и обычаи, мешающие полному охвату девочек и девушек системой среднего образования.</w:t>
      </w:r>
    </w:p>
    <w:p w:rsidR="00000000" w:rsidRDefault="00000000"/>
    <w:p w:rsidR="00000000" w:rsidRDefault="00000000">
      <w:r>
        <w:t>73.</w:t>
      </w:r>
      <w:r>
        <w:tab/>
        <w:t>В 2001/02 учебном году общее число студентов в двух государственных университетах страны, а именно Университете св. Кирилла и Мефодия в Скопье и Университете св. Климента Охридского в Битоле, насчитывало 44 710 человек, из которых 24 691 (55,2%)составляли девушки.  Из 43 587 зачисленных на факультеты студентов девушки составляли 23 905 человек, или 54,8%, а в профессионально-технических училищах из 1 123 человек студентки составляли 786 человек, или 70%.</w:t>
      </w:r>
    </w:p>
    <w:p w:rsidR="00000000" w:rsidRDefault="00000000"/>
    <w:p w:rsidR="00000000" w:rsidRDefault="00000000">
      <w:r>
        <w:t>74.</w:t>
      </w:r>
      <w:r>
        <w:tab/>
        <w:t>Можно сделать вывод, что за указанный период по сравнению с предыдущими учебными годами доля студенток выросла с 54,6% до 55,8%, что указывает на рост доли студенток.  Чтобы не быть голословным, можно сослаться на тот факт, что в 2000/01 учебном году из 40 246 студентов девушки составляли 22 463 человека, или 55,8%.  В 1999/2000</w:t>
      </w:r>
      <w:r>
        <w:rPr>
          <w:lang w:val="en-US"/>
        </w:rPr>
        <w:t> </w:t>
      </w:r>
      <w:r>
        <w:t>учебном году при общей численности студентов обоих полов в 36</w:t>
      </w:r>
      <w:r>
        <w:rPr>
          <w:lang w:val="en-US"/>
        </w:rPr>
        <w:t> </w:t>
      </w:r>
      <w:r>
        <w:t>922 человек было 20 325 студенток, или 55,04%;  в 1998/99 учебном году эти показатели составляли 34 850 человек, из них 19 238 студенток, а в 1997/98 учебном году 32 048 человек, в том числе 17 484 студентки, или 54,6%.</w:t>
      </w:r>
    </w:p>
    <w:p w:rsidR="00000000" w:rsidRDefault="00000000"/>
    <w:p w:rsidR="00000000" w:rsidRDefault="00000000">
      <w:r>
        <w:t>75.</w:t>
      </w:r>
      <w:r>
        <w:tab/>
        <w:t>Что касается динамики процентной доли женского населения в общем числе лиц, зачисленных студентами в высшие учебные заведения за отчетный период, то общее число студентов выросло с 7 930 до 9 702 студентов, что составило рост в 22,3%, а число студенток - с 4 324 до 5 341 , что соответствует росту на 23,5%.  Процентная доля студенток в общем числе вновь зачисленных студентов колебалась в пределах 53-55%, что соответствует доле студенток в общем числе зачисленных учащихся.</w:t>
      </w:r>
    </w:p>
    <w:p w:rsidR="00000000" w:rsidRDefault="00000000"/>
    <w:p w:rsidR="00000000" w:rsidRDefault="00000000">
      <w:r>
        <w:t>76.</w:t>
      </w:r>
      <w:r>
        <w:tab/>
        <w:t xml:space="preserve">Исходя из статистических сведений о числе студентов, закончивших высшие учебные заведения, можно подсчитать, что доля студенток этой категории за указанный период составляла от </w:t>
      </w:r>
      <w:proofErr w:type="spellStart"/>
      <w:r>
        <w:t>53,6%</w:t>
      </w:r>
      <w:proofErr w:type="spellEnd"/>
      <w:r>
        <w:t xml:space="preserve"> до </w:t>
      </w:r>
      <w:proofErr w:type="spellStart"/>
      <w:r>
        <w:t>62,8%</w:t>
      </w:r>
      <w:proofErr w:type="spellEnd"/>
      <w:r>
        <w:t xml:space="preserve"> или в среднем 59,1%.</w:t>
      </w:r>
    </w:p>
    <w:p w:rsidR="00000000" w:rsidRDefault="00000000"/>
    <w:p w:rsidR="00000000" w:rsidRDefault="00000000">
      <w:r>
        <w:t>77.</w:t>
      </w:r>
      <w:r>
        <w:tab/>
        <w:t xml:space="preserve">Среди выпускников вузов, получивших степень магистра наук, на долю лиц женского пола в тот же период приходилось от </w:t>
      </w:r>
      <w:proofErr w:type="spellStart"/>
      <w:r>
        <w:t>41,1%</w:t>
      </w:r>
      <w:proofErr w:type="spellEnd"/>
      <w:r>
        <w:t xml:space="preserve"> до </w:t>
      </w:r>
      <w:proofErr w:type="spellStart"/>
      <w:r>
        <w:t>52,8%</w:t>
      </w:r>
      <w:proofErr w:type="spellEnd"/>
      <w:r>
        <w:t xml:space="preserve"> или в среднем 48,4%, в то время как доля женщин, имеющих степень кандидата наук в тот же период составляла от </w:t>
      </w:r>
      <w:proofErr w:type="spellStart"/>
      <w:r>
        <w:t>30%</w:t>
      </w:r>
      <w:proofErr w:type="spellEnd"/>
      <w:r>
        <w:t xml:space="preserve"> до </w:t>
      </w:r>
      <w:proofErr w:type="spellStart"/>
      <w:r>
        <w:t>43,5%</w:t>
      </w:r>
      <w:proofErr w:type="spellEnd"/>
      <w:r>
        <w:t xml:space="preserve"> или в среднем 35%.</w:t>
      </w:r>
    </w:p>
    <w:p w:rsidR="00000000" w:rsidRDefault="00000000"/>
    <w:p w:rsidR="00000000" w:rsidRDefault="00000000">
      <w:r>
        <w:t>78.</w:t>
      </w:r>
      <w:r>
        <w:tab/>
        <w:t>Ниже приводятся данные о доле выпускниц в общем числе студентов, успешно закончивших вузы, в динамике за отчетный период и в разбивке по этнической принадлежности:  македонцы - 54,8-61,6% или в среднем 59%;  албанцы - 35-59% или в среднем 48%;  турки - 38,9-69,2% или в среднем 52%;  цыгане - 45,8%;  влахи - 50,6%;  сербы </w:t>
      </w:r>
      <w:r>
        <w:noBreakHyphen/>
        <w:t> 50% и выпускники иной этнической принадлежности - 54%.</w:t>
      </w:r>
    </w:p>
    <w:p w:rsidR="00000000" w:rsidRDefault="00000000"/>
    <w:p w:rsidR="00000000" w:rsidRDefault="00000000">
      <w:r>
        <w:t>79.</w:t>
      </w:r>
      <w:r>
        <w:tab/>
        <w:t>Кроме того, из 809 стипендий, присуждаемых тем, кто осваивает наиболее дефицитные профессии, 531, или 68,6%, получили студентки.</w:t>
      </w:r>
    </w:p>
    <w:p w:rsidR="00000000" w:rsidRDefault="00000000"/>
    <w:p w:rsidR="00000000" w:rsidRDefault="00000000">
      <w:r>
        <w:t>80.</w:t>
      </w:r>
      <w:r>
        <w:tab/>
        <w:t>Из 20</w:t>
      </w:r>
      <w:r>
        <w:rPr>
          <w:lang w:val="en-US"/>
        </w:rPr>
        <w:t> </w:t>
      </w:r>
      <w:r>
        <w:t>918</w:t>
      </w:r>
      <w:r>
        <w:rPr>
          <w:lang w:val="en-US"/>
        </w:rPr>
        <w:t> </w:t>
      </w:r>
      <w:r>
        <w:t>выданных за отчетный период студенческих ссуд 14 362 были получены студентками (68,6%).</w:t>
      </w:r>
    </w:p>
    <w:p w:rsidR="00000000" w:rsidRDefault="00000000"/>
    <w:p w:rsidR="00000000" w:rsidRDefault="00000000">
      <w:r>
        <w:t>81.</w:t>
      </w:r>
      <w:r>
        <w:tab/>
        <w:t>Учащиеся-мужчины и учащиеся-женщины равно представлены среди лиц, охваченных  программами образования для взрослых в системе среднего образования.  Речь идет о разновидности самообразования за собственный счет, и оно предусматривает сдачу экзаменов за определенные курсы или программы средней школы.</w:t>
      </w:r>
    </w:p>
    <w:p w:rsidR="00000000" w:rsidRDefault="00000000"/>
    <w:p w:rsidR="00000000" w:rsidRDefault="00000000">
      <w:r>
        <w:t>82.</w:t>
      </w:r>
      <w:r>
        <w:tab/>
        <w:t>Кроме того, Закон предусматривает возможность прохождения двухлетнего профессионального обучения лицами, не имеющими свидетельства об окончании начальной школы, при этом одновременно с получением профессиональных навыков проходится установленная программа начального образования.</w:t>
      </w:r>
    </w:p>
    <w:p w:rsidR="00000000" w:rsidRDefault="00000000"/>
    <w:p w:rsidR="00000000" w:rsidRDefault="00000000">
      <w:pPr>
        <w:pStyle w:val="Heading3"/>
        <w:rPr>
          <w:b/>
          <w:bCs/>
          <w:i w:val="0"/>
          <w:iCs/>
        </w:rPr>
      </w:pPr>
      <w:r>
        <w:rPr>
          <w:b/>
          <w:bCs/>
          <w:i w:val="0"/>
          <w:iCs/>
        </w:rPr>
        <w:t>Женщины и занятость</w:t>
      </w:r>
    </w:p>
    <w:p w:rsidR="00000000" w:rsidRDefault="00000000">
      <w:pPr>
        <w:pStyle w:val="Heading3"/>
        <w:rPr>
          <w:b/>
          <w:bCs/>
          <w:i w:val="0"/>
          <w:iCs/>
        </w:rPr>
      </w:pPr>
    </w:p>
    <w:p w:rsidR="00000000" w:rsidRDefault="00000000">
      <w:r>
        <w:t>83.</w:t>
      </w:r>
      <w:r>
        <w:tab/>
        <w:t>Согласно Конституции (пункт</w:t>
      </w:r>
      <w:r>
        <w:rPr>
          <w:lang w:val="en-US"/>
        </w:rPr>
        <w:t> </w:t>
      </w:r>
      <w:r>
        <w:t>1 статьи</w:t>
      </w:r>
      <w:r>
        <w:rPr>
          <w:lang w:val="en-US"/>
        </w:rPr>
        <w:t> </w:t>
      </w:r>
      <w:r>
        <w:t xml:space="preserve">32), каждый имеет право на труд, свободный выбор деятельности, защиту во время работы и материальное обеспечение в период временной </w:t>
      </w:r>
      <w:proofErr w:type="spellStart"/>
      <w:r>
        <w:t>незанятости</w:t>
      </w:r>
      <w:proofErr w:type="spellEnd"/>
      <w:r>
        <w:t>, причем каждому на равных условиях доступно любое место, т.е. без дискриминации, в том числе по признаку пола.</w:t>
      </w:r>
    </w:p>
    <w:p w:rsidR="00000000" w:rsidRDefault="00000000"/>
    <w:p w:rsidR="00000000" w:rsidRDefault="00000000">
      <w:r>
        <w:t>84.</w:t>
      </w:r>
      <w:r>
        <w:tab/>
        <w:t>В соответствии с этими конституционными положениями принят ряд законов и заключен ряд коллективных договоров в полном соответствии с упомянутыми выше конституционными правами в сфере труда, а именно:  Закон о трудовых отношениях, Закон о занятости и страховании на случай безработицы и Закон о содействии расширению занятости.</w:t>
      </w:r>
    </w:p>
    <w:p w:rsidR="00000000" w:rsidRDefault="00000000"/>
    <w:p w:rsidR="00000000" w:rsidRDefault="00000000">
      <w:r>
        <w:t>85.</w:t>
      </w:r>
      <w:r>
        <w:tab/>
        <w:t>На общенациональном уровне заключены два коллективных договора:  Общее коллективное соглашение для хозяйственных секторов бывшей югославской Республики Македонии и Общее коллективное соглашение для государственных служб, государственных предприятий, государственных учреждений, органов местного самоуправления и других юридических лиц, занятых неэкономической деятельностью.  Почти все отраслевые коллективные соглашения заключены на основе этих двух рамочных коллективных соглашений.</w:t>
      </w:r>
    </w:p>
    <w:p w:rsidR="00000000" w:rsidRDefault="00000000">
      <w:r>
        <w:t>86.</w:t>
      </w:r>
      <w:r>
        <w:tab/>
        <w:t>Вопросы трудовых отношений регулируются Законом о трудовых отношениях от 1993</w:t>
      </w:r>
      <w:r>
        <w:rPr>
          <w:lang w:val="en-US"/>
        </w:rPr>
        <w:t> </w:t>
      </w:r>
      <w:r>
        <w:t>года с целым рядом поправок и добавлений, внесенных в процессе реформирования рынка труда и реализации других проектов.  Возникающие в этой области вопросы регулируются также рядом других законодательных актов и коллективных соглашений и трудовыми договорами.</w:t>
      </w:r>
    </w:p>
    <w:p w:rsidR="00000000" w:rsidRDefault="00000000"/>
    <w:p w:rsidR="00000000" w:rsidRDefault="00000000">
      <w:r>
        <w:t>87.</w:t>
      </w:r>
      <w:r>
        <w:tab/>
        <w:t>В соответствии с Соглашением о стабилизации и ассоциации, заключенным между бывшей югославской Республикой Македонией и Европейским союзом (ЕС) 9 апреля 2001 года, правительство страны приняло программу сближения законодательства бывшей югославской Республики Македонии с законодательством ЕС.  Эти документы касаются Директив в области труда, в соответствие с которыми должно быть приведено национальное законодательство;  в них, кроме того, определяются сроки и этапы приведения национального законодательства в соответствие с директивами ЕС.  На первом этапе было завершено согласование положений о труде с рядом директив ЕС:  Директивой Совета 76/117/ЕЭС относительно применения принципа равной оплаты труда мужчин и женщин;  Директивой Совета 76/207/ЕЭС об имплементации принципа равенства мужчин и женщин в вопросах трудоустройства, профессионального образования, продвижения по службе и условиях труда;  и в определенной степени с Директивой Совета 97/80/ЕЭС о распределении бремени доказывания в случае дискриминации по признаку пола.  Эти Директивы имеют отношение к Закону о трудовых отношениях, причем часть из них актуальна и для других законов, связанных с вопросами труда.</w:t>
      </w:r>
    </w:p>
    <w:p w:rsidR="00000000" w:rsidRDefault="00000000"/>
    <w:p w:rsidR="00000000" w:rsidRDefault="00000000">
      <w:r>
        <w:t>88.</w:t>
      </w:r>
      <w:r>
        <w:tab/>
        <w:t xml:space="preserve">Соответственно, в подпункте а) статьи 8 Закона о трудовых отношениях ("Официальный вестник" бывшей югославской Республики Македонии № 25/2003) говорится о том, что работодателю запрещается ставить претендента на получение работы или работника в неравное правовое положение в силу расовой принадлежности, цвета кожи, пола, возраста, инвалидности, религиозных, политических или иных убеждений, членства в профсоюзах, национального или социального происхождения, семейного положения, имущественного положения или иных личных обстоятельств. </w:t>
      </w:r>
    </w:p>
    <w:p w:rsidR="00000000" w:rsidRDefault="00000000"/>
    <w:p w:rsidR="00000000" w:rsidRDefault="00000000">
      <w:r>
        <w:t>89.</w:t>
      </w:r>
      <w:r>
        <w:tab/>
        <w:t xml:space="preserve">Мужчинам и женщинам гарантируются равные возможности и условия при приеме на работу, продвижении по службе, профессиональном страховании, установлении продолжительности рабочей недели и расторжении трудового договора.  Кроме того, в Закон о трудовых отношениях было внесено дополнительное положение (подпункт а) статьи 70, "Официальный вестник" бывшей югославской Республики Македонии № 25/2003), которое гласит:  </w:t>
      </w:r>
      <w:r>
        <w:rPr>
          <w:i/>
          <w:iCs/>
        </w:rPr>
        <w:t>"Работодатель обязан выплачивать своим работникам, независимо от пола, равное вознаграждение за равный труд одинаковой сложности".</w:t>
      </w:r>
      <w:r>
        <w:t xml:space="preserve">  Положения трудовых договоров и коллективных соглашений, которые противоречат первому пункту этой статьи, считаются не имеющими законной силы.</w:t>
      </w:r>
    </w:p>
    <w:p w:rsidR="00000000" w:rsidRDefault="00000000"/>
    <w:p w:rsidR="00000000" w:rsidRDefault="00000000">
      <w:r>
        <w:t>90.</w:t>
      </w:r>
      <w:r>
        <w:tab/>
        <w:t xml:space="preserve">Согласно данным, которые были собраны в ходе обследования рабочей силы, организованного Государственным статистическим управлением в апреле 2003 года, темп прироста составил </w:t>
      </w:r>
      <w:proofErr w:type="spellStart"/>
      <w:r>
        <w:t>43,4%</w:t>
      </w:r>
      <w:proofErr w:type="spellEnd"/>
      <w:r>
        <w:t xml:space="preserve"> для женщин и </w:t>
      </w:r>
      <w:proofErr w:type="spellStart"/>
      <w:r>
        <w:t>65,6%</w:t>
      </w:r>
      <w:proofErr w:type="spellEnd"/>
      <w:r>
        <w:t xml:space="preserve"> для мужчин.  Можно отметить, что в показателях экономической активности населения начиная с 1996 года, когда впервые стали проводиться обследования рабочей силы, каких-либо значительных изменений не наблюдалось, если не считать небольших колебаний в сторону повышения или снижения.  Доля женщин в экономически активном населении оставалась неизменной и в отчетный период колебалась между </w:t>
      </w:r>
      <w:proofErr w:type="spellStart"/>
      <w:r>
        <w:t>20,1%</w:t>
      </w:r>
      <w:proofErr w:type="spellEnd"/>
      <w:r>
        <w:t xml:space="preserve"> и 25,3%.  Показатели участия женщин и мужчин в рабочей силе имели аналогичную тенденцию и составляли </w:t>
      </w:r>
      <w:proofErr w:type="spellStart"/>
      <w:r>
        <w:t>60,3%</w:t>
      </w:r>
      <w:proofErr w:type="spellEnd"/>
      <w:r>
        <w:t xml:space="preserve"> для мужчин и 39,6% для женщин (2003 год).</w:t>
      </w:r>
    </w:p>
    <w:p w:rsidR="00000000" w:rsidRDefault="00000000"/>
    <w:p w:rsidR="00000000" w:rsidRDefault="00000000">
      <w:pPr>
        <w:pStyle w:val="Heading2"/>
        <w:jc w:val="center"/>
        <w:rPr>
          <w:b/>
          <w:bCs/>
          <w:u w:val="none"/>
        </w:rPr>
      </w:pPr>
      <w:r>
        <w:rPr>
          <w:b/>
          <w:bCs/>
          <w:u w:val="none"/>
        </w:rPr>
        <w:t>Занятость в разбивке по полу (1996-2003 гг.)</w:t>
      </w:r>
    </w:p>
    <w:p w:rsidR="00000000" w:rsidRDefault="00000000">
      <w:pPr>
        <w:pStyle w:val="Heading2"/>
        <w:jc w:val="center"/>
        <w:rPr>
          <w:b/>
          <w:bCs/>
          <w:u w:val="none"/>
        </w:rPr>
      </w:pPr>
    </w:p>
    <w:tbl>
      <w:tblPr>
        <w:tblW w:w="0" w:type="auto"/>
        <w:jc w:val="center"/>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3"/>
        <w:gridCol w:w="925"/>
        <w:gridCol w:w="902"/>
        <w:gridCol w:w="902"/>
        <w:gridCol w:w="902"/>
        <w:gridCol w:w="902"/>
        <w:gridCol w:w="902"/>
        <w:gridCol w:w="902"/>
        <w:gridCol w:w="902"/>
      </w:tblGrid>
      <w:tr w:rsidR="00000000">
        <w:tblPrEx>
          <w:tblCellMar>
            <w:top w:w="0" w:type="dxa"/>
            <w:bottom w:w="0" w:type="dxa"/>
          </w:tblCellMar>
        </w:tblPrEx>
        <w:trPr>
          <w:trHeight w:val="262"/>
          <w:jc w:val="center"/>
        </w:trPr>
        <w:tc>
          <w:tcPr>
            <w:tcW w:w="1983" w:type="dxa"/>
          </w:tcPr>
          <w:p w:rsidR="00000000" w:rsidRDefault="00000000">
            <w:pPr>
              <w:spacing w:line="240" w:lineRule="auto"/>
              <w:ind w:firstLine="74"/>
              <w:rPr>
                <w:sz w:val="22"/>
              </w:rPr>
            </w:pPr>
            <w:r>
              <w:rPr>
                <w:sz w:val="22"/>
              </w:rPr>
              <w:t>Процент экономически активного населения</w:t>
            </w:r>
          </w:p>
        </w:tc>
        <w:tc>
          <w:tcPr>
            <w:tcW w:w="925" w:type="dxa"/>
          </w:tcPr>
          <w:p w:rsidR="00000000" w:rsidRDefault="00000000">
            <w:pPr>
              <w:spacing w:line="240" w:lineRule="auto"/>
              <w:jc w:val="center"/>
              <w:rPr>
                <w:sz w:val="22"/>
              </w:rPr>
            </w:pPr>
            <w:r>
              <w:rPr>
                <w:sz w:val="22"/>
              </w:rPr>
              <w:t>1996</w:t>
            </w:r>
          </w:p>
        </w:tc>
        <w:tc>
          <w:tcPr>
            <w:tcW w:w="902" w:type="dxa"/>
          </w:tcPr>
          <w:p w:rsidR="00000000" w:rsidRDefault="00000000">
            <w:pPr>
              <w:spacing w:line="240" w:lineRule="auto"/>
              <w:jc w:val="center"/>
              <w:rPr>
                <w:sz w:val="22"/>
              </w:rPr>
            </w:pPr>
            <w:r>
              <w:rPr>
                <w:sz w:val="22"/>
              </w:rPr>
              <w:t>1997</w:t>
            </w:r>
          </w:p>
        </w:tc>
        <w:tc>
          <w:tcPr>
            <w:tcW w:w="902" w:type="dxa"/>
          </w:tcPr>
          <w:p w:rsidR="00000000" w:rsidRDefault="00000000">
            <w:pPr>
              <w:spacing w:line="240" w:lineRule="auto"/>
              <w:jc w:val="center"/>
              <w:rPr>
                <w:sz w:val="22"/>
              </w:rPr>
            </w:pPr>
            <w:r>
              <w:rPr>
                <w:sz w:val="22"/>
              </w:rPr>
              <w:t>1998</w:t>
            </w:r>
          </w:p>
        </w:tc>
        <w:tc>
          <w:tcPr>
            <w:tcW w:w="902" w:type="dxa"/>
          </w:tcPr>
          <w:p w:rsidR="00000000" w:rsidRDefault="00000000">
            <w:pPr>
              <w:spacing w:line="240" w:lineRule="auto"/>
              <w:jc w:val="center"/>
              <w:rPr>
                <w:sz w:val="22"/>
              </w:rPr>
            </w:pPr>
            <w:r>
              <w:rPr>
                <w:sz w:val="22"/>
              </w:rPr>
              <w:t>1999</w:t>
            </w:r>
          </w:p>
        </w:tc>
        <w:tc>
          <w:tcPr>
            <w:tcW w:w="902" w:type="dxa"/>
          </w:tcPr>
          <w:p w:rsidR="00000000" w:rsidRDefault="00000000">
            <w:pPr>
              <w:spacing w:line="240" w:lineRule="auto"/>
              <w:jc w:val="center"/>
              <w:rPr>
                <w:sz w:val="22"/>
              </w:rPr>
            </w:pPr>
            <w:r>
              <w:rPr>
                <w:sz w:val="22"/>
              </w:rPr>
              <w:t>2000</w:t>
            </w:r>
          </w:p>
        </w:tc>
        <w:tc>
          <w:tcPr>
            <w:tcW w:w="902" w:type="dxa"/>
          </w:tcPr>
          <w:p w:rsidR="00000000" w:rsidRDefault="00000000">
            <w:pPr>
              <w:spacing w:line="240" w:lineRule="auto"/>
              <w:jc w:val="center"/>
              <w:rPr>
                <w:sz w:val="22"/>
              </w:rPr>
            </w:pPr>
            <w:r>
              <w:rPr>
                <w:sz w:val="22"/>
              </w:rPr>
              <w:t>2001</w:t>
            </w:r>
          </w:p>
        </w:tc>
        <w:tc>
          <w:tcPr>
            <w:tcW w:w="902" w:type="dxa"/>
          </w:tcPr>
          <w:p w:rsidR="00000000" w:rsidRDefault="00000000">
            <w:pPr>
              <w:spacing w:line="240" w:lineRule="auto"/>
              <w:jc w:val="center"/>
              <w:rPr>
                <w:sz w:val="22"/>
                <w:lang w:val="en-US"/>
              </w:rPr>
            </w:pPr>
            <w:r>
              <w:rPr>
                <w:sz w:val="22"/>
                <w:lang w:val="en-US"/>
              </w:rPr>
              <w:t>2002</w:t>
            </w:r>
          </w:p>
        </w:tc>
        <w:tc>
          <w:tcPr>
            <w:tcW w:w="902" w:type="dxa"/>
          </w:tcPr>
          <w:p w:rsidR="00000000" w:rsidRDefault="00000000">
            <w:pPr>
              <w:spacing w:line="240" w:lineRule="auto"/>
              <w:jc w:val="center"/>
              <w:rPr>
                <w:sz w:val="22"/>
                <w:lang w:val="en-US"/>
              </w:rPr>
            </w:pPr>
            <w:r>
              <w:rPr>
                <w:sz w:val="22"/>
                <w:lang w:val="en-US"/>
              </w:rPr>
              <w:t>2003</w:t>
            </w:r>
          </w:p>
        </w:tc>
      </w:tr>
      <w:tr w:rsidR="00000000">
        <w:tblPrEx>
          <w:tblCellMar>
            <w:top w:w="0" w:type="dxa"/>
            <w:bottom w:w="0" w:type="dxa"/>
          </w:tblCellMar>
        </w:tblPrEx>
        <w:trPr>
          <w:trHeight w:val="247"/>
          <w:jc w:val="center"/>
        </w:trPr>
        <w:tc>
          <w:tcPr>
            <w:tcW w:w="1983" w:type="dxa"/>
            <w:tcBorders>
              <w:bottom w:val="nil"/>
            </w:tcBorders>
          </w:tcPr>
          <w:p w:rsidR="00000000" w:rsidRDefault="00000000">
            <w:pPr>
              <w:ind w:firstLine="74"/>
              <w:rPr>
                <w:sz w:val="22"/>
                <w:lang w:val="en-US"/>
              </w:rPr>
            </w:pPr>
            <w:r>
              <w:rPr>
                <w:sz w:val="22"/>
              </w:rPr>
              <w:t>Всего</w:t>
            </w:r>
          </w:p>
        </w:tc>
        <w:tc>
          <w:tcPr>
            <w:tcW w:w="925" w:type="dxa"/>
            <w:tcBorders>
              <w:bottom w:val="nil"/>
            </w:tcBorders>
          </w:tcPr>
          <w:p w:rsidR="00000000" w:rsidRDefault="00000000">
            <w:pPr>
              <w:jc w:val="center"/>
              <w:rPr>
                <w:sz w:val="22"/>
                <w:lang w:val="en-US"/>
              </w:rPr>
            </w:pPr>
            <w:r>
              <w:rPr>
                <w:sz w:val="22"/>
                <w:lang w:val="en-US"/>
              </w:rPr>
              <w:t>54,9</w:t>
            </w:r>
          </w:p>
        </w:tc>
        <w:tc>
          <w:tcPr>
            <w:tcW w:w="902" w:type="dxa"/>
            <w:tcBorders>
              <w:bottom w:val="nil"/>
            </w:tcBorders>
          </w:tcPr>
          <w:p w:rsidR="00000000" w:rsidRDefault="00000000">
            <w:pPr>
              <w:jc w:val="center"/>
              <w:rPr>
                <w:sz w:val="22"/>
                <w:lang w:val="en-US"/>
              </w:rPr>
            </w:pPr>
            <w:r>
              <w:rPr>
                <w:sz w:val="22"/>
                <w:lang w:val="en-US"/>
              </w:rPr>
              <w:t>53,7</w:t>
            </w:r>
          </w:p>
        </w:tc>
        <w:tc>
          <w:tcPr>
            <w:tcW w:w="902" w:type="dxa"/>
            <w:tcBorders>
              <w:bottom w:val="nil"/>
            </w:tcBorders>
          </w:tcPr>
          <w:p w:rsidR="00000000" w:rsidRDefault="00000000">
            <w:pPr>
              <w:jc w:val="center"/>
              <w:rPr>
                <w:sz w:val="22"/>
                <w:lang w:val="en-US"/>
              </w:rPr>
            </w:pPr>
            <w:r>
              <w:rPr>
                <w:sz w:val="22"/>
                <w:lang w:val="en-US"/>
              </w:rPr>
              <w:t>54,8</w:t>
            </w:r>
          </w:p>
        </w:tc>
        <w:tc>
          <w:tcPr>
            <w:tcW w:w="902" w:type="dxa"/>
            <w:tcBorders>
              <w:bottom w:val="nil"/>
            </w:tcBorders>
          </w:tcPr>
          <w:p w:rsidR="00000000" w:rsidRDefault="00000000">
            <w:pPr>
              <w:jc w:val="center"/>
              <w:rPr>
                <w:sz w:val="22"/>
                <w:lang w:val="en-US"/>
              </w:rPr>
            </w:pPr>
            <w:r>
              <w:rPr>
                <w:sz w:val="22"/>
                <w:lang w:val="en-US"/>
              </w:rPr>
              <w:t>53,1</w:t>
            </w:r>
          </w:p>
        </w:tc>
        <w:tc>
          <w:tcPr>
            <w:tcW w:w="902" w:type="dxa"/>
            <w:tcBorders>
              <w:bottom w:val="nil"/>
            </w:tcBorders>
          </w:tcPr>
          <w:p w:rsidR="00000000" w:rsidRDefault="00000000">
            <w:pPr>
              <w:jc w:val="center"/>
              <w:rPr>
                <w:sz w:val="22"/>
                <w:lang w:val="en-US"/>
              </w:rPr>
            </w:pPr>
            <w:r>
              <w:rPr>
                <w:sz w:val="22"/>
                <w:lang w:val="en-US"/>
              </w:rPr>
              <w:t>52,9</w:t>
            </w:r>
          </w:p>
        </w:tc>
        <w:tc>
          <w:tcPr>
            <w:tcW w:w="902" w:type="dxa"/>
            <w:tcBorders>
              <w:bottom w:val="nil"/>
            </w:tcBorders>
          </w:tcPr>
          <w:p w:rsidR="00000000" w:rsidRDefault="00000000">
            <w:pPr>
              <w:jc w:val="center"/>
              <w:rPr>
                <w:sz w:val="22"/>
                <w:lang w:val="en-US"/>
              </w:rPr>
            </w:pPr>
            <w:r>
              <w:rPr>
                <w:sz w:val="22"/>
                <w:lang w:val="en-US"/>
              </w:rPr>
              <w:t>55,5</w:t>
            </w:r>
          </w:p>
        </w:tc>
        <w:tc>
          <w:tcPr>
            <w:tcW w:w="902" w:type="dxa"/>
            <w:tcBorders>
              <w:bottom w:val="nil"/>
            </w:tcBorders>
          </w:tcPr>
          <w:p w:rsidR="00000000" w:rsidRDefault="00000000">
            <w:pPr>
              <w:jc w:val="center"/>
              <w:rPr>
                <w:sz w:val="22"/>
                <w:lang w:val="en-US"/>
              </w:rPr>
            </w:pPr>
            <w:r>
              <w:rPr>
                <w:sz w:val="22"/>
                <w:lang w:val="en-US"/>
              </w:rPr>
              <w:t>52,6</w:t>
            </w:r>
          </w:p>
        </w:tc>
        <w:tc>
          <w:tcPr>
            <w:tcW w:w="902" w:type="dxa"/>
            <w:tcBorders>
              <w:bottom w:val="nil"/>
            </w:tcBorders>
          </w:tcPr>
          <w:p w:rsidR="00000000" w:rsidRDefault="00000000">
            <w:pPr>
              <w:jc w:val="center"/>
              <w:rPr>
                <w:sz w:val="22"/>
                <w:lang w:val="en-US"/>
              </w:rPr>
            </w:pPr>
            <w:r>
              <w:rPr>
                <w:sz w:val="22"/>
                <w:lang w:val="en-US"/>
              </w:rPr>
              <w:t>54,5</w:t>
            </w:r>
          </w:p>
        </w:tc>
      </w:tr>
      <w:tr w:rsidR="00000000">
        <w:tblPrEx>
          <w:tblCellMar>
            <w:top w:w="0" w:type="dxa"/>
            <w:bottom w:w="0" w:type="dxa"/>
          </w:tblCellMar>
        </w:tblPrEx>
        <w:trPr>
          <w:trHeight w:val="262"/>
          <w:jc w:val="center"/>
        </w:trPr>
        <w:tc>
          <w:tcPr>
            <w:tcW w:w="1983" w:type="dxa"/>
            <w:tcBorders>
              <w:top w:val="nil"/>
              <w:bottom w:val="nil"/>
            </w:tcBorders>
          </w:tcPr>
          <w:p w:rsidR="00000000" w:rsidRDefault="00000000">
            <w:pPr>
              <w:ind w:firstLine="74"/>
              <w:rPr>
                <w:sz w:val="22"/>
              </w:rPr>
            </w:pPr>
            <w:r>
              <w:rPr>
                <w:sz w:val="22"/>
              </w:rPr>
              <w:t>Мужчины</w:t>
            </w:r>
          </w:p>
        </w:tc>
        <w:tc>
          <w:tcPr>
            <w:tcW w:w="925" w:type="dxa"/>
            <w:tcBorders>
              <w:top w:val="nil"/>
              <w:bottom w:val="nil"/>
            </w:tcBorders>
          </w:tcPr>
          <w:p w:rsidR="00000000" w:rsidRDefault="00000000">
            <w:pPr>
              <w:jc w:val="center"/>
              <w:rPr>
                <w:sz w:val="22"/>
                <w:lang w:val="en-US"/>
              </w:rPr>
            </w:pPr>
            <w:r>
              <w:rPr>
                <w:sz w:val="22"/>
                <w:lang w:val="en-US"/>
              </w:rPr>
              <w:t>67,0</w:t>
            </w:r>
          </w:p>
        </w:tc>
        <w:tc>
          <w:tcPr>
            <w:tcW w:w="902" w:type="dxa"/>
            <w:tcBorders>
              <w:top w:val="nil"/>
              <w:bottom w:val="nil"/>
            </w:tcBorders>
          </w:tcPr>
          <w:p w:rsidR="00000000" w:rsidRDefault="00000000">
            <w:pPr>
              <w:jc w:val="center"/>
              <w:rPr>
                <w:sz w:val="22"/>
                <w:lang w:val="en-US"/>
              </w:rPr>
            </w:pPr>
            <w:r>
              <w:rPr>
                <w:sz w:val="22"/>
                <w:lang w:val="en-US"/>
              </w:rPr>
              <w:t>66,5</w:t>
            </w:r>
          </w:p>
        </w:tc>
        <w:tc>
          <w:tcPr>
            <w:tcW w:w="902" w:type="dxa"/>
            <w:tcBorders>
              <w:top w:val="nil"/>
              <w:bottom w:val="nil"/>
            </w:tcBorders>
          </w:tcPr>
          <w:p w:rsidR="00000000" w:rsidRDefault="00000000">
            <w:pPr>
              <w:jc w:val="center"/>
              <w:rPr>
                <w:sz w:val="22"/>
                <w:lang w:val="en-US"/>
              </w:rPr>
            </w:pPr>
            <w:r>
              <w:rPr>
                <w:sz w:val="22"/>
                <w:lang w:val="en-US"/>
              </w:rPr>
              <w:t>67,4</w:t>
            </w:r>
          </w:p>
        </w:tc>
        <w:tc>
          <w:tcPr>
            <w:tcW w:w="902" w:type="dxa"/>
            <w:tcBorders>
              <w:top w:val="nil"/>
              <w:bottom w:val="nil"/>
            </w:tcBorders>
          </w:tcPr>
          <w:p w:rsidR="00000000" w:rsidRDefault="00000000">
            <w:pPr>
              <w:jc w:val="center"/>
              <w:rPr>
                <w:sz w:val="22"/>
                <w:lang w:val="en-US"/>
              </w:rPr>
            </w:pPr>
            <w:r>
              <w:rPr>
                <w:sz w:val="22"/>
                <w:lang w:val="en-US"/>
              </w:rPr>
              <w:t>65,5</w:t>
            </w:r>
          </w:p>
        </w:tc>
        <w:tc>
          <w:tcPr>
            <w:tcW w:w="902" w:type="dxa"/>
            <w:tcBorders>
              <w:top w:val="nil"/>
              <w:bottom w:val="nil"/>
            </w:tcBorders>
          </w:tcPr>
          <w:p w:rsidR="00000000" w:rsidRDefault="00000000">
            <w:pPr>
              <w:jc w:val="center"/>
              <w:rPr>
                <w:sz w:val="22"/>
                <w:lang w:val="en-US"/>
              </w:rPr>
            </w:pPr>
            <w:r>
              <w:rPr>
                <w:sz w:val="22"/>
                <w:lang w:val="en-US"/>
              </w:rPr>
              <w:t>64,4</w:t>
            </w:r>
          </w:p>
        </w:tc>
        <w:tc>
          <w:tcPr>
            <w:tcW w:w="902" w:type="dxa"/>
            <w:tcBorders>
              <w:top w:val="nil"/>
              <w:bottom w:val="nil"/>
            </w:tcBorders>
          </w:tcPr>
          <w:p w:rsidR="00000000" w:rsidRDefault="00000000">
            <w:pPr>
              <w:jc w:val="center"/>
              <w:rPr>
                <w:sz w:val="22"/>
                <w:lang w:val="en-US"/>
              </w:rPr>
            </w:pPr>
            <w:r>
              <w:rPr>
                <w:sz w:val="22"/>
                <w:lang w:val="en-US"/>
              </w:rPr>
              <w:t>65</w:t>
            </w:r>
            <w:r>
              <w:rPr>
                <w:sz w:val="22"/>
              </w:rPr>
              <w:t>,</w:t>
            </w:r>
            <w:r>
              <w:rPr>
                <w:sz w:val="22"/>
                <w:lang w:val="en-US"/>
              </w:rPr>
              <w:t>6</w:t>
            </w:r>
          </w:p>
        </w:tc>
        <w:tc>
          <w:tcPr>
            <w:tcW w:w="902" w:type="dxa"/>
            <w:tcBorders>
              <w:top w:val="nil"/>
              <w:bottom w:val="nil"/>
            </w:tcBorders>
          </w:tcPr>
          <w:p w:rsidR="00000000" w:rsidRDefault="00000000">
            <w:pPr>
              <w:jc w:val="center"/>
              <w:rPr>
                <w:sz w:val="22"/>
                <w:lang w:val="en-US"/>
              </w:rPr>
            </w:pPr>
            <w:r>
              <w:rPr>
                <w:sz w:val="22"/>
                <w:lang w:val="en-US"/>
              </w:rPr>
              <w:t>63,7</w:t>
            </w:r>
          </w:p>
        </w:tc>
        <w:tc>
          <w:tcPr>
            <w:tcW w:w="902" w:type="dxa"/>
            <w:tcBorders>
              <w:top w:val="nil"/>
              <w:bottom w:val="nil"/>
            </w:tcBorders>
          </w:tcPr>
          <w:p w:rsidR="00000000" w:rsidRDefault="00000000">
            <w:pPr>
              <w:jc w:val="center"/>
              <w:rPr>
                <w:sz w:val="22"/>
                <w:lang w:val="en-US"/>
              </w:rPr>
            </w:pPr>
            <w:r>
              <w:rPr>
                <w:sz w:val="22"/>
                <w:lang w:val="en-US"/>
              </w:rPr>
              <w:t>65,6</w:t>
            </w:r>
          </w:p>
        </w:tc>
      </w:tr>
      <w:tr w:rsidR="00000000">
        <w:tblPrEx>
          <w:tblCellMar>
            <w:top w:w="0" w:type="dxa"/>
            <w:bottom w:w="0" w:type="dxa"/>
          </w:tblCellMar>
        </w:tblPrEx>
        <w:trPr>
          <w:trHeight w:val="262"/>
          <w:jc w:val="center"/>
        </w:trPr>
        <w:tc>
          <w:tcPr>
            <w:tcW w:w="1983" w:type="dxa"/>
            <w:tcBorders>
              <w:top w:val="nil"/>
            </w:tcBorders>
          </w:tcPr>
          <w:p w:rsidR="00000000" w:rsidRDefault="00000000">
            <w:pPr>
              <w:ind w:firstLine="74"/>
              <w:rPr>
                <w:sz w:val="22"/>
              </w:rPr>
            </w:pPr>
            <w:r>
              <w:rPr>
                <w:sz w:val="22"/>
              </w:rPr>
              <w:t>Женщины</w:t>
            </w:r>
          </w:p>
        </w:tc>
        <w:tc>
          <w:tcPr>
            <w:tcW w:w="925" w:type="dxa"/>
            <w:tcBorders>
              <w:top w:val="nil"/>
            </w:tcBorders>
          </w:tcPr>
          <w:p w:rsidR="00000000" w:rsidRDefault="00000000">
            <w:pPr>
              <w:jc w:val="center"/>
              <w:rPr>
                <w:sz w:val="22"/>
                <w:lang w:val="en-US"/>
              </w:rPr>
            </w:pPr>
            <w:r>
              <w:rPr>
                <w:sz w:val="22"/>
                <w:lang w:val="en-US"/>
              </w:rPr>
              <w:t>42</w:t>
            </w:r>
            <w:r>
              <w:rPr>
                <w:sz w:val="22"/>
              </w:rPr>
              <w:t>,</w:t>
            </w:r>
            <w:r>
              <w:rPr>
                <w:sz w:val="22"/>
                <w:lang w:val="en-US"/>
              </w:rPr>
              <w:t>9</w:t>
            </w:r>
          </w:p>
        </w:tc>
        <w:tc>
          <w:tcPr>
            <w:tcW w:w="902" w:type="dxa"/>
            <w:tcBorders>
              <w:top w:val="nil"/>
            </w:tcBorders>
          </w:tcPr>
          <w:p w:rsidR="00000000" w:rsidRDefault="00000000">
            <w:pPr>
              <w:jc w:val="center"/>
              <w:rPr>
                <w:sz w:val="22"/>
                <w:lang w:val="en-US"/>
              </w:rPr>
            </w:pPr>
            <w:r>
              <w:rPr>
                <w:sz w:val="22"/>
                <w:lang w:val="en-US"/>
              </w:rPr>
              <w:t>41,2</w:t>
            </w:r>
          </w:p>
        </w:tc>
        <w:tc>
          <w:tcPr>
            <w:tcW w:w="902" w:type="dxa"/>
            <w:tcBorders>
              <w:top w:val="nil"/>
            </w:tcBorders>
          </w:tcPr>
          <w:p w:rsidR="00000000" w:rsidRDefault="00000000">
            <w:pPr>
              <w:jc w:val="center"/>
              <w:rPr>
                <w:sz w:val="22"/>
                <w:lang w:val="en-US"/>
              </w:rPr>
            </w:pPr>
            <w:r>
              <w:rPr>
                <w:sz w:val="22"/>
                <w:lang w:val="en-US"/>
              </w:rPr>
              <w:t>42,2</w:t>
            </w:r>
          </w:p>
        </w:tc>
        <w:tc>
          <w:tcPr>
            <w:tcW w:w="902" w:type="dxa"/>
            <w:tcBorders>
              <w:top w:val="nil"/>
            </w:tcBorders>
          </w:tcPr>
          <w:p w:rsidR="00000000" w:rsidRDefault="00000000">
            <w:pPr>
              <w:jc w:val="center"/>
              <w:rPr>
                <w:sz w:val="22"/>
                <w:lang w:val="en-US"/>
              </w:rPr>
            </w:pPr>
            <w:r>
              <w:rPr>
                <w:sz w:val="22"/>
                <w:lang w:val="en-US"/>
              </w:rPr>
              <w:t>40,8</w:t>
            </w:r>
          </w:p>
        </w:tc>
        <w:tc>
          <w:tcPr>
            <w:tcW w:w="902" w:type="dxa"/>
            <w:tcBorders>
              <w:top w:val="nil"/>
            </w:tcBorders>
          </w:tcPr>
          <w:p w:rsidR="00000000" w:rsidRDefault="00000000">
            <w:pPr>
              <w:jc w:val="center"/>
              <w:rPr>
                <w:sz w:val="22"/>
                <w:lang w:val="en-US"/>
              </w:rPr>
            </w:pPr>
            <w:r>
              <w:rPr>
                <w:sz w:val="22"/>
                <w:lang w:val="en-US"/>
              </w:rPr>
              <w:t>41,7</w:t>
            </w:r>
          </w:p>
        </w:tc>
        <w:tc>
          <w:tcPr>
            <w:tcW w:w="902" w:type="dxa"/>
            <w:tcBorders>
              <w:top w:val="nil"/>
            </w:tcBorders>
          </w:tcPr>
          <w:p w:rsidR="00000000" w:rsidRDefault="00000000">
            <w:pPr>
              <w:jc w:val="center"/>
              <w:rPr>
                <w:sz w:val="22"/>
                <w:lang w:val="en-US"/>
              </w:rPr>
            </w:pPr>
            <w:r>
              <w:rPr>
                <w:sz w:val="22"/>
                <w:lang w:val="en-US"/>
              </w:rPr>
              <w:t>45,5</w:t>
            </w:r>
          </w:p>
        </w:tc>
        <w:tc>
          <w:tcPr>
            <w:tcW w:w="902" w:type="dxa"/>
            <w:tcBorders>
              <w:top w:val="nil"/>
            </w:tcBorders>
          </w:tcPr>
          <w:p w:rsidR="00000000" w:rsidRDefault="00000000">
            <w:pPr>
              <w:jc w:val="center"/>
              <w:rPr>
                <w:sz w:val="22"/>
                <w:lang w:val="en-US"/>
              </w:rPr>
            </w:pPr>
            <w:r>
              <w:rPr>
                <w:sz w:val="22"/>
                <w:lang w:val="en-US"/>
              </w:rPr>
              <w:t>41,5</w:t>
            </w:r>
          </w:p>
        </w:tc>
        <w:tc>
          <w:tcPr>
            <w:tcW w:w="902" w:type="dxa"/>
            <w:tcBorders>
              <w:top w:val="nil"/>
            </w:tcBorders>
          </w:tcPr>
          <w:p w:rsidR="00000000" w:rsidRDefault="00000000">
            <w:pPr>
              <w:jc w:val="center"/>
              <w:rPr>
                <w:sz w:val="22"/>
                <w:lang w:val="en-US"/>
              </w:rPr>
            </w:pPr>
            <w:r>
              <w:rPr>
                <w:sz w:val="22"/>
                <w:lang w:val="en-US"/>
              </w:rPr>
              <w:t>43,4</w:t>
            </w:r>
          </w:p>
        </w:tc>
      </w:tr>
    </w:tbl>
    <w:p w:rsidR="00000000" w:rsidRDefault="00000000"/>
    <w:p w:rsidR="00000000" w:rsidRDefault="00000000">
      <w:r>
        <w:t>91.</w:t>
      </w:r>
      <w:r>
        <w:tab/>
        <w:t xml:space="preserve">Данные о безработице за последние несколько лет свидетельствуют о тенденции к более высокой безработице среди женщин, причем эта тенденция сохранялась с 2000 года по 2003 год.  Женщины составляют 44,7% в общей численности безработных в городах и </w:t>
      </w:r>
      <w:proofErr w:type="spellStart"/>
      <w:r>
        <w:t>30%</w:t>
      </w:r>
      <w:proofErr w:type="spellEnd"/>
      <w:r>
        <w:t xml:space="preserve"> - в сельской местности.  В общей же численности безработных женщин </w:t>
      </w:r>
      <w:proofErr w:type="spellStart"/>
      <w:r>
        <w:t>71,6%</w:t>
      </w:r>
      <w:proofErr w:type="spellEnd"/>
      <w:r>
        <w:t xml:space="preserve"> приходится на жительниц сельской местности и </w:t>
      </w:r>
      <w:proofErr w:type="spellStart"/>
      <w:r>
        <w:t>28,4%</w:t>
      </w:r>
      <w:proofErr w:type="spellEnd"/>
      <w:r>
        <w:t xml:space="preserve"> на горожанок.</w:t>
      </w:r>
    </w:p>
    <w:p w:rsidR="00000000" w:rsidRDefault="00000000"/>
    <w:p w:rsidR="00000000" w:rsidRDefault="00000000">
      <w:r>
        <w:t>92.</w:t>
      </w:r>
      <w:r>
        <w:tab/>
        <w:t>Согласно данным обследования рабочей силы 2003 года, экономически неактивное население составляло 45,5% от общей численности населения.  Причем в общей численности экономически неактивного населения 445 900 человек составляли женщины (62,1%) и 272 500 - мужчины (</w:t>
      </w:r>
      <w:proofErr w:type="spellStart"/>
      <w:r>
        <w:t>37,9%</w:t>
      </w:r>
      <w:proofErr w:type="spellEnd"/>
      <w:r>
        <w:t>).</w:t>
      </w:r>
    </w:p>
    <w:p w:rsidR="00000000" w:rsidRDefault="00000000"/>
    <w:p w:rsidR="00000000" w:rsidRDefault="00000000">
      <w:r>
        <w:t>93.</w:t>
      </w:r>
      <w:r>
        <w:tab/>
        <w:t xml:space="preserve">В 2003 году женщины составляли 40% всего занятого населения страны.  </w:t>
      </w:r>
    </w:p>
    <w:p w:rsidR="00000000" w:rsidRDefault="00000000"/>
    <w:p w:rsidR="00000000" w:rsidRDefault="00000000">
      <w:pPr>
        <w:pStyle w:val="Heading2"/>
        <w:jc w:val="center"/>
        <w:rPr>
          <w:b/>
          <w:bCs/>
          <w:u w:val="none"/>
        </w:rPr>
      </w:pPr>
      <w:r>
        <w:rPr>
          <w:b/>
          <w:bCs/>
          <w:u w:val="none"/>
        </w:rPr>
        <w:br w:type="page"/>
        <w:t>Показатели занятости в 1996-2003 годах (%)</w:t>
      </w:r>
    </w:p>
    <w:p w:rsidR="00000000" w:rsidRDefault="00000000">
      <w:pPr>
        <w:pStyle w:val="Heading2"/>
        <w:jc w:val="center"/>
        <w:rPr>
          <w:b/>
          <w:bCs/>
          <w:u w: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0"/>
        <w:gridCol w:w="915"/>
        <w:gridCol w:w="915"/>
        <w:gridCol w:w="915"/>
        <w:gridCol w:w="915"/>
        <w:gridCol w:w="915"/>
        <w:gridCol w:w="915"/>
        <w:gridCol w:w="915"/>
        <w:gridCol w:w="915"/>
      </w:tblGrid>
      <w:tr w:rsidR="00000000">
        <w:tblPrEx>
          <w:tblCellMar>
            <w:top w:w="0" w:type="dxa"/>
            <w:bottom w:w="0" w:type="dxa"/>
          </w:tblCellMar>
        </w:tblPrEx>
        <w:trPr>
          <w:trHeight w:val="262"/>
        </w:trPr>
        <w:tc>
          <w:tcPr>
            <w:tcW w:w="2040" w:type="dxa"/>
          </w:tcPr>
          <w:p w:rsidR="00000000" w:rsidRDefault="00000000">
            <w:pPr>
              <w:ind w:firstLine="74"/>
            </w:pPr>
            <w:r>
              <w:t xml:space="preserve">Процент занятости </w:t>
            </w:r>
          </w:p>
        </w:tc>
        <w:tc>
          <w:tcPr>
            <w:tcW w:w="915" w:type="dxa"/>
          </w:tcPr>
          <w:p w:rsidR="00000000" w:rsidRDefault="00000000">
            <w:pPr>
              <w:jc w:val="center"/>
            </w:pPr>
            <w:r>
              <w:t>1996</w:t>
            </w:r>
          </w:p>
        </w:tc>
        <w:tc>
          <w:tcPr>
            <w:tcW w:w="915" w:type="dxa"/>
          </w:tcPr>
          <w:p w:rsidR="00000000" w:rsidRDefault="00000000">
            <w:pPr>
              <w:jc w:val="center"/>
            </w:pPr>
            <w:r>
              <w:t>1997</w:t>
            </w:r>
          </w:p>
        </w:tc>
        <w:tc>
          <w:tcPr>
            <w:tcW w:w="915" w:type="dxa"/>
          </w:tcPr>
          <w:p w:rsidR="00000000" w:rsidRDefault="00000000">
            <w:pPr>
              <w:jc w:val="center"/>
            </w:pPr>
            <w:r>
              <w:t>1998</w:t>
            </w:r>
          </w:p>
        </w:tc>
        <w:tc>
          <w:tcPr>
            <w:tcW w:w="915" w:type="dxa"/>
          </w:tcPr>
          <w:p w:rsidR="00000000" w:rsidRDefault="00000000">
            <w:pPr>
              <w:jc w:val="center"/>
            </w:pPr>
            <w:r>
              <w:t>1999</w:t>
            </w:r>
          </w:p>
        </w:tc>
        <w:tc>
          <w:tcPr>
            <w:tcW w:w="915" w:type="dxa"/>
          </w:tcPr>
          <w:p w:rsidR="00000000" w:rsidRDefault="00000000">
            <w:pPr>
              <w:jc w:val="center"/>
            </w:pPr>
            <w:r>
              <w:t>2000</w:t>
            </w:r>
          </w:p>
        </w:tc>
        <w:tc>
          <w:tcPr>
            <w:tcW w:w="915" w:type="dxa"/>
          </w:tcPr>
          <w:p w:rsidR="00000000" w:rsidRDefault="00000000">
            <w:pPr>
              <w:jc w:val="center"/>
            </w:pPr>
            <w:r>
              <w:t>2001</w:t>
            </w:r>
          </w:p>
        </w:tc>
        <w:tc>
          <w:tcPr>
            <w:tcW w:w="915" w:type="dxa"/>
          </w:tcPr>
          <w:p w:rsidR="00000000" w:rsidRDefault="00000000">
            <w:pPr>
              <w:jc w:val="center"/>
            </w:pPr>
            <w:r>
              <w:t>2002</w:t>
            </w:r>
          </w:p>
        </w:tc>
        <w:tc>
          <w:tcPr>
            <w:tcW w:w="915" w:type="dxa"/>
          </w:tcPr>
          <w:p w:rsidR="00000000" w:rsidRDefault="00000000">
            <w:pPr>
              <w:jc w:val="center"/>
            </w:pPr>
            <w:r>
              <w:t>2003</w:t>
            </w:r>
          </w:p>
        </w:tc>
      </w:tr>
      <w:tr w:rsidR="00000000">
        <w:tblPrEx>
          <w:tblCellMar>
            <w:top w:w="0" w:type="dxa"/>
            <w:bottom w:w="0" w:type="dxa"/>
          </w:tblCellMar>
        </w:tblPrEx>
        <w:trPr>
          <w:trHeight w:val="247"/>
        </w:trPr>
        <w:tc>
          <w:tcPr>
            <w:tcW w:w="2040" w:type="dxa"/>
            <w:tcBorders>
              <w:bottom w:val="nil"/>
            </w:tcBorders>
          </w:tcPr>
          <w:p w:rsidR="00000000" w:rsidRDefault="00000000">
            <w:pPr>
              <w:ind w:firstLine="74"/>
              <w:rPr>
                <w:lang w:val="en-US"/>
              </w:rPr>
            </w:pPr>
            <w:r>
              <w:t>Всего</w:t>
            </w:r>
          </w:p>
        </w:tc>
        <w:tc>
          <w:tcPr>
            <w:tcW w:w="915" w:type="dxa"/>
            <w:tcBorders>
              <w:bottom w:val="nil"/>
            </w:tcBorders>
          </w:tcPr>
          <w:p w:rsidR="00000000" w:rsidRDefault="00000000">
            <w:pPr>
              <w:jc w:val="center"/>
              <w:rPr>
                <w:lang w:val="en-US"/>
              </w:rPr>
            </w:pPr>
            <w:r>
              <w:rPr>
                <w:lang w:val="en-US"/>
              </w:rPr>
              <w:t>37,4</w:t>
            </w:r>
          </w:p>
        </w:tc>
        <w:tc>
          <w:tcPr>
            <w:tcW w:w="915" w:type="dxa"/>
            <w:tcBorders>
              <w:bottom w:val="nil"/>
            </w:tcBorders>
          </w:tcPr>
          <w:p w:rsidR="00000000" w:rsidRDefault="00000000">
            <w:pPr>
              <w:jc w:val="center"/>
              <w:rPr>
                <w:lang w:val="en-US"/>
              </w:rPr>
            </w:pPr>
            <w:r>
              <w:rPr>
                <w:lang w:val="en-US"/>
              </w:rPr>
              <w:t>34,4</w:t>
            </w:r>
          </w:p>
        </w:tc>
        <w:tc>
          <w:tcPr>
            <w:tcW w:w="915" w:type="dxa"/>
            <w:tcBorders>
              <w:bottom w:val="nil"/>
            </w:tcBorders>
          </w:tcPr>
          <w:p w:rsidR="00000000" w:rsidRDefault="00000000">
            <w:pPr>
              <w:jc w:val="center"/>
              <w:rPr>
                <w:lang w:val="en-US"/>
              </w:rPr>
            </w:pPr>
            <w:r>
              <w:rPr>
                <w:lang w:val="en-US"/>
              </w:rPr>
              <w:t>35,9</w:t>
            </w:r>
          </w:p>
        </w:tc>
        <w:tc>
          <w:tcPr>
            <w:tcW w:w="915" w:type="dxa"/>
            <w:tcBorders>
              <w:bottom w:val="nil"/>
            </w:tcBorders>
          </w:tcPr>
          <w:p w:rsidR="00000000" w:rsidRDefault="00000000">
            <w:pPr>
              <w:jc w:val="center"/>
              <w:rPr>
                <w:lang w:val="en-US"/>
              </w:rPr>
            </w:pPr>
            <w:r>
              <w:rPr>
                <w:lang w:val="en-US"/>
              </w:rPr>
              <w:t>35,9</w:t>
            </w:r>
          </w:p>
        </w:tc>
        <w:tc>
          <w:tcPr>
            <w:tcW w:w="915" w:type="dxa"/>
            <w:tcBorders>
              <w:bottom w:val="nil"/>
            </w:tcBorders>
          </w:tcPr>
          <w:p w:rsidR="00000000" w:rsidRDefault="00000000">
            <w:pPr>
              <w:jc w:val="center"/>
              <w:rPr>
                <w:lang w:val="en-US"/>
              </w:rPr>
            </w:pPr>
            <w:r>
              <w:rPr>
                <w:lang w:val="en-US"/>
              </w:rPr>
              <w:t>35,8</w:t>
            </w:r>
          </w:p>
        </w:tc>
        <w:tc>
          <w:tcPr>
            <w:tcW w:w="915" w:type="dxa"/>
            <w:tcBorders>
              <w:bottom w:val="nil"/>
            </w:tcBorders>
          </w:tcPr>
          <w:p w:rsidR="00000000" w:rsidRDefault="00000000">
            <w:pPr>
              <w:jc w:val="center"/>
              <w:rPr>
                <w:lang w:val="en-US"/>
              </w:rPr>
            </w:pPr>
            <w:r>
              <w:rPr>
                <w:lang w:val="en-US"/>
              </w:rPr>
              <w:t>38</w:t>
            </w:r>
            <w:r>
              <w:t>,</w:t>
            </w:r>
            <w:r>
              <w:rPr>
                <w:lang w:val="en-US"/>
              </w:rPr>
              <w:t>6</w:t>
            </w:r>
          </w:p>
        </w:tc>
        <w:tc>
          <w:tcPr>
            <w:tcW w:w="915" w:type="dxa"/>
            <w:tcBorders>
              <w:bottom w:val="nil"/>
            </w:tcBorders>
          </w:tcPr>
          <w:p w:rsidR="00000000" w:rsidRDefault="00000000">
            <w:pPr>
              <w:jc w:val="center"/>
              <w:rPr>
                <w:lang w:val="en-US"/>
              </w:rPr>
            </w:pPr>
            <w:r>
              <w:rPr>
                <w:lang w:val="en-US"/>
              </w:rPr>
              <w:t>35</w:t>
            </w:r>
            <w:r>
              <w:t>,</w:t>
            </w:r>
            <w:r>
              <w:rPr>
                <w:lang w:val="en-US"/>
              </w:rPr>
              <w:t>8</w:t>
            </w:r>
          </w:p>
        </w:tc>
        <w:tc>
          <w:tcPr>
            <w:tcW w:w="915" w:type="dxa"/>
            <w:tcBorders>
              <w:bottom w:val="nil"/>
            </w:tcBorders>
          </w:tcPr>
          <w:p w:rsidR="00000000" w:rsidRDefault="00000000">
            <w:pPr>
              <w:jc w:val="center"/>
              <w:rPr>
                <w:lang w:val="en-US"/>
              </w:rPr>
            </w:pPr>
            <w:r>
              <w:rPr>
                <w:lang w:val="en-US"/>
              </w:rPr>
              <w:t>34,5</w:t>
            </w:r>
          </w:p>
        </w:tc>
      </w:tr>
      <w:tr w:rsidR="00000000">
        <w:tblPrEx>
          <w:tblCellMar>
            <w:top w:w="0" w:type="dxa"/>
            <w:bottom w:w="0" w:type="dxa"/>
          </w:tblCellMar>
        </w:tblPrEx>
        <w:trPr>
          <w:trHeight w:val="262"/>
        </w:trPr>
        <w:tc>
          <w:tcPr>
            <w:tcW w:w="2040" w:type="dxa"/>
            <w:tcBorders>
              <w:top w:val="nil"/>
              <w:bottom w:val="nil"/>
            </w:tcBorders>
          </w:tcPr>
          <w:p w:rsidR="00000000" w:rsidRDefault="00000000">
            <w:pPr>
              <w:ind w:firstLine="74"/>
            </w:pPr>
            <w:r>
              <w:t>Мужчины</w:t>
            </w:r>
          </w:p>
        </w:tc>
        <w:tc>
          <w:tcPr>
            <w:tcW w:w="915" w:type="dxa"/>
            <w:tcBorders>
              <w:top w:val="nil"/>
              <w:bottom w:val="nil"/>
            </w:tcBorders>
          </w:tcPr>
          <w:p w:rsidR="00000000" w:rsidRDefault="00000000">
            <w:pPr>
              <w:jc w:val="center"/>
              <w:rPr>
                <w:lang w:val="en-US"/>
              </w:rPr>
            </w:pPr>
            <w:r>
              <w:rPr>
                <w:lang w:val="en-US"/>
              </w:rPr>
              <w:t>47,5</w:t>
            </w:r>
          </w:p>
        </w:tc>
        <w:tc>
          <w:tcPr>
            <w:tcW w:w="915" w:type="dxa"/>
            <w:tcBorders>
              <w:top w:val="nil"/>
              <w:bottom w:val="nil"/>
            </w:tcBorders>
          </w:tcPr>
          <w:p w:rsidR="00000000" w:rsidRDefault="00000000">
            <w:pPr>
              <w:jc w:val="center"/>
              <w:rPr>
                <w:lang w:val="en-US"/>
              </w:rPr>
            </w:pPr>
            <w:r>
              <w:rPr>
                <w:lang w:val="en-US"/>
              </w:rPr>
              <w:t>44,6</w:t>
            </w:r>
          </w:p>
        </w:tc>
        <w:tc>
          <w:tcPr>
            <w:tcW w:w="915" w:type="dxa"/>
            <w:tcBorders>
              <w:top w:val="nil"/>
              <w:bottom w:val="nil"/>
            </w:tcBorders>
          </w:tcPr>
          <w:p w:rsidR="00000000" w:rsidRDefault="00000000">
            <w:pPr>
              <w:jc w:val="center"/>
              <w:rPr>
                <w:lang w:val="en-US"/>
              </w:rPr>
            </w:pPr>
            <w:r>
              <w:rPr>
                <w:lang w:val="en-US"/>
              </w:rPr>
              <w:t>45,4</w:t>
            </w:r>
          </w:p>
        </w:tc>
        <w:tc>
          <w:tcPr>
            <w:tcW w:w="915" w:type="dxa"/>
            <w:tcBorders>
              <w:top w:val="nil"/>
              <w:bottom w:val="nil"/>
            </w:tcBorders>
          </w:tcPr>
          <w:p w:rsidR="00000000" w:rsidRDefault="00000000">
            <w:pPr>
              <w:jc w:val="center"/>
              <w:rPr>
                <w:lang w:val="en-US"/>
              </w:rPr>
            </w:pPr>
            <w:r>
              <w:rPr>
                <w:lang w:val="en-US"/>
              </w:rPr>
              <w:t>44,6</w:t>
            </w:r>
          </w:p>
        </w:tc>
        <w:tc>
          <w:tcPr>
            <w:tcW w:w="915" w:type="dxa"/>
            <w:tcBorders>
              <w:top w:val="nil"/>
              <w:bottom w:val="nil"/>
            </w:tcBorders>
          </w:tcPr>
          <w:p w:rsidR="00000000" w:rsidRDefault="00000000">
            <w:pPr>
              <w:jc w:val="center"/>
              <w:rPr>
                <w:lang w:val="en-US"/>
              </w:rPr>
            </w:pPr>
            <w:r>
              <w:rPr>
                <w:lang w:val="en-US"/>
              </w:rPr>
              <w:t>44,7</w:t>
            </w:r>
          </w:p>
        </w:tc>
        <w:tc>
          <w:tcPr>
            <w:tcW w:w="915" w:type="dxa"/>
            <w:tcBorders>
              <w:top w:val="nil"/>
              <w:bottom w:val="nil"/>
            </w:tcBorders>
          </w:tcPr>
          <w:p w:rsidR="00000000" w:rsidRDefault="00000000">
            <w:pPr>
              <w:jc w:val="center"/>
              <w:rPr>
                <w:lang w:val="en-US"/>
              </w:rPr>
            </w:pPr>
            <w:r>
              <w:rPr>
                <w:lang w:val="en-US"/>
              </w:rPr>
              <w:t>46,3</w:t>
            </w:r>
          </w:p>
        </w:tc>
        <w:tc>
          <w:tcPr>
            <w:tcW w:w="915" w:type="dxa"/>
            <w:tcBorders>
              <w:top w:val="nil"/>
              <w:bottom w:val="nil"/>
            </w:tcBorders>
          </w:tcPr>
          <w:p w:rsidR="00000000" w:rsidRDefault="00000000">
            <w:pPr>
              <w:jc w:val="center"/>
              <w:rPr>
                <w:lang w:val="en-US"/>
              </w:rPr>
            </w:pPr>
            <w:r>
              <w:rPr>
                <w:lang w:val="en-US"/>
              </w:rPr>
              <w:t>43,5</w:t>
            </w:r>
          </w:p>
        </w:tc>
        <w:tc>
          <w:tcPr>
            <w:tcW w:w="915" w:type="dxa"/>
            <w:tcBorders>
              <w:top w:val="nil"/>
              <w:bottom w:val="nil"/>
            </w:tcBorders>
          </w:tcPr>
          <w:p w:rsidR="00000000" w:rsidRDefault="00000000">
            <w:pPr>
              <w:jc w:val="center"/>
              <w:rPr>
                <w:lang w:val="en-US"/>
              </w:rPr>
            </w:pPr>
            <w:r>
              <w:rPr>
                <w:lang w:val="en-US"/>
              </w:rPr>
              <w:t>41,3</w:t>
            </w:r>
          </w:p>
        </w:tc>
      </w:tr>
      <w:tr w:rsidR="00000000">
        <w:tblPrEx>
          <w:tblCellMar>
            <w:top w:w="0" w:type="dxa"/>
            <w:bottom w:w="0" w:type="dxa"/>
          </w:tblCellMar>
        </w:tblPrEx>
        <w:trPr>
          <w:trHeight w:val="262"/>
        </w:trPr>
        <w:tc>
          <w:tcPr>
            <w:tcW w:w="2040" w:type="dxa"/>
            <w:tcBorders>
              <w:top w:val="nil"/>
            </w:tcBorders>
          </w:tcPr>
          <w:p w:rsidR="00000000" w:rsidRDefault="00000000">
            <w:pPr>
              <w:ind w:firstLine="74"/>
            </w:pPr>
            <w:r>
              <w:t>Женщины</w:t>
            </w:r>
          </w:p>
        </w:tc>
        <w:tc>
          <w:tcPr>
            <w:tcW w:w="915" w:type="dxa"/>
            <w:tcBorders>
              <w:top w:val="nil"/>
            </w:tcBorders>
          </w:tcPr>
          <w:p w:rsidR="00000000" w:rsidRDefault="00000000">
            <w:pPr>
              <w:jc w:val="center"/>
              <w:rPr>
                <w:lang w:val="en-US"/>
              </w:rPr>
            </w:pPr>
            <w:r>
              <w:rPr>
                <w:lang w:val="en-US"/>
              </w:rPr>
              <w:t>27,4</w:t>
            </w:r>
          </w:p>
        </w:tc>
        <w:tc>
          <w:tcPr>
            <w:tcW w:w="915" w:type="dxa"/>
            <w:tcBorders>
              <w:top w:val="nil"/>
            </w:tcBorders>
          </w:tcPr>
          <w:p w:rsidR="00000000" w:rsidRDefault="00000000">
            <w:pPr>
              <w:jc w:val="center"/>
              <w:rPr>
                <w:lang w:val="en-US"/>
              </w:rPr>
            </w:pPr>
            <w:r>
              <w:rPr>
                <w:lang w:val="en-US"/>
              </w:rPr>
              <w:t>24,4</w:t>
            </w:r>
          </w:p>
        </w:tc>
        <w:tc>
          <w:tcPr>
            <w:tcW w:w="915" w:type="dxa"/>
            <w:tcBorders>
              <w:top w:val="nil"/>
            </w:tcBorders>
          </w:tcPr>
          <w:p w:rsidR="00000000" w:rsidRDefault="00000000">
            <w:pPr>
              <w:jc w:val="center"/>
              <w:rPr>
                <w:lang w:val="en-US"/>
              </w:rPr>
            </w:pPr>
            <w:r>
              <w:rPr>
                <w:lang w:val="en-US"/>
              </w:rPr>
              <w:t>26,3</w:t>
            </w:r>
          </w:p>
        </w:tc>
        <w:tc>
          <w:tcPr>
            <w:tcW w:w="915" w:type="dxa"/>
            <w:tcBorders>
              <w:top w:val="nil"/>
            </w:tcBorders>
          </w:tcPr>
          <w:p w:rsidR="00000000" w:rsidRDefault="00000000">
            <w:pPr>
              <w:jc w:val="center"/>
              <w:rPr>
                <w:lang w:val="en-US"/>
              </w:rPr>
            </w:pPr>
            <w:r>
              <w:rPr>
                <w:lang w:val="en-US"/>
              </w:rPr>
              <w:t>27,2</w:t>
            </w:r>
          </w:p>
        </w:tc>
        <w:tc>
          <w:tcPr>
            <w:tcW w:w="915" w:type="dxa"/>
            <w:tcBorders>
              <w:top w:val="nil"/>
            </w:tcBorders>
          </w:tcPr>
          <w:p w:rsidR="00000000" w:rsidRDefault="00000000">
            <w:pPr>
              <w:jc w:val="center"/>
              <w:rPr>
                <w:lang w:val="en-US"/>
              </w:rPr>
            </w:pPr>
            <w:r>
              <w:rPr>
                <w:lang w:val="en-US"/>
              </w:rPr>
              <w:t>27,1</w:t>
            </w:r>
          </w:p>
        </w:tc>
        <w:tc>
          <w:tcPr>
            <w:tcW w:w="915" w:type="dxa"/>
            <w:tcBorders>
              <w:top w:val="nil"/>
            </w:tcBorders>
          </w:tcPr>
          <w:p w:rsidR="00000000" w:rsidRDefault="00000000">
            <w:pPr>
              <w:jc w:val="center"/>
              <w:rPr>
                <w:lang w:val="en-US"/>
              </w:rPr>
            </w:pPr>
            <w:r>
              <w:rPr>
                <w:lang w:val="en-US"/>
              </w:rPr>
              <w:t>30,9</w:t>
            </w:r>
          </w:p>
        </w:tc>
        <w:tc>
          <w:tcPr>
            <w:tcW w:w="915" w:type="dxa"/>
            <w:tcBorders>
              <w:top w:val="nil"/>
            </w:tcBorders>
          </w:tcPr>
          <w:p w:rsidR="00000000" w:rsidRDefault="00000000">
            <w:pPr>
              <w:jc w:val="center"/>
              <w:rPr>
                <w:lang w:val="en-US"/>
              </w:rPr>
            </w:pPr>
            <w:r>
              <w:rPr>
                <w:lang w:val="en-US"/>
              </w:rPr>
              <w:t>28,1</w:t>
            </w:r>
          </w:p>
        </w:tc>
        <w:tc>
          <w:tcPr>
            <w:tcW w:w="915" w:type="dxa"/>
            <w:tcBorders>
              <w:top w:val="nil"/>
            </w:tcBorders>
          </w:tcPr>
          <w:p w:rsidR="00000000" w:rsidRDefault="00000000">
            <w:pPr>
              <w:jc w:val="center"/>
              <w:rPr>
                <w:lang w:val="en-US"/>
              </w:rPr>
            </w:pPr>
            <w:r>
              <w:rPr>
                <w:lang w:val="en-US"/>
              </w:rPr>
              <w:t>27,7</w:t>
            </w:r>
          </w:p>
        </w:tc>
      </w:tr>
    </w:tbl>
    <w:p w:rsidR="00000000" w:rsidRDefault="00000000"/>
    <w:p w:rsidR="00000000" w:rsidRDefault="00000000">
      <w:pPr>
        <w:rPr>
          <w:i/>
          <w:iCs/>
        </w:rPr>
      </w:pPr>
      <w:r>
        <w:rPr>
          <w:i/>
          <w:iCs/>
        </w:rPr>
        <w:tab/>
        <w:t xml:space="preserve">Источник:  </w:t>
      </w:r>
      <w:r>
        <w:t>Обследование рабочей силы за 2003 год.</w:t>
      </w:r>
    </w:p>
    <w:p w:rsidR="00000000" w:rsidRDefault="00000000">
      <w:pPr>
        <w:rPr>
          <w:i/>
          <w:iCs/>
        </w:rPr>
      </w:pPr>
    </w:p>
    <w:p w:rsidR="00000000" w:rsidRDefault="00000000">
      <w:r>
        <w:t>94.</w:t>
      </w:r>
      <w:r>
        <w:tab/>
        <w:t>В структуре занятости среди женщин по сравнению с мужчинами наблюдаются явные различия в разбивке по профессиональной квалификации.  Выше всего доля женщин (</w:t>
      </w:r>
      <w:proofErr w:type="spellStart"/>
      <w:r>
        <w:t>46,8%</w:t>
      </w:r>
      <w:proofErr w:type="spellEnd"/>
      <w:r>
        <w:t>) в группе трудоустроенного населения с высшим образованием, на втором месте находятся женщины со средним профессионально-техническим образованием (</w:t>
      </w:r>
      <w:proofErr w:type="spellStart"/>
      <w:r>
        <w:t>46,7%</w:t>
      </w:r>
      <w:proofErr w:type="spellEnd"/>
      <w:r>
        <w:t>).</w:t>
      </w:r>
    </w:p>
    <w:p w:rsidR="00000000" w:rsidRDefault="00000000"/>
    <w:p w:rsidR="00000000" w:rsidRDefault="00000000">
      <w:r>
        <w:t>95.</w:t>
      </w:r>
      <w:r>
        <w:tab/>
        <w:t>Различия в долевых показателях для женщин в разбивке по уровню профессиональной квалификации явно просматриваются при анализе показателей экономического участия женщин по секторам занятости.  Как правило, женщины заняты в секторах, которые традиционно считаются "женскими".</w:t>
      </w:r>
    </w:p>
    <w:p w:rsidR="00000000" w:rsidRDefault="00000000"/>
    <w:p w:rsidR="00000000" w:rsidRDefault="00000000">
      <w:r>
        <w:t>96.</w:t>
      </w:r>
      <w:r>
        <w:tab/>
        <w:t xml:space="preserve">Особенно показательной является доля женщин в населении, занятом неоплачиваемым домашним трудом, что вновь подтверждает уязвимое положение женщины в семье и обществе в целом.  В этой категории женщин вдвое больше, чем мужчин, которые составляют </w:t>
      </w:r>
      <w:proofErr w:type="spellStart"/>
      <w:r>
        <w:t>36,8%</w:t>
      </w:r>
      <w:proofErr w:type="spellEnd"/>
      <w:r>
        <w:t>.</w:t>
      </w:r>
    </w:p>
    <w:p w:rsidR="00000000" w:rsidRDefault="00000000"/>
    <w:p w:rsidR="00000000" w:rsidRDefault="00000000">
      <w:r>
        <w:t>97.</w:t>
      </w:r>
      <w:r>
        <w:tab/>
        <w:t>С точки зрения экономического положения женщины, помимо того, что они составляют большинство указанной выше категории лиц, занятых неоплачиваемым домашним трудом, чаще всего входят в категорию наемных работников (</w:t>
      </w:r>
      <w:proofErr w:type="spellStart"/>
      <w:r>
        <w:t>40,7%</w:t>
      </w:r>
      <w:proofErr w:type="spellEnd"/>
      <w:r>
        <w:t>), затем следует категория работодателей (</w:t>
      </w:r>
      <w:proofErr w:type="spellStart"/>
      <w:r>
        <w:t>20,9%</w:t>
      </w:r>
      <w:proofErr w:type="spellEnd"/>
      <w:r>
        <w:t xml:space="preserve">) и на третьем месте находятся </w:t>
      </w:r>
      <w:proofErr w:type="spellStart"/>
      <w:r>
        <w:t>самозанятые</w:t>
      </w:r>
      <w:proofErr w:type="spellEnd"/>
      <w:r>
        <w:t xml:space="preserve"> (</w:t>
      </w:r>
      <w:proofErr w:type="spellStart"/>
      <w:r>
        <w:t>18,4%</w:t>
      </w:r>
      <w:proofErr w:type="spellEnd"/>
      <w:r>
        <w:t xml:space="preserve">).  В противоположность этому в категории </w:t>
      </w:r>
      <w:proofErr w:type="spellStart"/>
      <w:r>
        <w:t>самозанятых</w:t>
      </w:r>
      <w:proofErr w:type="spellEnd"/>
      <w:r>
        <w:t xml:space="preserve"> мужчины составляют 81,6%, работодателей - </w:t>
      </w:r>
      <w:proofErr w:type="spellStart"/>
      <w:r>
        <w:t>79,1%</w:t>
      </w:r>
      <w:proofErr w:type="spellEnd"/>
      <w:r>
        <w:t xml:space="preserve">, наемных работников - </w:t>
      </w:r>
      <w:proofErr w:type="spellStart"/>
      <w:r>
        <w:t>59,3%</w:t>
      </w:r>
      <w:proofErr w:type="spellEnd"/>
      <w:r>
        <w:t xml:space="preserve"> и слабее представлены в категории лиц, занятых неоплачиваемым домашним трудом.  </w:t>
      </w:r>
    </w:p>
    <w:p w:rsidR="00000000" w:rsidRDefault="00000000"/>
    <w:p w:rsidR="00000000" w:rsidRDefault="00000000">
      <w:pPr>
        <w:jc w:val="center"/>
        <w:rPr>
          <w:b/>
          <w:bCs/>
        </w:rPr>
      </w:pPr>
      <w:r>
        <w:rPr>
          <w:b/>
          <w:bCs/>
        </w:rPr>
        <w:t>Статьи 4 и 5 Пакта</w:t>
      </w:r>
    </w:p>
    <w:p w:rsidR="00000000" w:rsidRDefault="00000000">
      <w:pPr>
        <w:jc w:val="center"/>
        <w:rPr>
          <w:b/>
          <w:bCs/>
        </w:rPr>
      </w:pPr>
    </w:p>
    <w:p w:rsidR="00000000" w:rsidRDefault="00000000">
      <w:r>
        <w:t>98.</w:t>
      </w:r>
      <w:r>
        <w:tab/>
        <w:t xml:space="preserve">Согласно статье 54 Конституции, свободы и права человека и гражданина могут быть ограничены лишь в случаях, предусмотренных Конституцией.  Свободы и права человека и гражданина могут быть ограничены на время военного или чрезвычайного положения в соответствии с положениями Конституции.  Ограничение свобод и прав не может быть дискриминационным на основании пола, расовой принадлежности, цвета кожи, языка, религии, национального или социального происхождения, имущественного или общественного положения.  Ограничение свобод и прав не может затрагивать право на жизнь, запрет на пытки, бесчеловечное и унижающее человеческое достоинство обращение, правовое определение по уголовным делам, а также свободу убеждений, совести, мысли и вероисповедования. </w:t>
      </w:r>
    </w:p>
    <w:p w:rsidR="00000000" w:rsidRDefault="00000000"/>
    <w:p w:rsidR="00000000" w:rsidRDefault="00000000">
      <w:r>
        <w:t>99.</w:t>
      </w:r>
      <w:r>
        <w:tab/>
        <w:t xml:space="preserve">В Конституции предусматриваются два вида ограничений на свободы и права человека:  ограничения, оговариваемые в отношении конкретных свобод и </w:t>
      </w:r>
      <w:proofErr w:type="spellStart"/>
      <w:r>
        <w:t>прав</w:t>
      </w:r>
      <w:r>
        <w:rPr>
          <w:b/>
          <w:bCs/>
          <w:vertAlign w:val="superscript"/>
        </w:rPr>
        <w:t>3</w:t>
      </w:r>
      <w:proofErr w:type="spellEnd"/>
      <w:r>
        <w:t xml:space="preserve"> и общее положение об ограничении свобод и прав во время войны или чрезвычайного положения.</w:t>
      </w:r>
    </w:p>
    <w:p w:rsidR="00000000" w:rsidRDefault="00000000"/>
    <w:p w:rsidR="00000000" w:rsidRDefault="00000000">
      <w:r>
        <w:t>100.</w:t>
      </w:r>
      <w:r>
        <w:tab/>
        <w:t xml:space="preserve">Положение, содержащееся в первом пункте статьи 54 Конституции, знаменательно тем, что согласно ему свободы и права человека и гражданина могут быть ограничены лишь в случаях, предусмотренных Конституцией.  Иными словами, эти вопросы не могут регулироваться каким-либо иным законодательным актом, чем Конституция, в отсутствие четких конституционных оснований.  Во втором пункте этой статьи и в соответствии со статьей 4 Пакта военные и чрезвычайные положения определяются как обстоятельства, при которых может вводиться ограничение свободы прав.  Понятие военного и чрезвычайного положения определяется в тексте самой Конституции, где говорится, что военное положение наступает либо при непосредственной военной угрозе нападения на бывшую югославскую Республику Македонию, либо когда Республика подверглась нападению или ей объявлена война (статья 124 Конституции).  Согласно статье 125 Конституции, чрезвычайное положение наступает, когда происходят природные катастрофы или распространяются эпидемии.  Военное положение провозглашается Собранием большинством в две трети голосов от общего числа депутатов по предложению президента Республики, правительства или не менее, чем 30 депутатов.  Если Собрание не может быть созвано, решение об объявлении военного положения принимается президентом Республики и представляется им Собранию на утверждение, как только оно будет созвано.  Те же правила действуют и применительно к введению чрезвычайного положения, однако, согласно Конституции, чрезвычайное положение остается в силе не более 30 дней.  </w:t>
      </w:r>
    </w:p>
    <w:p w:rsidR="00000000" w:rsidRDefault="00000000"/>
    <w:p w:rsidR="00000000" w:rsidRDefault="00000000">
      <w:r>
        <w:t>101.</w:t>
      </w:r>
      <w:r>
        <w:tab/>
        <w:t>При введении военного или чрезвычайного положения правительство Республики в соответствии с Конституцией принимает постановления, равные по силе закону.  Полномочия правительства Республики принимать постановления, равные по силе закону, длятся до окончания военного или чрезвычайного положения.  Решение об этом принимает Собрание.  Во время военного положения, если Собрание не может быть созвано, президент Республики имеет право назначать и распускать правительство, а также назначать и увольнять чиновников, выборы которых входят в компетенцию Собрания.  Мандаты президента Республики, депутатов Собрания, членов Конституционного суда и иных судей, а также членов Республиканского судебного совета действительны во время военного или чрезвычайного положения.</w:t>
      </w:r>
    </w:p>
    <w:p w:rsidR="00000000" w:rsidRDefault="00000000"/>
    <w:p w:rsidR="00000000" w:rsidRDefault="00000000">
      <w:r>
        <w:t>102.</w:t>
      </w:r>
      <w:r>
        <w:tab/>
        <w:t>Полномочия органов государственной власти (Собрания, президента Республики, правительства, министерства обороны и других органов государственного управления) в области обороны определяются Законом об обороне.</w:t>
      </w:r>
    </w:p>
    <w:p w:rsidR="00000000" w:rsidRDefault="00000000"/>
    <w:p w:rsidR="00000000" w:rsidRDefault="00000000">
      <w:r>
        <w:t>103.</w:t>
      </w:r>
      <w:r>
        <w:tab/>
        <w:t>Правительство не может принимать противоречащие положениям Конституции акты в отношении свобод и прав человека, которые прямо гарантируются Конституцией.  Однако в отношении тех свобод и прав, для которых согласно Конституции условия и форма соблюдения прописываются в законодательстве, при введении военного положения возможно все же иное регулирование через постановления правительства.  Такого рода постановления правительства не могут приостанавливать действие Конституции, что означает, что они не могут приостанавливать действие соответствующих прав;  возможно лишь введение более строгих и ограничительных условий их выполнения (например, в отношении права на труд, свободы передвижения или выбора местожительства).</w:t>
      </w:r>
    </w:p>
    <w:p w:rsidR="00000000" w:rsidRDefault="00000000"/>
    <w:p w:rsidR="00000000" w:rsidRDefault="00000000">
      <w:r>
        <w:t>104.</w:t>
      </w:r>
      <w:r>
        <w:tab/>
        <w:t>В третьем и четвертом пунктах статьи 54 Конституции содержатся положения, соответствующие статье 4 Пакта.  Они запрещают дискриминацию при ограничении свобод и прав, а также прямо говорят о запрете на ограничение конкретных свобод и прав.</w:t>
      </w:r>
    </w:p>
    <w:p w:rsidR="00000000" w:rsidRDefault="00000000"/>
    <w:p w:rsidR="00000000" w:rsidRDefault="00000000">
      <w:r>
        <w:t>105.</w:t>
      </w:r>
      <w:r>
        <w:tab/>
        <w:t>В правовой системе вопрос о взаимоотношении между внутренним и международным правом носит конституционный и правовой характер.  Согласно статье 118 Конституции, где говорится о международных отношениях, указывается, что международные договоры, ратифицированные в соответствии с Конституцией, являются частью внутреннего правопорядка и не могут быть изменены законодательным путем.  В силу этого, а также в соответствии со вторым пунктом статьи 98 Конституции "Судопроизводство осуществляется на основании Конституции и законов, а также международных договоров, ратифицированных в соответствии с Конституцией".</w:t>
      </w:r>
    </w:p>
    <w:p w:rsidR="00000000" w:rsidRDefault="00000000"/>
    <w:p w:rsidR="00000000" w:rsidRDefault="00000000">
      <w:r>
        <w:t>106.</w:t>
      </w:r>
      <w:r>
        <w:tab/>
        <w:t>Согласно статье 8 Конституции, основные свободы и права человека и гражданина, признанные международным правом и определенные Конституцией, а также уважение общепринятых норм международного права являются основополагающими ценностями конституционного устройства бывшей югославской Республики Македонии.  В этом смысле права, признаваемые в международных договорах, и среди них права, определяемые и гарантируемые Международным пактом об экономических, социальных и культурных правах, в полном объеме отражены в Конституции и внутреннем законодательстве.</w:t>
      </w:r>
    </w:p>
    <w:p w:rsidR="00000000" w:rsidRDefault="00000000"/>
    <w:p w:rsidR="00000000" w:rsidRDefault="00000000">
      <w:pPr>
        <w:jc w:val="center"/>
      </w:pPr>
      <w:r>
        <w:rPr>
          <w:b/>
          <w:bCs/>
        </w:rPr>
        <w:t>Статья 6 Пакта</w:t>
      </w:r>
    </w:p>
    <w:p w:rsidR="00000000" w:rsidRDefault="00000000">
      <w:pPr>
        <w:jc w:val="center"/>
      </w:pPr>
    </w:p>
    <w:p w:rsidR="00000000" w:rsidRDefault="00000000">
      <w:r>
        <w:t>107.</w:t>
      </w:r>
      <w:r>
        <w:tab/>
        <w:t xml:space="preserve">В соответствии с первым пунктом статьи 32 Конституции каждый имеет право на труд, свободный выбор деятельности, защиту во время работы и материальное обеспечение в период временной </w:t>
      </w:r>
      <w:proofErr w:type="spellStart"/>
      <w:r>
        <w:t>незанятости</w:t>
      </w:r>
      <w:proofErr w:type="spellEnd"/>
      <w:r>
        <w:t>, в то время как согласно второму пункту той же статьи каждому на равных условиях доступно любое рабочее место, а согласно пятому пункту той же статьи осуществление прав работающих и их статус устанавливаются законом и коллективными договорами.</w:t>
      </w:r>
    </w:p>
    <w:p w:rsidR="00000000" w:rsidRDefault="00000000"/>
    <w:p w:rsidR="00000000" w:rsidRDefault="00000000">
      <w:r>
        <w:t>108.</w:t>
      </w:r>
      <w:r>
        <w:tab/>
        <w:t>Во исполнение этих конституционных положений принят ряд законов и заключен ряд коллективных договоров, в полной мере соблюдающих указанные выше конституционные права в области законодательства о труде.</w:t>
      </w:r>
    </w:p>
    <w:p w:rsidR="00000000" w:rsidRDefault="00000000"/>
    <w:p w:rsidR="00000000" w:rsidRDefault="00000000">
      <w:r>
        <w:t>109.</w:t>
      </w:r>
      <w:r>
        <w:tab/>
        <w:t>Приняты следующие законы:  Закон о трудовых отношениях ("Официальный вестник" бывшей югославской Республики Македонии № 80/2003);  Закон о занятости и страховании на случай безработицы ("Официальный вестник" бывшей югославской Республики Македонии № 37/1997, 25/2000, 101/2000, 50/2001, 25/2003, 37/2004 и 04/2005).  Заключены два общих коллективных соглашения в секторах хозяйственной и нехозяйственной деятельности:  Общее коллективное соглашение для хозяйственных секторов бывшей югославской Республики Македонии ("Официальный вестник" бывшей югославской Республики Македонии № 29/1994 и 87/2001) и Общее коллективное соглашение для государственных служб, государственных предприятий, государственных учреждений, органов местного самоуправления и других юридических лиц, занятых неэкономической деятельностью ("Официальный вестник" бывшей югославской Республики Македонии № 30/1994 и 73/2001).  Почти все отраслевые коллективные соглашения (соответственно, в хозяйственных и нехозяйственных секторах) заключены на основе этих двух рамочных коллективных соглашений.</w:t>
      </w:r>
    </w:p>
    <w:p w:rsidR="00000000" w:rsidRDefault="00000000"/>
    <w:p w:rsidR="00000000" w:rsidRDefault="00000000">
      <w:r>
        <w:rPr>
          <w:i/>
          <w:iCs/>
        </w:rPr>
        <w:t>Коллективное соблюдение прав</w:t>
      </w:r>
    </w:p>
    <w:p w:rsidR="00000000" w:rsidRDefault="00000000"/>
    <w:p w:rsidR="00000000" w:rsidRDefault="00000000">
      <w:r>
        <w:t>110.</w:t>
      </w:r>
      <w:r>
        <w:tab/>
        <w:t>Согласно статье 3 Закона о трудовых отношениях, наемный работник вступает в трудовые отношения на добровольной основе в форме и на условиях, определяемых законом и коллективным договором.</w:t>
      </w:r>
    </w:p>
    <w:p w:rsidR="00000000" w:rsidRDefault="00000000"/>
    <w:p w:rsidR="00000000" w:rsidRDefault="00000000">
      <w:r>
        <w:t>111.</w:t>
      </w:r>
      <w:r>
        <w:tab/>
        <w:t>Согласно статье 5 Закона о трудовых отношениях, права наемных работников, закрепленные в Конституции, законодательстве и коллективном договоре, не подлежат отмене или ограничению решением или действием работодателя.</w:t>
      </w:r>
    </w:p>
    <w:p w:rsidR="00000000" w:rsidRDefault="00000000"/>
    <w:p w:rsidR="00000000" w:rsidRDefault="00000000">
      <w:r>
        <w:t>112.</w:t>
      </w:r>
      <w:r>
        <w:tab/>
        <w:t>В пункте 2 статьи 69 Закона о трудовых отношениях определяется право наемного работника на оплату труда.</w:t>
      </w:r>
    </w:p>
    <w:p w:rsidR="00000000" w:rsidRDefault="00000000"/>
    <w:p w:rsidR="00000000" w:rsidRDefault="00000000">
      <w:r>
        <w:t>113.</w:t>
      </w:r>
      <w:r>
        <w:tab/>
        <w:t>В соответствии со статьей 134 Закона о трудовых отношениях при осуществлении конкретных прав наемных работников последние имеют право искать защиты от действий работодателей в случае их нарушения в компетентном суде, профсоюзе, инспекции по вопросам труда и других органах согласно действующему законодательству.</w:t>
      </w:r>
    </w:p>
    <w:p w:rsidR="00000000" w:rsidRDefault="00000000"/>
    <w:p w:rsidR="00000000" w:rsidRDefault="00000000">
      <w:r>
        <w:t>114.</w:t>
      </w:r>
      <w:r>
        <w:tab/>
        <w:t>В статье 7 Закона о трудовых отношениях регламентируется право каждого на сохранение работы в случае соблюдения общих условий, которые определены этим и другими законами, а также конкретных условий, оговоренных в законодательстве, коллективном договоре и распоряжениях работодателя.</w:t>
      </w:r>
    </w:p>
    <w:p w:rsidR="00000000" w:rsidRDefault="00000000"/>
    <w:p w:rsidR="00000000" w:rsidRDefault="00000000">
      <w:r>
        <w:t>115.</w:t>
      </w:r>
      <w:r>
        <w:tab/>
        <w:t>В статье 70 Закона о трудовых отношениях регламентируется уровень заработной платы наемных работников, занятых полный рабочий день (закон не проводит разграничения между мужчинами и женщинами).  Заработная плата работника, занятого полный рабочий день, не может быть ниже минимальной оплаты труда, установленной для трудовых операций конкретного уровня сложности в соответствии с законодательством или надлежащим коллективным соглашением.</w:t>
      </w:r>
    </w:p>
    <w:p w:rsidR="00000000" w:rsidRDefault="00000000"/>
    <w:p w:rsidR="00000000" w:rsidRDefault="00000000">
      <w:r>
        <w:t>116.</w:t>
      </w:r>
      <w:r>
        <w:tab/>
        <w:t>Кроме того, в соответствии с этим законом работнику может быть поручена любая трудовая операция, которая соответствует уровню его профессиональной квалификации (закон не проводит разграничения между мужчинами и женщинами и не препятствует переводу работника на другие производственные участки).</w:t>
      </w:r>
    </w:p>
    <w:p w:rsidR="00000000" w:rsidRDefault="00000000"/>
    <w:p w:rsidR="00000000" w:rsidRDefault="00000000">
      <w:r>
        <w:t>117.</w:t>
      </w:r>
      <w:r>
        <w:tab/>
        <w:t>Продолжительность рабочей недели для лиц, занятых полный рабочий день, составляет 40 часов, причем наемные работники в течение рабочего дня имеют право на 30</w:t>
      </w:r>
      <w:r>
        <w:noBreakHyphen/>
        <w:t>минутный перерыв.</w:t>
      </w:r>
    </w:p>
    <w:p w:rsidR="00000000" w:rsidRDefault="00000000"/>
    <w:p w:rsidR="00000000" w:rsidRDefault="00000000">
      <w:r>
        <w:t>118.</w:t>
      </w:r>
      <w:r>
        <w:tab/>
        <w:t>Согласно статьям 46 и 47 Закона о трудовых отношениях, наемные работники, отработавшие подряд два рабочих дня, имеют право на отдых продолжительностью минимум 12 часов, к тому же раз в неделю они имеют право на отдых как минимум в течение 24 часов без перерыва.</w:t>
      </w:r>
    </w:p>
    <w:p w:rsidR="00000000" w:rsidRDefault="00000000"/>
    <w:p w:rsidR="00000000" w:rsidRDefault="00000000">
      <w:r>
        <w:t>119.</w:t>
      </w:r>
      <w:r>
        <w:tab/>
        <w:t>В пункте 1 статьи 48 Закона о трудовых отношениях определяется право на ежегодный отпуск за календарный год продолжительностью минимум 18 и максимум 26 рабочих дней, а в статье 79 определяется право наемных работников на начисление зарплаты в период нахождения в отпуске на условиях и в размерах, определяемых законом и коллективным соглашениям, в частности, при нахождении в ежегодном отпуске, отгуле за отработанные праздничные дни, отпуске по беременности, родам и уходу за новорожденным, учебном отпуске, отпуске для прохождения профессиональной подготовки, переквалификации и повышения квалификации.</w:t>
      </w:r>
    </w:p>
    <w:p w:rsidR="00000000" w:rsidRDefault="00000000"/>
    <w:p w:rsidR="00000000" w:rsidRDefault="00000000">
      <w:r>
        <w:t>120.</w:t>
      </w:r>
      <w:r>
        <w:tab/>
        <w:t>Статьей 63 регулируются права работающих по найму женщин в период беременности, родов и ухода за новорожденным.  Соответственно, они имеют право на непрерывный отпуск по беременности продолжительностью девять месяцев, причем этот отпуск наступает в обязательном порядке за 28 дней до родов или, по рекомендации соответствующего врача, за 45 дней до рождения ребенка.</w:t>
      </w:r>
    </w:p>
    <w:p w:rsidR="00000000" w:rsidRDefault="00000000"/>
    <w:p w:rsidR="00000000" w:rsidRDefault="00000000">
      <w:r>
        <w:t>121.</w:t>
      </w:r>
      <w:r>
        <w:tab/>
        <w:t>Согласно статье 7, на работу могут приниматься лица, достигшие 15 лет, а к работам под землей и в горнодобывающей промышленности допускаются лица в возрасте не моложе 18 лет и с хорошим состоянием здоровья.</w:t>
      </w:r>
    </w:p>
    <w:p w:rsidR="00000000" w:rsidRDefault="00000000"/>
    <w:p w:rsidR="00000000" w:rsidRDefault="00000000">
      <w:r>
        <w:t>122.</w:t>
      </w:r>
      <w:r>
        <w:tab/>
        <w:t>Запрещается применение наемных работников моложе 18 лет на тяжелых, подземных или подводных работах, а также работах с вредными или опасными условиями труда.  Продолжительность рабочей недели лиц моложе 18 лет не может превышать 40 часов, а в промышленности и строительстве работники моложе 18 лет не могут работать в ночное время с 10 часов вечера до 6 часов утра.</w:t>
      </w:r>
    </w:p>
    <w:p w:rsidR="00000000" w:rsidRDefault="00000000"/>
    <w:p w:rsidR="00000000" w:rsidRDefault="00000000">
      <w:r>
        <w:t>123.</w:t>
      </w:r>
      <w:r>
        <w:tab/>
        <w:t xml:space="preserve">Во всех указанных выше случаях законодательство предусматривает в отношении работодателей и уполномоченных лиц санкции за нарушение положений, предусмотренных Законом (статья 145). </w:t>
      </w:r>
    </w:p>
    <w:p w:rsidR="00000000" w:rsidRDefault="00000000"/>
    <w:p w:rsidR="00000000" w:rsidRDefault="00000000">
      <w:r>
        <w:t>124.</w:t>
      </w:r>
      <w:r>
        <w:tab/>
        <w:t>Последовавший за получением независимости переходный период в экономическом развитии страны протекал в особо неблагоприятных условиях.  Перемены в экономическом укладе, приватизация и реструктуризация государственных предприятий, утрата традиционных рынков в регионе, период санкций и закрытых границ с соседними странами, а также политическая нестабильность во всем регионе и, в частности, недавний конфликт на территории страны - все это привело к снижению темпов развития и созданию неблагоприятного экономического климата в стране, что вызвало падение уровня занятости и стремительному росту безработицы.</w:t>
      </w:r>
    </w:p>
    <w:p w:rsidR="00000000" w:rsidRDefault="00000000"/>
    <w:p w:rsidR="00000000" w:rsidRDefault="00000000">
      <w:r>
        <w:t>125.</w:t>
      </w:r>
      <w:r>
        <w:tab/>
        <w:t xml:space="preserve">Однако, несмотря на все эти негативные и неблагоприятные условия переходного периода, который характеризовался значительным экономическим спадом и очень низким уровнем инвестиций, следует подчеркнуть, что высокая безработица наблюдалась еще до начала переходного периода, когда рынок труда был открытым.  Дело в том, что уровень зарегистрированной безработицы рос уже с начала 60-х годов;  в период приобретения независимости он составлял 25%  и затем существенно повысился в середине 90-х годов.  </w:t>
      </w:r>
    </w:p>
    <w:p w:rsidR="00000000" w:rsidRDefault="00000000"/>
    <w:p w:rsidR="00000000" w:rsidRDefault="00000000">
      <w:r>
        <w:t>126.</w:t>
      </w:r>
      <w:r>
        <w:tab/>
        <w:t>Таким образом, можно сделать вывод, что безработица в стране не является в первую очередь и исключительно результатом перестройки хозяйственного механизма в переходный период.  Ее главной причиной стала долгосрочная неблагоприятная динамика спроса на рабочую силу.</w:t>
      </w:r>
    </w:p>
    <w:p w:rsidR="00000000" w:rsidRDefault="00000000"/>
    <w:p w:rsidR="00000000" w:rsidRDefault="00000000">
      <w:r>
        <w:t>127.</w:t>
      </w:r>
      <w:r>
        <w:tab/>
        <w:t>Кроме того, необходимо отметить, что в известной мере рост зарегистрированной армии безработных в стране объясняется тем фактом, что медицинское страхование безработных обеспечивается через государственные службы трудоустройства;  в результате возникла ситуация, при которой определенное число лиц регистрируются как безработные в целях получения медицинской страховки, не занимаясь активным поиском работы или уже работая в неформальном секторе.</w:t>
      </w:r>
    </w:p>
    <w:p w:rsidR="00000000" w:rsidRDefault="00000000"/>
    <w:p w:rsidR="00000000" w:rsidRDefault="00000000">
      <w:r>
        <w:t>128.</w:t>
      </w:r>
      <w:r>
        <w:tab/>
        <w:t>С 1996 года Государственное статистическое управление проводит обследования рабочей силы.  Цель их состоит в получении данных и информации о состоянии рынка труда, а также о тенденциях в безработице и занятости в стране.  Эти обследования проводятся в соответствии с международными стандартами и с соблюдением правил и принципов Международной организации труда.  До 2004 года эти обследования проводились ежегодно, а в последующем - ежеквартально.  Обследования проводятся на территории всей страны на основе выборки в 10 000 домашних хозяйств, что составляет 1,8% от общего числа домашних хозяйств страны.</w:t>
      </w:r>
    </w:p>
    <w:p w:rsidR="00000000" w:rsidRDefault="00000000"/>
    <w:p w:rsidR="00000000" w:rsidRDefault="00000000">
      <w:r>
        <w:t>129.</w:t>
      </w:r>
      <w:r>
        <w:tab/>
        <w:t xml:space="preserve">Последняя информация, полученная в ходе обследования рабочей силы в </w:t>
      </w:r>
      <w:r>
        <w:rPr>
          <w:lang w:val="en-US"/>
        </w:rPr>
        <w:t>III</w:t>
      </w:r>
      <w:r>
        <w:t xml:space="preserve"> квартале 2004 года, свидетельствует о том, что уровень безработицы составил </w:t>
      </w:r>
      <w:proofErr w:type="spellStart"/>
      <w:r>
        <w:t>37,7%</w:t>
      </w:r>
      <w:proofErr w:type="spellEnd"/>
      <w:r>
        <w:t xml:space="preserve">, что отражает рост по сравнению с предыдущим периодом.  (Данные за </w:t>
      </w:r>
      <w:r>
        <w:rPr>
          <w:lang w:val="en-US"/>
        </w:rPr>
        <w:t>IV</w:t>
      </w:r>
      <w:r>
        <w:t xml:space="preserve"> квартал еще не опубликованы.)</w:t>
      </w:r>
    </w:p>
    <w:p w:rsidR="00000000" w:rsidRDefault="00000000"/>
    <w:p w:rsidR="00000000" w:rsidRDefault="00000000">
      <w:r>
        <w:t>130.</w:t>
      </w:r>
      <w:r>
        <w:tab/>
        <w:t xml:space="preserve">Согласно данным, обнародованным после обследования рабочей силы в </w:t>
      </w:r>
      <w:r>
        <w:rPr>
          <w:lang w:val="en-US"/>
        </w:rPr>
        <w:t>III</w:t>
      </w:r>
      <w:r>
        <w:t xml:space="preserve"> квартале 2004 года, общая численность рабочей силы, иными словами, численность экономически активного населения, составляет 854 620 человек, из них занято 532 210 человек, в том числе 205 833  - женщины (38,7%).  Безработных в стране насчитывается 322 410 человек, из них 131 787 - женщины (40,9%).  Согласно этим данным, доля экономически активного населения составляет 53,6%, уровень занятости - 37,3% и уровень безработицы - 37,7%.</w:t>
      </w:r>
    </w:p>
    <w:p w:rsidR="00000000" w:rsidRDefault="00000000">
      <w:r>
        <w:t>131.</w:t>
      </w:r>
      <w:r>
        <w:tab/>
        <w:t>Что касается уровня занятости в разбивке по возрастным группам, то 18,6% от общего числа занятых приходятся на возрастную группу до 30 лет включительно, в то время как 23,4% занятых составляют лица, в возрасте 50 лет и старше.</w:t>
      </w:r>
    </w:p>
    <w:p w:rsidR="00000000" w:rsidRDefault="00000000"/>
    <w:p w:rsidR="00000000" w:rsidRDefault="00000000">
      <w:r>
        <w:t>132.</w:t>
      </w:r>
      <w:r>
        <w:tab/>
        <w:t>40,6% от общего числа безработных (322 410 человек) составляют лица не старше 30 лет и 13,1% - лица в возрасте 50 лет и старше.</w:t>
      </w:r>
    </w:p>
    <w:p w:rsidR="00000000" w:rsidRDefault="00000000"/>
    <w:p w:rsidR="00000000" w:rsidRDefault="00000000">
      <w:r>
        <w:t>133.</w:t>
      </w:r>
      <w:r>
        <w:tab/>
        <w:t>В приводимой ниже таблице приводятся базовые показатели состояния рынка труда, полученные на основе обследования рабочей силы за 2004 год:</w:t>
      </w:r>
    </w:p>
    <w:p w:rsidR="00000000" w:rsidRDefault="00000000"/>
    <w:p w:rsidR="00000000" w:rsidRDefault="00000000">
      <w:pPr>
        <w:pStyle w:val="Heading2"/>
        <w:jc w:val="center"/>
        <w:rPr>
          <w:b/>
          <w:bCs/>
          <w:u w:val="none"/>
          <w:lang w:val="en-US"/>
        </w:rPr>
      </w:pPr>
      <w:r>
        <w:rPr>
          <w:b/>
          <w:bCs/>
          <w:u w:val="none"/>
        </w:rPr>
        <w:t>Данные обследования рабочей силы</w:t>
      </w:r>
    </w:p>
    <w:p w:rsidR="00000000" w:rsidRDefault="00000000">
      <w:pPr>
        <w:keepNext/>
        <w:rPr>
          <w:lang w:val="en-US"/>
        </w:rPr>
      </w:pPr>
    </w:p>
    <w:tbl>
      <w:tblPr>
        <w:tblW w:w="9323" w:type="dxa"/>
        <w:tblInd w:w="17" w:type="dxa"/>
        <w:tblLayout w:type="fixed"/>
        <w:tblCellMar>
          <w:left w:w="0" w:type="dxa"/>
          <w:right w:w="0" w:type="dxa"/>
        </w:tblCellMar>
        <w:tblLook w:val="0000" w:firstRow="0" w:lastRow="0" w:firstColumn="0" w:lastColumn="0" w:noHBand="0" w:noVBand="0"/>
      </w:tblPr>
      <w:tblGrid>
        <w:gridCol w:w="8399"/>
        <w:gridCol w:w="924"/>
      </w:tblGrid>
      <w:tr w:rsidR="00000000">
        <w:trPr>
          <w:trHeight w:val="20"/>
        </w:trPr>
        <w:tc>
          <w:tcPr>
            <w:tcW w:w="8399" w:type="dxa"/>
            <w:tcBorders>
              <w:top w:val="single" w:sz="4" w:space="0" w:color="auto"/>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keepNext/>
              <w:spacing w:before="120"/>
              <w:rPr>
                <w:rFonts w:eastAsia="Arial Unicode MS"/>
              </w:rPr>
            </w:pPr>
            <w:r>
              <w:rPr>
                <w:lang w:val="en-US"/>
              </w:rPr>
              <w:t> </w:t>
            </w:r>
          </w:p>
        </w:tc>
        <w:tc>
          <w:tcPr>
            <w:tcW w:w="924" w:type="dxa"/>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000000" w:rsidRDefault="00000000">
            <w:pPr>
              <w:keepNext/>
              <w:spacing w:before="120"/>
              <w:jc w:val="center"/>
              <w:rPr>
                <w:rFonts w:eastAsia="Arial Unicode MS"/>
              </w:rPr>
            </w:pPr>
            <w:r>
              <w:t>2004</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keepNext/>
              <w:ind w:left="113"/>
              <w:rPr>
                <w:rFonts w:eastAsia="Arial Unicode MS"/>
              </w:rPr>
            </w:pPr>
            <w:r>
              <w:t>Доля рабочей силы в общей численности лиц в возрасте от 15 до 64 лет</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keepNext/>
              <w:ind w:right="284"/>
              <w:jc w:val="right"/>
              <w:rPr>
                <w:rFonts w:eastAsia="Arial Unicode MS"/>
              </w:rPr>
            </w:pPr>
            <w:r>
              <w:t>58,8</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keepNext/>
              <w:ind w:left="113"/>
              <w:rPr>
                <w:rFonts w:eastAsia="Arial Unicode MS"/>
              </w:rPr>
            </w:pPr>
            <w:r>
              <w:t>Доля рабочей силы в общей численности 15 лет и старше (%)</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keepNext/>
              <w:ind w:right="284"/>
              <w:jc w:val="right"/>
              <w:rPr>
                <w:rFonts w:eastAsia="Arial Unicode MS"/>
              </w:rPr>
            </w:pPr>
            <w:r>
              <w:t>52,2</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ind w:left="113"/>
              <w:rPr>
                <w:rFonts w:eastAsia="Arial Unicode MS"/>
              </w:rPr>
            </w:pPr>
            <w:r>
              <w:t>Доля рабочей силы в общей численности женщин (15 лет и старше) (%)</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284"/>
              <w:jc w:val="right"/>
              <w:rPr>
                <w:rFonts w:eastAsia="Arial Unicode MS"/>
              </w:rPr>
            </w:pPr>
            <w:r>
              <w:t>40,9</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ind w:left="113"/>
              <w:rPr>
                <w:rFonts w:eastAsia="Arial Unicode MS"/>
              </w:rPr>
            </w:pPr>
            <w:r>
              <w:t>Уровень занятости (%)</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284"/>
              <w:jc w:val="right"/>
              <w:rPr>
                <w:rFonts w:eastAsia="Arial Unicode MS"/>
              </w:rPr>
            </w:pPr>
            <w:r>
              <w:t>32,8</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pStyle w:val="Header"/>
              <w:ind w:left="113"/>
              <w:rPr>
                <w:rFonts w:eastAsia="Arial Unicode MS"/>
              </w:rPr>
            </w:pPr>
            <w:r>
              <w:t>Уровень занятости, женщины (%)</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284"/>
              <w:jc w:val="right"/>
              <w:rPr>
                <w:rFonts w:eastAsia="Arial Unicode MS"/>
              </w:rPr>
            </w:pPr>
            <w:r>
              <w:t>25,4</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ind w:left="113"/>
              <w:rPr>
                <w:rFonts w:eastAsia="Arial Unicode MS"/>
              </w:rPr>
            </w:pPr>
            <w:r>
              <w:t>Уровень безработицы (%)</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284"/>
              <w:jc w:val="right"/>
              <w:rPr>
                <w:rFonts w:eastAsia="Arial Unicode MS"/>
              </w:rPr>
            </w:pPr>
            <w:r>
              <w:t>37,2</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ind w:left="113"/>
              <w:rPr>
                <w:rFonts w:eastAsia="Arial Unicode MS"/>
              </w:rPr>
            </w:pPr>
            <w:r>
              <w:t>Уровень безработицы, женщины (%)</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284"/>
              <w:jc w:val="right"/>
              <w:rPr>
                <w:rFonts w:eastAsia="Arial Unicode MS"/>
              </w:rPr>
            </w:pPr>
            <w:r>
              <w:t>37,8</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ind w:left="113"/>
              <w:rPr>
                <w:rFonts w:eastAsia="Arial Unicode MS"/>
              </w:rPr>
            </w:pPr>
            <w:r>
              <w:t>Доля длительно безработных в общей численности безработных (более 1)</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284"/>
              <w:jc w:val="right"/>
              <w:rPr>
                <w:rFonts w:eastAsia="Arial Unicode MS"/>
              </w:rPr>
            </w:pPr>
            <w:r>
              <w:t>85,4</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ind w:left="113"/>
              <w:rPr>
                <w:rFonts w:eastAsia="Arial Unicode MS"/>
              </w:rPr>
            </w:pPr>
            <w:r>
              <w:t xml:space="preserve">Уровень безработицы среди лиц с начальным и более низким образованием </w:t>
            </w:r>
            <w:r>
              <w:rPr>
                <w:sz w:val="22"/>
              </w:rPr>
              <w:t>(%)</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284"/>
              <w:jc w:val="right"/>
              <w:rPr>
                <w:rFonts w:eastAsia="Arial Unicode MS"/>
              </w:rPr>
            </w:pPr>
            <w:r>
              <w:t>-</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ind w:left="113"/>
              <w:rPr>
                <w:rFonts w:eastAsia="Arial Unicode MS"/>
              </w:rPr>
            </w:pPr>
            <w:r>
              <w:t>Занятость в сельскохозяйственном секторе (% от общей занятости)</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284"/>
              <w:jc w:val="right"/>
              <w:rPr>
                <w:rFonts w:eastAsia="Arial Unicode MS"/>
              </w:rPr>
            </w:pPr>
            <w:r>
              <w:t>-</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ind w:left="113"/>
              <w:rPr>
                <w:rFonts w:eastAsia="Arial Unicode MS"/>
              </w:rPr>
            </w:pPr>
            <w:r>
              <w:t>Занятость в промышленных секторах (% от общей занятости)</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284"/>
              <w:jc w:val="right"/>
              <w:rPr>
                <w:rFonts w:eastAsia="Arial Unicode MS"/>
              </w:rPr>
            </w:pPr>
            <w:r>
              <w:t>-</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ind w:left="113"/>
              <w:rPr>
                <w:rFonts w:eastAsia="Arial Unicode MS"/>
              </w:rPr>
            </w:pPr>
            <w:r>
              <w:t>Занятость в секторе услуг (% от общей занятости)</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284"/>
              <w:jc w:val="right"/>
              <w:rPr>
                <w:rFonts w:eastAsia="Arial Unicode MS"/>
              </w:rPr>
            </w:pPr>
            <w:r>
              <w:t>-</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ind w:left="113"/>
              <w:rPr>
                <w:rFonts w:eastAsia="Arial Unicode MS"/>
              </w:rPr>
            </w:pPr>
            <w:r>
              <w:t>Наемные работники (% от общей занятости)</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284"/>
              <w:jc w:val="right"/>
              <w:rPr>
                <w:rFonts w:eastAsia="Arial Unicode MS"/>
              </w:rPr>
            </w:pPr>
            <w:r>
              <w:t>75,4</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ind w:left="113"/>
              <w:rPr>
                <w:rFonts w:eastAsia="Arial Unicode MS"/>
              </w:rPr>
            </w:pPr>
            <w:r>
              <w:t>Работодатели (% от общей занятости)</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284"/>
              <w:jc w:val="right"/>
              <w:rPr>
                <w:rFonts w:eastAsia="Arial Unicode MS"/>
              </w:rPr>
            </w:pPr>
            <w:r>
              <w:t>5,9</w:t>
            </w:r>
          </w:p>
        </w:tc>
      </w:tr>
      <w:tr w:rsidR="00000000">
        <w:trPr>
          <w:trHeight w:val="20"/>
        </w:trPr>
        <w:tc>
          <w:tcPr>
            <w:tcW w:w="8399" w:type="dxa"/>
            <w:tcBorders>
              <w:top w:val="nil"/>
              <w:left w:val="single" w:sz="4" w:space="0" w:color="auto"/>
              <w:right w:val="single" w:sz="4" w:space="0" w:color="auto"/>
            </w:tcBorders>
            <w:tcMar>
              <w:top w:w="17" w:type="dxa"/>
              <w:left w:w="17" w:type="dxa"/>
              <w:bottom w:w="0" w:type="dxa"/>
              <w:right w:w="17" w:type="dxa"/>
            </w:tcMar>
            <w:vAlign w:val="bottom"/>
          </w:tcPr>
          <w:p w:rsidR="00000000" w:rsidRDefault="00000000">
            <w:pPr>
              <w:ind w:left="113"/>
              <w:rPr>
                <w:rFonts w:eastAsia="Arial Unicode MS"/>
              </w:rPr>
            </w:pPr>
            <w:r>
              <w:t>Самозанятые (% от общей занятости)</w:t>
            </w:r>
          </w:p>
        </w:tc>
        <w:tc>
          <w:tcPr>
            <w:tcW w:w="924" w:type="dxa"/>
            <w:tcBorders>
              <w:top w:val="nil"/>
              <w:left w:val="nil"/>
              <w:right w:val="single" w:sz="4" w:space="0" w:color="auto"/>
            </w:tcBorders>
            <w:noWrap/>
            <w:tcMar>
              <w:top w:w="17" w:type="dxa"/>
              <w:left w:w="17" w:type="dxa"/>
              <w:bottom w:w="0" w:type="dxa"/>
              <w:right w:w="17" w:type="dxa"/>
            </w:tcMar>
            <w:vAlign w:val="bottom"/>
          </w:tcPr>
          <w:p w:rsidR="00000000" w:rsidRDefault="00000000">
            <w:pPr>
              <w:ind w:right="284"/>
              <w:jc w:val="right"/>
              <w:rPr>
                <w:rFonts w:eastAsia="Arial Unicode MS"/>
              </w:rPr>
            </w:pPr>
            <w:r>
              <w:t>10,2</w:t>
            </w:r>
          </w:p>
        </w:tc>
      </w:tr>
      <w:tr w:rsidR="00000000">
        <w:trPr>
          <w:trHeight w:val="20"/>
        </w:trPr>
        <w:tc>
          <w:tcPr>
            <w:tcW w:w="8399" w:type="dxa"/>
            <w:tcBorders>
              <w:top w:val="nil"/>
              <w:left w:val="single" w:sz="4" w:space="0" w:color="auto"/>
              <w:bottom w:val="single" w:sz="4" w:space="0" w:color="auto"/>
              <w:right w:val="single" w:sz="4" w:space="0" w:color="auto"/>
            </w:tcBorders>
            <w:tcMar>
              <w:top w:w="17" w:type="dxa"/>
              <w:left w:w="17" w:type="dxa"/>
              <w:bottom w:w="0" w:type="dxa"/>
              <w:right w:w="17" w:type="dxa"/>
            </w:tcMar>
            <w:vAlign w:val="bottom"/>
          </w:tcPr>
          <w:p w:rsidR="00000000" w:rsidRDefault="00000000">
            <w:pPr>
              <w:spacing w:after="120"/>
              <w:ind w:left="113"/>
              <w:rPr>
                <w:rFonts w:eastAsia="Arial Unicode MS"/>
              </w:rPr>
            </w:pPr>
            <w:r>
              <w:t>Лица, занятые неоплачиваемым домашним трудом (% от общей занятости)</w:t>
            </w:r>
          </w:p>
        </w:tc>
        <w:tc>
          <w:tcPr>
            <w:tcW w:w="924" w:type="dxa"/>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000000">
            <w:pPr>
              <w:spacing w:after="120"/>
              <w:ind w:right="284"/>
              <w:jc w:val="right"/>
              <w:rPr>
                <w:rFonts w:eastAsia="Arial Unicode MS"/>
              </w:rPr>
            </w:pPr>
            <w:r>
              <w:t>8,5</w:t>
            </w:r>
          </w:p>
        </w:tc>
      </w:tr>
    </w:tbl>
    <w:p w:rsidR="00000000" w:rsidRDefault="00000000">
      <w:pPr>
        <w:spacing w:after="120"/>
      </w:pPr>
    </w:p>
    <w:p w:rsidR="00000000" w:rsidRDefault="00000000">
      <w:r>
        <w:br w:type="page"/>
      </w:r>
      <w:r>
        <w:tab/>
        <w:t>Ниже приводятся данные за предыдущие годы:</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1"/>
        <w:gridCol w:w="1134"/>
        <w:gridCol w:w="1120"/>
        <w:gridCol w:w="1134"/>
      </w:tblGrid>
      <w:tr w:rsidR="00000000">
        <w:tblPrEx>
          <w:tblCellMar>
            <w:top w:w="0" w:type="dxa"/>
            <w:bottom w:w="0" w:type="dxa"/>
          </w:tblCellMar>
        </w:tblPrEx>
        <w:tc>
          <w:tcPr>
            <w:tcW w:w="5921" w:type="dxa"/>
          </w:tcPr>
          <w:p w:rsidR="00000000" w:rsidRDefault="00000000">
            <w:pPr>
              <w:spacing w:before="120" w:line="240" w:lineRule="auto"/>
            </w:pPr>
          </w:p>
        </w:tc>
        <w:tc>
          <w:tcPr>
            <w:tcW w:w="1134" w:type="dxa"/>
            <w:vAlign w:val="center"/>
          </w:tcPr>
          <w:p w:rsidR="00000000" w:rsidRDefault="00000000">
            <w:pPr>
              <w:spacing w:before="120" w:line="240" w:lineRule="auto"/>
              <w:jc w:val="center"/>
              <w:rPr>
                <w:lang w:eastAsia="mk-MK"/>
              </w:rPr>
            </w:pPr>
            <w:r>
              <w:rPr>
                <w:lang w:eastAsia="mk-MK"/>
              </w:rPr>
              <w:t>1996</w:t>
            </w:r>
          </w:p>
        </w:tc>
        <w:tc>
          <w:tcPr>
            <w:tcW w:w="1120" w:type="dxa"/>
            <w:vAlign w:val="center"/>
          </w:tcPr>
          <w:p w:rsidR="00000000" w:rsidRDefault="00000000">
            <w:pPr>
              <w:spacing w:before="120" w:line="240" w:lineRule="auto"/>
              <w:jc w:val="center"/>
            </w:pPr>
            <w:r>
              <w:rPr>
                <w:lang w:eastAsia="mk-MK"/>
              </w:rPr>
              <w:t>2002</w:t>
            </w:r>
          </w:p>
        </w:tc>
        <w:tc>
          <w:tcPr>
            <w:tcW w:w="1134" w:type="dxa"/>
            <w:vAlign w:val="center"/>
          </w:tcPr>
          <w:p w:rsidR="00000000" w:rsidRDefault="00000000">
            <w:pPr>
              <w:spacing w:before="120" w:line="240" w:lineRule="auto"/>
              <w:jc w:val="center"/>
            </w:pPr>
            <w:r>
              <w:rPr>
                <w:lang w:eastAsia="mk-MK"/>
              </w:rPr>
              <w:t>2003</w:t>
            </w:r>
          </w:p>
        </w:tc>
      </w:tr>
      <w:tr w:rsidR="00000000">
        <w:tblPrEx>
          <w:tblCellMar>
            <w:top w:w="0" w:type="dxa"/>
            <w:bottom w:w="0" w:type="dxa"/>
          </w:tblCellMar>
        </w:tblPrEx>
        <w:tc>
          <w:tcPr>
            <w:tcW w:w="5921" w:type="dxa"/>
            <w:tcBorders>
              <w:bottom w:val="nil"/>
            </w:tcBorders>
            <w:vAlign w:val="bottom"/>
          </w:tcPr>
          <w:p w:rsidR="00000000" w:rsidRDefault="00000000">
            <w:pPr>
              <w:spacing w:line="240" w:lineRule="auto"/>
              <w:ind w:left="312" w:hanging="267"/>
              <w:rPr>
                <w:rFonts w:eastAsia="Arial Unicode MS"/>
              </w:rPr>
            </w:pPr>
            <w:r>
              <w:t>Доля рабочей силы в общей численности лиц в возрасте от 15 до 65 лет</w:t>
            </w:r>
          </w:p>
        </w:tc>
        <w:tc>
          <w:tcPr>
            <w:tcW w:w="1134" w:type="dxa"/>
            <w:tcBorders>
              <w:bottom w:val="nil"/>
            </w:tcBorders>
          </w:tcPr>
          <w:p w:rsidR="00000000" w:rsidRDefault="00000000">
            <w:pPr>
              <w:spacing w:line="240" w:lineRule="auto"/>
              <w:ind w:right="227"/>
              <w:jc w:val="right"/>
            </w:pPr>
            <w:r>
              <w:rPr>
                <w:lang w:eastAsia="mk-MK"/>
              </w:rPr>
              <w:t>60,6</w:t>
            </w:r>
          </w:p>
        </w:tc>
        <w:tc>
          <w:tcPr>
            <w:tcW w:w="1120" w:type="dxa"/>
            <w:tcBorders>
              <w:bottom w:val="nil"/>
            </w:tcBorders>
          </w:tcPr>
          <w:p w:rsidR="00000000" w:rsidRDefault="00000000">
            <w:pPr>
              <w:spacing w:line="240" w:lineRule="auto"/>
              <w:ind w:right="227"/>
              <w:jc w:val="right"/>
            </w:pPr>
            <w:r>
              <w:rPr>
                <w:lang w:eastAsia="mk-MK"/>
              </w:rPr>
              <w:t>59,8</w:t>
            </w:r>
          </w:p>
        </w:tc>
        <w:tc>
          <w:tcPr>
            <w:tcW w:w="1134" w:type="dxa"/>
            <w:tcBorders>
              <w:bottom w:val="nil"/>
            </w:tcBorders>
          </w:tcPr>
          <w:p w:rsidR="00000000" w:rsidRDefault="00000000">
            <w:pPr>
              <w:spacing w:line="240" w:lineRule="auto"/>
              <w:ind w:right="227"/>
              <w:jc w:val="right"/>
            </w:pPr>
            <w:r>
              <w:rPr>
                <w:lang w:eastAsia="mk-MK"/>
              </w:rPr>
              <w:t>61,3</w:t>
            </w:r>
          </w:p>
        </w:tc>
      </w:tr>
      <w:tr w:rsidR="00000000">
        <w:tblPrEx>
          <w:tblCellMar>
            <w:top w:w="0" w:type="dxa"/>
            <w:bottom w:w="0" w:type="dxa"/>
          </w:tblCellMar>
        </w:tblPrEx>
        <w:tc>
          <w:tcPr>
            <w:tcW w:w="5921" w:type="dxa"/>
            <w:tcBorders>
              <w:top w:val="nil"/>
              <w:bottom w:val="nil"/>
            </w:tcBorders>
            <w:vAlign w:val="bottom"/>
          </w:tcPr>
          <w:p w:rsidR="00000000" w:rsidRDefault="00000000">
            <w:pPr>
              <w:spacing w:line="240" w:lineRule="auto"/>
              <w:ind w:left="340" w:hanging="295"/>
              <w:rPr>
                <w:rFonts w:eastAsia="Arial Unicode MS"/>
              </w:rPr>
            </w:pPr>
            <w:r>
              <w:t>Доля рабочей силы в общей численности лиц в возрасте 15 лет и старше (%)</w:t>
            </w:r>
          </w:p>
        </w:tc>
        <w:tc>
          <w:tcPr>
            <w:tcW w:w="1134" w:type="dxa"/>
            <w:tcBorders>
              <w:top w:val="nil"/>
              <w:bottom w:val="nil"/>
            </w:tcBorders>
          </w:tcPr>
          <w:p w:rsidR="00000000" w:rsidRDefault="00000000">
            <w:pPr>
              <w:spacing w:line="240" w:lineRule="auto"/>
              <w:ind w:right="227"/>
              <w:jc w:val="right"/>
            </w:pPr>
            <w:r>
              <w:rPr>
                <w:lang w:eastAsia="mk-MK"/>
              </w:rPr>
              <w:t>54,9</w:t>
            </w:r>
          </w:p>
        </w:tc>
        <w:tc>
          <w:tcPr>
            <w:tcW w:w="1120" w:type="dxa"/>
            <w:tcBorders>
              <w:top w:val="nil"/>
              <w:bottom w:val="nil"/>
            </w:tcBorders>
          </w:tcPr>
          <w:p w:rsidR="00000000" w:rsidRDefault="00000000">
            <w:pPr>
              <w:spacing w:line="240" w:lineRule="auto"/>
              <w:ind w:right="227"/>
              <w:jc w:val="right"/>
            </w:pPr>
            <w:r>
              <w:rPr>
                <w:lang w:eastAsia="mk-MK"/>
              </w:rPr>
              <w:t>52,6</w:t>
            </w:r>
          </w:p>
        </w:tc>
        <w:tc>
          <w:tcPr>
            <w:tcW w:w="1134" w:type="dxa"/>
            <w:tcBorders>
              <w:top w:val="nil"/>
              <w:bottom w:val="nil"/>
            </w:tcBorders>
          </w:tcPr>
          <w:p w:rsidR="00000000" w:rsidRDefault="00000000">
            <w:pPr>
              <w:spacing w:line="240" w:lineRule="auto"/>
              <w:ind w:right="227"/>
              <w:jc w:val="right"/>
            </w:pPr>
            <w:r>
              <w:rPr>
                <w:lang w:eastAsia="mk-MK"/>
              </w:rPr>
              <w:t>54,5</w:t>
            </w:r>
          </w:p>
        </w:tc>
      </w:tr>
      <w:tr w:rsidR="00000000">
        <w:tblPrEx>
          <w:tblCellMar>
            <w:top w:w="0" w:type="dxa"/>
            <w:bottom w:w="0" w:type="dxa"/>
          </w:tblCellMar>
        </w:tblPrEx>
        <w:tc>
          <w:tcPr>
            <w:tcW w:w="5921" w:type="dxa"/>
            <w:tcBorders>
              <w:top w:val="nil"/>
              <w:bottom w:val="nil"/>
            </w:tcBorders>
            <w:vAlign w:val="bottom"/>
          </w:tcPr>
          <w:p w:rsidR="00000000" w:rsidRDefault="00000000">
            <w:pPr>
              <w:spacing w:line="240" w:lineRule="auto"/>
              <w:ind w:left="382" w:hanging="337"/>
              <w:rPr>
                <w:rFonts w:eastAsia="Arial Unicode MS"/>
              </w:rPr>
            </w:pPr>
            <w:r>
              <w:t>Доля рабочей силы в общей численности женщин (15 лет и старше) (%)</w:t>
            </w:r>
          </w:p>
        </w:tc>
        <w:tc>
          <w:tcPr>
            <w:tcW w:w="1134" w:type="dxa"/>
            <w:tcBorders>
              <w:top w:val="nil"/>
              <w:bottom w:val="nil"/>
            </w:tcBorders>
          </w:tcPr>
          <w:p w:rsidR="00000000" w:rsidRDefault="00000000">
            <w:pPr>
              <w:spacing w:line="240" w:lineRule="auto"/>
              <w:ind w:right="227"/>
              <w:jc w:val="right"/>
            </w:pPr>
            <w:r>
              <w:rPr>
                <w:lang w:eastAsia="mk-MK"/>
              </w:rPr>
              <w:t>42,9</w:t>
            </w:r>
          </w:p>
        </w:tc>
        <w:tc>
          <w:tcPr>
            <w:tcW w:w="1120" w:type="dxa"/>
            <w:tcBorders>
              <w:top w:val="nil"/>
              <w:bottom w:val="nil"/>
            </w:tcBorders>
          </w:tcPr>
          <w:p w:rsidR="00000000" w:rsidRDefault="00000000">
            <w:pPr>
              <w:spacing w:line="240" w:lineRule="auto"/>
              <w:ind w:right="227"/>
              <w:jc w:val="right"/>
            </w:pPr>
            <w:r>
              <w:rPr>
                <w:lang w:eastAsia="mk-MK"/>
              </w:rPr>
              <w:t>41,5</w:t>
            </w:r>
          </w:p>
        </w:tc>
        <w:tc>
          <w:tcPr>
            <w:tcW w:w="1134" w:type="dxa"/>
            <w:tcBorders>
              <w:top w:val="nil"/>
              <w:bottom w:val="nil"/>
            </w:tcBorders>
          </w:tcPr>
          <w:p w:rsidR="00000000" w:rsidRDefault="00000000">
            <w:pPr>
              <w:spacing w:line="240" w:lineRule="auto"/>
              <w:ind w:right="227"/>
              <w:jc w:val="right"/>
            </w:pPr>
            <w:r>
              <w:rPr>
                <w:lang w:eastAsia="mk-MK"/>
              </w:rPr>
              <w:t>43,4</w:t>
            </w:r>
          </w:p>
        </w:tc>
      </w:tr>
      <w:tr w:rsidR="00000000">
        <w:tblPrEx>
          <w:tblCellMar>
            <w:top w:w="0" w:type="dxa"/>
            <w:bottom w:w="0" w:type="dxa"/>
          </w:tblCellMar>
        </w:tblPrEx>
        <w:tc>
          <w:tcPr>
            <w:tcW w:w="5921" w:type="dxa"/>
            <w:tcBorders>
              <w:top w:val="nil"/>
              <w:bottom w:val="nil"/>
            </w:tcBorders>
            <w:vAlign w:val="bottom"/>
          </w:tcPr>
          <w:p w:rsidR="00000000" w:rsidRDefault="00000000">
            <w:pPr>
              <w:spacing w:line="240" w:lineRule="auto"/>
              <w:ind w:left="45"/>
              <w:rPr>
                <w:rFonts w:eastAsia="Arial Unicode MS"/>
              </w:rPr>
            </w:pPr>
            <w:r>
              <w:t>Уровень занятости (%)</w:t>
            </w:r>
          </w:p>
        </w:tc>
        <w:tc>
          <w:tcPr>
            <w:tcW w:w="1134" w:type="dxa"/>
            <w:tcBorders>
              <w:top w:val="nil"/>
              <w:bottom w:val="nil"/>
            </w:tcBorders>
          </w:tcPr>
          <w:p w:rsidR="00000000" w:rsidRDefault="00000000">
            <w:pPr>
              <w:spacing w:line="240" w:lineRule="auto"/>
              <w:ind w:right="227"/>
              <w:jc w:val="right"/>
              <w:rPr>
                <w:lang w:eastAsia="mk-MK"/>
              </w:rPr>
            </w:pPr>
            <w:r>
              <w:rPr>
                <w:lang w:eastAsia="mk-MK"/>
              </w:rPr>
              <w:t>37,4</w:t>
            </w:r>
          </w:p>
        </w:tc>
        <w:tc>
          <w:tcPr>
            <w:tcW w:w="1120" w:type="dxa"/>
            <w:tcBorders>
              <w:top w:val="nil"/>
              <w:bottom w:val="nil"/>
            </w:tcBorders>
          </w:tcPr>
          <w:p w:rsidR="00000000" w:rsidRDefault="00000000">
            <w:pPr>
              <w:spacing w:line="240" w:lineRule="auto"/>
              <w:ind w:right="227"/>
              <w:jc w:val="right"/>
              <w:rPr>
                <w:lang w:eastAsia="mk-MK"/>
              </w:rPr>
            </w:pPr>
            <w:r>
              <w:rPr>
                <w:lang w:eastAsia="mk-MK"/>
              </w:rPr>
              <w:t>35,8</w:t>
            </w:r>
          </w:p>
        </w:tc>
        <w:tc>
          <w:tcPr>
            <w:tcW w:w="1134" w:type="dxa"/>
            <w:tcBorders>
              <w:top w:val="nil"/>
              <w:bottom w:val="nil"/>
            </w:tcBorders>
          </w:tcPr>
          <w:p w:rsidR="00000000" w:rsidRDefault="00000000">
            <w:pPr>
              <w:spacing w:line="240" w:lineRule="auto"/>
              <w:ind w:right="227"/>
              <w:jc w:val="right"/>
              <w:rPr>
                <w:lang w:eastAsia="mk-MK"/>
              </w:rPr>
            </w:pPr>
            <w:r>
              <w:rPr>
                <w:lang w:eastAsia="mk-MK"/>
              </w:rPr>
              <w:t>34,5</w:t>
            </w:r>
          </w:p>
        </w:tc>
      </w:tr>
      <w:tr w:rsidR="00000000">
        <w:tblPrEx>
          <w:tblCellMar>
            <w:top w:w="0" w:type="dxa"/>
            <w:bottom w:w="0" w:type="dxa"/>
          </w:tblCellMar>
        </w:tblPrEx>
        <w:tc>
          <w:tcPr>
            <w:tcW w:w="5921" w:type="dxa"/>
            <w:tcBorders>
              <w:top w:val="nil"/>
              <w:bottom w:val="nil"/>
            </w:tcBorders>
            <w:vAlign w:val="bottom"/>
          </w:tcPr>
          <w:p w:rsidR="00000000" w:rsidRDefault="00000000">
            <w:pPr>
              <w:pStyle w:val="Header"/>
              <w:ind w:left="45"/>
              <w:rPr>
                <w:rFonts w:eastAsia="Arial Unicode MS"/>
              </w:rPr>
            </w:pPr>
            <w:r>
              <w:t>Уровень занятости, женщины (%)</w:t>
            </w:r>
          </w:p>
        </w:tc>
        <w:tc>
          <w:tcPr>
            <w:tcW w:w="1134" w:type="dxa"/>
            <w:tcBorders>
              <w:top w:val="nil"/>
              <w:bottom w:val="nil"/>
            </w:tcBorders>
          </w:tcPr>
          <w:p w:rsidR="00000000" w:rsidRDefault="00000000">
            <w:pPr>
              <w:spacing w:line="240" w:lineRule="auto"/>
              <w:ind w:right="227"/>
              <w:jc w:val="right"/>
              <w:rPr>
                <w:lang w:eastAsia="mk-MK"/>
              </w:rPr>
            </w:pPr>
            <w:r>
              <w:rPr>
                <w:lang w:eastAsia="mk-MK"/>
              </w:rPr>
              <w:t>27,4</w:t>
            </w:r>
          </w:p>
        </w:tc>
        <w:tc>
          <w:tcPr>
            <w:tcW w:w="1120" w:type="dxa"/>
            <w:tcBorders>
              <w:top w:val="nil"/>
              <w:bottom w:val="nil"/>
            </w:tcBorders>
          </w:tcPr>
          <w:p w:rsidR="00000000" w:rsidRDefault="00000000">
            <w:pPr>
              <w:spacing w:line="240" w:lineRule="auto"/>
              <w:ind w:right="227"/>
              <w:jc w:val="right"/>
              <w:rPr>
                <w:lang w:eastAsia="mk-MK"/>
              </w:rPr>
            </w:pPr>
            <w:r>
              <w:rPr>
                <w:lang w:eastAsia="mk-MK"/>
              </w:rPr>
              <w:t>28,1</w:t>
            </w:r>
          </w:p>
        </w:tc>
        <w:tc>
          <w:tcPr>
            <w:tcW w:w="1134" w:type="dxa"/>
            <w:tcBorders>
              <w:top w:val="nil"/>
              <w:bottom w:val="nil"/>
            </w:tcBorders>
          </w:tcPr>
          <w:p w:rsidR="00000000" w:rsidRDefault="00000000">
            <w:pPr>
              <w:spacing w:line="240" w:lineRule="auto"/>
              <w:ind w:right="227"/>
              <w:jc w:val="right"/>
              <w:rPr>
                <w:lang w:eastAsia="mk-MK"/>
              </w:rPr>
            </w:pPr>
            <w:r>
              <w:rPr>
                <w:lang w:eastAsia="mk-MK"/>
              </w:rPr>
              <w:t>27,7</w:t>
            </w:r>
          </w:p>
        </w:tc>
      </w:tr>
      <w:tr w:rsidR="00000000">
        <w:tblPrEx>
          <w:tblCellMar>
            <w:top w:w="0" w:type="dxa"/>
            <w:bottom w:w="0" w:type="dxa"/>
          </w:tblCellMar>
        </w:tblPrEx>
        <w:tc>
          <w:tcPr>
            <w:tcW w:w="5921" w:type="dxa"/>
            <w:tcBorders>
              <w:top w:val="nil"/>
              <w:bottom w:val="nil"/>
            </w:tcBorders>
            <w:vAlign w:val="bottom"/>
          </w:tcPr>
          <w:p w:rsidR="00000000" w:rsidRDefault="00000000">
            <w:pPr>
              <w:spacing w:line="240" w:lineRule="auto"/>
              <w:ind w:left="45"/>
              <w:rPr>
                <w:rFonts w:eastAsia="Arial Unicode MS"/>
              </w:rPr>
            </w:pPr>
            <w:r>
              <w:t>Уровень безработицы (%)</w:t>
            </w:r>
          </w:p>
        </w:tc>
        <w:tc>
          <w:tcPr>
            <w:tcW w:w="1134" w:type="dxa"/>
            <w:tcBorders>
              <w:top w:val="nil"/>
              <w:bottom w:val="nil"/>
            </w:tcBorders>
          </w:tcPr>
          <w:p w:rsidR="00000000" w:rsidRDefault="00000000">
            <w:pPr>
              <w:spacing w:line="240" w:lineRule="auto"/>
              <w:ind w:right="227"/>
              <w:jc w:val="right"/>
              <w:rPr>
                <w:lang w:eastAsia="mk-MK"/>
              </w:rPr>
            </w:pPr>
            <w:r>
              <w:rPr>
                <w:lang w:eastAsia="mk-MK"/>
              </w:rPr>
              <w:t>31,9</w:t>
            </w:r>
          </w:p>
        </w:tc>
        <w:tc>
          <w:tcPr>
            <w:tcW w:w="1120" w:type="dxa"/>
            <w:tcBorders>
              <w:top w:val="nil"/>
              <w:bottom w:val="nil"/>
            </w:tcBorders>
          </w:tcPr>
          <w:p w:rsidR="00000000" w:rsidRDefault="00000000">
            <w:pPr>
              <w:spacing w:line="240" w:lineRule="auto"/>
              <w:ind w:right="227"/>
              <w:jc w:val="right"/>
              <w:rPr>
                <w:lang w:eastAsia="mk-MK"/>
              </w:rPr>
            </w:pPr>
            <w:r>
              <w:rPr>
                <w:lang w:eastAsia="mk-MK"/>
              </w:rPr>
              <w:t>31,9</w:t>
            </w:r>
          </w:p>
        </w:tc>
        <w:tc>
          <w:tcPr>
            <w:tcW w:w="1134" w:type="dxa"/>
            <w:tcBorders>
              <w:top w:val="nil"/>
              <w:bottom w:val="nil"/>
            </w:tcBorders>
          </w:tcPr>
          <w:p w:rsidR="00000000" w:rsidRDefault="00000000">
            <w:pPr>
              <w:spacing w:line="240" w:lineRule="auto"/>
              <w:ind w:right="227"/>
              <w:jc w:val="right"/>
              <w:rPr>
                <w:lang w:eastAsia="mk-MK"/>
              </w:rPr>
            </w:pPr>
            <w:r>
              <w:rPr>
                <w:lang w:eastAsia="mk-MK"/>
              </w:rPr>
              <w:t>36,7</w:t>
            </w:r>
          </w:p>
        </w:tc>
      </w:tr>
      <w:tr w:rsidR="00000000">
        <w:tblPrEx>
          <w:tblCellMar>
            <w:top w:w="0" w:type="dxa"/>
            <w:bottom w:w="0" w:type="dxa"/>
          </w:tblCellMar>
        </w:tblPrEx>
        <w:tc>
          <w:tcPr>
            <w:tcW w:w="5921" w:type="dxa"/>
            <w:tcBorders>
              <w:top w:val="nil"/>
              <w:bottom w:val="nil"/>
            </w:tcBorders>
            <w:vAlign w:val="bottom"/>
          </w:tcPr>
          <w:p w:rsidR="00000000" w:rsidRDefault="00000000">
            <w:pPr>
              <w:spacing w:line="240" w:lineRule="auto"/>
              <w:ind w:left="45"/>
              <w:rPr>
                <w:rFonts w:eastAsia="Arial Unicode MS"/>
              </w:rPr>
            </w:pPr>
            <w:r>
              <w:t>Уровень безработицы, женщины (%)</w:t>
            </w:r>
          </w:p>
        </w:tc>
        <w:tc>
          <w:tcPr>
            <w:tcW w:w="1134" w:type="dxa"/>
            <w:tcBorders>
              <w:top w:val="nil"/>
              <w:bottom w:val="nil"/>
            </w:tcBorders>
          </w:tcPr>
          <w:p w:rsidR="00000000" w:rsidRDefault="00000000">
            <w:pPr>
              <w:spacing w:line="240" w:lineRule="auto"/>
              <w:ind w:right="227"/>
              <w:jc w:val="right"/>
              <w:rPr>
                <w:lang w:eastAsia="mk-MK"/>
              </w:rPr>
            </w:pPr>
            <w:r>
              <w:rPr>
                <w:lang w:eastAsia="mk-MK"/>
              </w:rPr>
              <w:t>36,2</w:t>
            </w:r>
          </w:p>
        </w:tc>
        <w:tc>
          <w:tcPr>
            <w:tcW w:w="1120" w:type="dxa"/>
            <w:tcBorders>
              <w:top w:val="nil"/>
              <w:bottom w:val="nil"/>
            </w:tcBorders>
          </w:tcPr>
          <w:p w:rsidR="00000000" w:rsidRDefault="00000000">
            <w:pPr>
              <w:spacing w:line="240" w:lineRule="auto"/>
              <w:ind w:right="227"/>
              <w:jc w:val="right"/>
              <w:rPr>
                <w:lang w:eastAsia="mk-MK"/>
              </w:rPr>
            </w:pPr>
            <w:r>
              <w:rPr>
                <w:lang w:eastAsia="mk-MK"/>
              </w:rPr>
              <w:t>32,3</w:t>
            </w:r>
          </w:p>
        </w:tc>
        <w:tc>
          <w:tcPr>
            <w:tcW w:w="1134" w:type="dxa"/>
            <w:tcBorders>
              <w:top w:val="nil"/>
              <w:bottom w:val="nil"/>
            </w:tcBorders>
          </w:tcPr>
          <w:p w:rsidR="00000000" w:rsidRDefault="00000000">
            <w:pPr>
              <w:spacing w:line="240" w:lineRule="auto"/>
              <w:ind w:right="227"/>
              <w:jc w:val="right"/>
              <w:rPr>
                <w:lang w:eastAsia="mk-MK"/>
              </w:rPr>
            </w:pPr>
            <w:r>
              <w:rPr>
                <w:lang w:eastAsia="mk-MK"/>
              </w:rPr>
              <w:t>36,3</w:t>
            </w:r>
          </w:p>
        </w:tc>
      </w:tr>
      <w:tr w:rsidR="00000000">
        <w:tblPrEx>
          <w:tblCellMar>
            <w:top w:w="0" w:type="dxa"/>
            <w:bottom w:w="0" w:type="dxa"/>
          </w:tblCellMar>
        </w:tblPrEx>
        <w:tc>
          <w:tcPr>
            <w:tcW w:w="5921" w:type="dxa"/>
            <w:tcBorders>
              <w:top w:val="nil"/>
              <w:bottom w:val="nil"/>
            </w:tcBorders>
            <w:vAlign w:val="bottom"/>
          </w:tcPr>
          <w:p w:rsidR="00000000" w:rsidRDefault="00000000">
            <w:pPr>
              <w:spacing w:line="240" w:lineRule="auto"/>
              <w:ind w:left="368" w:hanging="323"/>
              <w:rPr>
                <w:rFonts w:eastAsia="Arial Unicode MS"/>
              </w:rPr>
            </w:pPr>
            <w:r>
              <w:t>Доля длительно безработных в общей численности безработных (более 1 года)</w:t>
            </w:r>
          </w:p>
        </w:tc>
        <w:tc>
          <w:tcPr>
            <w:tcW w:w="1134" w:type="dxa"/>
            <w:tcBorders>
              <w:top w:val="nil"/>
              <w:bottom w:val="nil"/>
            </w:tcBorders>
          </w:tcPr>
          <w:p w:rsidR="00000000" w:rsidRDefault="00000000">
            <w:pPr>
              <w:spacing w:line="240" w:lineRule="auto"/>
              <w:ind w:right="227"/>
              <w:jc w:val="right"/>
              <w:rPr>
                <w:lang w:eastAsia="mk-MK"/>
              </w:rPr>
            </w:pPr>
            <w:r>
              <w:rPr>
                <w:lang w:eastAsia="mk-MK"/>
              </w:rPr>
              <w:t>80,7</w:t>
            </w:r>
          </w:p>
        </w:tc>
        <w:tc>
          <w:tcPr>
            <w:tcW w:w="1120" w:type="dxa"/>
            <w:tcBorders>
              <w:top w:val="nil"/>
              <w:bottom w:val="nil"/>
            </w:tcBorders>
          </w:tcPr>
          <w:p w:rsidR="00000000" w:rsidRDefault="00000000">
            <w:pPr>
              <w:spacing w:line="240" w:lineRule="auto"/>
              <w:ind w:right="227"/>
              <w:jc w:val="right"/>
              <w:rPr>
                <w:lang w:eastAsia="mk-MK"/>
              </w:rPr>
            </w:pPr>
            <w:r>
              <w:rPr>
                <w:lang w:eastAsia="mk-MK"/>
              </w:rPr>
              <w:t>84,6</w:t>
            </w:r>
          </w:p>
        </w:tc>
        <w:tc>
          <w:tcPr>
            <w:tcW w:w="1134" w:type="dxa"/>
            <w:tcBorders>
              <w:top w:val="nil"/>
              <w:bottom w:val="nil"/>
            </w:tcBorders>
          </w:tcPr>
          <w:p w:rsidR="00000000" w:rsidRDefault="00000000">
            <w:pPr>
              <w:spacing w:line="240" w:lineRule="auto"/>
              <w:ind w:right="227"/>
              <w:jc w:val="right"/>
              <w:rPr>
                <w:lang w:eastAsia="mk-MK"/>
              </w:rPr>
            </w:pPr>
            <w:r>
              <w:rPr>
                <w:lang w:eastAsia="mk-MK"/>
              </w:rPr>
              <w:t>85,1</w:t>
            </w:r>
          </w:p>
        </w:tc>
      </w:tr>
      <w:tr w:rsidR="00000000">
        <w:tblPrEx>
          <w:tblCellMar>
            <w:top w:w="0" w:type="dxa"/>
            <w:bottom w:w="0" w:type="dxa"/>
          </w:tblCellMar>
        </w:tblPrEx>
        <w:tc>
          <w:tcPr>
            <w:tcW w:w="5921" w:type="dxa"/>
            <w:tcBorders>
              <w:top w:val="nil"/>
              <w:bottom w:val="nil"/>
            </w:tcBorders>
            <w:vAlign w:val="bottom"/>
          </w:tcPr>
          <w:p w:rsidR="00000000" w:rsidRDefault="00000000">
            <w:pPr>
              <w:spacing w:line="240" w:lineRule="auto"/>
              <w:ind w:left="382" w:hanging="337"/>
              <w:rPr>
                <w:rFonts w:eastAsia="Arial Unicode MS"/>
              </w:rPr>
            </w:pPr>
            <w:r>
              <w:t xml:space="preserve">Уровень безработицы среди лиц с начальным и более низким образованием </w:t>
            </w:r>
            <w:r>
              <w:rPr>
                <w:sz w:val="22"/>
              </w:rPr>
              <w:t>(%)</w:t>
            </w:r>
          </w:p>
        </w:tc>
        <w:tc>
          <w:tcPr>
            <w:tcW w:w="1134" w:type="dxa"/>
            <w:tcBorders>
              <w:top w:val="nil"/>
              <w:bottom w:val="nil"/>
            </w:tcBorders>
          </w:tcPr>
          <w:p w:rsidR="00000000" w:rsidRDefault="00000000">
            <w:pPr>
              <w:spacing w:line="240" w:lineRule="auto"/>
              <w:ind w:right="227"/>
              <w:jc w:val="right"/>
              <w:rPr>
                <w:lang w:eastAsia="mk-MK"/>
              </w:rPr>
            </w:pPr>
            <w:r>
              <w:rPr>
                <w:lang w:eastAsia="mk-MK"/>
              </w:rPr>
              <w:t>38,7</w:t>
            </w:r>
          </w:p>
        </w:tc>
        <w:tc>
          <w:tcPr>
            <w:tcW w:w="1120" w:type="dxa"/>
            <w:tcBorders>
              <w:top w:val="nil"/>
              <w:bottom w:val="nil"/>
            </w:tcBorders>
          </w:tcPr>
          <w:p w:rsidR="00000000" w:rsidRDefault="00000000">
            <w:pPr>
              <w:spacing w:line="240" w:lineRule="auto"/>
              <w:ind w:right="227"/>
              <w:jc w:val="right"/>
              <w:rPr>
                <w:lang w:eastAsia="mk-MK"/>
              </w:rPr>
            </w:pPr>
            <w:r>
              <w:rPr>
                <w:lang w:eastAsia="mk-MK"/>
              </w:rPr>
              <w:t>38,5</w:t>
            </w:r>
          </w:p>
        </w:tc>
        <w:tc>
          <w:tcPr>
            <w:tcW w:w="1134" w:type="dxa"/>
            <w:tcBorders>
              <w:top w:val="nil"/>
              <w:bottom w:val="nil"/>
            </w:tcBorders>
          </w:tcPr>
          <w:p w:rsidR="00000000" w:rsidRDefault="00000000">
            <w:pPr>
              <w:spacing w:line="240" w:lineRule="auto"/>
              <w:ind w:right="227"/>
              <w:jc w:val="right"/>
              <w:rPr>
                <w:lang w:eastAsia="mk-MK"/>
              </w:rPr>
            </w:pPr>
          </w:p>
        </w:tc>
      </w:tr>
      <w:tr w:rsidR="00000000">
        <w:tblPrEx>
          <w:tblCellMar>
            <w:top w:w="0" w:type="dxa"/>
            <w:bottom w:w="0" w:type="dxa"/>
          </w:tblCellMar>
        </w:tblPrEx>
        <w:tc>
          <w:tcPr>
            <w:tcW w:w="5921" w:type="dxa"/>
            <w:tcBorders>
              <w:top w:val="nil"/>
              <w:bottom w:val="nil"/>
            </w:tcBorders>
            <w:vAlign w:val="bottom"/>
          </w:tcPr>
          <w:p w:rsidR="00000000" w:rsidRDefault="00000000">
            <w:pPr>
              <w:spacing w:line="240" w:lineRule="auto"/>
              <w:ind w:left="368" w:hanging="323"/>
              <w:rPr>
                <w:rFonts w:eastAsia="Arial Unicode MS"/>
              </w:rPr>
            </w:pPr>
            <w:r>
              <w:t>Занятость в сельскохозяйственном секторе</w:t>
            </w:r>
            <w:r>
              <w:br/>
              <w:t>(% от общей занятости)</w:t>
            </w:r>
          </w:p>
        </w:tc>
        <w:tc>
          <w:tcPr>
            <w:tcW w:w="1134" w:type="dxa"/>
            <w:tcBorders>
              <w:top w:val="nil"/>
              <w:bottom w:val="nil"/>
            </w:tcBorders>
          </w:tcPr>
          <w:p w:rsidR="00000000" w:rsidRDefault="00000000">
            <w:pPr>
              <w:spacing w:line="240" w:lineRule="auto"/>
              <w:ind w:right="227"/>
              <w:jc w:val="right"/>
              <w:rPr>
                <w:lang w:eastAsia="mk-MK"/>
              </w:rPr>
            </w:pPr>
            <w:r>
              <w:rPr>
                <w:lang w:eastAsia="mk-MK"/>
              </w:rPr>
              <w:t>18,6</w:t>
            </w:r>
          </w:p>
        </w:tc>
        <w:tc>
          <w:tcPr>
            <w:tcW w:w="1120" w:type="dxa"/>
            <w:tcBorders>
              <w:top w:val="nil"/>
              <w:bottom w:val="nil"/>
            </w:tcBorders>
          </w:tcPr>
          <w:p w:rsidR="00000000" w:rsidRDefault="00000000">
            <w:pPr>
              <w:spacing w:line="240" w:lineRule="auto"/>
              <w:ind w:right="227"/>
              <w:jc w:val="right"/>
              <w:rPr>
                <w:lang w:eastAsia="mk-MK"/>
              </w:rPr>
            </w:pPr>
            <w:r>
              <w:rPr>
                <w:lang w:eastAsia="mk-MK"/>
              </w:rPr>
              <w:t>24,0</w:t>
            </w:r>
          </w:p>
        </w:tc>
        <w:tc>
          <w:tcPr>
            <w:tcW w:w="1134" w:type="dxa"/>
            <w:tcBorders>
              <w:top w:val="nil"/>
              <w:bottom w:val="nil"/>
            </w:tcBorders>
          </w:tcPr>
          <w:p w:rsidR="00000000" w:rsidRDefault="00000000">
            <w:pPr>
              <w:spacing w:line="240" w:lineRule="auto"/>
              <w:ind w:right="227"/>
              <w:jc w:val="right"/>
              <w:rPr>
                <w:lang w:eastAsia="mk-MK"/>
              </w:rPr>
            </w:pPr>
            <w:r>
              <w:rPr>
                <w:lang w:eastAsia="mk-MK"/>
              </w:rPr>
              <w:t>22,0</w:t>
            </w:r>
          </w:p>
        </w:tc>
      </w:tr>
      <w:tr w:rsidR="00000000">
        <w:tblPrEx>
          <w:tblCellMar>
            <w:top w:w="0" w:type="dxa"/>
            <w:bottom w:w="0" w:type="dxa"/>
          </w:tblCellMar>
        </w:tblPrEx>
        <w:tc>
          <w:tcPr>
            <w:tcW w:w="5921" w:type="dxa"/>
            <w:tcBorders>
              <w:top w:val="nil"/>
              <w:bottom w:val="nil"/>
            </w:tcBorders>
            <w:vAlign w:val="bottom"/>
          </w:tcPr>
          <w:p w:rsidR="00000000" w:rsidRDefault="00000000">
            <w:pPr>
              <w:spacing w:line="240" w:lineRule="auto"/>
              <w:ind w:left="396" w:hanging="351"/>
              <w:rPr>
                <w:rFonts w:eastAsia="Arial Unicode MS"/>
              </w:rPr>
            </w:pPr>
            <w:r>
              <w:t>Занятость в промышленных секторах</w:t>
            </w:r>
            <w:r>
              <w:br/>
              <w:t>(% от общей занятости)</w:t>
            </w:r>
          </w:p>
        </w:tc>
        <w:tc>
          <w:tcPr>
            <w:tcW w:w="1134" w:type="dxa"/>
            <w:tcBorders>
              <w:top w:val="nil"/>
              <w:bottom w:val="nil"/>
            </w:tcBorders>
          </w:tcPr>
          <w:p w:rsidR="00000000" w:rsidRDefault="00000000">
            <w:pPr>
              <w:spacing w:line="240" w:lineRule="auto"/>
              <w:ind w:right="227"/>
              <w:jc w:val="right"/>
              <w:rPr>
                <w:lang w:eastAsia="mk-MK"/>
              </w:rPr>
            </w:pPr>
            <w:r>
              <w:rPr>
                <w:lang w:eastAsia="mk-MK"/>
              </w:rPr>
              <w:t>37,8</w:t>
            </w:r>
          </w:p>
        </w:tc>
        <w:tc>
          <w:tcPr>
            <w:tcW w:w="1120" w:type="dxa"/>
            <w:tcBorders>
              <w:top w:val="nil"/>
              <w:bottom w:val="nil"/>
            </w:tcBorders>
          </w:tcPr>
          <w:p w:rsidR="00000000" w:rsidRDefault="00000000">
            <w:pPr>
              <w:spacing w:line="240" w:lineRule="auto"/>
              <w:ind w:right="227"/>
              <w:jc w:val="right"/>
              <w:rPr>
                <w:lang w:eastAsia="mk-MK"/>
              </w:rPr>
            </w:pPr>
            <w:r>
              <w:rPr>
                <w:lang w:eastAsia="mk-MK"/>
              </w:rPr>
              <w:t>33,4</w:t>
            </w:r>
          </w:p>
        </w:tc>
        <w:tc>
          <w:tcPr>
            <w:tcW w:w="1134" w:type="dxa"/>
            <w:tcBorders>
              <w:top w:val="nil"/>
              <w:bottom w:val="nil"/>
            </w:tcBorders>
          </w:tcPr>
          <w:p w:rsidR="00000000" w:rsidRDefault="00000000">
            <w:pPr>
              <w:spacing w:line="240" w:lineRule="auto"/>
              <w:ind w:right="227"/>
              <w:jc w:val="right"/>
              <w:rPr>
                <w:lang w:eastAsia="mk-MK"/>
              </w:rPr>
            </w:pPr>
            <w:r>
              <w:rPr>
                <w:lang w:eastAsia="mk-MK"/>
              </w:rPr>
              <w:t>33,9</w:t>
            </w:r>
          </w:p>
        </w:tc>
      </w:tr>
      <w:tr w:rsidR="00000000">
        <w:tblPrEx>
          <w:tblCellMar>
            <w:top w:w="0" w:type="dxa"/>
            <w:bottom w:w="0" w:type="dxa"/>
          </w:tblCellMar>
        </w:tblPrEx>
        <w:tc>
          <w:tcPr>
            <w:tcW w:w="5921" w:type="dxa"/>
            <w:tcBorders>
              <w:top w:val="nil"/>
              <w:bottom w:val="nil"/>
            </w:tcBorders>
            <w:vAlign w:val="bottom"/>
          </w:tcPr>
          <w:p w:rsidR="00000000" w:rsidRDefault="00000000">
            <w:pPr>
              <w:spacing w:line="240" w:lineRule="auto"/>
              <w:ind w:left="45"/>
              <w:rPr>
                <w:rFonts w:eastAsia="Arial Unicode MS"/>
              </w:rPr>
            </w:pPr>
            <w:r>
              <w:t>Занятость в секторе услуг (% от общей занятости)</w:t>
            </w:r>
          </w:p>
        </w:tc>
        <w:tc>
          <w:tcPr>
            <w:tcW w:w="1134" w:type="dxa"/>
            <w:tcBorders>
              <w:top w:val="nil"/>
              <w:bottom w:val="nil"/>
            </w:tcBorders>
          </w:tcPr>
          <w:p w:rsidR="00000000" w:rsidRDefault="00000000">
            <w:pPr>
              <w:spacing w:line="240" w:lineRule="auto"/>
              <w:ind w:right="227"/>
              <w:jc w:val="right"/>
              <w:rPr>
                <w:lang w:eastAsia="mk-MK"/>
              </w:rPr>
            </w:pPr>
            <w:r>
              <w:rPr>
                <w:lang w:eastAsia="mk-MK"/>
              </w:rPr>
              <w:t>43,6</w:t>
            </w:r>
          </w:p>
        </w:tc>
        <w:tc>
          <w:tcPr>
            <w:tcW w:w="1120" w:type="dxa"/>
            <w:tcBorders>
              <w:top w:val="nil"/>
              <w:bottom w:val="nil"/>
            </w:tcBorders>
          </w:tcPr>
          <w:p w:rsidR="00000000" w:rsidRDefault="00000000">
            <w:pPr>
              <w:spacing w:line="240" w:lineRule="auto"/>
              <w:ind w:right="227"/>
              <w:jc w:val="right"/>
              <w:rPr>
                <w:lang w:eastAsia="mk-MK"/>
              </w:rPr>
            </w:pPr>
            <w:r>
              <w:rPr>
                <w:lang w:eastAsia="mk-MK"/>
              </w:rPr>
              <w:t>42,3</w:t>
            </w:r>
          </w:p>
        </w:tc>
        <w:tc>
          <w:tcPr>
            <w:tcW w:w="1134" w:type="dxa"/>
            <w:tcBorders>
              <w:top w:val="nil"/>
              <w:bottom w:val="nil"/>
            </w:tcBorders>
          </w:tcPr>
          <w:p w:rsidR="00000000" w:rsidRDefault="00000000">
            <w:pPr>
              <w:spacing w:line="240" w:lineRule="auto"/>
              <w:ind w:right="227"/>
              <w:jc w:val="right"/>
              <w:rPr>
                <w:lang w:eastAsia="mk-MK"/>
              </w:rPr>
            </w:pPr>
            <w:r>
              <w:rPr>
                <w:lang w:eastAsia="mk-MK"/>
              </w:rPr>
              <w:t>44,1</w:t>
            </w:r>
          </w:p>
        </w:tc>
      </w:tr>
      <w:tr w:rsidR="00000000">
        <w:tblPrEx>
          <w:tblCellMar>
            <w:top w:w="0" w:type="dxa"/>
            <w:bottom w:w="0" w:type="dxa"/>
          </w:tblCellMar>
        </w:tblPrEx>
        <w:tc>
          <w:tcPr>
            <w:tcW w:w="5921" w:type="dxa"/>
            <w:tcBorders>
              <w:top w:val="nil"/>
              <w:bottom w:val="nil"/>
            </w:tcBorders>
            <w:vAlign w:val="bottom"/>
          </w:tcPr>
          <w:p w:rsidR="00000000" w:rsidRDefault="00000000">
            <w:pPr>
              <w:spacing w:line="240" w:lineRule="auto"/>
              <w:ind w:left="45"/>
              <w:rPr>
                <w:rFonts w:eastAsia="Arial Unicode MS"/>
              </w:rPr>
            </w:pPr>
            <w:r>
              <w:t>Наемные работники (% от общей занятости)</w:t>
            </w:r>
          </w:p>
        </w:tc>
        <w:tc>
          <w:tcPr>
            <w:tcW w:w="1134" w:type="dxa"/>
            <w:tcBorders>
              <w:top w:val="nil"/>
              <w:bottom w:val="nil"/>
            </w:tcBorders>
          </w:tcPr>
          <w:p w:rsidR="00000000" w:rsidRDefault="00000000">
            <w:pPr>
              <w:spacing w:line="240" w:lineRule="auto"/>
              <w:ind w:right="227"/>
              <w:jc w:val="right"/>
              <w:rPr>
                <w:lang w:eastAsia="mk-MK"/>
              </w:rPr>
            </w:pPr>
            <w:r>
              <w:rPr>
                <w:lang w:eastAsia="mk-MK"/>
              </w:rPr>
              <w:t>78,9</w:t>
            </w:r>
          </w:p>
        </w:tc>
        <w:tc>
          <w:tcPr>
            <w:tcW w:w="1120" w:type="dxa"/>
            <w:tcBorders>
              <w:top w:val="nil"/>
              <w:bottom w:val="nil"/>
            </w:tcBorders>
          </w:tcPr>
          <w:p w:rsidR="00000000" w:rsidRDefault="00000000">
            <w:pPr>
              <w:spacing w:line="240" w:lineRule="auto"/>
              <w:ind w:right="227"/>
              <w:jc w:val="right"/>
              <w:rPr>
                <w:lang w:eastAsia="mk-MK"/>
              </w:rPr>
            </w:pPr>
            <w:r>
              <w:rPr>
                <w:lang w:eastAsia="mk-MK"/>
              </w:rPr>
              <w:t>70,7</w:t>
            </w:r>
          </w:p>
        </w:tc>
        <w:tc>
          <w:tcPr>
            <w:tcW w:w="1134" w:type="dxa"/>
            <w:tcBorders>
              <w:top w:val="nil"/>
              <w:bottom w:val="nil"/>
            </w:tcBorders>
          </w:tcPr>
          <w:p w:rsidR="00000000" w:rsidRDefault="00000000">
            <w:pPr>
              <w:spacing w:line="240" w:lineRule="auto"/>
              <w:ind w:right="227"/>
              <w:jc w:val="right"/>
              <w:rPr>
                <w:lang w:eastAsia="mk-MK"/>
              </w:rPr>
            </w:pPr>
            <w:r>
              <w:rPr>
                <w:lang w:eastAsia="mk-MK"/>
              </w:rPr>
              <w:t>72,7</w:t>
            </w:r>
          </w:p>
        </w:tc>
      </w:tr>
      <w:tr w:rsidR="00000000">
        <w:tblPrEx>
          <w:tblCellMar>
            <w:top w:w="0" w:type="dxa"/>
            <w:bottom w:w="0" w:type="dxa"/>
          </w:tblCellMar>
        </w:tblPrEx>
        <w:tc>
          <w:tcPr>
            <w:tcW w:w="5921" w:type="dxa"/>
            <w:tcBorders>
              <w:top w:val="nil"/>
              <w:bottom w:val="nil"/>
            </w:tcBorders>
            <w:vAlign w:val="bottom"/>
          </w:tcPr>
          <w:p w:rsidR="00000000" w:rsidRDefault="00000000">
            <w:pPr>
              <w:spacing w:line="240" w:lineRule="auto"/>
              <w:ind w:left="45"/>
              <w:rPr>
                <w:rFonts w:eastAsia="Arial Unicode MS"/>
              </w:rPr>
            </w:pPr>
            <w:r>
              <w:t>Работодатели (% от общей занятости)</w:t>
            </w:r>
          </w:p>
        </w:tc>
        <w:tc>
          <w:tcPr>
            <w:tcW w:w="1134" w:type="dxa"/>
            <w:tcBorders>
              <w:top w:val="nil"/>
              <w:bottom w:val="nil"/>
            </w:tcBorders>
          </w:tcPr>
          <w:p w:rsidR="00000000" w:rsidRDefault="00000000">
            <w:pPr>
              <w:spacing w:line="240" w:lineRule="auto"/>
              <w:ind w:right="227"/>
              <w:jc w:val="right"/>
              <w:rPr>
                <w:lang w:eastAsia="mk-MK"/>
              </w:rPr>
            </w:pPr>
            <w:r>
              <w:rPr>
                <w:lang w:eastAsia="mk-MK"/>
              </w:rPr>
              <w:t>2,9</w:t>
            </w:r>
          </w:p>
        </w:tc>
        <w:tc>
          <w:tcPr>
            <w:tcW w:w="1120" w:type="dxa"/>
            <w:tcBorders>
              <w:top w:val="nil"/>
              <w:bottom w:val="nil"/>
            </w:tcBorders>
          </w:tcPr>
          <w:p w:rsidR="00000000" w:rsidRDefault="00000000">
            <w:pPr>
              <w:spacing w:line="240" w:lineRule="auto"/>
              <w:ind w:right="227"/>
              <w:jc w:val="right"/>
              <w:rPr>
                <w:lang w:eastAsia="mk-MK"/>
              </w:rPr>
            </w:pPr>
            <w:r>
              <w:rPr>
                <w:lang w:eastAsia="mk-MK"/>
              </w:rPr>
              <w:t>6,8</w:t>
            </w:r>
          </w:p>
        </w:tc>
        <w:tc>
          <w:tcPr>
            <w:tcW w:w="1134" w:type="dxa"/>
            <w:tcBorders>
              <w:top w:val="nil"/>
              <w:bottom w:val="nil"/>
            </w:tcBorders>
          </w:tcPr>
          <w:p w:rsidR="00000000" w:rsidRDefault="00000000">
            <w:pPr>
              <w:spacing w:line="240" w:lineRule="auto"/>
              <w:ind w:right="227"/>
              <w:jc w:val="right"/>
              <w:rPr>
                <w:lang w:eastAsia="mk-MK"/>
              </w:rPr>
            </w:pPr>
            <w:r>
              <w:rPr>
                <w:lang w:eastAsia="mk-MK"/>
              </w:rPr>
              <w:t>7,6</w:t>
            </w:r>
          </w:p>
        </w:tc>
      </w:tr>
      <w:tr w:rsidR="00000000">
        <w:tblPrEx>
          <w:tblCellMar>
            <w:top w:w="0" w:type="dxa"/>
            <w:bottom w:w="0" w:type="dxa"/>
          </w:tblCellMar>
        </w:tblPrEx>
        <w:tc>
          <w:tcPr>
            <w:tcW w:w="5921" w:type="dxa"/>
            <w:tcBorders>
              <w:top w:val="nil"/>
              <w:bottom w:val="nil"/>
            </w:tcBorders>
            <w:vAlign w:val="bottom"/>
          </w:tcPr>
          <w:p w:rsidR="00000000" w:rsidRDefault="00000000">
            <w:pPr>
              <w:spacing w:line="240" w:lineRule="auto"/>
              <w:ind w:left="45"/>
              <w:rPr>
                <w:rFonts w:eastAsia="Arial Unicode MS"/>
              </w:rPr>
            </w:pPr>
            <w:r>
              <w:t>Самозанятые (% от общей занятости)</w:t>
            </w:r>
          </w:p>
        </w:tc>
        <w:tc>
          <w:tcPr>
            <w:tcW w:w="1134" w:type="dxa"/>
            <w:tcBorders>
              <w:top w:val="nil"/>
              <w:bottom w:val="nil"/>
            </w:tcBorders>
          </w:tcPr>
          <w:p w:rsidR="00000000" w:rsidRDefault="00000000">
            <w:pPr>
              <w:spacing w:line="240" w:lineRule="auto"/>
              <w:ind w:right="227"/>
              <w:jc w:val="right"/>
              <w:rPr>
                <w:lang w:eastAsia="mk-MK"/>
              </w:rPr>
            </w:pPr>
            <w:r>
              <w:rPr>
                <w:lang w:eastAsia="mk-MK"/>
              </w:rPr>
              <w:t>11,2</w:t>
            </w:r>
          </w:p>
        </w:tc>
        <w:tc>
          <w:tcPr>
            <w:tcW w:w="1120" w:type="dxa"/>
            <w:tcBorders>
              <w:top w:val="nil"/>
              <w:bottom w:val="nil"/>
            </w:tcBorders>
          </w:tcPr>
          <w:p w:rsidR="00000000" w:rsidRDefault="00000000">
            <w:pPr>
              <w:spacing w:line="240" w:lineRule="auto"/>
              <w:ind w:right="227"/>
              <w:jc w:val="right"/>
              <w:rPr>
                <w:lang w:eastAsia="mk-MK"/>
              </w:rPr>
            </w:pPr>
            <w:r>
              <w:rPr>
                <w:lang w:eastAsia="mk-MK"/>
              </w:rPr>
              <w:t>10,3</w:t>
            </w:r>
          </w:p>
        </w:tc>
        <w:tc>
          <w:tcPr>
            <w:tcW w:w="1134" w:type="dxa"/>
            <w:tcBorders>
              <w:top w:val="nil"/>
              <w:bottom w:val="nil"/>
            </w:tcBorders>
          </w:tcPr>
          <w:p w:rsidR="00000000" w:rsidRDefault="00000000">
            <w:pPr>
              <w:spacing w:line="240" w:lineRule="auto"/>
              <w:ind w:right="227"/>
              <w:jc w:val="right"/>
              <w:rPr>
                <w:lang w:eastAsia="mk-MK"/>
              </w:rPr>
            </w:pPr>
            <w:r>
              <w:rPr>
                <w:lang w:eastAsia="mk-MK"/>
              </w:rPr>
              <w:t>8,2</w:t>
            </w:r>
          </w:p>
        </w:tc>
      </w:tr>
      <w:tr w:rsidR="00000000">
        <w:tblPrEx>
          <w:tblCellMar>
            <w:top w:w="0" w:type="dxa"/>
            <w:bottom w:w="0" w:type="dxa"/>
          </w:tblCellMar>
        </w:tblPrEx>
        <w:tc>
          <w:tcPr>
            <w:tcW w:w="5921" w:type="dxa"/>
            <w:tcBorders>
              <w:top w:val="nil"/>
            </w:tcBorders>
            <w:vAlign w:val="bottom"/>
          </w:tcPr>
          <w:p w:rsidR="00000000" w:rsidRDefault="00000000">
            <w:pPr>
              <w:spacing w:after="120" w:line="240" w:lineRule="auto"/>
              <w:ind w:left="380" w:hanging="335"/>
              <w:rPr>
                <w:rFonts w:eastAsia="Arial Unicode MS"/>
              </w:rPr>
            </w:pPr>
            <w:r>
              <w:t>Лица, занятые неоплачиваемым домашним трудом</w:t>
            </w:r>
            <w:r>
              <w:br/>
              <w:t>(% от общей занятости)</w:t>
            </w:r>
          </w:p>
        </w:tc>
        <w:tc>
          <w:tcPr>
            <w:tcW w:w="1134" w:type="dxa"/>
            <w:tcBorders>
              <w:top w:val="nil"/>
            </w:tcBorders>
          </w:tcPr>
          <w:p w:rsidR="00000000" w:rsidRDefault="00000000">
            <w:pPr>
              <w:spacing w:line="240" w:lineRule="auto"/>
              <w:ind w:right="227"/>
              <w:jc w:val="right"/>
              <w:rPr>
                <w:lang w:eastAsia="mk-MK"/>
              </w:rPr>
            </w:pPr>
            <w:r>
              <w:rPr>
                <w:lang w:eastAsia="mk-MK"/>
              </w:rPr>
              <w:t>7,0</w:t>
            </w:r>
          </w:p>
        </w:tc>
        <w:tc>
          <w:tcPr>
            <w:tcW w:w="1120" w:type="dxa"/>
            <w:tcBorders>
              <w:top w:val="nil"/>
            </w:tcBorders>
          </w:tcPr>
          <w:p w:rsidR="00000000" w:rsidRDefault="00000000">
            <w:pPr>
              <w:spacing w:line="240" w:lineRule="auto"/>
              <w:ind w:right="227"/>
              <w:jc w:val="right"/>
              <w:rPr>
                <w:lang w:eastAsia="mk-MK"/>
              </w:rPr>
            </w:pPr>
            <w:r>
              <w:rPr>
                <w:lang w:eastAsia="mk-MK"/>
              </w:rPr>
              <w:t>12,2</w:t>
            </w:r>
          </w:p>
        </w:tc>
        <w:tc>
          <w:tcPr>
            <w:tcW w:w="1134" w:type="dxa"/>
            <w:tcBorders>
              <w:top w:val="nil"/>
            </w:tcBorders>
          </w:tcPr>
          <w:p w:rsidR="00000000" w:rsidRDefault="00000000">
            <w:pPr>
              <w:spacing w:line="240" w:lineRule="auto"/>
              <w:ind w:right="227"/>
              <w:jc w:val="right"/>
              <w:rPr>
                <w:lang w:eastAsia="mk-MK"/>
              </w:rPr>
            </w:pPr>
            <w:r>
              <w:rPr>
                <w:lang w:eastAsia="mk-MK"/>
              </w:rPr>
              <w:t>11,4</w:t>
            </w:r>
          </w:p>
        </w:tc>
      </w:tr>
    </w:tbl>
    <w:p w:rsidR="00000000" w:rsidRDefault="00000000">
      <w:pPr>
        <w:rPr>
          <w:lang w:val="en-US"/>
        </w:rPr>
      </w:pPr>
      <w:r>
        <w:tab/>
      </w:r>
    </w:p>
    <w:p w:rsidR="00000000" w:rsidRDefault="00000000">
      <w:r>
        <w:rPr>
          <w:i/>
          <w:iCs/>
        </w:rPr>
        <w:tab/>
        <w:t xml:space="preserve">Источник:  </w:t>
      </w:r>
      <w:r>
        <w:t>Обследования рабочей силы, проведенные Государственным статистическим управлением в 1996, 2002 и 2003 годах.</w:t>
      </w:r>
    </w:p>
    <w:p w:rsidR="00000000" w:rsidRDefault="00000000"/>
    <w:p w:rsidR="00000000" w:rsidRDefault="00000000">
      <w:r>
        <w:t>134.</w:t>
      </w:r>
      <w:r>
        <w:tab/>
        <w:t xml:space="preserve">Следует подчеркнуть наличие большого расхождения между зарегистрированной безработицей (число лиц, зарегистрированных в качестве безработных в Бюро по трудоустройству бывшей югославской Республики Македонии) и безработицей по данным обследований рабочей силы.  Столь значительные различия в этих двух показателях объясняются не только административными и методологическими причинами, но и тем, что некоторые лица не регистрируются их работодателями в качестве занятых или тем, что определенное число лиц работают в незарегистрированных компаниях (неформальный сектор), в то же время регистрируясь и в качестве безработных для получения медицинской страховки.  </w:t>
      </w:r>
    </w:p>
    <w:p w:rsidR="00000000" w:rsidRDefault="00000000"/>
    <w:p w:rsidR="00000000" w:rsidRDefault="00000000">
      <w:r>
        <w:t>135.</w:t>
      </w:r>
      <w:r>
        <w:tab/>
        <w:t xml:space="preserve">Проводимая правительством политика в области занятости предусматривает широкий круг мер, мероприятий и направлений вмешательства в сфере занятости и на рынке рабочей силы.  До сих пор большинство таких мер и мероприятий проводились в рамках политики регулирования рынка рабочей силы.  В этом контексте основное внимание уделялось внесению изменений в законодательство о труде при проведении выжидательной политики, на смену которым в последнее время пришла инициативная политика на рынке труда.  Такая политика в основном проводится в форме поощрения соответствующих механизмов стимулирования инвестиций и создания новых рабочих мест, а также путем реализации серии реформ на рынке труда с целью создания благоприятного климата для его более гибкого функционирования.  </w:t>
      </w:r>
    </w:p>
    <w:p w:rsidR="00000000" w:rsidRDefault="00000000"/>
    <w:p w:rsidR="00000000" w:rsidRDefault="00000000">
      <w:r>
        <w:t>136.</w:t>
      </w:r>
      <w:r>
        <w:tab/>
        <w:t>С учетом того, что повышение занятости является основополагающей целью политики в области занятости, правительство разработало и приняло национальный план действий в области занятости (НПДОЗ) на 2004</w:t>
      </w:r>
      <w:r>
        <w:noBreakHyphen/>
        <w:t xml:space="preserve">2005 годы.  </w:t>
      </w:r>
    </w:p>
    <w:p w:rsidR="00000000" w:rsidRDefault="00000000"/>
    <w:p w:rsidR="00000000" w:rsidRDefault="00000000">
      <w:r>
        <w:t>137.</w:t>
      </w:r>
      <w:r>
        <w:tab/>
        <w:t xml:space="preserve">НПДОЗ был подготовлен на основе Руководящих принципов в рамках Европейской стратегии в области занятости ЕС с учетом условий и особенностей рынка труда бывшей югославской Республики Македонии, а также с учетом более широких социальных, экономических и иных факторов, влияющих на занятость.  В плане определены рамки национальной политики обеспечения занятости и конкретные меры, направленные на повышение занятости и решение проблем рабочей силы и социальной отчужденности, а также особые предварительные условия и график реализации.  План подготовлен в виде сжатого рабочего документа, определяющего цели правительства в области повышения занятости, сокращения масштабов нищеты и ликвидации социальной отчужденности.  </w:t>
      </w:r>
    </w:p>
    <w:p w:rsidR="00000000" w:rsidRDefault="00000000"/>
    <w:p w:rsidR="00000000" w:rsidRDefault="00000000">
      <w:r>
        <w:t>138.</w:t>
      </w:r>
      <w:r>
        <w:tab/>
        <w:t xml:space="preserve">Процесс подготовки НПДОЗ стал важным фактором создания стройной системы, служащей цели разработки и осуществления политики занятости при более активном участии социальных партнеров и НПО, оказывающих влияние на развитие рынка труда.  </w:t>
      </w:r>
    </w:p>
    <w:p w:rsidR="00000000" w:rsidRDefault="00000000"/>
    <w:p w:rsidR="00000000" w:rsidRDefault="00000000">
      <w:r>
        <w:t>139.</w:t>
      </w:r>
      <w:r>
        <w:tab/>
        <w:t xml:space="preserve">Основу плана составляет работа по следующим направлениям:  </w:t>
      </w:r>
    </w:p>
    <w:p w:rsidR="00000000" w:rsidRDefault="00000000"/>
    <w:p w:rsidR="00000000" w:rsidRDefault="00000000">
      <w:pPr>
        <w:ind w:left="1134" w:hanging="567"/>
      </w:pPr>
      <w:r>
        <w:t>-</w:t>
      </w:r>
      <w:r>
        <w:tab/>
        <w:t>принятие активных профилактических мер по решению проблем безработного и экономически неактивного населения;</w:t>
      </w:r>
    </w:p>
    <w:p w:rsidR="00000000" w:rsidRDefault="00000000">
      <w:pPr>
        <w:ind w:left="567"/>
      </w:pPr>
    </w:p>
    <w:p w:rsidR="00000000" w:rsidRDefault="00000000">
      <w:pPr>
        <w:ind w:left="1134" w:hanging="567"/>
      </w:pPr>
      <w:r>
        <w:t>-</w:t>
      </w:r>
      <w:r>
        <w:tab/>
        <w:t xml:space="preserve">принятие мер по обеспечению развития людских ресурсов и непрерывного образования;  </w:t>
      </w:r>
    </w:p>
    <w:p w:rsidR="00000000" w:rsidRDefault="00000000">
      <w:pPr>
        <w:ind w:left="567"/>
      </w:pPr>
    </w:p>
    <w:p w:rsidR="00000000" w:rsidRDefault="00000000">
      <w:pPr>
        <w:ind w:left="567"/>
      </w:pPr>
      <w:r>
        <w:t>-</w:t>
      </w:r>
      <w:r>
        <w:tab/>
        <w:t>создание новых рабочих мест и содействие предпринимательства.</w:t>
      </w:r>
    </w:p>
    <w:p w:rsidR="00000000" w:rsidRDefault="00000000">
      <w:pPr>
        <w:ind w:left="567"/>
      </w:pPr>
    </w:p>
    <w:p w:rsidR="00000000" w:rsidRDefault="00000000">
      <w:r>
        <w:t>140.</w:t>
      </w:r>
      <w:r>
        <w:tab/>
        <w:t xml:space="preserve">Провозглашенная правительством активная политика на рынке труда будет иметь своим ядром три вида мер:  оказание поддержки в целях трудоустройства (информационные, посреднические и консультативные услуги);  организация программ профессиональной подготовки (получение квалификации или переквалификация);  и создание условий и оказание поддержки непосредственно в целях создания рабочих мест.  </w:t>
      </w:r>
    </w:p>
    <w:p w:rsidR="00000000" w:rsidRDefault="00000000"/>
    <w:p w:rsidR="00000000" w:rsidRDefault="00000000">
      <w:r>
        <w:t>141.</w:t>
      </w:r>
      <w:r>
        <w:tab/>
        <w:t>Бюро по трудоустройству бывшей югославской Республики Македонии </w:t>
      </w:r>
      <w:r>
        <w:noBreakHyphen/>
        <w:t xml:space="preserve"> это государственное учреждение, которое занимается осуществлением конкретных программ, мер и мероприятий в целях реализации политики на рынке труда.  Его деятельность регулируется Законом о занятости и страховании на случай безработицы.  </w:t>
      </w:r>
    </w:p>
    <w:p w:rsidR="00000000" w:rsidRDefault="00000000"/>
    <w:p w:rsidR="00000000" w:rsidRDefault="00000000">
      <w:r>
        <w:t>142.</w:t>
      </w:r>
      <w:r>
        <w:tab/>
        <w:t>Деятельность Бюро по трудоустройству ориентирована на движение рабочей силы и предусматривает оказание услуг работодателям, предоставление консультативного содействия работодателям в вопросах законодательства и иного нормативного регулирования трудовых отношений и применения этого законодательства на практике, подготовки кадров, профессиональной переквалификации и повышения квалификации безработных и иных лиц, консультативной помощи работодателям по вопросам найма безработных на льготных условиях, оказание безработным и иным лицам, ищущим работу, услуг, а также помощи в профориентации, оказание посреднических услуг в получении работы внутри страны и за рубежом, регистрацию работодателей и безработных, оказание помощи в организации общественных работ и страховании на случай безработицы.</w:t>
      </w:r>
    </w:p>
    <w:p w:rsidR="00000000" w:rsidRDefault="00000000"/>
    <w:p w:rsidR="00000000" w:rsidRDefault="00000000">
      <w:r>
        <w:t>143.</w:t>
      </w:r>
      <w:r>
        <w:tab/>
        <w:t>Деятельностью Бюро по трудоустройству руководит Совет управляющих в составе девяти членов из числа экспертов, обладающих знаниями и опытом в области занятости, пять из которых назначаются правительством, а два являются представителями ассоциации работодателей и ведущего профсоюзного объединения.</w:t>
      </w:r>
    </w:p>
    <w:p w:rsidR="00000000" w:rsidRDefault="00000000"/>
    <w:p w:rsidR="00000000" w:rsidRDefault="00000000">
      <w:r>
        <w:t>144.</w:t>
      </w:r>
      <w:r>
        <w:tab/>
        <w:t>В рамках программы ЕС по оказанию помощи в целях восстановления, развития и стабилизации для (СПВРС) Бюро по трудоустройству активно участвует в выполнении проекта "</w:t>
      </w:r>
      <w:r>
        <w:rPr>
          <w:i/>
          <w:iCs/>
        </w:rPr>
        <w:t>Техническая помощь в создании институциональной структуры для поддержки политики занятости в Македонии</w:t>
      </w:r>
      <w:r>
        <w:t>".  Одним из компонентов проекта является укрепление потенциала и расширение кадровых и материальных ресурсов Бюро по трудоустройству и центров по трудоустройству.  В рамках этого проекта уже принимаются меры по модернизации Бюро по трудоустройству с целью совершенствования его организационной структуры и методов работы с уделением основного внимания инициативным мероприятиям по реализации политики на рынке труда.</w:t>
      </w:r>
    </w:p>
    <w:p w:rsidR="00000000" w:rsidRDefault="00000000"/>
    <w:p w:rsidR="00000000" w:rsidRDefault="00000000">
      <w:r>
        <w:t>145.</w:t>
      </w:r>
      <w:r>
        <w:tab/>
        <w:t>Мероприятия и деятельность Бюро по трудоустройству в области занятости можно подразделить на ряд сегментов, а именно:</w:t>
      </w:r>
    </w:p>
    <w:p w:rsidR="00000000" w:rsidRDefault="00000000">
      <w:pPr>
        <w:rPr>
          <w:b/>
          <w:bCs/>
        </w:rPr>
      </w:pPr>
      <w:r>
        <w:rPr>
          <w:b/>
          <w:bCs/>
        </w:rPr>
        <w:t>Услуги в трудоустройстве безработных и иных лиц, ищущих работу</w:t>
      </w:r>
    </w:p>
    <w:p w:rsidR="00000000" w:rsidRDefault="00000000">
      <w:pPr>
        <w:rPr>
          <w:b/>
          <w:bCs/>
        </w:rPr>
      </w:pPr>
    </w:p>
    <w:p w:rsidR="00000000" w:rsidRDefault="00000000">
      <w:pPr>
        <w:rPr>
          <w:i/>
          <w:iCs/>
        </w:rPr>
      </w:pPr>
      <w:r>
        <w:rPr>
          <w:i/>
          <w:iCs/>
        </w:rPr>
        <w:t>Консультативные услуги по трудоустройству</w:t>
      </w:r>
    </w:p>
    <w:p w:rsidR="00000000" w:rsidRDefault="00000000">
      <w:pPr>
        <w:rPr>
          <w:i/>
          <w:iCs/>
        </w:rPr>
      </w:pPr>
    </w:p>
    <w:p w:rsidR="00000000" w:rsidRDefault="00000000">
      <w:r>
        <w:t>146.</w:t>
      </w:r>
      <w:r>
        <w:tab/>
        <w:t xml:space="preserve">Консультативные услуги по трудоустройству включают услуги, которые оказываются безработным и иным лицам, ищущим работу, в целях формирования у них знаний и навыков, необходимых для успешного поиска работы.  Цель программы, реализуемой в форме клубов по профессиям в рамках Бюро по трудоустройству, состоит в том, чтобы поощрять инициативу и активный подход к этой проблеме со стороны лиц, ищущих работу.  Это повышает их потенциал в деле успешного выхода на рынок труда, активного поиска и получения работы.  Участники клубов по профессиям получают консультативное и информационное содействие по вопросам их прав и обязанностей и информацию о состоянии рынка труда и по различным вопросам трудоустройства;  кроме того они проходят подготовку на практикумах, где им оказывается психологическая поддержка и помощь, овладевают навыками для успешного выхода на рынок труда и подготовки плана поиска работы, и получают помощь и профессиональную подготовку для самозанятости.  </w:t>
      </w:r>
    </w:p>
    <w:p w:rsidR="00000000" w:rsidRDefault="00000000"/>
    <w:p w:rsidR="00000000" w:rsidRDefault="00000000">
      <w:pPr>
        <w:pStyle w:val="Heading4"/>
        <w:jc w:val="left"/>
        <w:rPr>
          <w:b w:val="0"/>
          <w:i/>
          <w:iCs/>
          <w:sz w:val="24"/>
        </w:rPr>
      </w:pPr>
      <w:r>
        <w:rPr>
          <w:b w:val="0"/>
          <w:i/>
          <w:iCs/>
          <w:sz w:val="24"/>
        </w:rPr>
        <w:t>Профессиональная ориентация</w:t>
      </w:r>
    </w:p>
    <w:p w:rsidR="00000000" w:rsidRDefault="00000000">
      <w:pPr>
        <w:pStyle w:val="Heading4"/>
        <w:jc w:val="left"/>
        <w:rPr>
          <w:b w:val="0"/>
          <w:sz w:val="24"/>
        </w:rPr>
      </w:pPr>
    </w:p>
    <w:p w:rsidR="00000000" w:rsidRDefault="00000000">
      <w:r>
        <w:t>147.</w:t>
      </w:r>
      <w:r>
        <w:tab/>
        <w:t>Консультативные услуги по профессиональной ориентации оказываются безработным, школьникам, студентам, занятым и инвалидам с целью помочь им в выборе профессии и профессиональном развитии.  Услуги по профориентации оказываются Бюро по трудоустройству безработным и другим лицам, ищущим работу в форме тестов и собеседований по вопросам выбора профессии и трудоустройства и предоставления информации о спросе на определенные профессии и имеющихся вакансиях.  Эти меры охватывают индивидуальные консультативные услуги в выборе профессий в соответствии с пожеланиями, интересами и возможностями безработных лиц применительно к конкретной профессии, с одной стороны, и с учетом спроса на рынке труда, с другой стороны.  Помимо оказания безработным и другим лицам, ищущим работу, профессиональной консультативной помощи при выборе профессии и будущей работы, мероприятия по профотбору также охватывают работодателей в плане оказания им помощи в выборе кандидатов для профессиональной подготовки, переподготовки или повышения квалификации и выборе кандидатов на замещение вакансий.</w:t>
      </w:r>
    </w:p>
    <w:p w:rsidR="00000000" w:rsidRDefault="00000000"/>
    <w:p w:rsidR="00000000" w:rsidRDefault="00000000">
      <w:pPr>
        <w:pStyle w:val="Heading4"/>
        <w:jc w:val="left"/>
        <w:rPr>
          <w:b w:val="0"/>
          <w:i/>
          <w:iCs/>
          <w:sz w:val="24"/>
        </w:rPr>
      </w:pPr>
      <w:r>
        <w:rPr>
          <w:b w:val="0"/>
          <w:i/>
          <w:iCs/>
          <w:sz w:val="24"/>
        </w:rPr>
        <w:t>Подготовка безработных и иных лиц к трудоустройству</w:t>
      </w:r>
    </w:p>
    <w:p w:rsidR="00000000" w:rsidRDefault="00000000">
      <w:pPr>
        <w:pStyle w:val="Heading4"/>
        <w:rPr>
          <w:b w:val="0"/>
          <w:sz w:val="24"/>
        </w:rPr>
      </w:pPr>
    </w:p>
    <w:p w:rsidR="00000000" w:rsidRDefault="00000000">
      <w:r>
        <w:t>148.</w:t>
      </w:r>
      <w:r>
        <w:tab/>
        <w:t>Безработные, среди прочего, пользуются правом подготовки к трудоустройству (профессиональная подготовка, переподготовка или повышение квалификации).</w:t>
      </w:r>
    </w:p>
    <w:p w:rsidR="00000000" w:rsidRDefault="00000000"/>
    <w:p w:rsidR="00000000" w:rsidRDefault="00000000">
      <w:r>
        <w:t>149.</w:t>
      </w:r>
      <w:r>
        <w:tab/>
        <w:t>Это направление деятельности нацелено на получение новых и пополнение существующих знаний у безработных и иных лиц в целях получения ими работы.</w:t>
      </w:r>
    </w:p>
    <w:p w:rsidR="00000000" w:rsidRDefault="00000000"/>
    <w:p w:rsidR="00000000" w:rsidRDefault="00000000">
      <w:r>
        <w:t>150.</w:t>
      </w:r>
      <w:r>
        <w:tab/>
        <w:t>Профессиональная подготовка, переподготовка или повышение квалификации безработных и иных лиц обеспечиваются в соответствии с требованиями конкретного выявленного работодателя и могут длиться от одного до трех месяцев.  На работодателе лежит обязательство обеспечивать работой на условиях полного рабочего дня (на неограниченный период времени) не менее 90% всех безработных, охваченных мероприятиями по подготовке к получению работы, и не расторгать с ними договор найма по крайней мере в течение одного года.  Бюро по трудоустройству оказывает безработным финансовую помощь в размере 65 евро в месяц в период подготовки к получению работы, в то время как работодателю, на предприятии которого идет подготовка, выплачивается часть расходов по подготовке к трудоустройству в размере 33 евро в месяц на каждого безработного.</w:t>
      </w:r>
    </w:p>
    <w:p w:rsidR="00000000" w:rsidRDefault="00000000"/>
    <w:p w:rsidR="00000000" w:rsidRDefault="00000000">
      <w:r>
        <w:t>151.</w:t>
      </w:r>
      <w:r>
        <w:tab/>
        <w:t>Средства для финансирования этой деятельности поступают за счет взносов в Бюро по трудоустройству.  В приводимой ниже таблице приводятся данные о числе завершенных программ профессиональной подготовки, переподготовки или повышения квалификации и о числе лиц, охваченных такими программами за последние четыре года (данные за 2004 год неполные):</w:t>
      </w:r>
      <w:r>
        <w:br/>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858"/>
        <w:gridCol w:w="2835"/>
        <w:gridCol w:w="2836"/>
        <w:gridCol w:w="2836"/>
      </w:tblGrid>
      <w:tr w:rsidR="00000000">
        <w:trPr>
          <w:cantSplit/>
        </w:trPr>
        <w:tc>
          <w:tcPr>
            <w:tcW w:w="858" w:type="dxa"/>
          </w:tcPr>
          <w:p w:rsidR="00000000" w:rsidRDefault="00000000">
            <w:pPr>
              <w:tabs>
                <w:tab w:val="clear" w:pos="567"/>
                <w:tab w:val="clear" w:pos="1134"/>
                <w:tab w:val="clear" w:pos="1701"/>
                <w:tab w:val="clear" w:pos="2268"/>
                <w:tab w:val="clear" w:pos="6237"/>
              </w:tabs>
              <w:spacing w:line="240" w:lineRule="auto"/>
              <w:jc w:val="center"/>
            </w:pPr>
            <w:r>
              <w:t>Год</w:t>
            </w:r>
          </w:p>
        </w:tc>
        <w:tc>
          <w:tcPr>
            <w:tcW w:w="8507" w:type="dxa"/>
            <w:gridSpan w:val="3"/>
          </w:tcPr>
          <w:p w:rsidR="00000000" w:rsidRDefault="00000000">
            <w:pPr>
              <w:keepNext/>
              <w:tabs>
                <w:tab w:val="clear" w:pos="567"/>
                <w:tab w:val="clear" w:pos="1134"/>
                <w:tab w:val="clear" w:pos="1701"/>
                <w:tab w:val="clear" w:pos="2268"/>
                <w:tab w:val="clear" w:pos="6237"/>
              </w:tabs>
              <w:spacing w:line="240" w:lineRule="auto"/>
              <w:jc w:val="center"/>
              <w:rPr>
                <w:lang w:eastAsia="mk-MK"/>
              </w:rPr>
            </w:pPr>
            <w:r>
              <w:rPr>
                <w:lang w:eastAsia="mk-MK"/>
              </w:rPr>
              <w:t>Число</w:t>
            </w:r>
          </w:p>
        </w:tc>
      </w:tr>
      <w:tr w:rsidR="00000000">
        <w:trPr>
          <w:cantSplit/>
        </w:trPr>
        <w:tc>
          <w:tcPr>
            <w:tcW w:w="858" w:type="dxa"/>
            <w:tcBorders>
              <w:bottom w:val="single" w:sz="4" w:space="0" w:color="auto"/>
            </w:tcBorders>
          </w:tcPr>
          <w:p w:rsidR="00000000" w:rsidRDefault="00000000">
            <w:pPr>
              <w:tabs>
                <w:tab w:val="clear" w:pos="567"/>
                <w:tab w:val="clear" w:pos="1134"/>
                <w:tab w:val="clear" w:pos="1701"/>
                <w:tab w:val="clear" w:pos="2268"/>
                <w:tab w:val="clear" w:pos="6237"/>
              </w:tabs>
              <w:spacing w:line="240" w:lineRule="auto"/>
              <w:jc w:val="center"/>
            </w:pPr>
          </w:p>
        </w:tc>
        <w:tc>
          <w:tcPr>
            <w:tcW w:w="2835" w:type="dxa"/>
            <w:tcBorders>
              <w:bottom w:val="single" w:sz="4" w:space="0" w:color="auto"/>
            </w:tcBorders>
          </w:tcPr>
          <w:p w:rsidR="00000000" w:rsidRDefault="00000000">
            <w:pPr>
              <w:tabs>
                <w:tab w:val="clear" w:pos="567"/>
                <w:tab w:val="clear" w:pos="1134"/>
                <w:tab w:val="clear" w:pos="1701"/>
                <w:tab w:val="clear" w:pos="2268"/>
                <w:tab w:val="clear" w:pos="6237"/>
              </w:tabs>
              <w:spacing w:line="240" w:lineRule="auto"/>
              <w:jc w:val="center"/>
              <w:rPr>
                <w:lang w:eastAsia="mk-MK"/>
              </w:rPr>
            </w:pPr>
            <w:r>
              <w:rPr>
                <w:lang w:eastAsia="mk-MK"/>
              </w:rPr>
              <w:t>завершенных программ подготовки к получению работы</w:t>
            </w:r>
          </w:p>
        </w:tc>
        <w:tc>
          <w:tcPr>
            <w:tcW w:w="2836" w:type="dxa"/>
            <w:tcBorders>
              <w:bottom w:val="single" w:sz="4" w:space="0" w:color="auto"/>
            </w:tcBorders>
          </w:tcPr>
          <w:p w:rsidR="00000000" w:rsidRDefault="00000000">
            <w:pPr>
              <w:tabs>
                <w:tab w:val="clear" w:pos="567"/>
                <w:tab w:val="clear" w:pos="1134"/>
                <w:tab w:val="clear" w:pos="1701"/>
                <w:tab w:val="clear" w:pos="2268"/>
                <w:tab w:val="clear" w:pos="6237"/>
              </w:tabs>
              <w:spacing w:line="240" w:lineRule="auto"/>
              <w:jc w:val="center"/>
              <w:rPr>
                <w:lang w:eastAsia="mk-MK"/>
              </w:rPr>
            </w:pPr>
            <w:r>
              <w:rPr>
                <w:lang w:eastAsia="mk-MK"/>
              </w:rPr>
              <w:t>безработных лиц, охваченных подготовительными программами</w:t>
            </w:r>
          </w:p>
        </w:tc>
        <w:tc>
          <w:tcPr>
            <w:tcW w:w="2836" w:type="dxa"/>
            <w:tcBorders>
              <w:bottom w:val="single" w:sz="4" w:space="0" w:color="auto"/>
            </w:tcBorders>
          </w:tcPr>
          <w:p w:rsidR="00000000" w:rsidRDefault="00000000">
            <w:pPr>
              <w:keepNext/>
              <w:tabs>
                <w:tab w:val="clear" w:pos="567"/>
                <w:tab w:val="clear" w:pos="1134"/>
                <w:tab w:val="clear" w:pos="1701"/>
                <w:tab w:val="clear" w:pos="2268"/>
                <w:tab w:val="clear" w:pos="6237"/>
              </w:tabs>
              <w:spacing w:line="240" w:lineRule="auto"/>
              <w:jc w:val="center"/>
              <w:rPr>
                <w:lang w:eastAsia="mk-MK"/>
              </w:rPr>
            </w:pPr>
            <w:r>
              <w:rPr>
                <w:lang w:eastAsia="mk-MK"/>
              </w:rPr>
              <w:t>безработных лиц, получивших работу по завершении программы подготовки</w:t>
            </w:r>
          </w:p>
        </w:tc>
      </w:tr>
      <w:tr w:rsidR="00000000">
        <w:trPr>
          <w:cantSplit/>
        </w:trPr>
        <w:tc>
          <w:tcPr>
            <w:tcW w:w="858" w:type="dxa"/>
            <w:tcBorders>
              <w:bottom w:val="nil"/>
            </w:tcBorders>
          </w:tcPr>
          <w:p w:rsidR="00000000" w:rsidRDefault="00000000">
            <w:pPr>
              <w:tabs>
                <w:tab w:val="clear" w:pos="567"/>
                <w:tab w:val="clear" w:pos="1134"/>
                <w:tab w:val="clear" w:pos="1701"/>
                <w:tab w:val="clear" w:pos="2268"/>
                <w:tab w:val="clear" w:pos="6237"/>
              </w:tabs>
              <w:jc w:val="center"/>
              <w:rPr>
                <w:lang w:val="en-US"/>
              </w:rPr>
            </w:pPr>
            <w:r>
              <w:rPr>
                <w:lang w:val="en-US"/>
              </w:rPr>
              <w:t>2000</w:t>
            </w:r>
          </w:p>
        </w:tc>
        <w:tc>
          <w:tcPr>
            <w:tcW w:w="2835" w:type="dxa"/>
            <w:tcBorders>
              <w:bottom w:val="nil"/>
            </w:tcBorders>
          </w:tcPr>
          <w:p w:rsidR="00000000" w:rsidRDefault="00000000">
            <w:pPr>
              <w:tabs>
                <w:tab w:val="clear" w:pos="567"/>
                <w:tab w:val="clear" w:pos="1134"/>
                <w:tab w:val="clear" w:pos="1701"/>
                <w:tab w:val="clear" w:pos="2268"/>
                <w:tab w:val="clear" w:pos="6237"/>
              </w:tabs>
              <w:jc w:val="center"/>
              <w:rPr>
                <w:lang w:val="en-US" w:eastAsia="mk-MK"/>
              </w:rPr>
            </w:pPr>
            <w:r>
              <w:rPr>
                <w:lang w:val="en-US" w:eastAsia="mk-MK"/>
              </w:rPr>
              <w:t>279</w:t>
            </w:r>
          </w:p>
        </w:tc>
        <w:tc>
          <w:tcPr>
            <w:tcW w:w="2836" w:type="dxa"/>
            <w:tcBorders>
              <w:bottom w:val="nil"/>
            </w:tcBorders>
          </w:tcPr>
          <w:p w:rsidR="00000000" w:rsidRDefault="00000000">
            <w:pPr>
              <w:tabs>
                <w:tab w:val="clear" w:pos="567"/>
                <w:tab w:val="clear" w:pos="1134"/>
                <w:tab w:val="clear" w:pos="1701"/>
                <w:tab w:val="clear" w:pos="2268"/>
                <w:tab w:val="clear" w:pos="6237"/>
              </w:tabs>
              <w:jc w:val="center"/>
              <w:rPr>
                <w:lang w:val="en-US" w:eastAsia="mk-MK"/>
              </w:rPr>
            </w:pPr>
            <w:r>
              <w:rPr>
                <w:lang w:val="en-US" w:eastAsia="mk-MK"/>
              </w:rPr>
              <w:t>6 498</w:t>
            </w:r>
          </w:p>
        </w:tc>
        <w:tc>
          <w:tcPr>
            <w:tcW w:w="2836" w:type="dxa"/>
            <w:tcBorders>
              <w:bottom w:val="nil"/>
            </w:tcBorders>
          </w:tcPr>
          <w:p w:rsidR="00000000" w:rsidRDefault="00000000">
            <w:pPr>
              <w:tabs>
                <w:tab w:val="clear" w:pos="567"/>
                <w:tab w:val="clear" w:pos="1134"/>
                <w:tab w:val="clear" w:pos="1701"/>
                <w:tab w:val="clear" w:pos="2268"/>
                <w:tab w:val="clear" w:pos="6237"/>
              </w:tabs>
              <w:jc w:val="center"/>
              <w:rPr>
                <w:lang w:val="en-US" w:eastAsia="mk-MK"/>
              </w:rPr>
            </w:pPr>
            <w:r>
              <w:rPr>
                <w:lang w:val="en-US" w:eastAsia="mk-MK"/>
              </w:rPr>
              <w:t>4 358</w:t>
            </w:r>
          </w:p>
        </w:tc>
      </w:tr>
      <w:tr w:rsidR="00000000">
        <w:trPr>
          <w:cantSplit/>
        </w:trPr>
        <w:tc>
          <w:tcPr>
            <w:tcW w:w="858" w:type="dxa"/>
            <w:tcBorders>
              <w:top w:val="nil"/>
              <w:bottom w:val="nil"/>
            </w:tcBorders>
          </w:tcPr>
          <w:p w:rsidR="00000000" w:rsidRDefault="00000000">
            <w:pPr>
              <w:tabs>
                <w:tab w:val="clear" w:pos="567"/>
                <w:tab w:val="clear" w:pos="1134"/>
                <w:tab w:val="clear" w:pos="1701"/>
                <w:tab w:val="clear" w:pos="2268"/>
                <w:tab w:val="clear" w:pos="6237"/>
              </w:tabs>
              <w:jc w:val="center"/>
              <w:rPr>
                <w:lang w:val="en-US"/>
              </w:rPr>
            </w:pPr>
            <w:r>
              <w:rPr>
                <w:lang w:val="en-US"/>
              </w:rPr>
              <w:t>2001</w:t>
            </w:r>
          </w:p>
        </w:tc>
        <w:tc>
          <w:tcPr>
            <w:tcW w:w="2835" w:type="dxa"/>
            <w:tcBorders>
              <w:top w:val="nil"/>
              <w:bottom w:val="nil"/>
            </w:tcBorders>
          </w:tcPr>
          <w:p w:rsidR="00000000" w:rsidRDefault="00000000">
            <w:pPr>
              <w:tabs>
                <w:tab w:val="clear" w:pos="567"/>
                <w:tab w:val="clear" w:pos="1134"/>
                <w:tab w:val="clear" w:pos="1701"/>
                <w:tab w:val="clear" w:pos="2268"/>
                <w:tab w:val="clear" w:pos="6237"/>
              </w:tabs>
              <w:jc w:val="center"/>
              <w:rPr>
                <w:lang w:val="en-US" w:eastAsia="mk-MK"/>
              </w:rPr>
            </w:pPr>
            <w:r>
              <w:rPr>
                <w:lang w:val="en-US" w:eastAsia="mk-MK"/>
              </w:rPr>
              <w:t>286</w:t>
            </w:r>
          </w:p>
        </w:tc>
        <w:tc>
          <w:tcPr>
            <w:tcW w:w="2836" w:type="dxa"/>
            <w:tcBorders>
              <w:top w:val="nil"/>
              <w:bottom w:val="nil"/>
            </w:tcBorders>
          </w:tcPr>
          <w:p w:rsidR="00000000" w:rsidRDefault="00000000">
            <w:pPr>
              <w:tabs>
                <w:tab w:val="clear" w:pos="567"/>
                <w:tab w:val="clear" w:pos="1134"/>
                <w:tab w:val="clear" w:pos="1701"/>
                <w:tab w:val="clear" w:pos="2268"/>
                <w:tab w:val="clear" w:pos="6237"/>
              </w:tabs>
              <w:jc w:val="center"/>
              <w:rPr>
                <w:lang w:val="en-US" w:eastAsia="mk-MK"/>
              </w:rPr>
            </w:pPr>
            <w:r>
              <w:rPr>
                <w:lang w:val="en-US" w:eastAsia="mk-MK"/>
              </w:rPr>
              <w:t>4 978</w:t>
            </w:r>
          </w:p>
        </w:tc>
        <w:tc>
          <w:tcPr>
            <w:tcW w:w="2836" w:type="dxa"/>
            <w:tcBorders>
              <w:top w:val="nil"/>
              <w:bottom w:val="nil"/>
            </w:tcBorders>
          </w:tcPr>
          <w:p w:rsidR="00000000" w:rsidRDefault="00000000">
            <w:pPr>
              <w:tabs>
                <w:tab w:val="clear" w:pos="567"/>
                <w:tab w:val="clear" w:pos="1134"/>
                <w:tab w:val="clear" w:pos="1701"/>
                <w:tab w:val="clear" w:pos="2268"/>
                <w:tab w:val="clear" w:pos="6237"/>
              </w:tabs>
              <w:jc w:val="center"/>
              <w:rPr>
                <w:lang w:val="en-US" w:eastAsia="mk-MK"/>
              </w:rPr>
            </w:pPr>
            <w:r>
              <w:rPr>
                <w:lang w:val="en-US" w:eastAsia="mk-MK"/>
              </w:rPr>
              <w:t>4 049</w:t>
            </w:r>
          </w:p>
        </w:tc>
      </w:tr>
      <w:tr w:rsidR="00000000">
        <w:trPr>
          <w:cantSplit/>
        </w:trPr>
        <w:tc>
          <w:tcPr>
            <w:tcW w:w="858" w:type="dxa"/>
            <w:tcBorders>
              <w:top w:val="nil"/>
              <w:bottom w:val="nil"/>
            </w:tcBorders>
          </w:tcPr>
          <w:p w:rsidR="00000000" w:rsidRDefault="00000000">
            <w:pPr>
              <w:tabs>
                <w:tab w:val="clear" w:pos="567"/>
                <w:tab w:val="clear" w:pos="1134"/>
                <w:tab w:val="clear" w:pos="1701"/>
                <w:tab w:val="clear" w:pos="2268"/>
                <w:tab w:val="clear" w:pos="6237"/>
              </w:tabs>
              <w:jc w:val="center"/>
              <w:rPr>
                <w:lang w:val="en-US"/>
              </w:rPr>
            </w:pPr>
            <w:r>
              <w:rPr>
                <w:lang w:val="en-US"/>
              </w:rPr>
              <w:t>2002</w:t>
            </w:r>
          </w:p>
        </w:tc>
        <w:tc>
          <w:tcPr>
            <w:tcW w:w="2835" w:type="dxa"/>
            <w:tcBorders>
              <w:top w:val="nil"/>
              <w:bottom w:val="nil"/>
            </w:tcBorders>
          </w:tcPr>
          <w:p w:rsidR="00000000" w:rsidRDefault="00000000">
            <w:pPr>
              <w:tabs>
                <w:tab w:val="clear" w:pos="567"/>
                <w:tab w:val="clear" w:pos="1134"/>
                <w:tab w:val="clear" w:pos="1701"/>
                <w:tab w:val="clear" w:pos="2268"/>
                <w:tab w:val="clear" w:pos="6237"/>
              </w:tabs>
              <w:jc w:val="center"/>
              <w:rPr>
                <w:lang w:val="en-US" w:eastAsia="mk-MK"/>
              </w:rPr>
            </w:pPr>
            <w:r>
              <w:rPr>
                <w:lang w:val="en-US" w:eastAsia="mk-MK"/>
              </w:rPr>
              <w:t xml:space="preserve"> 91</w:t>
            </w:r>
          </w:p>
        </w:tc>
        <w:tc>
          <w:tcPr>
            <w:tcW w:w="2836" w:type="dxa"/>
            <w:tcBorders>
              <w:top w:val="nil"/>
              <w:bottom w:val="nil"/>
            </w:tcBorders>
          </w:tcPr>
          <w:p w:rsidR="00000000" w:rsidRDefault="00000000">
            <w:pPr>
              <w:tabs>
                <w:tab w:val="clear" w:pos="567"/>
                <w:tab w:val="clear" w:pos="1134"/>
                <w:tab w:val="clear" w:pos="1701"/>
                <w:tab w:val="clear" w:pos="2268"/>
                <w:tab w:val="clear" w:pos="6237"/>
              </w:tabs>
              <w:jc w:val="center"/>
              <w:rPr>
                <w:lang w:val="en-US" w:eastAsia="mk-MK"/>
              </w:rPr>
            </w:pPr>
            <w:r>
              <w:rPr>
                <w:lang w:val="en-US" w:eastAsia="mk-MK"/>
              </w:rPr>
              <w:t>1 806</w:t>
            </w:r>
          </w:p>
        </w:tc>
        <w:tc>
          <w:tcPr>
            <w:tcW w:w="2836" w:type="dxa"/>
            <w:tcBorders>
              <w:top w:val="nil"/>
              <w:bottom w:val="nil"/>
            </w:tcBorders>
          </w:tcPr>
          <w:p w:rsidR="00000000" w:rsidRDefault="00000000">
            <w:pPr>
              <w:tabs>
                <w:tab w:val="clear" w:pos="567"/>
                <w:tab w:val="clear" w:pos="1134"/>
                <w:tab w:val="clear" w:pos="1701"/>
                <w:tab w:val="clear" w:pos="2268"/>
                <w:tab w:val="clear" w:pos="6237"/>
              </w:tabs>
              <w:jc w:val="center"/>
              <w:rPr>
                <w:lang w:val="en-US" w:eastAsia="mk-MK"/>
              </w:rPr>
            </w:pPr>
            <w:r>
              <w:rPr>
                <w:lang w:val="en-US" w:eastAsia="mk-MK"/>
              </w:rPr>
              <w:t>1 540</w:t>
            </w:r>
          </w:p>
        </w:tc>
      </w:tr>
      <w:tr w:rsidR="00000000">
        <w:trPr>
          <w:cantSplit/>
        </w:trPr>
        <w:tc>
          <w:tcPr>
            <w:tcW w:w="858" w:type="dxa"/>
            <w:tcBorders>
              <w:top w:val="nil"/>
            </w:tcBorders>
          </w:tcPr>
          <w:p w:rsidR="00000000" w:rsidRDefault="00000000">
            <w:pPr>
              <w:tabs>
                <w:tab w:val="clear" w:pos="567"/>
                <w:tab w:val="clear" w:pos="1134"/>
                <w:tab w:val="clear" w:pos="1701"/>
                <w:tab w:val="clear" w:pos="2268"/>
                <w:tab w:val="clear" w:pos="6237"/>
              </w:tabs>
              <w:jc w:val="center"/>
              <w:rPr>
                <w:lang w:val="en-US"/>
              </w:rPr>
            </w:pPr>
            <w:r>
              <w:rPr>
                <w:lang w:val="en-US"/>
              </w:rPr>
              <w:t>2003</w:t>
            </w:r>
          </w:p>
        </w:tc>
        <w:tc>
          <w:tcPr>
            <w:tcW w:w="2835" w:type="dxa"/>
            <w:tcBorders>
              <w:top w:val="nil"/>
            </w:tcBorders>
          </w:tcPr>
          <w:p w:rsidR="00000000" w:rsidRDefault="00000000">
            <w:pPr>
              <w:tabs>
                <w:tab w:val="clear" w:pos="567"/>
                <w:tab w:val="clear" w:pos="1134"/>
                <w:tab w:val="clear" w:pos="1701"/>
                <w:tab w:val="clear" w:pos="2268"/>
                <w:tab w:val="clear" w:pos="6237"/>
              </w:tabs>
              <w:jc w:val="center"/>
              <w:rPr>
                <w:lang w:val="en-US" w:eastAsia="mk-MK"/>
              </w:rPr>
            </w:pPr>
            <w:r>
              <w:rPr>
                <w:lang w:val="en-US" w:eastAsia="mk-MK"/>
              </w:rPr>
              <w:t xml:space="preserve"> 88</w:t>
            </w:r>
          </w:p>
        </w:tc>
        <w:tc>
          <w:tcPr>
            <w:tcW w:w="2836" w:type="dxa"/>
            <w:tcBorders>
              <w:top w:val="nil"/>
            </w:tcBorders>
          </w:tcPr>
          <w:p w:rsidR="00000000" w:rsidRDefault="00000000">
            <w:pPr>
              <w:tabs>
                <w:tab w:val="clear" w:pos="567"/>
                <w:tab w:val="clear" w:pos="1134"/>
                <w:tab w:val="clear" w:pos="1701"/>
                <w:tab w:val="clear" w:pos="2268"/>
                <w:tab w:val="clear" w:pos="6237"/>
              </w:tabs>
              <w:jc w:val="center"/>
              <w:rPr>
                <w:lang w:val="en-US" w:eastAsia="mk-MK"/>
              </w:rPr>
            </w:pPr>
            <w:r>
              <w:rPr>
                <w:lang w:val="en-US" w:eastAsia="mk-MK"/>
              </w:rPr>
              <w:t>2 770</w:t>
            </w:r>
          </w:p>
        </w:tc>
        <w:tc>
          <w:tcPr>
            <w:tcW w:w="2836" w:type="dxa"/>
            <w:tcBorders>
              <w:top w:val="nil"/>
            </w:tcBorders>
          </w:tcPr>
          <w:p w:rsidR="00000000" w:rsidRDefault="00000000">
            <w:pPr>
              <w:tabs>
                <w:tab w:val="clear" w:pos="567"/>
                <w:tab w:val="clear" w:pos="1134"/>
                <w:tab w:val="clear" w:pos="1701"/>
                <w:tab w:val="clear" w:pos="2268"/>
                <w:tab w:val="clear" w:pos="6237"/>
              </w:tabs>
              <w:jc w:val="center"/>
              <w:rPr>
                <w:lang w:val="en-US" w:eastAsia="mk-MK"/>
              </w:rPr>
            </w:pPr>
            <w:r>
              <w:rPr>
                <w:lang w:val="en-US" w:eastAsia="mk-MK"/>
              </w:rPr>
              <w:t>2 092</w:t>
            </w:r>
          </w:p>
        </w:tc>
      </w:tr>
    </w:tbl>
    <w:p w:rsidR="00000000" w:rsidRDefault="00000000">
      <w:r>
        <w:br/>
      </w:r>
      <w:r>
        <w:tab/>
      </w:r>
      <w:r>
        <w:rPr>
          <w:i/>
          <w:iCs/>
        </w:rPr>
        <w:t>Источник:</w:t>
      </w:r>
      <w:r>
        <w:t xml:space="preserve">  Бюро по трудоустройству бывшей югославской Республики Македонии.</w:t>
      </w:r>
    </w:p>
    <w:p w:rsidR="00000000" w:rsidRDefault="00000000"/>
    <w:p w:rsidR="00000000" w:rsidRDefault="00000000">
      <w:pPr>
        <w:pStyle w:val="Heading4"/>
        <w:keepNext w:val="0"/>
        <w:jc w:val="left"/>
        <w:rPr>
          <w:b w:val="0"/>
          <w:i/>
          <w:iCs/>
          <w:sz w:val="24"/>
        </w:rPr>
      </w:pPr>
      <w:r>
        <w:rPr>
          <w:b w:val="0"/>
          <w:i/>
          <w:iCs/>
          <w:sz w:val="24"/>
        </w:rPr>
        <w:t xml:space="preserve">Инвестирование материального пособия по безработице </w:t>
      </w:r>
    </w:p>
    <w:p w:rsidR="00000000" w:rsidRDefault="00000000">
      <w:pPr>
        <w:pStyle w:val="Heading4"/>
        <w:keepNext w:val="0"/>
        <w:jc w:val="left"/>
        <w:rPr>
          <w:b w:val="0"/>
          <w:i/>
          <w:iCs/>
          <w:sz w:val="24"/>
        </w:rPr>
      </w:pPr>
    </w:p>
    <w:p w:rsidR="00000000" w:rsidRDefault="00000000">
      <w:r>
        <w:t>152.</w:t>
      </w:r>
      <w:r>
        <w:tab/>
        <w:t>Эта мера, направленная на поощрение занятости и стимулирование работодателей и безработных, позволяет по просьбе безработного выплачивать ему неизрасходованную часть пособия по безработице единовременно или помесячно, если безработный использует эти средства для получения постоянной (не ограниченной по срокам) работы.  Средства для финансирования этой меры поступают за счет взносов на поддержание занятости в Бюро по трудоустройству.  С</w:t>
      </w:r>
      <w:r>
        <w:rPr>
          <w:lang w:val="en-US"/>
        </w:rPr>
        <w:t> </w:t>
      </w:r>
      <w:r>
        <w:t>учетом того факта, что эта мера стала применяться после принятия закона, вносящего поправки и дополнения в Закон о занятости и страховании на случай безработицы от 22 июня 2004 года, пока этой возможностью удалось воспользоваться относительно небольшому числу лиц.  Ввиду явного интереса к этому мероприятию ожидается, что значительное число безработных или получателей пособий по безработице воспользуется этой возможностью в будущем.</w:t>
      </w:r>
    </w:p>
    <w:p w:rsidR="00000000" w:rsidRDefault="00000000"/>
    <w:p w:rsidR="00000000" w:rsidRDefault="00000000">
      <w:pPr>
        <w:pStyle w:val="Heading4"/>
        <w:jc w:val="left"/>
        <w:rPr>
          <w:b w:val="0"/>
          <w:i/>
          <w:iCs/>
          <w:sz w:val="24"/>
        </w:rPr>
      </w:pPr>
      <w:r>
        <w:rPr>
          <w:b w:val="0"/>
          <w:i/>
          <w:iCs/>
          <w:sz w:val="24"/>
        </w:rPr>
        <w:t>Трудоустройство инвалидов</w:t>
      </w:r>
    </w:p>
    <w:p w:rsidR="00000000" w:rsidRDefault="00000000">
      <w:pPr>
        <w:pStyle w:val="Heading4"/>
        <w:jc w:val="left"/>
        <w:rPr>
          <w:b w:val="0"/>
          <w:i/>
          <w:iCs/>
          <w:sz w:val="24"/>
        </w:rPr>
      </w:pPr>
    </w:p>
    <w:p w:rsidR="00000000" w:rsidRDefault="00000000">
      <w:r>
        <w:t>153.</w:t>
      </w:r>
      <w:r>
        <w:tab/>
        <w:t>В Законе о трудоустройстве инвалидов ("Официальный вестник" бывшей югославской Республики Македонии №</w:t>
      </w:r>
      <w:r>
        <w:rPr>
          <w:lang w:val="en-US"/>
        </w:rPr>
        <w:t> </w:t>
      </w:r>
      <w:r>
        <w:t>44/2000 и 16/2004), вступившем в силу в июне 2000 года, регламентируются конкретные условия и меры по стимулированию трудоустройства и трудовой деятельности инвалидов как одной из наиболее уязвимых групп, испытывающих особые трудности при поиске работы.</w:t>
      </w:r>
    </w:p>
    <w:p w:rsidR="00000000" w:rsidRDefault="00000000"/>
    <w:p w:rsidR="00000000" w:rsidRDefault="00000000">
      <w:r>
        <w:t>154.</w:t>
      </w:r>
      <w:r>
        <w:tab/>
        <w:t>Этими мероприятиями охватываются инвалиды по зрению, слуху и речи, лица с расстройством голосового и речевого аппарата, лица с физическими недостатками, лица с незначительным отставанием в умственном развитии, лица с многофункциональной инвалидностью или лица, страдающие психозами, которые с учетом уровня их нарушений нуждаются в особых условиях труда.</w:t>
      </w:r>
    </w:p>
    <w:p w:rsidR="00000000" w:rsidRDefault="00000000"/>
    <w:p w:rsidR="00000000" w:rsidRDefault="00000000">
      <w:r>
        <w:t>155.</w:t>
      </w:r>
      <w:r>
        <w:tab/>
        <w:t>15% всех ассигнований на трудоустройство направляется в так называемый Специальный фонд для финансирования этой деятельности.</w:t>
      </w:r>
    </w:p>
    <w:p w:rsidR="00000000" w:rsidRDefault="00000000"/>
    <w:p w:rsidR="00000000" w:rsidRDefault="00000000">
      <w:r>
        <w:t>156.</w:t>
      </w:r>
      <w:r>
        <w:tab/>
        <w:t>Эти средства используются для финансирования следующих мероприятий:</w:t>
      </w:r>
    </w:p>
    <w:p w:rsidR="00000000" w:rsidRDefault="00000000"/>
    <w:p w:rsidR="00000000" w:rsidRDefault="00000000">
      <w:pPr>
        <w:ind w:left="1134" w:hanging="567"/>
      </w:pPr>
      <w:r>
        <w:t>-</w:t>
      </w:r>
      <w:r>
        <w:tab/>
        <w:t>профессиональное обучение инвалидов, в ходе которого они овладевают практическими навыками совершения определенных трудовых операций в соответствии с потребностями работодателя и самих безработных, и профессиональное обучение трудоустроенных инвалидов, которые не обладают навыками выполнения конкретных трудовых операций;</w:t>
      </w:r>
    </w:p>
    <w:p w:rsidR="00000000" w:rsidRDefault="00000000">
      <w:pPr>
        <w:ind w:left="567"/>
      </w:pPr>
    </w:p>
    <w:p w:rsidR="00000000" w:rsidRDefault="00000000">
      <w:pPr>
        <w:ind w:left="1134" w:hanging="567"/>
      </w:pPr>
      <w:r>
        <w:t>-</w:t>
      </w:r>
      <w:r>
        <w:tab/>
        <w:t>обеспечение постоянной работой инвалидов:  в зависимости от степени инвалидности каждому получившему постоянную работу инвалиду выплачивается разовое пособие в размере 3 700 </w:t>
      </w:r>
      <w:r>
        <w:noBreakHyphen/>
        <w:t>5 600 евро, при этом работодатель обязан не увольнять нанятого работника по крайней мере в течение трех лет после трудоустройства;</w:t>
      </w:r>
    </w:p>
    <w:p w:rsidR="00000000" w:rsidRDefault="00000000">
      <w:pPr>
        <w:ind w:left="567"/>
      </w:pPr>
    </w:p>
    <w:p w:rsidR="00000000" w:rsidRDefault="00000000">
      <w:pPr>
        <w:ind w:left="1134" w:hanging="567"/>
      </w:pPr>
      <w:r>
        <w:t>-</w:t>
      </w:r>
      <w:r>
        <w:tab/>
        <w:t>переоборудование рабочего места инвалида, на что выплачивается пособие в размере до 5 600 евро на человека;</w:t>
      </w:r>
    </w:p>
    <w:p w:rsidR="00000000" w:rsidRDefault="00000000">
      <w:pPr>
        <w:ind w:left="567"/>
      </w:pPr>
    </w:p>
    <w:p w:rsidR="00000000" w:rsidRDefault="00000000">
      <w:pPr>
        <w:ind w:left="1134" w:hanging="567"/>
      </w:pPr>
      <w:r>
        <w:t>-</w:t>
      </w:r>
      <w:r>
        <w:tab/>
        <w:t>приобретение необходимого оборудования для трудоустройства и трудовой деятельности инвалида, на что раз в три года выплачивается пособие в размере до 9 300 евро;  и</w:t>
      </w:r>
    </w:p>
    <w:p w:rsidR="00000000" w:rsidRDefault="00000000">
      <w:pPr>
        <w:ind w:left="567"/>
      </w:pPr>
    </w:p>
    <w:p w:rsidR="00000000" w:rsidRDefault="00000000">
      <w:pPr>
        <w:ind w:left="1134" w:hanging="567"/>
      </w:pPr>
      <w:r>
        <w:t>-</w:t>
      </w:r>
      <w:r>
        <w:tab/>
        <w:t>обустройство и переоборудование рабочего места для трудоустройства и трудовой деятельности инвалида, на что раз в три года выплачивается пособие в размере до 9 300 евро.</w:t>
      </w:r>
    </w:p>
    <w:p w:rsidR="00000000" w:rsidRDefault="00000000">
      <w:pPr>
        <w:ind w:left="567"/>
      </w:pPr>
    </w:p>
    <w:p w:rsidR="00000000" w:rsidRDefault="00000000">
      <w:r>
        <w:t>157.</w:t>
      </w:r>
      <w:r>
        <w:tab/>
        <w:t>За период после принятия этого закона в общей сложности были трудоустроены 1 132  инвалида (данные по состоянию на 1 октября 2004 года включительно).</w:t>
      </w:r>
    </w:p>
    <w:p w:rsidR="00000000" w:rsidRDefault="00000000"/>
    <w:p w:rsidR="00000000" w:rsidRDefault="00000000">
      <w:r>
        <w:t>158.</w:t>
      </w:r>
      <w:r>
        <w:tab/>
        <w:t>С момента принятия закона и до октября 2004 года на указанные выше цели было ассигновано в общей сложности 5 201 198 евро.</w:t>
      </w:r>
    </w:p>
    <w:p w:rsidR="00000000" w:rsidRDefault="00000000"/>
    <w:p w:rsidR="00000000" w:rsidRDefault="00000000">
      <w:pPr>
        <w:rPr>
          <w:i/>
          <w:iCs/>
        </w:rPr>
      </w:pPr>
      <w:r>
        <w:rPr>
          <w:i/>
          <w:iCs/>
        </w:rPr>
        <w:t>Общественные работы</w:t>
      </w:r>
    </w:p>
    <w:p w:rsidR="00000000" w:rsidRDefault="00000000">
      <w:pPr>
        <w:rPr>
          <w:i/>
          <w:iCs/>
        </w:rPr>
      </w:pPr>
    </w:p>
    <w:p w:rsidR="00000000" w:rsidRDefault="00000000">
      <w:r>
        <w:t>159.</w:t>
      </w:r>
      <w:r>
        <w:tab/>
        <w:t>Зарегистрированные в Бюро по трудоустройству безработные направляются на общественные работы, проводимые в соответствии с запланированной организатором программой общественных работ.  Организатором общественных работ могут выступать как органы местного самоуправления, так и заинтересованные государственные компании.</w:t>
      </w:r>
    </w:p>
    <w:p w:rsidR="00000000" w:rsidRDefault="00000000"/>
    <w:p w:rsidR="00000000" w:rsidRDefault="00000000">
      <w:r>
        <w:t>160.</w:t>
      </w:r>
      <w:r>
        <w:tab/>
        <w:t xml:space="preserve">На период выполнения общественных работ организатор выплачивает работникам заработную плату, предоставляет транспорт или компенсирует расходы по проезду до места работы и до дома, обеспечивает питание, страхование от несчастных случаев на производстве и медицинское страхование.  </w:t>
      </w:r>
    </w:p>
    <w:p w:rsidR="00000000" w:rsidRDefault="00000000"/>
    <w:p w:rsidR="00000000" w:rsidRDefault="00000000">
      <w:r>
        <w:t>161.</w:t>
      </w:r>
      <w:r>
        <w:tab/>
        <w:t xml:space="preserve">В том случае, если распорядитель общественных работ привлекает безработных, которые получают денежное пособие в течение более 30 рабочих дней, он имеет право на получение ежемесячной финансовой компенсации от Бюро по трудоустройству в размере установленного материального вознаграждения за каждого трудоустроенного безработного.  Средства для финансирования такой меры выделяются Бюро по трудоустройству и организатором общественных работ.  </w:t>
      </w:r>
    </w:p>
    <w:p w:rsidR="00000000" w:rsidRDefault="00000000"/>
    <w:p w:rsidR="00000000" w:rsidRDefault="00000000">
      <w:pPr>
        <w:rPr>
          <w:b/>
          <w:bCs/>
        </w:rPr>
      </w:pPr>
      <w:r>
        <w:rPr>
          <w:b/>
          <w:bCs/>
        </w:rPr>
        <w:br w:type="page"/>
        <w:t>Закон о содействии расширению занятости</w:t>
      </w:r>
    </w:p>
    <w:p w:rsidR="00000000" w:rsidRDefault="00000000">
      <w:pPr>
        <w:rPr>
          <w:b/>
          <w:bCs/>
        </w:rPr>
      </w:pPr>
    </w:p>
    <w:p w:rsidR="00000000" w:rsidRDefault="00000000">
      <w:r>
        <w:t>162.</w:t>
      </w:r>
      <w:r>
        <w:tab/>
        <w:t>Закон о содействии расширению занятости был принят в марте 2003 года в рамках макроэкономической политики бывшей югославской Республики Македонии, направленной на сокращение безработицы.  Он имел целью напрямую содействовать расширению возможностей трудоустройства через снижение затрат на рабочую силу.</w:t>
      </w:r>
    </w:p>
    <w:p w:rsidR="00000000" w:rsidRDefault="00000000"/>
    <w:p w:rsidR="00000000" w:rsidRDefault="00000000">
      <w:r>
        <w:t>163.</w:t>
      </w:r>
      <w:r>
        <w:tab/>
        <w:t>При этом работодателю, принявшему безработного на постоянную работу компенсировались отчисления на пенсионное обеспечение и страхование на случай потери трудоспособности, отчисления на медицинское страхование и на обеспечение занятости за каждого нового трудоустроенного в течение 24 месяцев после принятия на работу.</w:t>
      </w:r>
    </w:p>
    <w:p w:rsidR="00000000" w:rsidRDefault="00000000"/>
    <w:p w:rsidR="00000000" w:rsidRDefault="00000000">
      <w:r>
        <w:t>164.</w:t>
      </w:r>
      <w:r>
        <w:tab/>
        <w:t xml:space="preserve">Эта мера охватывала следующие целевые группы населения:  </w:t>
      </w:r>
    </w:p>
    <w:p w:rsidR="00000000" w:rsidRDefault="00000000"/>
    <w:p w:rsidR="00000000" w:rsidRDefault="00000000">
      <w:pPr>
        <w:ind w:left="567" w:hanging="567"/>
      </w:pPr>
      <w:r>
        <w:tab/>
        <w:t>-</w:t>
      </w:r>
      <w:r>
        <w:tab/>
        <w:t>длительно безработные, зарегистрированные в Бюро по трудоустройству;</w:t>
      </w:r>
    </w:p>
    <w:p w:rsidR="00000000" w:rsidRDefault="00000000">
      <w:pPr>
        <w:ind w:left="567" w:hanging="567"/>
      </w:pPr>
    </w:p>
    <w:p w:rsidR="00000000" w:rsidRDefault="00000000">
      <w:pPr>
        <w:ind w:left="1134" w:hanging="1134"/>
      </w:pPr>
      <w:r>
        <w:tab/>
        <w:t>-</w:t>
      </w:r>
      <w:r>
        <w:tab/>
        <w:t>безработные лица, потерявшие работу по причине банкротства, сокращения штатов или структурных и других изменений;</w:t>
      </w:r>
    </w:p>
    <w:p w:rsidR="00000000" w:rsidRDefault="00000000">
      <w:pPr>
        <w:ind w:left="567" w:hanging="567"/>
      </w:pPr>
    </w:p>
    <w:p w:rsidR="00000000" w:rsidRDefault="00000000">
      <w:pPr>
        <w:ind w:left="1134" w:hanging="1134"/>
      </w:pPr>
      <w:r>
        <w:tab/>
        <w:t>-</w:t>
      </w:r>
      <w:r>
        <w:tab/>
        <w:t>безработные лица, которые получают социальную материальную помощь, являются работоспособными и не имеют социального страхования.</w:t>
      </w:r>
    </w:p>
    <w:p w:rsidR="00000000" w:rsidRDefault="00000000">
      <w:pPr>
        <w:ind w:left="567" w:hanging="567"/>
      </w:pPr>
    </w:p>
    <w:p w:rsidR="00000000" w:rsidRDefault="00000000">
      <w:r>
        <w:t>165.</w:t>
      </w:r>
      <w:r>
        <w:tab/>
        <w:t>Работодателям компенсируется часть выплачиваемой наемным работникам заработной платы по фиксированной ставке в 69 евро за каждого вновь принятого на работу.</w:t>
      </w:r>
    </w:p>
    <w:p w:rsidR="00000000" w:rsidRDefault="00000000"/>
    <w:p w:rsidR="00000000" w:rsidRDefault="00000000">
      <w:r>
        <w:t>166.</w:t>
      </w:r>
      <w:r>
        <w:tab/>
        <w:t xml:space="preserve">Работодатель, который принимает на работу безработного, получавшего материальное пособие и социальную помощь, помимо компенсации производимых отчислений, имеет также право на получение дополнительных ежеквартальных субсидий в размере 25% среднего чистого оклада каждого работника или, в случае трудоустройства получателя социальной помощи, право на получение средств в размере средней суммы социального материального пособия за предыдущий год.  </w:t>
      </w:r>
    </w:p>
    <w:p w:rsidR="00000000" w:rsidRDefault="00000000"/>
    <w:p w:rsidR="00000000" w:rsidRDefault="00000000">
      <w:r>
        <w:t>167.</w:t>
      </w:r>
      <w:r>
        <w:tab/>
        <w:t xml:space="preserve">Работодатель обязуется не увольнять трудоустроенное лицо в течение периода, который по крайней мере в два раза превышает срок получения им компенсации отчислений по заработной плате.  </w:t>
      </w:r>
    </w:p>
    <w:p w:rsidR="00000000" w:rsidRDefault="00000000"/>
    <w:p w:rsidR="00000000" w:rsidRDefault="00000000">
      <w:r>
        <w:t>168.</w:t>
      </w:r>
      <w:r>
        <w:tab/>
        <w:t>Закон о содействии расширению занятости действовал в период с 16 апреля по 31 декабря 2003 года.  За этот период в общей сложности было трудоустроено 15 308 безработных.</w:t>
      </w:r>
    </w:p>
    <w:p w:rsidR="00000000" w:rsidRDefault="00000000"/>
    <w:p w:rsidR="00000000" w:rsidRDefault="00000000">
      <w:r>
        <w:t>169.</w:t>
      </w:r>
      <w:r>
        <w:tab/>
        <w:t>Средства, необходимые для реализации прав по этой программе, выделялись из государственного бюджета в рамках фондов ассигнования на выполнение Программы содействия расширению занятости и повышения гибкости рынка труда в размере 32 609 617 евро.</w:t>
      </w:r>
    </w:p>
    <w:p w:rsidR="00000000" w:rsidRDefault="00000000"/>
    <w:p w:rsidR="00000000" w:rsidRDefault="00000000">
      <w:pPr>
        <w:rPr>
          <w:b/>
          <w:bCs/>
        </w:rPr>
      </w:pPr>
      <w:r>
        <w:rPr>
          <w:b/>
          <w:bCs/>
        </w:rPr>
        <w:t>Выделение в пользование государственных пахотных земель</w:t>
      </w:r>
    </w:p>
    <w:p w:rsidR="00000000" w:rsidRDefault="00000000">
      <w:pPr>
        <w:rPr>
          <w:b/>
          <w:bCs/>
        </w:rPr>
      </w:pPr>
    </w:p>
    <w:p w:rsidR="00000000" w:rsidRDefault="00000000">
      <w:r>
        <w:t>170.</w:t>
      </w:r>
      <w:r>
        <w:tab/>
        <w:t xml:space="preserve">В июле 2003 года правительство приняло Постановление о выделении государственных пахотных земель в пользование определенным категориям социально незащищенных лиц ("Официальный вестник" бывшей югославской Республики Македонии № 51/2003).  </w:t>
      </w:r>
    </w:p>
    <w:p w:rsidR="00000000" w:rsidRDefault="00000000"/>
    <w:p w:rsidR="00000000" w:rsidRDefault="00000000">
      <w:r>
        <w:t>171.</w:t>
      </w:r>
      <w:r>
        <w:tab/>
        <w:t>Этим мероприятием охвачены следующие категории населения:</w:t>
      </w:r>
    </w:p>
    <w:p w:rsidR="00000000" w:rsidRDefault="00000000"/>
    <w:p w:rsidR="00000000" w:rsidRDefault="00000000">
      <w:pPr>
        <w:numPr>
          <w:ilvl w:val="0"/>
          <w:numId w:val="5"/>
        </w:numPr>
      </w:pPr>
      <w:r>
        <w:t>лица, получающие социальную помощь;</w:t>
      </w:r>
    </w:p>
    <w:p w:rsidR="00000000" w:rsidRDefault="00000000">
      <w:pPr>
        <w:tabs>
          <w:tab w:val="clear" w:pos="1134"/>
        </w:tabs>
      </w:pPr>
    </w:p>
    <w:p w:rsidR="00000000" w:rsidRDefault="00000000">
      <w:pPr>
        <w:numPr>
          <w:ilvl w:val="0"/>
          <w:numId w:val="5"/>
        </w:numPr>
      </w:pPr>
      <w:r>
        <w:t>лица, получающие пособие по безработице;</w:t>
      </w:r>
    </w:p>
    <w:p w:rsidR="00000000" w:rsidRDefault="00000000">
      <w:pPr>
        <w:tabs>
          <w:tab w:val="clear" w:pos="1134"/>
        </w:tabs>
      </w:pPr>
    </w:p>
    <w:p w:rsidR="00000000" w:rsidRDefault="00000000">
      <w:pPr>
        <w:numPr>
          <w:ilvl w:val="0"/>
          <w:numId w:val="5"/>
        </w:numPr>
      </w:pPr>
      <w:r>
        <w:t>лица, состоящие на учете в Бюро по трудоустройству как безработные свыше одного года;</w:t>
      </w:r>
    </w:p>
    <w:p w:rsidR="00000000" w:rsidRDefault="00000000">
      <w:pPr>
        <w:tabs>
          <w:tab w:val="clear" w:pos="1134"/>
        </w:tabs>
      </w:pPr>
    </w:p>
    <w:p w:rsidR="00000000" w:rsidRDefault="00000000">
      <w:pPr>
        <w:numPr>
          <w:ilvl w:val="0"/>
          <w:numId w:val="5"/>
        </w:numPr>
      </w:pPr>
      <w:r>
        <w:t xml:space="preserve">работники, трудоустроенные работодателями </w:t>
      </w:r>
      <w:r>
        <w:noBreakHyphen/>
        <w:t xml:space="preserve"> обладателями права на пользование государственной землей, которые не получают зарплату и в отношении которых не производится отчисления от заработной платы в течение периода свыше одного года;  и</w:t>
      </w:r>
    </w:p>
    <w:p w:rsidR="00000000" w:rsidRDefault="00000000">
      <w:pPr>
        <w:tabs>
          <w:tab w:val="clear" w:pos="1134"/>
        </w:tabs>
      </w:pPr>
    </w:p>
    <w:p w:rsidR="00000000" w:rsidRDefault="00000000">
      <w:pPr>
        <w:numPr>
          <w:ilvl w:val="0"/>
          <w:numId w:val="5"/>
        </w:numPr>
      </w:pPr>
      <w:r>
        <w:t>социально незащищенные безземельные крестьяне.</w:t>
      </w:r>
    </w:p>
    <w:p w:rsidR="00000000" w:rsidRDefault="00000000">
      <w:pPr>
        <w:tabs>
          <w:tab w:val="clear" w:pos="1134"/>
        </w:tabs>
      </w:pPr>
    </w:p>
    <w:p w:rsidR="00000000" w:rsidRDefault="00000000">
      <w:r>
        <w:t>172.</w:t>
      </w:r>
      <w:r>
        <w:tab/>
        <w:t>Министр сельского, лесного и водного хозяйства заключил договоры с получателями права на пользование землей и доходами от нее, в которых, в частности, оговаривается срок действий договора, размер компенсации за пользование и помощь государства на начальном этапе освоении земель.</w:t>
      </w:r>
    </w:p>
    <w:p w:rsidR="00000000" w:rsidRDefault="00000000"/>
    <w:p w:rsidR="00000000" w:rsidRDefault="00000000">
      <w:r>
        <w:t>173.</w:t>
      </w:r>
      <w:r>
        <w:tab/>
        <w:t xml:space="preserve">Договор о выделении государственных пахотных земель в пользование заключается на срок от 3 до 15 лет и может быть возобновлен.  Министерство сельского, лесного и водного хозяйства заключило до сих пор 173 таких договора.  </w:t>
      </w:r>
    </w:p>
    <w:p w:rsidR="00000000" w:rsidRDefault="00000000"/>
    <w:p w:rsidR="00000000" w:rsidRDefault="00000000">
      <w:pPr>
        <w:jc w:val="center"/>
      </w:pPr>
      <w:r>
        <w:rPr>
          <w:b/>
          <w:bCs/>
        </w:rPr>
        <w:t>Статья 7 Пакта</w:t>
      </w:r>
    </w:p>
    <w:p w:rsidR="00000000" w:rsidRDefault="00000000">
      <w:pPr>
        <w:jc w:val="center"/>
      </w:pPr>
    </w:p>
    <w:p w:rsidR="00000000" w:rsidRDefault="00000000">
      <w:r>
        <w:t>174.</w:t>
      </w:r>
      <w:r>
        <w:tab/>
        <w:t xml:space="preserve">Система заработной платы в бывшей югославской Республике Македонии определяется Конституцией страны (статья 75), Законом о трудовых отношениях, Законом о заработной плате и коллективными договорами.  </w:t>
      </w:r>
    </w:p>
    <w:p w:rsidR="00000000" w:rsidRDefault="00000000"/>
    <w:p w:rsidR="00000000" w:rsidRDefault="00000000">
      <w:r>
        <w:t>175.</w:t>
      </w:r>
      <w:r>
        <w:tab/>
        <w:t>Порядок выплаты работникам чистой заработной платы и определенных типов надбавок определяется Законом о заработной плате бывшей югославской Республики Македонии ("Официальный вестник" бывшей югославской Республики Македонии № 70/1994, 62/1995, 33/1997, 50/2001, 26/2002 и 46/2002).</w:t>
      </w:r>
    </w:p>
    <w:p w:rsidR="00000000" w:rsidRDefault="00000000"/>
    <w:p w:rsidR="00000000" w:rsidRDefault="00000000">
      <w:r>
        <w:t>176.</w:t>
      </w:r>
      <w:r>
        <w:tab/>
        <w:t>Из всех положений этого закона только статья 5 применяется к работодателям, владеющим более чем 51% частных активов предприятия.</w:t>
      </w:r>
    </w:p>
    <w:p w:rsidR="00000000" w:rsidRDefault="00000000"/>
    <w:p w:rsidR="00000000" w:rsidRDefault="00000000">
      <w:r>
        <w:t>177.</w:t>
      </w:r>
      <w:r>
        <w:tab/>
        <w:t>Заработная плата, выплачиваемая предприятиями, в капитале которых доля государства составляет до 70%, а с апреля 2002 года - до 51%, определяется Законом о заработной плате от декабря 1993 года, в котором устанавливается возможный размер месячного фонда заработной платы.  В этом отношении предусматривается, что работодатели, на которых распространяется этот закон, могут осуществлять ежемесячную корректировку уровня заработной платы частично с учетом темпов роста стоимости жизни, а с июля 2001 года они могут проводить корректировку в размере до 50% от темпа роста стоимости жизни, в то время как работники бюджетных предприятий и системы государственного здравоохранения в соответствии с этим законом не имеют права на повышение заработной платы.  Согласно закону, уровень заработной платы работников определяется работодателем в соответствии с критериями, предусмотренными в коллективных договорах.</w:t>
      </w:r>
    </w:p>
    <w:p w:rsidR="00000000" w:rsidRDefault="00000000"/>
    <w:p w:rsidR="00000000" w:rsidRDefault="00000000">
      <w:r>
        <w:t>178.</w:t>
      </w:r>
      <w:r>
        <w:tab/>
        <w:t>Заработная плата, выплачиваемая на предприятиях с частным капиталом, поступает из активов работодателя и выплачивается соразмерно выполняемой работе и в соответствии с условиями и критериями, установленными законодательством и коллективным договором.</w:t>
      </w:r>
    </w:p>
    <w:p w:rsidR="00000000" w:rsidRDefault="00000000"/>
    <w:p w:rsidR="00000000" w:rsidRDefault="00000000">
      <w:r>
        <w:t>179.</w:t>
      </w:r>
      <w:r>
        <w:tab/>
        <w:t>В Общем коллективном соглашении для хозяйственных секторов бывшей югославской Республики Македонии, подписанном Конфедерацией профсоюзов Македонии и Торговой палатой Македонии, и в Общем коллективном соглашении для государственных служб, государственных предприятий, государственных учреждений, органов местного самоуправления и других юридических лиц, занятых неэкономической деятельностью, подписанном Конфедерацией профсоюзов Македонии и правительством, предусматривается, что участники переговоров по заключению коллективного соглашения обговаривают и публикуют минимальный уровень заработной платы, соответствующий степени сложности выполняемой трудовой операции.  Однако, несмотря на подписание коллективных договоров, после продолжительных переговоров и в силу расхождений в позициях и мнениях относительно уровня минимальной заработной платы стороны Коллективного соглашения для хозяйственных секторов все еще не смогли договориться об уровне минимальной заработной платы.  Это означает, что, несмотря на создание системы минимальной заработной платы, она по сути дела еще не функционирует.  В отличие от этого соглашения, стороны Коллективного соглашения для государственного сектора достигли договоренности об уровне минимальной заработной платы, который с июня 2002 года составляет 5 060 </w:t>
      </w:r>
      <w:proofErr w:type="spellStart"/>
      <w:r>
        <w:t>денаров</w:t>
      </w:r>
      <w:proofErr w:type="spellEnd"/>
      <w:r>
        <w:t>.</w:t>
      </w:r>
    </w:p>
    <w:p w:rsidR="00000000" w:rsidRDefault="00000000"/>
    <w:p w:rsidR="00000000" w:rsidRDefault="00000000">
      <w:r>
        <w:t>180.</w:t>
      </w:r>
      <w:r>
        <w:tab/>
        <w:t>Выплата минимальной заработной платы гарантируется законом.  Это означает, что работодатели обязаны выплачивать установленную сумму минимальной заработной платы.  В случае невыплаты установленной суммы работодателя ожидают санкции.</w:t>
      </w:r>
    </w:p>
    <w:p w:rsidR="00000000" w:rsidRDefault="00000000"/>
    <w:p w:rsidR="00000000" w:rsidRDefault="00000000">
      <w:r>
        <w:t>181.</w:t>
      </w:r>
      <w:r>
        <w:tab/>
        <w:t>Коллективные соглашения предусматривают, что при определении минимальной заработной платы должным образом учитываются следующие факторы:  стоимость жизни, экономическая конъюнктура и средний уровень заработной платы в стране, производительность труда, социальные отчисления и другие экономические и социальные факторы.</w:t>
      </w:r>
    </w:p>
    <w:p w:rsidR="00000000" w:rsidRDefault="00000000"/>
    <w:p w:rsidR="00000000" w:rsidRDefault="00000000">
      <w:r>
        <w:t>182.</w:t>
      </w:r>
      <w:r>
        <w:tab/>
        <w:t>Кроме того, коллективные соглашения позволяют предприятиям при возникновении трудностей снижать минимальный уровень заработной платы на 20%.  Период действия такого снижения не может превышать шести месяцев.  По преодолении трудностей работодатель обязан компенсировать работникам разницу между минимальным уровнем заработной платы и сокращенной заработной платой.</w:t>
      </w:r>
    </w:p>
    <w:p w:rsidR="00000000" w:rsidRDefault="00000000"/>
    <w:p w:rsidR="00000000" w:rsidRDefault="00000000">
      <w:r>
        <w:t>183.</w:t>
      </w:r>
      <w:r>
        <w:tab/>
        <w:t>Коллективные соглашения также предусматривают, что объем минимальной заработной платы устанавливается и обнародуется не реже раза в квартал или на месячной основе, если месячные темпы роста стоимости жизни превышают 5%.</w:t>
      </w:r>
    </w:p>
    <w:p w:rsidR="00000000" w:rsidRDefault="00000000"/>
    <w:p w:rsidR="00000000" w:rsidRDefault="00000000">
      <w:r>
        <w:t>184.</w:t>
      </w:r>
      <w:r>
        <w:tab/>
        <w:t>После установления минимальной заработной платы могут вводиться в действие принятые механизмы расчеты, согласования и выплаты минимальной заработной платы.</w:t>
      </w:r>
    </w:p>
    <w:p w:rsidR="00000000" w:rsidRDefault="00000000"/>
    <w:p w:rsidR="00000000" w:rsidRDefault="00000000">
      <w:r>
        <w:t>185.</w:t>
      </w:r>
      <w:r>
        <w:tab/>
        <w:t>Средняя чистая заработная плата на одного работника в 2003 году составляла 11 824 денара, в октябре 2004 года - 12 609 денаров, а с января по октябрь 2004 года (самые последние статистические сведения) - 12 270 денаров.</w:t>
      </w:r>
    </w:p>
    <w:p w:rsidR="00000000" w:rsidRDefault="00000000"/>
    <w:p w:rsidR="00000000" w:rsidRDefault="00000000">
      <w:r>
        <w:t>186.</w:t>
      </w:r>
      <w:r>
        <w:tab/>
        <w:t>Индекс стоимости жизни в 2004 году по сравнению с 2003 годом снизился на 0,4%.  В приводимой ниже таблице отражена динамика этого показателя за последние несколько лет.</w:t>
      </w:r>
    </w:p>
    <w:p w:rsidR="00000000" w:rsidRDefault="00000000"/>
    <w:p w:rsidR="00000000" w:rsidRDefault="00000000">
      <w:pPr>
        <w:jc w:val="center"/>
        <w:rPr>
          <w:b/>
          <w:bCs/>
        </w:rPr>
      </w:pPr>
      <w:r>
        <w:rPr>
          <w:b/>
          <w:bCs/>
        </w:rPr>
        <w:t>Динамика стоимости жизни, 1997-2004 годы</w:t>
      </w:r>
    </w:p>
    <w:p w:rsidR="00000000" w:rsidRDefault="00000000">
      <w:pPr>
        <w:jc w:val="cente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1890"/>
        <w:gridCol w:w="1064"/>
        <w:gridCol w:w="1092"/>
        <w:gridCol w:w="1106"/>
        <w:gridCol w:w="1049"/>
        <w:gridCol w:w="1120"/>
        <w:gridCol w:w="1036"/>
        <w:gridCol w:w="1054"/>
      </w:tblGrid>
      <w:tr w:rsidR="00000000">
        <w:trPr>
          <w:cantSplit/>
        </w:trPr>
        <w:tc>
          <w:tcPr>
            <w:tcW w:w="1890" w:type="dxa"/>
            <w:vMerge w:val="restart"/>
            <w:vAlign w:val="center"/>
          </w:tcPr>
          <w:p w:rsidR="00000000" w:rsidRDefault="00000000">
            <w:pPr>
              <w:pStyle w:val="Header"/>
              <w:rPr>
                <w:sz w:val="20"/>
              </w:rPr>
            </w:pPr>
            <w:r>
              <w:rPr>
                <w:sz w:val="20"/>
              </w:rPr>
              <w:t>Стоимость жизни</w:t>
            </w:r>
          </w:p>
        </w:tc>
        <w:tc>
          <w:tcPr>
            <w:tcW w:w="1064" w:type="dxa"/>
            <w:vAlign w:val="center"/>
          </w:tcPr>
          <w:p w:rsidR="00000000" w:rsidRDefault="00000000">
            <w:pPr>
              <w:jc w:val="center"/>
              <w:rPr>
                <w:sz w:val="20"/>
              </w:rPr>
            </w:pPr>
            <w:r>
              <w:rPr>
                <w:sz w:val="20"/>
              </w:rPr>
              <w:t>1998</w:t>
            </w:r>
          </w:p>
          <w:p w:rsidR="00000000" w:rsidRDefault="00000000">
            <w:pPr>
              <w:jc w:val="center"/>
              <w:rPr>
                <w:sz w:val="20"/>
              </w:rPr>
            </w:pPr>
            <w:r>
              <w:rPr>
                <w:sz w:val="20"/>
              </w:rPr>
              <w:t>1997</w:t>
            </w:r>
          </w:p>
        </w:tc>
        <w:tc>
          <w:tcPr>
            <w:tcW w:w="1092" w:type="dxa"/>
            <w:vAlign w:val="center"/>
          </w:tcPr>
          <w:p w:rsidR="00000000" w:rsidRDefault="00000000">
            <w:pPr>
              <w:jc w:val="center"/>
              <w:rPr>
                <w:sz w:val="20"/>
              </w:rPr>
            </w:pPr>
            <w:r>
              <w:rPr>
                <w:sz w:val="20"/>
              </w:rPr>
              <w:t>1999</w:t>
            </w:r>
          </w:p>
          <w:p w:rsidR="00000000" w:rsidRDefault="00000000">
            <w:pPr>
              <w:jc w:val="center"/>
              <w:rPr>
                <w:sz w:val="20"/>
              </w:rPr>
            </w:pPr>
            <w:r>
              <w:rPr>
                <w:sz w:val="20"/>
              </w:rPr>
              <w:t>1998</w:t>
            </w:r>
          </w:p>
        </w:tc>
        <w:tc>
          <w:tcPr>
            <w:tcW w:w="1106" w:type="dxa"/>
            <w:vAlign w:val="center"/>
          </w:tcPr>
          <w:p w:rsidR="00000000" w:rsidRDefault="00000000">
            <w:pPr>
              <w:jc w:val="center"/>
              <w:rPr>
                <w:sz w:val="20"/>
              </w:rPr>
            </w:pPr>
            <w:r>
              <w:rPr>
                <w:sz w:val="20"/>
              </w:rPr>
              <w:t>2000</w:t>
            </w:r>
          </w:p>
          <w:p w:rsidR="00000000" w:rsidRDefault="00000000">
            <w:pPr>
              <w:jc w:val="center"/>
              <w:rPr>
                <w:sz w:val="20"/>
              </w:rPr>
            </w:pPr>
            <w:r>
              <w:rPr>
                <w:sz w:val="20"/>
              </w:rPr>
              <w:t>1999</w:t>
            </w:r>
          </w:p>
        </w:tc>
        <w:tc>
          <w:tcPr>
            <w:tcW w:w="1049" w:type="dxa"/>
            <w:vAlign w:val="center"/>
          </w:tcPr>
          <w:p w:rsidR="00000000" w:rsidRDefault="00000000">
            <w:pPr>
              <w:jc w:val="center"/>
              <w:rPr>
                <w:sz w:val="20"/>
              </w:rPr>
            </w:pPr>
            <w:r>
              <w:rPr>
                <w:sz w:val="20"/>
              </w:rPr>
              <w:t>2001</w:t>
            </w:r>
          </w:p>
          <w:p w:rsidR="00000000" w:rsidRDefault="00000000">
            <w:pPr>
              <w:jc w:val="center"/>
              <w:rPr>
                <w:sz w:val="20"/>
              </w:rPr>
            </w:pPr>
            <w:r>
              <w:rPr>
                <w:sz w:val="20"/>
              </w:rPr>
              <w:t>2000</w:t>
            </w:r>
          </w:p>
        </w:tc>
        <w:tc>
          <w:tcPr>
            <w:tcW w:w="1120" w:type="dxa"/>
            <w:vAlign w:val="center"/>
          </w:tcPr>
          <w:p w:rsidR="00000000" w:rsidRDefault="00000000">
            <w:pPr>
              <w:jc w:val="center"/>
              <w:rPr>
                <w:sz w:val="20"/>
              </w:rPr>
            </w:pPr>
            <w:r>
              <w:rPr>
                <w:sz w:val="20"/>
              </w:rPr>
              <w:t>2002</w:t>
            </w:r>
          </w:p>
          <w:p w:rsidR="00000000" w:rsidRDefault="00000000">
            <w:pPr>
              <w:jc w:val="center"/>
              <w:rPr>
                <w:sz w:val="20"/>
              </w:rPr>
            </w:pPr>
            <w:r>
              <w:rPr>
                <w:sz w:val="20"/>
              </w:rPr>
              <w:t>2001</w:t>
            </w:r>
          </w:p>
        </w:tc>
        <w:tc>
          <w:tcPr>
            <w:tcW w:w="1036" w:type="dxa"/>
            <w:vAlign w:val="center"/>
          </w:tcPr>
          <w:p w:rsidR="00000000" w:rsidRDefault="00000000">
            <w:pPr>
              <w:jc w:val="center"/>
              <w:rPr>
                <w:sz w:val="20"/>
              </w:rPr>
            </w:pPr>
            <w:r>
              <w:rPr>
                <w:sz w:val="20"/>
              </w:rPr>
              <w:t>2003</w:t>
            </w:r>
          </w:p>
          <w:p w:rsidR="00000000" w:rsidRDefault="00000000">
            <w:pPr>
              <w:jc w:val="center"/>
              <w:rPr>
                <w:sz w:val="20"/>
              </w:rPr>
            </w:pPr>
            <w:r>
              <w:rPr>
                <w:sz w:val="20"/>
              </w:rPr>
              <w:t>2002</w:t>
            </w:r>
          </w:p>
        </w:tc>
        <w:tc>
          <w:tcPr>
            <w:tcW w:w="1054" w:type="dxa"/>
            <w:vAlign w:val="center"/>
          </w:tcPr>
          <w:p w:rsidR="00000000" w:rsidRDefault="00000000">
            <w:pPr>
              <w:jc w:val="center"/>
              <w:rPr>
                <w:sz w:val="20"/>
              </w:rPr>
            </w:pPr>
            <w:r>
              <w:rPr>
                <w:sz w:val="20"/>
              </w:rPr>
              <w:t>2004</w:t>
            </w:r>
          </w:p>
          <w:p w:rsidR="00000000" w:rsidRDefault="00000000">
            <w:pPr>
              <w:jc w:val="center"/>
              <w:rPr>
                <w:sz w:val="20"/>
              </w:rPr>
            </w:pPr>
            <w:r>
              <w:rPr>
                <w:sz w:val="20"/>
              </w:rPr>
              <w:t>2003</w:t>
            </w:r>
          </w:p>
        </w:tc>
      </w:tr>
      <w:tr w:rsidR="00000000">
        <w:trPr>
          <w:cantSplit/>
        </w:trPr>
        <w:tc>
          <w:tcPr>
            <w:tcW w:w="1890" w:type="dxa"/>
            <w:vMerge/>
            <w:vAlign w:val="center"/>
          </w:tcPr>
          <w:p w:rsidR="00000000" w:rsidRDefault="00000000">
            <w:pPr>
              <w:rPr>
                <w:sz w:val="20"/>
              </w:rPr>
            </w:pPr>
          </w:p>
        </w:tc>
        <w:tc>
          <w:tcPr>
            <w:tcW w:w="1064" w:type="dxa"/>
            <w:vAlign w:val="center"/>
          </w:tcPr>
          <w:p w:rsidR="00000000" w:rsidRDefault="00000000">
            <w:pPr>
              <w:jc w:val="center"/>
              <w:rPr>
                <w:sz w:val="20"/>
              </w:rPr>
            </w:pPr>
            <w:r>
              <w:rPr>
                <w:sz w:val="20"/>
              </w:rPr>
              <w:t>-0,1</w:t>
            </w:r>
          </w:p>
        </w:tc>
        <w:tc>
          <w:tcPr>
            <w:tcW w:w="1092" w:type="dxa"/>
            <w:vAlign w:val="center"/>
          </w:tcPr>
          <w:p w:rsidR="00000000" w:rsidRDefault="00000000">
            <w:pPr>
              <w:jc w:val="center"/>
              <w:rPr>
                <w:sz w:val="20"/>
              </w:rPr>
            </w:pPr>
            <w:r>
              <w:rPr>
                <w:sz w:val="20"/>
              </w:rPr>
              <w:t>-0,7</w:t>
            </w:r>
          </w:p>
        </w:tc>
        <w:tc>
          <w:tcPr>
            <w:tcW w:w="1106" w:type="dxa"/>
            <w:vAlign w:val="center"/>
          </w:tcPr>
          <w:p w:rsidR="00000000" w:rsidRDefault="00000000">
            <w:pPr>
              <w:jc w:val="center"/>
              <w:rPr>
                <w:sz w:val="20"/>
              </w:rPr>
            </w:pPr>
            <w:r>
              <w:rPr>
                <w:sz w:val="20"/>
              </w:rPr>
              <w:t>5,8</w:t>
            </w:r>
          </w:p>
        </w:tc>
        <w:tc>
          <w:tcPr>
            <w:tcW w:w="1049" w:type="dxa"/>
            <w:vAlign w:val="center"/>
          </w:tcPr>
          <w:p w:rsidR="00000000" w:rsidRDefault="00000000">
            <w:pPr>
              <w:jc w:val="center"/>
              <w:rPr>
                <w:sz w:val="20"/>
              </w:rPr>
            </w:pPr>
            <w:r>
              <w:rPr>
                <w:sz w:val="20"/>
              </w:rPr>
              <w:t>5,5</w:t>
            </w:r>
          </w:p>
        </w:tc>
        <w:tc>
          <w:tcPr>
            <w:tcW w:w="1120" w:type="dxa"/>
            <w:vAlign w:val="center"/>
          </w:tcPr>
          <w:p w:rsidR="00000000" w:rsidRDefault="00000000">
            <w:pPr>
              <w:jc w:val="center"/>
              <w:rPr>
                <w:sz w:val="20"/>
              </w:rPr>
            </w:pPr>
            <w:r>
              <w:rPr>
                <w:sz w:val="20"/>
              </w:rPr>
              <w:t>1,8</w:t>
            </w:r>
          </w:p>
        </w:tc>
        <w:tc>
          <w:tcPr>
            <w:tcW w:w="1036" w:type="dxa"/>
            <w:vAlign w:val="center"/>
          </w:tcPr>
          <w:p w:rsidR="00000000" w:rsidRDefault="00000000">
            <w:pPr>
              <w:jc w:val="center"/>
              <w:rPr>
                <w:sz w:val="20"/>
              </w:rPr>
            </w:pPr>
            <w:r>
              <w:rPr>
                <w:sz w:val="20"/>
              </w:rPr>
              <w:t>1,2</w:t>
            </w:r>
          </w:p>
        </w:tc>
        <w:tc>
          <w:tcPr>
            <w:tcW w:w="1054" w:type="dxa"/>
            <w:vAlign w:val="center"/>
          </w:tcPr>
          <w:p w:rsidR="00000000" w:rsidRDefault="00000000">
            <w:pPr>
              <w:jc w:val="center"/>
              <w:rPr>
                <w:sz w:val="20"/>
              </w:rPr>
            </w:pPr>
            <w:r>
              <w:rPr>
                <w:sz w:val="20"/>
              </w:rPr>
              <w:t>-0,4%</w:t>
            </w:r>
          </w:p>
        </w:tc>
      </w:tr>
    </w:tbl>
    <w:p w:rsidR="00000000" w:rsidRDefault="00000000"/>
    <w:p w:rsidR="00000000" w:rsidRDefault="00000000"/>
    <w:p w:rsidR="00000000" w:rsidRDefault="00000000">
      <w:r>
        <w:t>187.</w:t>
      </w:r>
      <w:r>
        <w:tab/>
        <w:t xml:space="preserve">В 2004 году динамика индекса стоимости жизни различалась по группам потребительских товаров.  Рост отмечался в следующих группах:  бытовые товары - 4,2%, автотранспортные средства и услуги - </w:t>
      </w:r>
      <w:proofErr w:type="spellStart"/>
      <w:r>
        <w:t>4,0%</w:t>
      </w:r>
      <w:proofErr w:type="spellEnd"/>
      <w:r>
        <w:t xml:space="preserve">, отопление и свет - 3,0%, культурные мероприятия и досуг - 1,3%, табачные изделия и напитки - 1,1%, одежда и обувь - 0,9%, средства гигиены и медицинские услуги - </w:t>
      </w:r>
      <w:proofErr w:type="spellStart"/>
      <w:r>
        <w:t>0,4%</w:t>
      </w:r>
      <w:proofErr w:type="spellEnd"/>
      <w:r>
        <w:t>.</w:t>
      </w:r>
    </w:p>
    <w:p w:rsidR="00000000" w:rsidRDefault="00000000"/>
    <w:p w:rsidR="00000000" w:rsidRDefault="00000000">
      <w:r>
        <w:t>188.</w:t>
      </w:r>
      <w:r>
        <w:tab/>
        <w:t>По группе продовольственных товаров индекс понизился на 3,1% , а в жилищно-коммунальном секторе (квартирная плата, водопровод и коммунальные услуги) - 0,3%.</w:t>
      </w:r>
    </w:p>
    <w:p w:rsidR="00000000" w:rsidRDefault="00000000"/>
    <w:p w:rsidR="00000000" w:rsidRDefault="00000000">
      <w:r>
        <w:t>189.</w:t>
      </w:r>
      <w:r>
        <w:tab/>
        <w:t xml:space="preserve">В декабре 2004 года стоимость потребительской корзины продовольственных товаров и напитков на семью из четырех человек, рассчитанная на основе розничных цен, составила 9 845 </w:t>
      </w:r>
      <w:proofErr w:type="spellStart"/>
      <w:r>
        <w:t>денаров</w:t>
      </w:r>
      <w:proofErr w:type="spellEnd"/>
      <w:r>
        <w:t>, что на 0,4% ниже, чем в предыдущем месяце.</w:t>
      </w:r>
    </w:p>
    <w:p w:rsidR="00000000" w:rsidRDefault="00000000"/>
    <w:p w:rsidR="00000000" w:rsidRDefault="00000000">
      <w:r>
        <w:t>190.</w:t>
      </w:r>
      <w:r>
        <w:tab/>
        <w:t>В случаях и в условиях, предусмотренных Законом о трудовых отношениях (сокращенный рабочий день), работодатель может вводить сокращенную рабочую неделю по сравнению с нормальной рабочей неделей в 40 часов.</w:t>
      </w:r>
    </w:p>
    <w:p w:rsidR="00000000" w:rsidRDefault="00000000"/>
    <w:p w:rsidR="00000000" w:rsidRDefault="00000000">
      <w:r>
        <w:t>191.</w:t>
      </w:r>
      <w:r>
        <w:tab/>
        <w:t>Работодатель может вводить рабочую неделю продолжительностью менее 40 часов в случае посменной работы, но при этом рабочая неделя сменных рабочих не может быть короче 32 часов.</w:t>
      </w:r>
    </w:p>
    <w:p w:rsidR="00000000" w:rsidRDefault="00000000"/>
    <w:p w:rsidR="00000000" w:rsidRDefault="00000000">
      <w:r>
        <w:t>192.</w:t>
      </w:r>
      <w:r>
        <w:tab/>
        <w:t>Согласно статье 37 Закона о трудовых отношениях, в том случае если работник занят на особо тяжелых и опасных для здоровья работах и такие вредные условия не могут быть полностью устранены с помощью мер защиты, то в соответствии с коллективным договором продолжительность рабочей недели может быть сокращена соразмерно степени опасности трудовых операций, но до уровня не менее 30 часов.  При этом рабочий день, о котором говорится в первом пункте этой статьи, считается полным рабочим днем.</w:t>
      </w:r>
    </w:p>
    <w:p w:rsidR="00000000" w:rsidRDefault="00000000"/>
    <w:p w:rsidR="00000000" w:rsidRDefault="00000000">
      <w:r>
        <w:t>193.</w:t>
      </w:r>
      <w:r>
        <w:tab/>
        <w:t>К категории особо тяжелых, трудных и опасных для здоровья относятся следующие виды работ:  исключительно тяжелый физический труд;  работа в условиях повышенного атмосферного давления или интенсивного шума;  работа в воде или при повышенной влажности;  работа в условиях ионизирующей радиации;  работа с инфекционными больными или зараженными материалами;  хирургические операции;  работа психиатра;  работа с тяжелыми психическими больными;  занятия судебной медициной и паталогоанатомией;  работа с вредными химическими веществами;  работа в авиации;  занятие балетом;  игра на духовых музыкальных инструментах;  исполнение народных танцев и оперное пение.</w:t>
      </w:r>
    </w:p>
    <w:p w:rsidR="00000000" w:rsidRDefault="00000000"/>
    <w:p w:rsidR="00000000" w:rsidRDefault="00000000">
      <w:r>
        <w:t>194.</w:t>
      </w:r>
      <w:r>
        <w:tab/>
        <w:t>Санкцию на сокращенный рабочий день при занятии профессиями, о которых говорится в третьем пункте этой статьи, дает государственный орган, ведающий вопросами труда, на основании заключения на этот счет учреждения, отвечающего за вопросы гигиены труда, и Трудовой инспекции.</w:t>
      </w:r>
    </w:p>
    <w:p w:rsidR="00000000" w:rsidRDefault="00000000"/>
    <w:p w:rsidR="00000000" w:rsidRDefault="00000000">
      <w:r>
        <w:t>195.</w:t>
      </w:r>
      <w:r>
        <w:tab/>
        <w:t>Работникам указанных выше профессий не разрешается работать сверх установленного сокращенного рабочего дня.</w:t>
      </w:r>
    </w:p>
    <w:p w:rsidR="00000000" w:rsidRDefault="00000000"/>
    <w:p w:rsidR="00000000" w:rsidRDefault="00000000">
      <w:r>
        <w:t>196.</w:t>
      </w:r>
      <w:r>
        <w:tab/>
        <w:t>Работодатель может устанавливать сокращенный рабочий день для выполнения повседневных функций в меньшем объеме или когда это требуется в силу характера выполняемой работы.</w:t>
      </w:r>
    </w:p>
    <w:p w:rsidR="00000000" w:rsidRDefault="00000000"/>
    <w:p w:rsidR="00000000" w:rsidRDefault="00000000">
      <w:r>
        <w:t>197.</w:t>
      </w:r>
      <w:r>
        <w:tab/>
        <w:t>Работник, нанимаемый для выполнения той или иной трудовой операции по сокращенному графику, может работать на нескольких работодателей, тем самым нарабатывая полную рабочую неделю.</w:t>
      </w:r>
    </w:p>
    <w:p w:rsidR="00000000" w:rsidRDefault="00000000"/>
    <w:p w:rsidR="00000000" w:rsidRDefault="00000000">
      <w:r>
        <w:t>198.</w:t>
      </w:r>
      <w:r>
        <w:tab/>
        <w:t>В соответствии со статьей 60 Закона о трудовых отношениях на работодателе лежит обязанность обеспечивать необходимую технику безопасности на рабочем месте в соответствии с этим Законом либо другим законом или коллективным договором.</w:t>
      </w:r>
    </w:p>
    <w:p w:rsidR="00000000" w:rsidRDefault="00000000"/>
    <w:p w:rsidR="00000000" w:rsidRDefault="00000000">
      <w:r>
        <w:t>199.</w:t>
      </w:r>
      <w:r>
        <w:tab/>
        <w:t>Работникам обеспечивается охрана труда на производстве в соответствии с предписанными мерами и нормами техники безопасности, и они обязаны соблюдать эти меры и работать с должной осмотрительностью в целях защиты своей жизни, а также жизни и здоровья других работников и граждан.</w:t>
      </w:r>
    </w:p>
    <w:p w:rsidR="00000000" w:rsidRDefault="00000000"/>
    <w:p w:rsidR="00000000" w:rsidRDefault="00000000">
      <w:r>
        <w:t>200.</w:t>
      </w:r>
      <w:r>
        <w:tab/>
        <w:t>Работодатели обязаны информировать работников о всех опасностях, с которыми связано производство, об их правах и обязанностях в связи с охраной труда и об условиях труда.</w:t>
      </w:r>
    </w:p>
    <w:p w:rsidR="00000000" w:rsidRDefault="00000000"/>
    <w:p w:rsidR="00000000" w:rsidRDefault="00000000">
      <w:r>
        <w:t>201.</w:t>
      </w:r>
      <w:r>
        <w:tab/>
        <w:t>В Законе о трудовых отношениях оговариваются особые меры защиты в отношении женщин, молодежи и работников-инвалидов.</w:t>
      </w:r>
    </w:p>
    <w:p w:rsidR="00000000" w:rsidRDefault="00000000"/>
    <w:p w:rsidR="00000000" w:rsidRDefault="00000000">
      <w:r>
        <w:t>202.</w:t>
      </w:r>
      <w:r>
        <w:tab/>
        <w:t>Работницы имеют право на девятимесячный непрерывный отпуск по беременности, родам и уходу за новорожденным и годичный отпуск после многоплодных родов.</w:t>
      </w:r>
    </w:p>
    <w:p w:rsidR="00000000" w:rsidRDefault="00000000"/>
    <w:p w:rsidR="00000000" w:rsidRDefault="00000000">
      <w:r>
        <w:t>203.</w:t>
      </w:r>
      <w:r>
        <w:tab/>
        <w:t>Работницы, усыновившие/удочерившие ребенка, пользуются такими же правами.  При нахождении в отпуске по уходу за ребенком, они имеют право на компенсацию заработной платы в соответствии с нормами здравоохранения.</w:t>
      </w:r>
    </w:p>
    <w:p w:rsidR="00000000" w:rsidRDefault="00000000"/>
    <w:p w:rsidR="00000000" w:rsidRDefault="00000000">
      <w:r>
        <w:t>204.</w:t>
      </w:r>
      <w:r>
        <w:tab/>
        <w:t>Отец ребенка может пользоваться теми же правами в случае смерти матери, а также в том случае, если мать оставила ребенка или если по обоснованной причине мать не может воспользоваться этим правом.</w:t>
      </w:r>
    </w:p>
    <w:p w:rsidR="00000000" w:rsidRDefault="00000000"/>
    <w:p w:rsidR="00000000" w:rsidRDefault="00000000">
      <w:r>
        <w:t>205.</w:t>
      </w:r>
      <w:r>
        <w:tab/>
        <w:t>Работницы, ожидающие ребенка или имеющие ребенка в возрасте двух лет и младше, не могут работать сверх установленного полного рабочего дня и в ночное время, тогда как родители-одиночки, воспитывающие ребенка в возрасте до семи лет или имеющие на иждивении лицо с тяжелой инвалидностью, не могут привлекаться к работе сверх установленного полного рабочего дня или в ночное время, иначе как с их письменного согласия.</w:t>
      </w:r>
    </w:p>
    <w:p w:rsidR="00000000" w:rsidRDefault="00000000"/>
    <w:p w:rsidR="00000000" w:rsidRDefault="00000000">
      <w:r>
        <w:t>206.</w:t>
      </w:r>
      <w:r>
        <w:tab/>
        <w:t>В том случае, если оба родителя ребенка с тяжелой инвалидностью работают, один из родителей вправе иметь половинный рабочий день.  Работники, являющиеся родителями ребенка с тяжелой инвалидностью, вправе иметь сокращенный рабочий день по рекомендации компетентного медицинского совета, в том случае если ребенок не помещен в социально-медицинское учреждение.</w:t>
      </w:r>
    </w:p>
    <w:p w:rsidR="00000000" w:rsidRDefault="00000000"/>
    <w:p w:rsidR="00000000" w:rsidRDefault="00000000">
      <w:r>
        <w:t>207.</w:t>
      </w:r>
      <w:r>
        <w:tab/>
        <w:t>Работники в возрасте до 18 лет и работники-женщины не могут выполнять трудовые операции, которые в основном требуют тяжелого физического труда, работать под землей или под водой, а также быть заняты на опасных и вредных работах, как это определено в коллективном договоре.</w:t>
      </w:r>
    </w:p>
    <w:p w:rsidR="00000000" w:rsidRDefault="00000000"/>
    <w:p w:rsidR="00000000" w:rsidRDefault="00000000">
      <w:r>
        <w:t>208.</w:t>
      </w:r>
      <w:r>
        <w:tab/>
        <w:t>Работники в возрасте до 18 лет имеют право на ежегодный отпуск на основаниях и в соответствии с нормами, определяющими продолжительность ежегодного отпуска для других работников, плюс на дополнительный отпуск продолжительностью семь рабочих дней.</w:t>
      </w:r>
    </w:p>
    <w:p w:rsidR="00000000" w:rsidRDefault="00000000"/>
    <w:p w:rsidR="00000000" w:rsidRDefault="00000000">
      <w:r>
        <w:t>209.</w:t>
      </w:r>
      <w:r>
        <w:tab/>
        <w:t>Работницы, занятые в промышленности и строительстве, не могут работать в ночную смену, если такая работа не дает им возможности иметь отдых продолжительностью не менее семи часов в период с 10 часов вечера до 5 часов утра следующего дня.  Такое положение не распространяется на работниц, наделенных особыми полномочиями или ответственностью, или женщин, занятых в сфере здравоохранения, социальной и иной защиты работников.</w:t>
      </w:r>
    </w:p>
    <w:p w:rsidR="00000000" w:rsidRDefault="00000000"/>
    <w:p w:rsidR="00000000" w:rsidRDefault="00000000">
      <w:r>
        <w:t>210.</w:t>
      </w:r>
      <w:r>
        <w:tab/>
        <w:t>Работницы могут направляться в ночную смену, когда это необходимо для обеспечения непрерывного производственного процесса в силу чрезвычайных обстоятельств или для предотвращения порчи сырья или других веществ.  Кроме того, работницы могут направляться в ночную смену, когда это необходимо в силу особых экономических, социальных и аналогичных обстоятельств, при условии что работодателям дана санкция на такую работу со стороны органа государственного управления, ведающего вопросами труда.</w:t>
      </w:r>
    </w:p>
    <w:p w:rsidR="00000000" w:rsidRDefault="00000000"/>
    <w:p w:rsidR="00000000" w:rsidRDefault="00000000">
      <w:r>
        <w:t>211.</w:t>
      </w:r>
      <w:r>
        <w:tab/>
        <w:t>Работники в возрасте до 18 лет не могут работать больше 40-часовой рабочей недели и в ночное время в период между 10 часами вечера и 6 часами утра следующего дня, если только это не является необходимым в силу общественных интересов или наличия особо сложных обстоятельств, при условии получения санкции органа государственного управления, ведающего вопросами труда.</w:t>
      </w:r>
    </w:p>
    <w:p w:rsidR="00000000" w:rsidRDefault="00000000"/>
    <w:p w:rsidR="00000000" w:rsidRDefault="00000000">
      <w:r>
        <w:t>212.</w:t>
      </w:r>
      <w:r>
        <w:tab/>
        <w:t>В соответствии со статьей 74 Закона для инвалидов может устанавливаться сокращенная продолжительность рабочего времени, они могут переводиться на другие рабочие места, проходить переподготовку и получать более высокую квалификацию;  инвалиды обладают правом на получение надлежащей финансовой компенсации в связи с использованием такого права согласно надлежащим положениям Закона о пенсиях и страховании инвалидности.</w:t>
      </w:r>
    </w:p>
    <w:p w:rsidR="00000000" w:rsidRDefault="00000000"/>
    <w:p w:rsidR="00000000" w:rsidRDefault="00000000">
      <w:r>
        <w:t>213.</w:t>
      </w:r>
      <w:r>
        <w:tab/>
        <w:t xml:space="preserve">Работники с ограниченной работоспособностью и работники, которые выполняют трудовые операции, чреватые потерей трудоспособности, имеют право требовать перевода на другие участки.  В этих случаях работодатель обязан предоставить им работу, которую они способны выполнять, на условиях и в форме, определенных в коллективном договоре.  </w:t>
      </w:r>
    </w:p>
    <w:p w:rsidR="00000000" w:rsidRDefault="00000000"/>
    <w:p w:rsidR="00000000" w:rsidRDefault="00000000">
      <w:r>
        <w:t>214.</w:t>
      </w:r>
      <w:r>
        <w:tab/>
        <w:t>Равенство в правах между мужчинами и женщинами вытекает из конституционных положений, содержащихся в статье 9 о равенстве граждан, в которой пол фигурирует среди оснований при запрете дискриминации.</w:t>
      </w:r>
    </w:p>
    <w:p w:rsidR="00000000" w:rsidRDefault="00000000"/>
    <w:p w:rsidR="00000000" w:rsidRDefault="00000000">
      <w:r>
        <w:t>215.</w:t>
      </w:r>
      <w:r>
        <w:tab/>
        <w:t>Соответственно, все экономические, культурные и социальные права (социальная защита и социальное страхование) в равной степени признаются и осуществляются на равных условиях как для мужчин, так и женщин в соответствии с законодательством и коллективным договором.</w:t>
      </w:r>
    </w:p>
    <w:p w:rsidR="00000000" w:rsidRDefault="00000000"/>
    <w:p w:rsidR="00000000" w:rsidRDefault="00000000">
      <w:pPr>
        <w:keepNext/>
        <w:jc w:val="center"/>
        <w:rPr>
          <w:b/>
          <w:bCs/>
        </w:rPr>
      </w:pPr>
      <w:r>
        <w:rPr>
          <w:b/>
          <w:bCs/>
        </w:rPr>
        <w:t>Статья 8 Пакта</w:t>
      </w:r>
    </w:p>
    <w:p w:rsidR="00000000" w:rsidRDefault="00000000">
      <w:pPr>
        <w:keepNext/>
        <w:jc w:val="center"/>
        <w:rPr>
          <w:b/>
          <w:bCs/>
        </w:rPr>
      </w:pPr>
    </w:p>
    <w:p w:rsidR="00000000" w:rsidRDefault="00000000">
      <w:r>
        <w:t>216.</w:t>
      </w:r>
      <w:r>
        <w:tab/>
        <w:t>В соответствии со статьей 20 Конституции гражданам гарантируется свобода объединений в целях осуществления и защиты их политических, экономических, культурных и других прав и убеждений.</w:t>
      </w:r>
    </w:p>
    <w:p w:rsidR="00000000" w:rsidRDefault="00000000"/>
    <w:p w:rsidR="00000000" w:rsidRDefault="00000000">
      <w:r>
        <w:t>217.</w:t>
      </w:r>
      <w:r>
        <w:tab/>
        <w:t>Пользование профсоюзными правами и свободами в первую очередь регулируется правовой системой и коллективными договорами.</w:t>
      </w:r>
    </w:p>
    <w:p w:rsidR="00000000" w:rsidRDefault="00000000"/>
    <w:p w:rsidR="00000000" w:rsidRDefault="00000000">
      <w:r>
        <w:t>218.</w:t>
      </w:r>
      <w:r>
        <w:tab/>
        <w:t xml:space="preserve">В частности, нет никаких запретов на организацию и деятельность профессиональных союзов.  Конкретно эта сфера регулируется надлежащими коллективными договорами на национальном уровне, в отраслевых коллективных соглашениях и коллективных договорах на уровне компаний.  </w:t>
      </w:r>
    </w:p>
    <w:p w:rsidR="00000000" w:rsidRDefault="00000000"/>
    <w:p w:rsidR="00000000" w:rsidRDefault="00000000">
      <w:r>
        <w:t>219.</w:t>
      </w:r>
      <w:r>
        <w:tab/>
        <w:t>Закон о трудовых отношениях, содержащий отдельную главу "Профсоюзы и работодатели", имеет особое значение для дальнейшей реализации на практике конституционных положений статьи 37 о создании профессиональных союзов.  Положения, содержащиеся в указанной главе, регулируют ряд вопросов, влияющих на организацию профсоюзов, таких, как свобода учреждения профсоюзов, защита деятельности профсоюзных организаций и представителей профсоюзов и обязанности работодателей в отношении профсоюзов.</w:t>
      </w:r>
    </w:p>
    <w:p w:rsidR="00000000" w:rsidRDefault="00000000"/>
    <w:p w:rsidR="00000000" w:rsidRDefault="00000000">
      <w:r>
        <w:t>220.</w:t>
      </w:r>
      <w:r>
        <w:tab/>
        <w:t>Свобода учреждения профсоюзов дает работникам право создавать профсоюзы, свободно вступать в них и прекращать свое членство.  Членство в профсоюзах является добровольным.  Согласно законодательству страны, членство в профсоюзе необязательно для наемного работника и не является условием для соблюдения каких-либо прав, связанных с трудоустройством.  Работники вправе без предварительного согласования создавать свои организации и вступать в ряды их членов по своему выбору.  Право учреждения профсоюзов осуществляется в форме самоорганизации в соответствии с гарантированным Конституцией правом граждан на учреждение профсоюзов.  Для создания нового профсоюза не требуется предварительного согласия государственного органа или уже существующего профсоюза.  Важное предварительное условие создания профсоюза заключается в том, что форма и условия учреждения профсоюза и условия членства в нем должны быть изложены в уставе.  Свобода учреждения профсоюзов гарантируется, кроме того, положениями, согласно которым организации не подлежат ликвидации административным запретом и их деятельность не может быть предметом административного запрета, если они учреждены и действуют в соответствии с законодательством и другими нормативными положениями и в соответствии с положениями, согласно которым деятельность профсоюза и его представителей не может ограничиваться постановлениями работодателей, если такая деятельность находится в соответствии с законом и коллективным договором.</w:t>
      </w:r>
    </w:p>
    <w:p w:rsidR="00000000" w:rsidRDefault="00000000"/>
    <w:p w:rsidR="00000000" w:rsidRDefault="00000000">
      <w:r>
        <w:t>221.</w:t>
      </w:r>
      <w:r>
        <w:tab/>
        <w:t xml:space="preserve">Закон о трудовых отношениях гласит, что законной может считаться лишь такая профсоюзная деятельность работников, которая осуществляется через организации работников, имеющие устав, правила процедуры и программу.  </w:t>
      </w:r>
    </w:p>
    <w:p w:rsidR="00000000" w:rsidRDefault="00000000"/>
    <w:p w:rsidR="00000000" w:rsidRDefault="00000000">
      <w:r>
        <w:t>222.</w:t>
      </w:r>
      <w:r>
        <w:tab/>
        <w:t>Закон о трудовых отношениях оговаривает общие обязанности работодателя создавать условия для деятельности профсоюза с целью защиты прав работников.  Это общее правовое положение более подробно раскрывается в соответствующих положениях Общего коллективного соглашения для хозяйственных секторов бывшей югославской Республики Македонии и Общем коллективном соглашении для государственных служб, государственных предприятий, государственных учреждений, органов местного самоуправления и других юридических лиц, занимающихся неэкономической деятельностью.  Положения, содержащиеся в указанных двух коллективных соглашениях, в основном заимствованы из международных документов Международной организации труда, таких, как Конвенция (№ 135) о защите прав представителей работников на предприятии и предоставляемых им возможностях от 1971 года и Рекомендация  (№ 143) о защите прав представителей трудящихся на предприятии и предоставляемых им возможностях от 1971 года.</w:t>
      </w:r>
    </w:p>
    <w:p w:rsidR="00000000" w:rsidRDefault="00000000"/>
    <w:p w:rsidR="00000000" w:rsidRDefault="00000000">
      <w:r>
        <w:t>223.</w:t>
      </w:r>
      <w:r>
        <w:tab/>
        <w:t>Закон о трудовых отношениях предусматривает особую защиту представителя профсоюза.  Так, представитель профсоюза освобождается от ответственности и не может ставиться в неравное положение, что также включает увольнение из-за принадлежности к профсоюзу или участия в профсоюзной деятельности, направленной на защиту прав и интересов работников, если представитель действует в соответствии с законом и коллективным договором.  Представитель профсоюза пользуется такой защитой на всем протяжении своего мандата.  Помимо особой защиты, предусмотренной Законом о трудовых отношениях, общие коллективные соглашения предусматривают, что представитель профсоюзной организации не подлежит переводу на другую работу у того же или иного работодателя;  не может быть внесен в списки по сокращению штатов или переведен на другую работу на тех же основаниях и не может подлежать процедуре увольнения по причине участия в профсоюзной деятельности, направленной на защиту прав и интересов работников.  В соответствии с положениями общих коллективных соглашений представители профсоюзов освобождаются от выполнения трудовых обязанностей для участия в учебных мероприятиях, необходимых для эффективного выполнения обязанностей в рамках профсоюза.  Кроме того, член профсоюзной организации, избранный в руководящие органы профсоюза по завершении своего мандата имеет право вернуться на прежнее место работы на должность, соответствующую его квалификации.</w:t>
      </w:r>
    </w:p>
    <w:p w:rsidR="00000000" w:rsidRDefault="00000000"/>
    <w:p w:rsidR="00000000" w:rsidRDefault="00000000">
      <w:r>
        <w:t>224.</w:t>
      </w:r>
      <w:r>
        <w:tab/>
        <w:t>В статьи 37 Конституции закреплено право работников на учреждение профсоюзов и предусмотрена возможность правового ограничения условий осуществления права создания профсоюзных организаций в вооруженных силах бывшей югославской Республики Македонии, полиции и органах государственного управления, что пока не получило дальнейшего развития в соответствующих законах.</w:t>
      </w:r>
    </w:p>
    <w:p w:rsidR="00000000" w:rsidRDefault="00000000"/>
    <w:p w:rsidR="00000000" w:rsidRDefault="00000000">
      <w:pPr>
        <w:rPr>
          <w:b/>
          <w:bCs/>
        </w:rPr>
      </w:pPr>
      <w:r>
        <w:rPr>
          <w:b/>
          <w:bCs/>
        </w:rPr>
        <w:t>Право на забастовку</w:t>
      </w:r>
    </w:p>
    <w:p w:rsidR="00000000" w:rsidRDefault="00000000">
      <w:pPr>
        <w:rPr>
          <w:b/>
          <w:bCs/>
        </w:rPr>
      </w:pPr>
    </w:p>
    <w:p w:rsidR="00000000" w:rsidRDefault="00000000">
      <w:r>
        <w:t>225.</w:t>
      </w:r>
      <w:r>
        <w:tab/>
        <w:t>Право на забастовку носит конституционный характер.  Статья 38 Конституции гарантирует право на забастовку.  Конституция предусматривает, что закон может ограничивать условия осуществления этого права в вооруженных силах, полиции и в органах государственного управления.</w:t>
      </w:r>
    </w:p>
    <w:p w:rsidR="00000000" w:rsidRDefault="00000000"/>
    <w:p w:rsidR="00000000" w:rsidRDefault="00000000">
      <w:r>
        <w:t>226.</w:t>
      </w:r>
      <w:r>
        <w:tab/>
        <w:t>Статья 79 Закона о трудовых отношениях предусматривает, что работники обладают правом на забастовку в целях осуществления связанных с трудовой деятельностью экономических и социальных прав, которыми они пользуются согласно закону.  Эти права изложены в Законе о забастовках, где, в частности, определяются условия реализации права на забастовку в компаниях и органах государственного управления.</w:t>
      </w:r>
    </w:p>
    <w:p w:rsidR="00000000" w:rsidRDefault="00000000"/>
    <w:p w:rsidR="00000000" w:rsidRDefault="00000000">
      <w:r>
        <w:t>227.</w:t>
      </w:r>
      <w:r>
        <w:tab/>
        <w:t>На предприятиях государственного или особого оборонного значения право на забастовку может быть реализовано при соблюдении следующих условий:  поддержание производственного процесса на минимальном уровне, гарантирующем безопасность граждан и их имущества или обеспечивающем необходимые условия для жизнедеятельности и работы граждан или функционирования других предприятий;  и на уровне, который обеспечивает соблюдение международных обязательств.  Работники органов государственного управления пользуются своим правом на забастовку при условии, что забастовка не представляет значительной угрозы для выполнения своих функций соответствующим органом государственного управления.</w:t>
      </w:r>
    </w:p>
    <w:p w:rsidR="00000000" w:rsidRDefault="00000000">
      <w:r>
        <w:t>228.</w:t>
      </w:r>
      <w:r>
        <w:tab/>
        <w:t xml:space="preserve">Статья 90 Закона о судах регулирует право на забастовку в судебной системе и режим работы судов в условиях забастовки.  Так, в ходе забастовки суд выполняет функции, связанные с плановым судопроизводством и отправлением правосудия, а также судебным документооборотом в рамках предписанных законом сроков.  Судебные слушания, определенные законом как неотложные, т.е. мероприятия, которые в соответствии с законом и в силу своего характера носят неотложный характер, проводятся судами в обязательном порядке даже в ходе забастовки судебных чиновников.  К ним относятся расследования и судебные слушания по уголовным делам, слушания по делам обвиняемых, взятых под стражу, слушания, связанные с временными мерами, споры в связи с обнародованием поправок к опубликованной информации, полюбовное урегулирование споров и дела по исполнению решений в вопросах образования и защиты детей и выплаты алиментов, внесудебное урегулирование вопросов содержания лиц в медицинских учреждениях.  </w:t>
      </w:r>
    </w:p>
    <w:p w:rsidR="00000000" w:rsidRDefault="00000000"/>
    <w:p w:rsidR="00000000" w:rsidRDefault="00000000">
      <w:r>
        <w:t>229.</w:t>
      </w:r>
      <w:r>
        <w:tab/>
        <w:t>Согласно статье 70 Закона о внутренних делах, сотрудники министерства внутренних дел могут пользоваться своим правом на забастовку при условии, что забастовка не наносит значительного ущерба нормальному процессу исполнения обязанностей и задач министерства, как они изложены в Законе.</w:t>
      </w:r>
    </w:p>
    <w:p w:rsidR="00000000" w:rsidRDefault="00000000"/>
    <w:p w:rsidR="00000000" w:rsidRDefault="00000000">
      <w:r>
        <w:t>230.</w:t>
      </w:r>
      <w:r>
        <w:tab/>
        <w:t xml:space="preserve">В Законе о здравоохранении прописаны условия, при которых работники сферы здравоохранения могут пользоваться правом на забастовку.  Главным требованием в этом отношении является то, что забастовка не должна угрожать жизни и здоровью граждан, нуждающихся в медицинском уходе.  Для устранения вредных последствий, которые могут быть вызваны неоказанием медицинской помощи гражданам в ходе забастовки, руководящий орган медицинского учреждения обязан обеспечить оказание скорой медицинской помощи и минимальный уровень функционирования всех организационных подразделений медицинского учреждения.  </w:t>
      </w:r>
    </w:p>
    <w:p w:rsidR="00000000" w:rsidRDefault="00000000"/>
    <w:p w:rsidR="00000000" w:rsidRDefault="00000000">
      <w:r>
        <w:t>231.</w:t>
      </w:r>
      <w:r>
        <w:tab/>
        <w:t xml:space="preserve">Закон о забастовке предусматривает ряд гарантий прав работников на участие в забастовке при условии, что забастовка организуется в соответствии с законом.  Согласно закону организация забастовки или участие в ней при условиях, предусмотренных Законом о забастовке, не является нарушением трудовых обязательств;  эти факты не могут использоваться как основание для возбуждения дел и для привлечения работников к ответственности и являться основанием для увольнения.  Работник, участвующий в забастовке, реализует основополагающие права в сфере труда.  Общие коллективные соглашения предусматривают право на материальную компенсацию в ходе забастовки на уровне не ниже </w:t>
      </w:r>
      <w:proofErr w:type="spellStart"/>
      <w:r>
        <w:t>60%</w:t>
      </w:r>
      <w:proofErr w:type="spellEnd"/>
      <w:r>
        <w:t xml:space="preserve"> от минимальной заработной платы, определенной Коллективным соглашением, в том случае, если забастовка организуется и оправдывается причинами, установленными законом.  Согласно Закону о пенсиях и страховании инвалидности тот период времени, который застрахованное лицо потратило на участие в забастовке, организуемой согласно нормам проведения забастовок, засчитывается в стаж работника для начисления пенсии и страхования инвалидности.</w:t>
      </w:r>
    </w:p>
    <w:p w:rsidR="00000000" w:rsidRDefault="00000000"/>
    <w:p w:rsidR="00000000" w:rsidRDefault="00000000">
      <w:r>
        <w:t>232.</w:t>
      </w:r>
      <w:r>
        <w:tab/>
        <w:t>Гарантированное Конституцией право на забастовку также защищается в рамках уголовного права.  В статье 156 Уголовного кодекса Республики нарушение права на забастовку, состоящее в отказе в праве или ограничении права на забастовку путем применения силы или серьезной угрозы ее применения, квалифицируется как уголовно наказуемое деяние.  Закон предусматривает наказание за такие нарушения в форме денежного штрафа или лишения свободы сроком до одного года.</w:t>
      </w:r>
    </w:p>
    <w:p w:rsidR="00000000" w:rsidRDefault="00000000"/>
    <w:p w:rsidR="00000000" w:rsidRDefault="00000000">
      <w:r>
        <w:t>233.</w:t>
      </w:r>
      <w:r>
        <w:tab/>
        <w:t>По мнению Конфедерации свободных профсоюзов Македонии, осуществление права на забастовку наталкивается на ряд практических проблем, таких, как противодействие профсоюзным организациям со стороны работодателей;  принятие в некоторых учреждениях репрессивных мер против представителей профсоюзов, которые выступают в защиту прав наемных работников или против приватизации.</w:t>
      </w:r>
    </w:p>
    <w:p w:rsidR="00000000" w:rsidRDefault="00000000"/>
    <w:p w:rsidR="00000000" w:rsidRDefault="00000000">
      <w:r>
        <w:t>234.</w:t>
      </w:r>
      <w:r>
        <w:tab/>
        <w:t>Полного понимания одного из основополагающих профсоюзных прав - права на заключение коллективных договоров, в частности в качестве источника права, по</w:t>
      </w:r>
      <w:r>
        <w:noBreakHyphen/>
        <w:t>прежнему не достигнуто.  На практике некоторые варианты решений, предусматриваемых коллективными договорами, приостанавливаются или изменяются в законодательном порядке, а не в рамках процедуры, установленной коллективными договорами.</w:t>
      </w:r>
    </w:p>
    <w:p w:rsidR="00000000" w:rsidRDefault="00000000"/>
    <w:p w:rsidR="00000000" w:rsidRDefault="00000000">
      <w:r>
        <w:t>235.</w:t>
      </w:r>
      <w:r>
        <w:tab/>
        <w:t xml:space="preserve">Право на забастовку в стране гарантируется Конституцией в соответствии с международными конвенциями.  Бывшая югославская Республика Македония - одна из немногих стран, где право на забастовку гарантируется Конституцией.  </w:t>
      </w:r>
    </w:p>
    <w:p w:rsidR="00000000" w:rsidRDefault="00000000"/>
    <w:p w:rsidR="00000000" w:rsidRDefault="00000000">
      <w:r>
        <w:t>236.</w:t>
      </w:r>
      <w:r>
        <w:tab/>
        <w:t>Следует все же указать, что законы, принятые в отдельных секторах экономики, предусматривают возможность ограничения права на забастовку.  Одним из таких законов является Закон об энергетике, содержание которого Конфедерация свободных профсоюзов Македонии обжаловала в Конституционном суде.  Жалоба была принята в производство, и впоследствии одна из статей указанного Закона была упразднена.</w:t>
      </w:r>
    </w:p>
    <w:p w:rsidR="00000000" w:rsidRDefault="00000000"/>
    <w:p w:rsidR="00000000" w:rsidRDefault="00000000">
      <w:r>
        <w:t>237.</w:t>
      </w:r>
      <w:r>
        <w:tab/>
        <w:t>Конфедерация профсоюзов Македонии выступала против определенных положений о забастовке, и свои возражения она направила правительству как инициатору закона, заявив, что определенные положения ограничивают конституционное право на забастовку.  Представленные Конфедерацией возражения не были приняты в полном объеме.</w:t>
      </w:r>
    </w:p>
    <w:p w:rsidR="00000000" w:rsidRDefault="00000000">
      <w:r>
        <w:t>238.</w:t>
      </w:r>
      <w:r>
        <w:tab/>
        <w:t xml:space="preserve">Конфедерация профсоюзов Македонии считает, что положения статьи 4 относительно компенсации заработной платы как минимальной меры, с помощью которой все работники получают гарантию справедливого и равного вознаграждения, не реализованы в достаточно полном объеме. </w:t>
      </w:r>
    </w:p>
    <w:p w:rsidR="00000000" w:rsidRDefault="00000000"/>
    <w:p w:rsidR="00000000" w:rsidRDefault="00000000">
      <w:r>
        <w:t>239.</w:t>
      </w:r>
      <w:r>
        <w:tab/>
        <w:t>По мнению Конфедерации, причина заключается в том, что те разделы коллективных договоров, которые связаны с вопросами заработной платы, не могут быть применены, поскольку в течение ряда лет заработная плата устанавливалась в законодательном порядке, а также с учетом того факта, что минимальный уровень заработной платы в качестве минимума, гарантированного всем работникам, так и не установлен, вопреки обязательству, вытекающему из коллективных договоров.</w:t>
      </w:r>
    </w:p>
    <w:p w:rsidR="00000000" w:rsidRDefault="00000000"/>
    <w:p w:rsidR="00000000" w:rsidRDefault="00000000">
      <w:pPr>
        <w:jc w:val="center"/>
        <w:rPr>
          <w:b/>
          <w:bCs/>
        </w:rPr>
      </w:pPr>
      <w:r>
        <w:rPr>
          <w:b/>
          <w:bCs/>
        </w:rPr>
        <w:t>Статья 9 Пакта</w:t>
      </w:r>
    </w:p>
    <w:p w:rsidR="00000000" w:rsidRDefault="00000000">
      <w:pPr>
        <w:jc w:val="center"/>
        <w:rPr>
          <w:b/>
          <w:bCs/>
        </w:rPr>
      </w:pPr>
    </w:p>
    <w:p w:rsidR="00000000" w:rsidRDefault="00000000">
      <w:r>
        <w:t>240.</w:t>
      </w:r>
      <w:r>
        <w:tab/>
        <w:t>Социальная защита и социальное страхование гарантируются статьей 35 Конституции на основе принципа социальной справедливости.  Кроме того, эта статья гарантирует право на помощь немощным и нетрудоспособным гражданам, особую защиту инвалидам, а также создание для них условий с целью интеграции в жизнь общества.</w:t>
      </w:r>
    </w:p>
    <w:p w:rsidR="00000000" w:rsidRDefault="00000000"/>
    <w:p w:rsidR="00000000" w:rsidRDefault="00000000">
      <w:r>
        <w:t>241.</w:t>
      </w:r>
      <w:r>
        <w:tab/>
      </w:r>
      <w:r>
        <w:rPr>
          <w:b/>
          <w:bCs/>
        </w:rPr>
        <w:t>Закон о здравоохранении</w:t>
      </w:r>
      <w:r>
        <w:t xml:space="preserve"> ("Официальный вестник" бывшей югославской Республики Македонии № 17/1997) регламентирует право граждан на медицинскую помощь, взаимоотношения и права в области медицинского страхования, процедуру реализации права на здравоохранение, систему и организацию здравоохранения.  </w:t>
      </w:r>
    </w:p>
    <w:p w:rsidR="00000000" w:rsidRDefault="00000000"/>
    <w:p w:rsidR="00000000" w:rsidRDefault="00000000">
      <w:r>
        <w:t>242.</w:t>
      </w:r>
      <w:r>
        <w:tab/>
        <w:t xml:space="preserve">Согласно статье 3 этого Закона, каждый имеет право на охрану своего здоровья.  Введено обязательное медицинское страхование, основанное на принципе взаимности и солидарности в целях осуществления конкретных прав в случае заболевания или травмы и пользования другими правами, связанными со здравоохранением, которые прописаны в этом законе.  </w:t>
      </w:r>
    </w:p>
    <w:p w:rsidR="00000000" w:rsidRDefault="00000000"/>
    <w:p w:rsidR="00000000" w:rsidRDefault="00000000">
      <w:r>
        <w:t>243.</w:t>
      </w:r>
      <w:r>
        <w:tab/>
        <w:t xml:space="preserve">В отношении определенных прав на медицинскую помощь предусмотрено добровольное медицинское страхование.  </w:t>
      </w:r>
    </w:p>
    <w:p w:rsidR="00000000" w:rsidRDefault="00000000"/>
    <w:p w:rsidR="00000000" w:rsidRDefault="00000000">
      <w:r>
        <w:t>244.</w:t>
      </w:r>
      <w:r>
        <w:tab/>
        <w:t xml:space="preserve">Фонд медицинского страхования, действующий как составная часть министерства здравоохранения и обладающий статусом юридического лица, занимается осуществлением конкретных прав на охрану здоровья, как они прописаны в Конституции, а также удовлетворением заявленных потребностей и интересов общества в области прав на медицинский уход и медицинское страхование.  </w:t>
      </w:r>
    </w:p>
    <w:p w:rsidR="00000000" w:rsidRDefault="00000000"/>
    <w:p w:rsidR="00000000" w:rsidRDefault="00000000">
      <w:r>
        <w:t>245.</w:t>
      </w:r>
      <w:r>
        <w:tab/>
        <w:t>Согласно статье 11 Закона о здравоохранении, в рамках системы обязательного медицинского страхования граждане имеют право на первичную медицинскую помощь, которая охватывает:  медицинский осмотр, медицинскую помощь, помощь и процедуры со стороны врачей-специалистов в целях улучшения состояния здоровья, скорую медицинскую помощь, медицинский уход на дому;  медицинский уход во время беременности и родов;  проведение профилактических, терапевтических и восстановительных мероприятий;  предупреждение, лечение и реабилитацию заболеваний ротовой полости и зубов;  снабжение медикаментами, доступ к оборудованию, санитарно-медицинское просвещение, осмотр и диагностику заболеваний;  специализированные терапевтические и восстановительные процедуры;  протезы, ортопедические и иные приспособления, вспомогательные и медицинские устройства и ортодонтию;  диспансеризацию и определение состояния здоровья, лечение, восстановление, уход, госпитализацию и больничное питание.</w:t>
      </w:r>
    </w:p>
    <w:p w:rsidR="00000000" w:rsidRDefault="00000000"/>
    <w:p w:rsidR="00000000" w:rsidRDefault="00000000">
      <w:r>
        <w:t>246.</w:t>
      </w:r>
      <w:r>
        <w:tab/>
        <w:t xml:space="preserve">Права на первичную медицинскую помощь, согласно статье 11 этого Закона, гарантируются:  </w:t>
      </w:r>
    </w:p>
    <w:p w:rsidR="00000000" w:rsidRDefault="00000000"/>
    <w:p w:rsidR="00000000" w:rsidRDefault="00000000">
      <w:pPr>
        <w:numPr>
          <w:ilvl w:val="0"/>
          <w:numId w:val="6"/>
        </w:numPr>
      </w:pPr>
      <w:r>
        <w:t>работникам муниципальных и государственных органов управления, политических и общественных организаций, ассоциаций граждан и служащих вооруженных сил;</w:t>
      </w:r>
    </w:p>
    <w:p w:rsidR="00000000" w:rsidRDefault="00000000">
      <w:pPr>
        <w:tabs>
          <w:tab w:val="clear" w:pos="567"/>
          <w:tab w:val="clear" w:pos="1134"/>
          <w:tab w:val="left" w:pos="561"/>
        </w:tabs>
      </w:pPr>
    </w:p>
    <w:p w:rsidR="00000000" w:rsidRDefault="00000000">
      <w:pPr>
        <w:numPr>
          <w:ilvl w:val="0"/>
          <w:numId w:val="6"/>
        </w:numPr>
      </w:pPr>
      <w:r>
        <w:t>работникам, занятым у работодателей, которые выполняют зарегистрированные функции самостоятельно или независимо с использованием активов, принадлежащих гражданам, и тем, кто работает на частных физических и юридических лиц (служащие частных компаний и самозанятые лица);</w:t>
      </w:r>
    </w:p>
    <w:p w:rsidR="00000000" w:rsidRDefault="00000000">
      <w:pPr>
        <w:tabs>
          <w:tab w:val="clear" w:pos="567"/>
          <w:tab w:val="clear" w:pos="1134"/>
          <w:tab w:val="left" w:pos="561"/>
        </w:tabs>
      </w:pPr>
    </w:p>
    <w:p w:rsidR="00000000" w:rsidRDefault="00000000">
      <w:pPr>
        <w:numPr>
          <w:ilvl w:val="0"/>
          <w:numId w:val="6"/>
        </w:numPr>
      </w:pPr>
      <w:r>
        <w:t xml:space="preserve">гражданам бывшей югославской Республики Македонии, работающим на иностранных работодателей, или служащим международных миссий и организаций, консульств или лицам, оказывающим личные услуги иностранным гражданам на территории бывшей Югославской Республики Македонии;  </w:t>
      </w:r>
    </w:p>
    <w:p w:rsidR="00000000" w:rsidRDefault="00000000">
      <w:pPr>
        <w:tabs>
          <w:tab w:val="clear" w:pos="567"/>
          <w:tab w:val="clear" w:pos="1134"/>
          <w:tab w:val="left" w:pos="561"/>
        </w:tabs>
      </w:pPr>
    </w:p>
    <w:p w:rsidR="00000000" w:rsidRDefault="00000000">
      <w:pPr>
        <w:numPr>
          <w:ilvl w:val="0"/>
          <w:numId w:val="6"/>
        </w:numPr>
      </w:pPr>
      <w:r>
        <w:t>гражданам, занятым в качестве основной деятельности в сельском хозяйстве, хозяйственных секторах, птицеводстве, пчеловодстве или рыбоводстве.</w:t>
      </w:r>
    </w:p>
    <w:p w:rsidR="00000000" w:rsidRDefault="00000000">
      <w:pPr>
        <w:tabs>
          <w:tab w:val="clear" w:pos="567"/>
          <w:tab w:val="clear" w:pos="1134"/>
          <w:tab w:val="left" w:pos="561"/>
        </w:tabs>
      </w:pPr>
    </w:p>
    <w:p w:rsidR="00000000" w:rsidRDefault="00000000">
      <w:r>
        <w:t>247.</w:t>
      </w:r>
      <w:r>
        <w:tab/>
        <w:t>Кроме того, самозанятые лица;  члены соответствующих спортивных организаций;  пенсионеры;  временно безработные лица;  учащиеся школ или студенты университетов;  лица, проходящие профессиональную подготовку;  участники народно-освободительной борьбы (ветераны второй мировой войны);  инвалиды войны;  гражданские инвалиды;  получатели минимальной социальной помощи;  граждане бывшей югославской Республики Македонии, работающие за рубежом;  иностранные граждане и лица без гражданства, которые работают в компаниях, действующих на территории страны; иностранные граждане, получающие образование или профессиональную подготовку в стране;  лица, отбывающие тюремное наказание;  лица, находящиеся под стражей;  и лица, не застрахованные по любой другой причине, и несовершеннолетние, отбывающие воспитательный срок;  и члены семьи застрахованного лица в период прохождения им обязательной военной службы, когда они получают материальное вспомоществование в соответствии с конкретными нормами, </w:t>
      </w:r>
      <w:r>
        <w:noBreakHyphen/>
        <w:t xml:space="preserve"> все они имеют право на первичную медицинскую помощь.  </w:t>
      </w:r>
    </w:p>
    <w:p w:rsidR="00000000" w:rsidRDefault="00000000"/>
    <w:p w:rsidR="00000000" w:rsidRDefault="00000000">
      <w:r>
        <w:t>248.</w:t>
      </w:r>
      <w:r>
        <w:tab/>
        <w:t>Граждане, не охваченные системой обязательного медицинского страхования, могут согласно пункту 1 статьи 12 ходатайствовать об обязательном медицинском страховании, для того чтобы воспользоваться правом на первичную медицинскую помощь согласно статье 11 этого закона.</w:t>
      </w:r>
    </w:p>
    <w:p w:rsidR="00000000" w:rsidRDefault="00000000"/>
    <w:p w:rsidR="00000000" w:rsidRDefault="00000000">
      <w:r>
        <w:t>249.</w:t>
      </w:r>
      <w:r>
        <w:tab/>
        <w:t>Граждане БЮРМ, которые не охвачены страхованием согласно статьям 12 и 16 этого закона, на основе принципа взаимной солидарности имеют право на пользование следующими услугами:  медобеспечение детей и подростков в возрасте до 18 лет;  школьников и учащихся школьного или университетского возраста или до достижения ими 26 или 27 лет, но не старше;  лиц старше 65 лет;  медицинская помощь во время беременности, родов, ухода за новорожденным;  право на получение противозачаточных средств и медицинской помощи в случае заболевания инфекционными болезнями или ухудшения психического состояния.  Объем и содержание медобеспечения граждан, указанных в первом пункте этой статьи, и форма такого обеспечения определяются Собранием бывшей югославской Республики Македонии.</w:t>
      </w:r>
    </w:p>
    <w:p w:rsidR="00000000" w:rsidRDefault="00000000"/>
    <w:p w:rsidR="00000000" w:rsidRDefault="00000000">
      <w:r>
        <w:t>250.</w:t>
      </w:r>
      <w:r>
        <w:tab/>
        <w:t>Согласно статье 18 Закона о здравоохранении, застрахованные лица имеют право на материальное пособие, если они отвечают следующим условиям:</w:t>
      </w:r>
    </w:p>
    <w:p w:rsidR="00000000" w:rsidRDefault="00000000"/>
    <w:p w:rsidR="00000000" w:rsidRDefault="00000000">
      <w:pPr>
        <w:numPr>
          <w:ilvl w:val="0"/>
          <w:numId w:val="7"/>
        </w:numPr>
        <w:tabs>
          <w:tab w:val="clear" w:pos="567"/>
        </w:tabs>
      </w:pPr>
      <w:r>
        <w:t>они были охвачены медицинским страхованием по крайней мере за шесть месяцев до события, в отношении которого наступает право на медицинский уход;  исключение составляют случаи производственного травматизма и профессиональных заболеваний;</w:t>
      </w:r>
    </w:p>
    <w:p w:rsidR="00000000" w:rsidRDefault="00000000">
      <w:pPr>
        <w:tabs>
          <w:tab w:val="clear" w:pos="567"/>
          <w:tab w:val="clear" w:pos="1134"/>
        </w:tabs>
      </w:pPr>
    </w:p>
    <w:p w:rsidR="00000000" w:rsidRDefault="00000000">
      <w:pPr>
        <w:numPr>
          <w:ilvl w:val="0"/>
          <w:numId w:val="7"/>
        </w:numPr>
        <w:tabs>
          <w:tab w:val="clear" w:pos="567"/>
        </w:tabs>
      </w:pPr>
      <w:r>
        <w:t>отчисления на цели медицинского страхования производятся регулярно или с задержкой не свыше 60 дней;  и</w:t>
      </w:r>
    </w:p>
    <w:p w:rsidR="00000000" w:rsidRDefault="00000000">
      <w:pPr>
        <w:tabs>
          <w:tab w:val="clear" w:pos="567"/>
          <w:tab w:val="clear" w:pos="1134"/>
          <w:tab w:val="left" w:pos="561"/>
        </w:tabs>
      </w:pPr>
    </w:p>
    <w:p w:rsidR="00000000" w:rsidRDefault="00000000">
      <w:pPr>
        <w:numPr>
          <w:ilvl w:val="0"/>
          <w:numId w:val="7"/>
        </w:numPr>
        <w:tabs>
          <w:tab w:val="clear" w:pos="567"/>
        </w:tabs>
      </w:pPr>
      <w:r>
        <w:t>врач или врачебный совет выдал справку о временной нетрудоспособности (бюллетень).</w:t>
      </w:r>
    </w:p>
    <w:p w:rsidR="00000000" w:rsidRDefault="00000000">
      <w:pPr>
        <w:tabs>
          <w:tab w:val="clear" w:pos="567"/>
          <w:tab w:val="clear" w:pos="1134"/>
          <w:tab w:val="left" w:pos="561"/>
        </w:tabs>
      </w:pPr>
    </w:p>
    <w:p w:rsidR="00000000" w:rsidRDefault="00000000">
      <w:r>
        <w:t>251.</w:t>
      </w:r>
      <w:r>
        <w:tab/>
        <w:t xml:space="preserve">Компенсация заработной платы в ходе отпуска по болезни выплачивается с первого по последний день такого отпуска.  Такая компенсация выплачивается за дни, за которые согласно нормам трудового законодательства причиталась бы заработная плата.  Министерство здравоохранения устанавливает уровень компенсации, причем базой для ее расчета служит средняя заработная плата, с которой за последние три месяца выплачивались отчисления в фонд медицинского страхования.  </w:t>
      </w:r>
    </w:p>
    <w:p w:rsidR="00000000" w:rsidRDefault="00000000"/>
    <w:p w:rsidR="00000000" w:rsidRDefault="00000000">
      <w:r>
        <w:t>252.</w:t>
      </w:r>
      <w:r>
        <w:tab/>
        <w:t>Согласно статье 233 Закона о здравоохранении, уровень компенсации заработной платы во время отпуска по болезни устанавливается в размере не менее 70% от базы компенсации заработной платы, но не ниже 70% от суммы минимальной заработной платы, установленной коллективным договором.</w:t>
      </w:r>
    </w:p>
    <w:p w:rsidR="00000000" w:rsidRDefault="00000000"/>
    <w:p w:rsidR="00000000" w:rsidRDefault="00000000">
      <w:r>
        <w:t>253.</w:t>
      </w:r>
      <w:r>
        <w:tab/>
        <w:t>Согласно статье 29, застрахованное лицо и члены его семьи имеют право на компенсацию дорожных расходов и суточных, если они направляются в медицинское учреждение за пределами страны, на условиях и в объеме, определяемых внутренними инструкциями министерства здравоохранения.</w:t>
      </w:r>
    </w:p>
    <w:p w:rsidR="00000000" w:rsidRDefault="00000000"/>
    <w:p w:rsidR="00000000" w:rsidRDefault="00000000">
      <w:r>
        <w:t>254.</w:t>
      </w:r>
      <w:r>
        <w:tab/>
        <w:t>Согласно статье 58 раздела 4 Закона о трудовых отношениях, озаглавленного "Особая защита в отношении женщин, подростков и работников-инвалидов", работницы имеют право на девятимесячный непрерывный отпуск по случаю беременности, рождения ребенка и ухода за новорожденным и на годичный отпуск после многоплодных родов (рождения двойни или тройни).</w:t>
      </w:r>
    </w:p>
    <w:p w:rsidR="00000000" w:rsidRDefault="00000000"/>
    <w:p w:rsidR="00000000" w:rsidRDefault="00000000">
      <w:r>
        <w:t>255.</w:t>
      </w:r>
      <w:r>
        <w:tab/>
        <w:t>Отец новорожденного ребенка имеет право воспользоваться этими правами в случае смерти матери или в том случае, если мать оставляет новорожденного ребенка или не может воспользоваться этими правами по обоснованным причинам.</w:t>
      </w:r>
    </w:p>
    <w:p w:rsidR="00000000" w:rsidRDefault="00000000"/>
    <w:p w:rsidR="00000000" w:rsidRDefault="00000000">
      <w:r>
        <w:t>256.</w:t>
      </w:r>
      <w:r>
        <w:tab/>
        <w:t>Приемные родители обладают такими же правами, которыми они пользуются на равных условиях с родными отцом и матерью.</w:t>
      </w:r>
    </w:p>
    <w:p w:rsidR="00000000" w:rsidRDefault="00000000"/>
    <w:p w:rsidR="00000000" w:rsidRDefault="00000000">
      <w:r>
        <w:t>257.</w:t>
      </w:r>
      <w:r>
        <w:tab/>
        <w:t>Родители-одиночки ребенка младше семилетнего возраста или ребенка, имеющего тяжелую инвалидность, могут работать сверхурочно или в ночное время только с их письменного согласия, в то время как один из родителей ребенка с тяжелой инвалидностью имеет право работать половину рабочей недели, в том случае если оба родителя работают или в случае родителя-одиночки, на основе рекомендации компетентного медицинского совета, если ребенок не помещен в социально-медицинское учреждение.</w:t>
      </w:r>
    </w:p>
    <w:p w:rsidR="00000000" w:rsidRDefault="00000000"/>
    <w:p w:rsidR="00000000" w:rsidRDefault="00000000">
      <w:r>
        <w:t>258.</w:t>
      </w:r>
      <w:r>
        <w:tab/>
        <w:t>В декабре 1993 года бывшая югославская Республика Македония, будучи суверенным, независимым, демократическим и социальным государством, приняла Закон о пенсиях и страховании инвалидности ("Официальный вестник" бывшей югославской Республики Македонии № 80/1993), в котором впервые стали самостоятельно регулироваться отношения и права в области пенсионного обеспечения и страхования на случай потери трудоспособности.  Этот Закон действует с 1 января 1994 года.  Согласно Закону, пенсионное страхование и страхование на случай потери трудоспособности являются обязательными и охватывают всех работников и физических лиц, занимающихся зарегистрированной трудовой деятельностью.  Закон предусматривает выплату пенсий согласно распределительной модели.  К этому Закону был сделан ряд поправок ("Официальный вестник" бывшей югославской Республики Македонии № 3/1994, 14/1995, 71/1996, 32/1997, 24/2000, 96/2000, 50/2001, 05/2003 и 50/2004).  Закон регулирует вопросы обязательного пенсионного страхования на случай потери трудоспособности в отношении наемных работников и самозанятых лиц.</w:t>
      </w:r>
    </w:p>
    <w:p w:rsidR="00000000" w:rsidRDefault="00000000"/>
    <w:p w:rsidR="00000000" w:rsidRDefault="00000000">
      <w:pPr>
        <w:rPr>
          <w:b/>
          <w:bCs/>
        </w:rPr>
      </w:pPr>
      <w:r>
        <w:rPr>
          <w:b/>
          <w:bCs/>
        </w:rPr>
        <w:t>Основные принципы, лежащие в основе Закона:</w:t>
      </w:r>
    </w:p>
    <w:p w:rsidR="00000000" w:rsidRDefault="00000000">
      <w:pPr>
        <w:rPr>
          <w:b/>
          <w:bCs/>
        </w:rPr>
      </w:pPr>
    </w:p>
    <w:p w:rsidR="00000000" w:rsidRDefault="00000000">
      <w:pPr>
        <w:ind w:left="1134" w:hanging="567"/>
      </w:pPr>
      <w:r>
        <w:t>-</w:t>
      </w:r>
      <w:r>
        <w:tab/>
        <w:t>обязательный характер пенсионного страхования и страхования на случай потери трудоспособности;</w:t>
      </w:r>
    </w:p>
    <w:p w:rsidR="00000000" w:rsidRDefault="00000000">
      <w:pPr>
        <w:ind w:left="567" w:hanging="567"/>
      </w:pPr>
    </w:p>
    <w:p w:rsidR="00000000" w:rsidRDefault="00000000">
      <w:pPr>
        <w:ind w:left="1134" w:hanging="567"/>
      </w:pPr>
      <w:r>
        <w:t>-</w:t>
      </w:r>
      <w:r>
        <w:tab/>
        <w:t xml:space="preserve">объем прав зависит от продолжительности и </w:t>
      </w:r>
      <w:proofErr w:type="spellStart"/>
      <w:r>
        <w:t>и</w:t>
      </w:r>
      <w:proofErr w:type="spellEnd"/>
      <w:r>
        <w:t xml:space="preserve"> размера объема отчислений в страховые фонды;</w:t>
      </w:r>
    </w:p>
    <w:p w:rsidR="00000000" w:rsidRDefault="00000000">
      <w:pPr>
        <w:ind w:left="567"/>
      </w:pPr>
    </w:p>
    <w:p w:rsidR="00000000" w:rsidRDefault="00000000">
      <w:pPr>
        <w:ind w:left="567"/>
      </w:pPr>
      <w:r>
        <w:t>-</w:t>
      </w:r>
      <w:r>
        <w:tab/>
        <w:t>принцип социальной справедливости и солидарности поколений;</w:t>
      </w:r>
    </w:p>
    <w:p w:rsidR="00000000" w:rsidRDefault="00000000">
      <w:pPr>
        <w:ind w:left="567"/>
      </w:pPr>
    </w:p>
    <w:p w:rsidR="00000000" w:rsidRDefault="00000000">
      <w:pPr>
        <w:ind w:left="1134" w:hanging="567"/>
      </w:pPr>
      <w:r>
        <w:t>-</w:t>
      </w:r>
      <w:r>
        <w:tab/>
        <w:t>наличие пенсионного страхования, финансируемого за счет инвестирования капитала;</w:t>
      </w:r>
    </w:p>
    <w:p w:rsidR="00000000" w:rsidRDefault="00000000">
      <w:pPr>
        <w:ind w:left="567"/>
      </w:pPr>
    </w:p>
    <w:p w:rsidR="00000000" w:rsidRDefault="00000000">
      <w:pPr>
        <w:ind w:left="567"/>
      </w:pPr>
      <w:r>
        <w:t>-</w:t>
      </w:r>
      <w:r>
        <w:tab/>
        <w:t>соблюдение конвенций и рекомендаций Международной организации труда.</w:t>
      </w:r>
    </w:p>
    <w:p w:rsidR="00000000" w:rsidRDefault="00000000">
      <w:pPr>
        <w:ind w:left="567"/>
      </w:pPr>
    </w:p>
    <w:p w:rsidR="00000000" w:rsidRDefault="00000000">
      <w:pPr>
        <w:rPr>
          <w:i/>
          <w:iCs/>
        </w:rPr>
      </w:pPr>
      <w:r>
        <w:rPr>
          <w:i/>
          <w:iCs/>
        </w:rPr>
        <w:t>Права лиц, охватываемых пенсионным страхованием и страхованием на случай потери трудоспособности:</w:t>
      </w:r>
    </w:p>
    <w:p w:rsidR="00000000" w:rsidRDefault="00000000">
      <w:pPr>
        <w:rPr>
          <w:i/>
          <w:iCs/>
        </w:rPr>
      </w:pPr>
    </w:p>
    <w:p w:rsidR="00000000" w:rsidRDefault="00000000">
      <w:pPr>
        <w:ind w:left="567"/>
      </w:pPr>
      <w:r>
        <w:t>-</w:t>
      </w:r>
      <w:r>
        <w:tab/>
        <w:t>право на пенсию по возрасту;</w:t>
      </w:r>
    </w:p>
    <w:p w:rsidR="00000000" w:rsidRDefault="00000000">
      <w:pPr>
        <w:ind w:left="567"/>
      </w:pPr>
    </w:p>
    <w:p w:rsidR="00000000" w:rsidRDefault="00000000">
      <w:pPr>
        <w:ind w:left="567"/>
      </w:pPr>
      <w:r>
        <w:t>-</w:t>
      </w:r>
      <w:r>
        <w:tab/>
        <w:t>право на пенсию по инвалидности;</w:t>
      </w:r>
    </w:p>
    <w:p w:rsidR="00000000" w:rsidRDefault="00000000">
      <w:pPr>
        <w:ind w:left="1134" w:hanging="567"/>
      </w:pPr>
      <w:r>
        <w:t>-</w:t>
      </w:r>
      <w:r>
        <w:tab/>
        <w:t>право на перевод на другое, более подходящее рабочее место, право на надлежащую работу, право на переподготовку и повышение квалификации и право на получение надлежащего материального пособия;</w:t>
      </w:r>
    </w:p>
    <w:p w:rsidR="00000000" w:rsidRDefault="00000000">
      <w:pPr>
        <w:ind w:left="567"/>
      </w:pPr>
    </w:p>
    <w:p w:rsidR="00000000" w:rsidRDefault="00000000">
      <w:pPr>
        <w:ind w:left="567"/>
      </w:pPr>
      <w:r>
        <w:t>-</w:t>
      </w:r>
      <w:r>
        <w:tab/>
        <w:t>право на пенсионное обеспечение членов семьи;</w:t>
      </w:r>
    </w:p>
    <w:p w:rsidR="00000000" w:rsidRDefault="00000000">
      <w:pPr>
        <w:ind w:left="567"/>
      </w:pPr>
    </w:p>
    <w:p w:rsidR="00000000" w:rsidRDefault="00000000">
      <w:pPr>
        <w:ind w:left="567"/>
      </w:pPr>
      <w:r>
        <w:t>-</w:t>
      </w:r>
      <w:r>
        <w:tab/>
        <w:t>право на получение страхового пособия в случае потери трудоспособности;</w:t>
      </w:r>
    </w:p>
    <w:p w:rsidR="00000000" w:rsidRDefault="00000000">
      <w:pPr>
        <w:ind w:left="567"/>
      </w:pPr>
    </w:p>
    <w:p w:rsidR="00000000" w:rsidRDefault="00000000">
      <w:pPr>
        <w:ind w:left="567"/>
      </w:pPr>
      <w:r>
        <w:t>-</w:t>
      </w:r>
      <w:r>
        <w:tab/>
        <w:t>право на минимальную пенсию.</w:t>
      </w:r>
    </w:p>
    <w:p w:rsidR="00000000" w:rsidRDefault="00000000">
      <w:pPr>
        <w:ind w:left="567"/>
      </w:pPr>
    </w:p>
    <w:p w:rsidR="00000000" w:rsidRDefault="00000000">
      <w:pPr>
        <w:ind w:left="567" w:hanging="567"/>
        <w:rPr>
          <w:i/>
          <w:iCs/>
        </w:rPr>
      </w:pPr>
      <w:r>
        <w:rPr>
          <w:i/>
          <w:iCs/>
        </w:rPr>
        <w:t>Реализация права на получение пенсии по возрасту</w:t>
      </w:r>
    </w:p>
    <w:p w:rsidR="00000000" w:rsidRDefault="00000000">
      <w:pPr>
        <w:ind w:left="567" w:hanging="567"/>
        <w:rPr>
          <w:i/>
          <w:iCs/>
        </w:rPr>
      </w:pPr>
    </w:p>
    <w:p w:rsidR="00000000" w:rsidRDefault="00000000">
      <w:r>
        <w:t>259.</w:t>
      </w:r>
      <w:r>
        <w:tab/>
        <w:t xml:space="preserve">Единственным условием для того, чтобы воспользоваться правом на получение пенсии по возрасту, является требование о достижении застрахованным лицом возраста 64 лет (для мужчин) и 62 лет (для женщин) и наличие трудового стажа не менее 15 лет.  </w:t>
      </w:r>
    </w:p>
    <w:p w:rsidR="00000000" w:rsidRDefault="00000000"/>
    <w:p w:rsidR="00000000" w:rsidRDefault="00000000">
      <w:r>
        <w:t>260.</w:t>
      </w:r>
      <w:r>
        <w:tab/>
        <w:t>Существуют определенные льготные условия для страхователей - сотрудников министерства обороны, несущих службу в профессиональных подразделениях вооруженных сил, и сотрудников министерства внутренних дел и министерства юстиции, несущих службу в исправительно-тюремных учреждениях.  При получении пенсии по возрасту эти страхователи пользуются более льготными условиями применительно к пенсионному возрасту и выслуге лет в случае увольнения в силу служебных обстоятельств.  Такие льготные условия объясняются важностью и значимостью должностных обязанностей таких сотрудников.</w:t>
      </w:r>
    </w:p>
    <w:p w:rsidR="00000000" w:rsidRDefault="00000000"/>
    <w:p w:rsidR="00000000" w:rsidRDefault="00000000">
      <w:r>
        <w:t>261.</w:t>
      </w:r>
      <w:r>
        <w:tab/>
        <w:t>В отношении этих категорий работников есть различия в возрастных пределах для мужчин и женщин.  Застрахованные мужчины могут получать пенсию по возрасту по достижении ими 55 лет, а женщины - 50 лет.</w:t>
      </w:r>
    </w:p>
    <w:p w:rsidR="00000000" w:rsidRDefault="00000000"/>
    <w:p w:rsidR="00000000" w:rsidRDefault="00000000">
      <w:r>
        <w:t>262.</w:t>
      </w:r>
      <w:r>
        <w:tab/>
        <w:t>Существует также временная возможность для застрахованных военнослужащих и гражданских специалистов в вооруженных силах воспользоваться правом на получение пенсии по возрасту с "выкупом" недостающих лет до 40 лет выслуги для мужчин и 35 лет выслуги для женщин.  Такая возможность предусматривается Законом о службе в вооруженных силах бывшей югославской Республики Македонии ("Официальный вестник" бывшей югославской Республики Македонии № 62/2002, 98/2002, 25/2003 и 71/2003).</w:t>
      </w:r>
    </w:p>
    <w:p w:rsidR="00000000" w:rsidRDefault="00000000"/>
    <w:p w:rsidR="00000000" w:rsidRDefault="00000000">
      <w:r>
        <w:t>263.</w:t>
      </w:r>
      <w:r>
        <w:tab/>
        <w:t>В переходный период с 1 сентября 2000 года по 31 декабря 2007 года возрастной предел для получения пенсии по возрасту будет повышен по сравнению с требованиями закона, действовавшего до 31 августа 2000 года.</w:t>
      </w:r>
    </w:p>
    <w:p w:rsidR="00000000" w:rsidRDefault="00000000">
      <w:pPr>
        <w:rPr>
          <w:sz w:val="16"/>
        </w:rPr>
      </w:pPr>
    </w:p>
    <w:p w:rsidR="00000000" w:rsidRDefault="00000000">
      <w:r>
        <w:t>264.</w:t>
      </w:r>
      <w:r>
        <w:tab/>
        <w:t xml:space="preserve">Право страхователя на получение пенсии по возрасту наступает по истечении 35 службы для женщин или 40 лет для мужчин в том случае, если по состоянию на 1 сентября 2000 года они отработали необходимые для получения пенсии 30 лет (женщины) или 35 лет (мужчины).  Пенсия по возрасту с выкупом недостающих лет выслуги до 35 лет (женщины) и 40 лет выслуги (мужчины) может быть получена страхователем, имевшим 1 сентября 2005 года выслугу лет по льготной системе. </w:t>
      </w:r>
    </w:p>
    <w:p w:rsidR="00000000" w:rsidRDefault="00000000">
      <w:pPr>
        <w:rPr>
          <w:sz w:val="16"/>
        </w:rPr>
      </w:pPr>
    </w:p>
    <w:p w:rsidR="00000000" w:rsidRDefault="00000000">
      <w:pPr>
        <w:rPr>
          <w:i/>
          <w:iCs/>
        </w:rPr>
      </w:pPr>
      <w:r>
        <w:rPr>
          <w:i/>
          <w:iCs/>
        </w:rPr>
        <w:t>Реализация права на пенсию по инвалидности</w:t>
      </w:r>
    </w:p>
    <w:p w:rsidR="00000000" w:rsidRDefault="00000000">
      <w:pPr>
        <w:rPr>
          <w:i/>
          <w:iCs/>
          <w:sz w:val="16"/>
        </w:rPr>
      </w:pPr>
    </w:p>
    <w:p w:rsidR="00000000" w:rsidRDefault="00000000">
      <w:r>
        <w:t>265.</w:t>
      </w:r>
      <w:r>
        <w:tab/>
        <w:t xml:space="preserve">Потерявшие трудоспособность застрахованные работники, работники, достигшие среднего возраста и не способные более к освоению новой или повышению прежней квалификации или приобретению навыков для выполнения иных надлежащих рабочих операций, имеют право на пенсию по инвалидности при следующих условиях:  потеря трудоспособности является результатом производственного травматизма или профессионального заболевания независимо от числа отработанных лет;  и потеря трудоспособности не вызвана непроизводственной травмой или заболеванием при условии, что до потери трудоспособности лицо отработало число лет, соответствующее не менее одной трети 20-летнего трудоспособного возраста до дня наступления факта потери трудоспособности в расчете на полные годы работы.  </w:t>
      </w:r>
    </w:p>
    <w:p w:rsidR="00000000" w:rsidRDefault="00000000">
      <w:pPr>
        <w:rPr>
          <w:i/>
          <w:iCs/>
          <w:sz w:val="16"/>
        </w:rPr>
      </w:pPr>
    </w:p>
    <w:p w:rsidR="00000000" w:rsidRDefault="00000000">
      <w:r>
        <w:t>266.</w:t>
      </w:r>
      <w:r>
        <w:tab/>
        <w:t xml:space="preserve">Пенсия по инвалидности, о которой говорится в первом пункте, рассчитывается по максимальному проценту от базовой пенсии (для пенсии к выплате до 2015 года это 80%, а для пенсии после 2015 года процент будет постепенно снижаться и составит 72% в 2040 году).  Пенсия по инвалидности, о которой говорится во втором пункте, рассчитывается по базовой пенсии в зависимости от числа отработанных лет и достигнутого возраста аналогично методу расчета пенсии по возрасту.  Для этого типа пенсии берется минимальный процент базовой пенсии, при этом если потеря трудоспособности произошла до наступления условий, необходимых для выплаты пенсии по возрасту, то производится доплата надбавки на потерю трудоспособности, если размер пенсии ниже, чем пенсия пенсионеров-инвалидов, потерявших трудоспособность по причине производственного травматизма или профессионального заболевания.  </w:t>
      </w:r>
    </w:p>
    <w:p w:rsidR="00000000" w:rsidRDefault="00000000">
      <w:pPr>
        <w:rPr>
          <w:sz w:val="16"/>
        </w:rPr>
      </w:pPr>
    </w:p>
    <w:p w:rsidR="00000000" w:rsidRDefault="00000000">
      <w:pPr>
        <w:rPr>
          <w:i/>
          <w:iCs/>
        </w:rPr>
      </w:pPr>
      <w:r>
        <w:rPr>
          <w:i/>
          <w:iCs/>
        </w:rPr>
        <w:t>Пособия и льготы для лиц, перенесших физические травмы</w:t>
      </w:r>
    </w:p>
    <w:p w:rsidR="00000000" w:rsidRDefault="00000000">
      <w:pPr>
        <w:rPr>
          <w:i/>
          <w:iCs/>
          <w:sz w:val="16"/>
        </w:rPr>
      </w:pPr>
    </w:p>
    <w:p w:rsidR="00000000" w:rsidRDefault="00000000">
      <w:r>
        <w:t>267.</w:t>
      </w:r>
      <w:r>
        <w:tab/>
        <w:t xml:space="preserve">Физические травмы включают утрату определенных органов или частей тела или нанесение им значительного ущерба, что затрудняет нормальную жизнедеятельность человека независимо от того, ведет ли такой ущерб к потере трудоспособности или нет.  </w:t>
      </w:r>
    </w:p>
    <w:p w:rsidR="00000000" w:rsidRDefault="00000000">
      <w:r>
        <w:t>268.</w:t>
      </w:r>
      <w:r>
        <w:tab/>
        <w:t>Граждане страхуются от физических травм в объеме от 30% до 100% (производственный травматизм или профессиональные заболевания) независимо от длительности трудового стажа и от физических травм от 50% до 100% (смерть или травма не на производстве) на тех же условиях, что и при страховании на случай потери трудоспособности.  Страхование производится в отношении права на пособие для компенсации физической травмы, нанесенной в течение страхового периода.</w:t>
      </w:r>
    </w:p>
    <w:p w:rsidR="00000000" w:rsidRDefault="00000000"/>
    <w:p w:rsidR="00000000" w:rsidRDefault="00000000">
      <w:pPr>
        <w:rPr>
          <w:i/>
          <w:iCs/>
        </w:rPr>
      </w:pPr>
      <w:r>
        <w:rPr>
          <w:i/>
          <w:iCs/>
        </w:rPr>
        <w:t>Право на пенсионное обеспечение членов семьи</w:t>
      </w:r>
    </w:p>
    <w:p w:rsidR="00000000" w:rsidRDefault="00000000">
      <w:pPr>
        <w:rPr>
          <w:i/>
          <w:iCs/>
        </w:rPr>
      </w:pPr>
    </w:p>
    <w:p w:rsidR="00000000" w:rsidRDefault="00000000">
      <w:r>
        <w:t>269.</w:t>
      </w:r>
      <w:r>
        <w:tab/>
        <w:t>Члены семьи скончавшегося застрахованного лица:  супруг/супруга, дети и родители, находящиеся на иждивении застрахованного лица, могут претендовать на получение пенсионного обеспечения как члены семьи на условиях, предусмотренных законом.</w:t>
      </w:r>
    </w:p>
    <w:p w:rsidR="00000000" w:rsidRDefault="00000000"/>
    <w:p w:rsidR="00000000" w:rsidRDefault="00000000">
      <w:r>
        <w:t>270.</w:t>
      </w:r>
      <w:r>
        <w:tab/>
        <w:t>Члены семьи имеют право на получение пенсионного обеспечения в качестве членов семьи в том случае, если скончавшееся застрахованное лицо:</w:t>
      </w:r>
    </w:p>
    <w:p w:rsidR="00000000" w:rsidRDefault="00000000"/>
    <w:p w:rsidR="00000000" w:rsidRDefault="00000000">
      <w:pPr>
        <w:ind w:left="1134" w:hanging="1134"/>
      </w:pPr>
      <w:r>
        <w:tab/>
        <w:t>-</w:t>
      </w:r>
      <w:r>
        <w:tab/>
        <w:t>имело покрываемый страхованием трудовой стаж в размере не менее пяти полных лет службы или, по крайней мере, десять лет приобретенной выслуги лет для выхода на пенсию;</w:t>
      </w:r>
    </w:p>
    <w:p w:rsidR="00000000" w:rsidRDefault="00000000">
      <w:pPr>
        <w:ind w:left="567" w:hanging="567"/>
      </w:pPr>
    </w:p>
    <w:p w:rsidR="00000000" w:rsidRDefault="00000000">
      <w:pPr>
        <w:ind w:left="1134" w:hanging="1134"/>
      </w:pPr>
      <w:r>
        <w:tab/>
        <w:t>-</w:t>
      </w:r>
      <w:r>
        <w:tab/>
        <w:t>удовлетворяло критериям для получения пенсии по возрасту или инвалидности;</w:t>
      </w:r>
    </w:p>
    <w:p w:rsidR="00000000" w:rsidRDefault="00000000">
      <w:pPr>
        <w:ind w:left="567" w:hanging="567"/>
      </w:pPr>
    </w:p>
    <w:p w:rsidR="00000000" w:rsidRDefault="00000000">
      <w:pPr>
        <w:ind w:left="1134" w:hanging="1134"/>
      </w:pPr>
      <w:r>
        <w:tab/>
        <w:t>-</w:t>
      </w:r>
      <w:r>
        <w:tab/>
        <w:t>на момент смерти получало пенсию по возрасту или инвалидности.</w:t>
      </w:r>
    </w:p>
    <w:p w:rsidR="00000000" w:rsidRDefault="00000000">
      <w:pPr>
        <w:ind w:left="567" w:hanging="567"/>
      </w:pPr>
    </w:p>
    <w:p w:rsidR="00000000" w:rsidRDefault="00000000">
      <w:r>
        <w:t xml:space="preserve">Сумма пенсионного обеспечения членов семьи рассчитывается как процент от пенсии, на которую скончавшееся застрахованное лицо имело бы право к моменту смерти:  70% для одного члена семьи и еще по 10% для каждого члена семьи при максимальной сумме не свыше 100%.  </w:t>
      </w:r>
    </w:p>
    <w:p w:rsidR="00000000" w:rsidRDefault="00000000"/>
    <w:p w:rsidR="00000000" w:rsidRDefault="00000000">
      <w:pPr>
        <w:rPr>
          <w:i/>
          <w:iCs/>
        </w:rPr>
      </w:pPr>
      <w:r>
        <w:rPr>
          <w:i/>
          <w:iCs/>
        </w:rPr>
        <w:t>Право на получение минимальной пенсии</w:t>
      </w:r>
    </w:p>
    <w:p w:rsidR="00000000" w:rsidRDefault="00000000">
      <w:pPr>
        <w:rPr>
          <w:i/>
          <w:iCs/>
        </w:rPr>
      </w:pPr>
    </w:p>
    <w:p w:rsidR="00000000" w:rsidRDefault="00000000">
      <w:r>
        <w:t>271.</w:t>
      </w:r>
      <w:r>
        <w:tab/>
        <w:t xml:space="preserve">В целях защиты получателей небольших пенсий, рассчитываемых в соответствии с трудовым стажем и уровнем заработной платы, Закон о пенсиях и страховании инвалидности предусматривает установление нижнего предела пенсий.  Это гарантирует страхователю получение пенсии выше той, которая рассчитывается по трудовому стажу и уровню заработной платы.  Право на получение такой пенсии не зависит от материального положения страхователя и гарантируется всем пенсионерам, чья пенсия, рассчитываемая по трудовому стажу и уровню заработной платы, ниже минимальной пенсии.  В основе минимальной пенсии лежит принцип социальной справедливости, и размер такой пенсии зависит от выслуги лет, выраженной в виде начисленных лет трудового стажа для получения пенсии.  Это означает, что чем больше начисленный трудовой стаж для получения пенсии, тем выше причитающаяся пенсионеру минимальная пенсия.  </w:t>
      </w:r>
    </w:p>
    <w:p w:rsidR="00000000" w:rsidRDefault="00000000"/>
    <w:p w:rsidR="00000000" w:rsidRDefault="00000000">
      <w:pPr>
        <w:rPr>
          <w:i/>
          <w:iCs/>
        </w:rPr>
      </w:pPr>
      <w:r>
        <w:rPr>
          <w:i/>
          <w:iCs/>
        </w:rPr>
        <w:t>Максимальный размер пенсии</w:t>
      </w:r>
    </w:p>
    <w:p w:rsidR="00000000" w:rsidRDefault="00000000">
      <w:pPr>
        <w:rPr>
          <w:i/>
          <w:iCs/>
        </w:rPr>
      </w:pPr>
    </w:p>
    <w:p w:rsidR="00000000" w:rsidRDefault="00000000">
      <w:r>
        <w:t>272.</w:t>
      </w:r>
      <w:r>
        <w:tab/>
        <w:t>Новая пенсионная система не предусматривает понятия верхнего предела пенсии, в соответствии с которым в прежней системе вводился лимит для максимальной суммы выплачиваемой пенсии.  Вместо этого устанавливается максимальная база для расчета и выплаты пенсионных отчислений.  Таким образом, размер пенсии напрямую зависит от размера инвестированных средств.  Лимитированная база расчета и выплаты отчислений не может быть выше среднего оклада на работника по стране за данный месяц.</w:t>
      </w:r>
    </w:p>
    <w:p w:rsidR="00000000" w:rsidRDefault="00000000"/>
    <w:p w:rsidR="00000000" w:rsidRDefault="00000000">
      <w:pPr>
        <w:rPr>
          <w:i/>
          <w:iCs/>
        </w:rPr>
      </w:pPr>
      <w:r>
        <w:rPr>
          <w:i/>
          <w:iCs/>
        </w:rPr>
        <w:t>Корректировка пенсии</w:t>
      </w:r>
    </w:p>
    <w:p w:rsidR="00000000" w:rsidRDefault="00000000">
      <w:pPr>
        <w:rPr>
          <w:i/>
          <w:iCs/>
        </w:rPr>
      </w:pPr>
    </w:p>
    <w:p w:rsidR="00000000" w:rsidRDefault="00000000">
      <w:r>
        <w:t>273.</w:t>
      </w:r>
      <w:r>
        <w:tab/>
        <w:t>Корректировка пенсионного вознаграждения является инструментом пенсионного страхования и страхования на случай потери трудоспособности, который помогает поддерживать реальную покупательную способность пенсий по индексу стоимости жизни для 80% пенсионного вознаграждения и по динамике средней выплаченной чистой заработной платы всех работников для 20% пенсионного вознаграждения.  Все пенсионные выплаты корректируются с использованием единого процентного показателя для всех получателей пенсий.</w:t>
      </w:r>
    </w:p>
    <w:p w:rsidR="00000000" w:rsidRDefault="00000000"/>
    <w:p w:rsidR="00000000" w:rsidRDefault="00000000">
      <w:r>
        <w:t>274.</w:t>
      </w:r>
      <w:r>
        <w:tab/>
        <w:t xml:space="preserve">Согласно </w:t>
      </w:r>
      <w:r>
        <w:rPr>
          <w:b/>
          <w:bCs/>
        </w:rPr>
        <w:t>Закону о социальной защите</w:t>
      </w:r>
      <w:r>
        <w:t xml:space="preserve"> ("Официальный вестник" бывшей югославской Республики Македонии № 50/1997, 16/200, 17/2003 и 65/2004), государство является основным источником социальной защиты граждан и создает условия для ее обеспечения.</w:t>
      </w:r>
    </w:p>
    <w:p w:rsidR="00000000" w:rsidRDefault="00000000"/>
    <w:p w:rsidR="00000000" w:rsidRDefault="00000000">
      <w:r>
        <w:t>275.</w:t>
      </w:r>
      <w:r>
        <w:tab/>
        <w:t xml:space="preserve">Правительство принимает </w:t>
      </w:r>
      <w:r>
        <w:rPr>
          <w:b/>
          <w:bCs/>
        </w:rPr>
        <w:t>Программу социальной защиты</w:t>
      </w:r>
      <w:r>
        <w:t>, согласно которой определяются области социальной защиты, конкретные потребности населения в этих областях и формы реализации права на социальную защиту.</w:t>
      </w:r>
    </w:p>
    <w:p w:rsidR="00000000" w:rsidRDefault="00000000"/>
    <w:p w:rsidR="00000000" w:rsidRDefault="00000000">
      <w:r>
        <w:t>276.</w:t>
      </w:r>
      <w:r>
        <w:tab/>
        <w:t>Согласно статье 20 этого Закона, право на социальную помощь охватывает:</w:t>
      </w:r>
    </w:p>
    <w:p w:rsidR="00000000" w:rsidRDefault="00000000"/>
    <w:p w:rsidR="00000000" w:rsidRDefault="00000000">
      <w:pPr>
        <w:ind w:left="1134" w:hanging="1134"/>
      </w:pPr>
      <w:r>
        <w:tab/>
        <w:t>-</w:t>
      </w:r>
      <w:r>
        <w:tab/>
        <w:t xml:space="preserve">постоянные материальные пособия для нетрудоспособных и социально незащищенных лиц;  социальные материальные пособия для трудоспособных и социально незащищенных лиц;  дотацию на помощь и уход;  право на медицинский уход;  компенсацию заработной платы в случае сокращенного рабочего времени в связи с уходом за ребенком-инвалидом;  разовые материальные пособия или помощь в натуральной форме и право на жилье;  </w:t>
      </w:r>
    </w:p>
    <w:p w:rsidR="00000000" w:rsidRDefault="00000000">
      <w:pPr>
        <w:ind w:left="1134" w:hanging="1134"/>
      </w:pPr>
    </w:p>
    <w:p w:rsidR="00000000" w:rsidRDefault="00000000">
      <w:pPr>
        <w:ind w:left="1134" w:hanging="1134"/>
      </w:pPr>
      <w:r>
        <w:tab/>
        <w:t>-</w:t>
      </w:r>
      <w:r>
        <w:tab/>
        <w:t>нетрудоспособных и социально незащищенных лиц, которые не могут обеспечить себя материально и по другим причинам и имеют право на получение постоянных денежных пособий.</w:t>
      </w:r>
    </w:p>
    <w:p w:rsidR="00000000" w:rsidRDefault="00000000">
      <w:pPr>
        <w:ind w:left="567" w:hanging="567"/>
      </w:pPr>
    </w:p>
    <w:p w:rsidR="00000000" w:rsidRDefault="00000000">
      <w:r>
        <w:t>277.</w:t>
      </w:r>
      <w:r>
        <w:tab/>
        <w:t xml:space="preserve">По смыслу этого закона нетрудоспособные </w:t>
      </w:r>
      <w:r>
        <w:noBreakHyphen/>
        <w:t xml:space="preserve"> это лица со средними, серьезными и очень серьезными нарушениями развития, матери-одиночки в период беременности, дети в возрасте до 15 или до 26 лет в случае очных студентов и мужчины и женщины старше 65 лет.  </w:t>
      </w:r>
    </w:p>
    <w:p w:rsidR="00000000" w:rsidRDefault="00000000"/>
    <w:p w:rsidR="00000000" w:rsidRDefault="00000000">
      <w:r>
        <w:t>278.</w:t>
      </w:r>
      <w:r>
        <w:tab/>
        <w:t>Социально не защищенные лица по смыслу статьи 23 этого Закона </w:t>
      </w:r>
      <w:r>
        <w:noBreakHyphen/>
        <w:t xml:space="preserve"> это лица, не имеющие источника дохода, или лица, суммарный доход которых из всех источников как кормильцев семьи ниже суммы постоянного денежного пособия, установленного этим законом.</w:t>
      </w:r>
    </w:p>
    <w:p w:rsidR="00000000" w:rsidRDefault="00000000"/>
    <w:p w:rsidR="00000000" w:rsidRDefault="00000000">
      <w:r>
        <w:t>279.</w:t>
      </w:r>
      <w:r>
        <w:tab/>
        <w:t>Постоянные денежные пособия включают базовую часть для получателя (статья 24 Закона о социальной защите) и надбавки на других нетрудоспособных членов семьи (сополучатели помощи).  Семьей по смыслу этого закона являются одинокие лица или сообщество мужчины и женщины, родителей и детей и других родственников, которые живут в том же домашнем хозяйстве и находятся на иждивении кормильца семьи в соответствии с Законом о семье.</w:t>
      </w:r>
    </w:p>
    <w:p w:rsidR="00000000" w:rsidRDefault="00000000"/>
    <w:p w:rsidR="00000000" w:rsidRDefault="00000000">
      <w:r>
        <w:t>280.</w:t>
      </w:r>
      <w:r>
        <w:tab/>
        <w:t>Постоянные денежные пособия как основополагающее материальное право их получателей рассчитываются на основе средней чистой заработной платы нехозяйственного сектора страны за последние три месяца, и их размер составляет для получателей (одиночек) 20%;  получателей с одним сополучателей </w:t>
      </w:r>
      <w:r>
        <w:noBreakHyphen/>
        <w:t xml:space="preserve"> 28%;  сополучателей с двумя или более сополучателями </w:t>
      </w:r>
      <w:r>
        <w:noBreakHyphen/>
        <w:t xml:space="preserve"> 40%.  Постоянные денежные пособия выплачиваются ежемесячно, а средняя заработная плата на человека определяется и обнародуется Государственным статистическим управлением.</w:t>
      </w:r>
    </w:p>
    <w:p w:rsidR="00000000" w:rsidRDefault="00000000"/>
    <w:p w:rsidR="00000000" w:rsidRDefault="00000000">
      <w:r>
        <w:t>281.</w:t>
      </w:r>
      <w:r>
        <w:tab/>
        <w:t>Беременные матери-одиночки и родители-одиночки имеют право на постоянные денежные пособия на первых трех детей в порядке их рождения.</w:t>
      </w:r>
    </w:p>
    <w:p w:rsidR="00000000" w:rsidRDefault="00000000"/>
    <w:p w:rsidR="00000000" w:rsidRDefault="00000000">
      <w:r>
        <w:t>282.</w:t>
      </w:r>
      <w:r>
        <w:tab/>
        <w:t>Согласно статье 27 Закона о социальной защите, постоянные денежные пособия могут выплачиваться лицу, которое заключило с Центром социальной деятельности договор о пожизненном ухода;  в этом случае сумма постоянного денежного пособия устанавливается Центром социальной деятельности и получателем пособия в зависимости от стоимости недвижимости, под которую обеспечивается пожизненный уход, с предварительным согласованием с министром труда и социальной политики.</w:t>
      </w:r>
    </w:p>
    <w:p w:rsidR="00000000" w:rsidRDefault="00000000"/>
    <w:p w:rsidR="00000000" w:rsidRDefault="00000000">
      <w:r>
        <w:t>283.</w:t>
      </w:r>
      <w:r>
        <w:tab/>
        <w:t>Сироты, которые лишены защиты в рамках права на жилье, не имеют источника дохода на правах владения недвижимостью или распоряжения имущественной собственностью и не получают дохода из других источников согласно иным нормативным положениям, имеют право на получение постоянного денежного пособия в размере базового денежного пособия до достижения совершеннолетия, иными словами до тех пор, пока они смогут жить самостоятельно, причем это право утрачивается по достижении 26 лет.</w:t>
      </w:r>
    </w:p>
    <w:p w:rsidR="00000000" w:rsidRDefault="00000000"/>
    <w:p w:rsidR="00000000" w:rsidRDefault="00000000">
      <w:r>
        <w:t>284.</w:t>
      </w:r>
      <w:r>
        <w:tab/>
        <w:t>Статья 28 Закона регулирует право на социальную защиту лиц пенсионного возраста, которые утратили работоспособность, социально незащищены, живут в семье, на иждивении которой они находятся согласно действующим правилам, но доход которой в расчете на одного члена семьи ниже 20% от уровня средней заработной платы, рассчитанной Статистическим управлением.</w:t>
      </w:r>
    </w:p>
    <w:p w:rsidR="00000000" w:rsidRDefault="00000000"/>
    <w:p w:rsidR="00000000" w:rsidRDefault="00000000">
      <w:r>
        <w:t>285.</w:t>
      </w:r>
      <w:r>
        <w:tab/>
        <w:t>Работоспособные, но социально незащищенные лица, которые не могут себя содержать по иным причинам, имеют право на получение постоянного денежного пособия.</w:t>
      </w:r>
    </w:p>
    <w:p w:rsidR="00000000" w:rsidRDefault="00000000"/>
    <w:p w:rsidR="00000000" w:rsidRDefault="00000000">
      <w:r>
        <w:t>286.</w:t>
      </w:r>
      <w:r>
        <w:tab/>
        <w:t>Статья 30 регулирует право на дотацию в целях получения помощи и ухода со стороны третьих лиц.  Это право действует только в отношении тех, кто не способен осуществлять основные физиологические функции (не способен перемещаться по дому самостоятельно или с помощью вспомогательных средств, поддерживать личную гигиену, одеваться, принимать пищу или совершать другие действия для удовлетворения своих основных потребностей) или полностью лишен зрения, страдает дистрофией или сопутствующими мышечными или нейромышечными расстройствами, церебральным или детским параличом, параличом нижних или верхних конечностей или страдает серьезным или крайне серьезным отставанием в умственном развитии в возрасте старше 26 лет.</w:t>
      </w:r>
    </w:p>
    <w:p w:rsidR="00000000" w:rsidRDefault="00000000"/>
    <w:p w:rsidR="00000000" w:rsidRDefault="00000000">
      <w:r>
        <w:t>287.</w:t>
      </w:r>
      <w:r>
        <w:tab/>
        <w:t xml:space="preserve">Сумма дотации на получение помощи и ухода со стороны третьих лиц устанавливается приказом министра труда и социальной политики и не может быть ниже </w:t>
      </w:r>
      <w:proofErr w:type="spellStart"/>
      <w:r>
        <w:t>20%</w:t>
      </w:r>
      <w:proofErr w:type="spellEnd"/>
      <w:r>
        <w:t xml:space="preserve"> или выше </w:t>
      </w:r>
      <w:proofErr w:type="spellStart"/>
      <w:r>
        <w:t>30%</w:t>
      </w:r>
      <w:proofErr w:type="spellEnd"/>
      <w:r>
        <w:t xml:space="preserve"> от уровня средней заработной платы.</w:t>
      </w:r>
    </w:p>
    <w:p w:rsidR="00000000" w:rsidRDefault="00000000"/>
    <w:p w:rsidR="00000000" w:rsidRDefault="00000000">
      <w:r>
        <w:t>288.</w:t>
      </w:r>
      <w:r>
        <w:tab/>
        <w:t>Получатели постоянных денежных пособий, лица, проживающие в приемной семье и в учреждениях социальной защиты, а также получатели дотаций на помощь и уход со стороны третьих лиц имеют право на медицинское страхование, если они не могут получить медицинское страхование на других основаниях.</w:t>
      </w:r>
    </w:p>
    <w:p w:rsidR="00000000" w:rsidRDefault="00000000"/>
    <w:p w:rsidR="00000000" w:rsidRDefault="00000000">
      <w:r>
        <w:t>289.</w:t>
      </w:r>
      <w:r>
        <w:tab/>
        <w:t>Право на компенсацию заработной платы при сокращенном рабочем времени в связи с уходом за ребенком с тяжелой инвалидностью, установленное Законом о трудовых отношениях и Законом о социальной защите, реализуется при участии Центра социальной деятельности.</w:t>
      </w:r>
    </w:p>
    <w:p w:rsidR="00000000" w:rsidRDefault="00000000"/>
    <w:p w:rsidR="00000000" w:rsidRDefault="00000000">
      <w:r>
        <w:t>290.</w:t>
      </w:r>
      <w:r>
        <w:tab/>
        <w:t xml:space="preserve">Размер такой компенсационной доплаты к заработной плате составляет </w:t>
      </w:r>
      <w:proofErr w:type="spellStart"/>
      <w:r>
        <w:t>30%</w:t>
      </w:r>
      <w:proofErr w:type="spellEnd"/>
      <w:r>
        <w:t xml:space="preserve"> от уровня средней заработной платы, публикуемой Статистическим управлением.</w:t>
      </w:r>
    </w:p>
    <w:p w:rsidR="00000000" w:rsidRDefault="00000000"/>
    <w:p w:rsidR="00000000" w:rsidRDefault="00000000">
      <w:r>
        <w:t>291.</w:t>
      </w:r>
      <w:r>
        <w:tab/>
        <w:t xml:space="preserve">Отчисления и другие обязательства рассчитываются и выплачиваются в объеме </w:t>
      </w:r>
      <w:proofErr w:type="spellStart"/>
      <w:r>
        <w:t>50%</w:t>
      </w:r>
      <w:proofErr w:type="spellEnd"/>
      <w:r>
        <w:t xml:space="preserve"> от базового уровня согласно пункту 6 статьи 180 Закона о пенсиях и страховании инвалидности.</w:t>
      </w:r>
    </w:p>
    <w:p w:rsidR="00000000" w:rsidRDefault="00000000"/>
    <w:p w:rsidR="00000000" w:rsidRDefault="00000000">
      <w:r>
        <w:t>292.</w:t>
      </w:r>
      <w:r>
        <w:tab/>
        <w:t>Разовые денежные пособия или помощь натурой предусматриваются для лиц или семей, составляющих группу социального риска, в силу стихийных бедствий или эпидемий, длительного лечения в медицинских учреждениях или по причине других социальных кризисов.</w:t>
      </w:r>
    </w:p>
    <w:p w:rsidR="00000000" w:rsidRDefault="00000000"/>
    <w:p w:rsidR="00000000" w:rsidRDefault="00000000">
      <w:r>
        <w:t>293.</w:t>
      </w:r>
      <w:r>
        <w:tab/>
        <w:t>Помощь натурой по смыслу этого закона представляет собой выдачу лицам одежды, продуктов питания и других средств, необходимых для удовлетворения минимальных жизненных потребностей гражданина и семьи.</w:t>
      </w:r>
    </w:p>
    <w:p w:rsidR="00000000" w:rsidRDefault="00000000"/>
    <w:p w:rsidR="00000000" w:rsidRDefault="00000000">
      <w:r>
        <w:t>294.</w:t>
      </w:r>
      <w:r>
        <w:tab/>
        <w:t>Размер одноразового денежного пособия определяется приказом министра труда и социальной политики.  Как исключение, при несчастном случае, резком ухудшении состояния здоровья, требующем госпитализации, и т.д. граждане бывшей югославской Республики Македонии, не проживающие постоянно в стране, и иностранные граждане, не имеющие постоянного вида на жительство, могут также получать такое пособие.</w:t>
      </w:r>
    </w:p>
    <w:p w:rsidR="00000000" w:rsidRDefault="00000000"/>
    <w:p w:rsidR="00000000" w:rsidRDefault="00000000">
      <w:r>
        <w:t>295.</w:t>
      </w:r>
      <w:r>
        <w:tab/>
        <w:t>Статья 35 Закона о социальной защите регулирует право на жилье, которое предоставляется социально незастрахованным лицам, не имеющим жилья.  В соответствии с поправками и дополнениями к Закону о социальной защите ("Официальный вестник" бывшей югославской Республики Македонии № 65/2004) реализация этого права передана в компетенцию муниципалитетов.</w:t>
      </w:r>
    </w:p>
    <w:p w:rsidR="00000000" w:rsidRDefault="00000000"/>
    <w:p w:rsidR="00000000" w:rsidRDefault="00000000">
      <w:r>
        <w:t>296.</w:t>
      </w:r>
      <w:r>
        <w:tab/>
        <w:t>Принято правительственное постановление, в котором регламентированы и подробно прописаны условия, критерии, объем, форма и процедура установления и осуществления права на получение социальных денежных пособий гражданами, входящими в группу социального риска.  Условия, объем, критерии и форма осуществления этого права определяются постановлением правительства.</w:t>
      </w:r>
    </w:p>
    <w:p w:rsidR="00000000" w:rsidRDefault="00000000"/>
    <w:p w:rsidR="00000000" w:rsidRDefault="00000000">
      <w:r>
        <w:t>297.</w:t>
      </w:r>
      <w:r>
        <w:tab/>
        <w:t>Размер социального пособия определяется чертой бедности и объемом средств, выделяемых на эти цели.</w:t>
      </w:r>
    </w:p>
    <w:p w:rsidR="00000000" w:rsidRDefault="00000000"/>
    <w:p w:rsidR="00000000" w:rsidRDefault="00000000">
      <w:r>
        <w:t>298.</w:t>
      </w:r>
      <w:r>
        <w:tab/>
        <w:t xml:space="preserve">Черта бедности в стране определена на уровне 36 000 </w:t>
      </w:r>
      <w:proofErr w:type="spellStart"/>
      <w:r>
        <w:t>денаров</w:t>
      </w:r>
      <w:proofErr w:type="spellEnd"/>
      <w:r>
        <w:t xml:space="preserve"> в год или 3 000 </w:t>
      </w:r>
      <w:proofErr w:type="spellStart"/>
      <w:r>
        <w:t>денаров</w:t>
      </w:r>
      <w:proofErr w:type="spellEnd"/>
      <w:r>
        <w:t xml:space="preserve"> в месяц.</w:t>
      </w:r>
    </w:p>
    <w:p w:rsidR="00000000" w:rsidRDefault="00000000"/>
    <w:p w:rsidR="00000000" w:rsidRDefault="00000000">
      <w:r>
        <w:t>299.</w:t>
      </w:r>
      <w:r>
        <w:tab/>
        <w:t xml:space="preserve">Социальное пособие домашнему хозяйству в составе одного человека установлено в размере </w:t>
      </w:r>
      <w:proofErr w:type="spellStart"/>
      <w:r>
        <w:t>57%</w:t>
      </w:r>
      <w:proofErr w:type="spellEnd"/>
      <w:r>
        <w:t xml:space="preserve"> от расчетного уровня черты бедности.</w:t>
      </w:r>
    </w:p>
    <w:p w:rsidR="00000000" w:rsidRDefault="00000000"/>
    <w:p w:rsidR="00000000" w:rsidRDefault="00000000">
      <w:r>
        <w:t>300.</w:t>
      </w:r>
      <w:r>
        <w:tab/>
        <w:t>Согласно статье 3 постановления, размер пособия по социальному страхованию определяется следующим образом:</w:t>
      </w:r>
    </w:p>
    <w:p w:rsidR="00000000" w:rsidRDefault="00000000"/>
    <w:p w:rsidR="00000000" w:rsidRDefault="00000000">
      <w:r>
        <w:tab/>
        <w:t>-</w:t>
      </w:r>
      <w:r>
        <w:tab/>
        <w:t xml:space="preserve">1 700 </w:t>
      </w:r>
      <w:proofErr w:type="spellStart"/>
      <w:r>
        <w:t>денаров</w:t>
      </w:r>
      <w:proofErr w:type="spellEnd"/>
      <w:r>
        <w:t xml:space="preserve"> на домашнее хозяйство в составе одного человека;</w:t>
      </w:r>
    </w:p>
    <w:p w:rsidR="00000000" w:rsidRDefault="00000000"/>
    <w:p w:rsidR="00000000" w:rsidRDefault="00000000">
      <w:r>
        <w:tab/>
        <w:t>-</w:t>
      </w:r>
      <w:r>
        <w:tab/>
        <w:t xml:space="preserve">2 200 </w:t>
      </w:r>
      <w:proofErr w:type="spellStart"/>
      <w:r>
        <w:t>денаров</w:t>
      </w:r>
      <w:proofErr w:type="spellEnd"/>
      <w:r>
        <w:t xml:space="preserve"> на домашнее хозяйство в составе двух человек;</w:t>
      </w:r>
    </w:p>
    <w:p w:rsidR="00000000" w:rsidRDefault="00000000"/>
    <w:p w:rsidR="00000000" w:rsidRDefault="00000000">
      <w:r>
        <w:tab/>
        <w:t>-</w:t>
      </w:r>
      <w:r>
        <w:tab/>
        <w:t xml:space="preserve">2 800 </w:t>
      </w:r>
      <w:proofErr w:type="spellStart"/>
      <w:r>
        <w:t>денаров</w:t>
      </w:r>
      <w:proofErr w:type="spellEnd"/>
      <w:r>
        <w:t xml:space="preserve"> на домашнее хозяйство в составе трех человек;</w:t>
      </w:r>
    </w:p>
    <w:p w:rsidR="00000000" w:rsidRDefault="00000000"/>
    <w:p w:rsidR="00000000" w:rsidRDefault="00000000">
      <w:r>
        <w:tab/>
        <w:t>-</w:t>
      </w:r>
      <w:r>
        <w:tab/>
        <w:t xml:space="preserve">3 600 </w:t>
      </w:r>
      <w:proofErr w:type="spellStart"/>
      <w:r>
        <w:t>денаров</w:t>
      </w:r>
      <w:proofErr w:type="spellEnd"/>
      <w:r>
        <w:t xml:space="preserve"> на домашнее хозяйство в составе четырех человек;</w:t>
      </w:r>
    </w:p>
    <w:p w:rsidR="00000000" w:rsidRDefault="00000000"/>
    <w:p w:rsidR="00000000" w:rsidRDefault="00000000">
      <w:r>
        <w:tab/>
        <w:t>-</w:t>
      </w:r>
      <w:r>
        <w:tab/>
        <w:t xml:space="preserve">4 200 </w:t>
      </w:r>
      <w:proofErr w:type="spellStart"/>
      <w:r>
        <w:t>денаров</w:t>
      </w:r>
      <w:proofErr w:type="spellEnd"/>
      <w:r>
        <w:t xml:space="preserve"> на домашнее хозяйство в составе пяти и более человек.</w:t>
      </w:r>
    </w:p>
    <w:p w:rsidR="00000000" w:rsidRDefault="00000000"/>
    <w:p w:rsidR="00000000" w:rsidRDefault="00000000">
      <w:r>
        <w:t>301.</w:t>
      </w:r>
      <w:r>
        <w:tab/>
        <w:t xml:space="preserve">Суммы, предусмотренные в статье 3 постановления, выплачиваются в объеме </w:t>
      </w:r>
      <w:proofErr w:type="spellStart"/>
      <w:r>
        <w:t>100%</w:t>
      </w:r>
      <w:proofErr w:type="spellEnd"/>
      <w:r>
        <w:t xml:space="preserve"> в первые 24 месяца с начала получения пособия, в последующем сумма снижается до </w:t>
      </w:r>
      <w:proofErr w:type="spellStart"/>
      <w:r>
        <w:t>70%</w:t>
      </w:r>
      <w:proofErr w:type="spellEnd"/>
      <w:r>
        <w:t xml:space="preserve"> от установленного объема в третьем, четвертом и пятом году получения пособия, в последующие годы пособие выплачивается в половинном размере.</w:t>
      </w:r>
    </w:p>
    <w:p w:rsidR="00000000" w:rsidRDefault="00000000"/>
    <w:p w:rsidR="00000000" w:rsidRDefault="00000000">
      <w:r>
        <w:t>302.</w:t>
      </w:r>
      <w:r>
        <w:tab/>
        <w:t>Кроме того, в статье 4 предусматриваются пособия для домашних хозяйств, состоящих из лиц, ведущих общее хозяйство и получающих и совместно использующих доход (совместно владея имуществом).  Членами таких домашних хозяйств в контексте этой статьи являются:</w:t>
      </w:r>
    </w:p>
    <w:p w:rsidR="00000000" w:rsidRDefault="00000000"/>
    <w:p w:rsidR="00000000" w:rsidRDefault="00000000">
      <w:r>
        <w:tab/>
        <w:t>-</w:t>
      </w:r>
      <w:r>
        <w:tab/>
        <w:t>супруг/супруга, которые состоят в браке или внебрачном союзе;</w:t>
      </w:r>
    </w:p>
    <w:p w:rsidR="00000000" w:rsidRDefault="00000000"/>
    <w:p w:rsidR="00000000" w:rsidRDefault="00000000">
      <w:pPr>
        <w:ind w:left="1134" w:hanging="1134"/>
      </w:pPr>
      <w:r>
        <w:tab/>
        <w:t>-</w:t>
      </w:r>
      <w:r>
        <w:tab/>
        <w:t>дети, рожденные в браке или вне брака, дети, находящиеся на иждивении в данном домашнем хозяйстве;</w:t>
      </w:r>
    </w:p>
    <w:p w:rsidR="00000000" w:rsidRDefault="00000000">
      <w:pPr>
        <w:ind w:left="1134" w:hanging="1134"/>
      </w:pPr>
      <w:r>
        <w:tab/>
        <w:t>-</w:t>
      </w:r>
      <w:r>
        <w:tab/>
        <w:t>дети, состоящие в родственных или в юридических отношениях с получателем пособия или его/ее супругой/супругом;</w:t>
      </w:r>
    </w:p>
    <w:p w:rsidR="00000000" w:rsidRDefault="00000000">
      <w:pPr>
        <w:ind w:left="1134" w:hanging="1134"/>
      </w:pPr>
    </w:p>
    <w:p w:rsidR="00000000" w:rsidRDefault="00000000">
      <w:pPr>
        <w:ind w:left="1134" w:hanging="1134"/>
      </w:pPr>
      <w:r>
        <w:tab/>
        <w:t>-</w:t>
      </w:r>
      <w:r>
        <w:tab/>
        <w:t>лица, временно проживающие в ином месте или временно работающие за рубежом;</w:t>
      </w:r>
    </w:p>
    <w:p w:rsidR="00000000" w:rsidRDefault="00000000">
      <w:pPr>
        <w:ind w:left="567" w:hanging="567"/>
      </w:pPr>
    </w:p>
    <w:p w:rsidR="00000000" w:rsidRDefault="00000000">
      <w:pPr>
        <w:ind w:left="567" w:hanging="567"/>
      </w:pPr>
      <w:r>
        <w:tab/>
        <w:t>-</w:t>
      </w:r>
      <w:r>
        <w:tab/>
        <w:t>лица, проходящие службу в армии;</w:t>
      </w:r>
    </w:p>
    <w:p w:rsidR="00000000" w:rsidRDefault="00000000">
      <w:pPr>
        <w:ind w:left="567" w:hanging="567"/>
      </w:pPr>
    </w:p>
    <w:p w:rsidR="00000000" w:rsidRDefault="00000000">
      <w:pPr>
        <w:ind w:left="567" w:hanging="567"/>
      </w:pPr>
      <w:r>
        <w:tab/>
        <w:t>-</w:t>
      </w:r>
      <w:r>
        <w:tab/>
        <w:t>госпитализированные лица.</w:t>
      </w:r>
    </w:p>
    <w:p w:rsidR="00000000" w:rsidRDefault="00000000">
      <w:pPr>
        <w:ind w:left="567" w:hanging="567"/>
      </w:pPr>
    </w:p>
    <w:p w:rsidR="00000000" w:rsidRDefault="00000000">
      <w:r>
        <w:t>303.</w:t>
      </w:r>
      <w:r>
        <w:tab/>
        <w:t>По смыслу пункта 1 статьи 4 в число членов домашнего хозяйства не входят лица, отбывающие тюремное заключение сроком более 30 дней, а также лица, проживающие в другой семье или учреждении социальной защиты, общежитиях учебных заведений и интернатах для детей и подростков с дефектами физического и умственного развития.</w:t>
      </w:r>
    </w:p>
    <w:p w:rsidR="00000000" w:rsidRDefault="00000000"/>
    <w:p w:rsidR="00000000" w:rsidRDefault="00000000">
      <w:r>
        <w:t>304.</w:t>
      </w:r>
      <w:r>
        <w:tab/>
        <w:t xml:space="preserve">Домашнее хозяйство имеет право на социальную помощь, если суммарный месячный доход его членов согласно статье 10 этого постановления ниже установленного уровня социальной помощи домашнему хозяйству с соответствующим числом членов согласно статье 3 этого постановления.  Если размер социального пособия домашнему хозяйству меньше 100 </w:t>
      </w:r>
      <w:proofErr w:type="spellStart"/>
      <w:r>
        <w:t>денаров</w:t>
      </w:r>
      <w:proofErr w:type="spellEnd"/>
      <w:r>
        <w:t xml:space="preserve">, такое пособие не выплачивается.  </w:t>
      </w:r>
    </w:p>
    <w:p w:rsidR="00000000" w:rsidRDefault="00000000"/>
    <w:p w:rsidR="00000000" w:rsidRDefault="00000000">
      <w:r>
        <w:t>305.</w:t>
      </w:r>
      <w:r>
        <w:tab/>
        <w:t>Согласно статье 7, семья домашнее хозяйство, имеющее право на пособие по социальному страхованию, получает выплаты в следующих объемах:</w:t>
      </w:r>
    </w:p>
    <w:p w:rsidR="00000000" w:rsidRDefault="00000000"/>
    <w:p w:rsidR="00000000" w:rsidRDefault="00000000">
      <w:pPr>
        <w:ind w:left="1134" w:hanging="567"/>
      </w:pPr>
      <w:r>
        <w:t>-</w:t>
      </w:r>
      <w:r>
        <w:tab/>
        <w:t>сумму, установленную для домашнего хозяйства с соответствующим числом членов согласно пункту 3 постановления, в том случае, если семья не имеет источника дохода;</w:t>
      </w:r>
    </w:p>
    <w:p w:rsidR="00000000" w:rsidRDefault="00000000">
      <w:pPr>
        <w:ind w:left="567"/>
      </w:pPr>
    </w:p>
    <w:p w:rsidR="00000000" w:rsidRDefault="00000000">
      <w:pPr>
        <w:ind w:left="1134" w:hanging="567"/>
      </w:pPr>
      <w:r>
        <w:t>-</w:t>
      </w:r>
      <w:r>
        <w:tab/>
        <w:t>разницу между суммарным месячным доходом всех членов семьи из всех источников согласно статье 10 постановления и суммой пособия по социальному страхованию, установленной для домашних хозяйств с соответствующим числом членов согласно статье 3 этого постановления.</w:t>
      </w:r>
    </w:p>
    <w:p w:rsidR="00000000" w:rsidRDefault="00000000">
      <w:pPr>
        <w:ind w:left="567"/>
      </w:pPr>
    </w:p>
    <w:p w:rsidR="00000000" w:rsidRDefault="00000000">
      <w:r>
        <w:t>306.</w:t>
      </w:r>
      <w:r>
        <w:tab/>
        <w:t>Право на получение пособия по социальному страхованию наступает в первый день месяца после даты подачи заявления.</w:t>
      </w:r>
    </w:p>
    <w:p w:rsidR="00000000" w:rsidRDefault="00000000"/>
    <w:p w:rsidR="00000000" w:rsidRDefault="00000000">
      <w:r>
        <w:t>307.</w:t>
      </w:r>
      <w:r>
        <w:tab/>
        <w:t>Согласно статье 8, сумма пособия по социальному страхованию устанавливается и рассчитывается на квартальной или ежегодной основе в зависимости от категории заявителя.  Согласно постановлению, заявители подразделяются на следующие категории:</w:t>
      </w:r>
    </w:p>
    <w:p w:rsidR="00000000" w:rsidRDefault="00000000">
      <w:pPr>
        <w:keepNext/>
        <w:rPr>
          <w:i/>
          <w:iCs/>
        </w:rPr>
      </w:pPr>
      <w:r>
        <w:tab/>
      </w:r>
      <w:r>
        <w:rPr>
          <w:i/>
          <w:iCs/>
        </w:rPr>
        <w:t>8.1</w:t>
      </w:r>
      <w:r>
        <w:rPr>
          <w:i/>
          <w:iCs/>
        </w:rPr>
        <w:tab/>
        <w:t>Домашние хозяйства, в которых получатель пособия трудоустроен</w:t>
      </w:r>
    </w:p>
    <w:p w:rsidR="00000000" w:rsidRDefault="00000000">
      <w:pPr>
        <w:keepNext/>
        <w:rPr>
          <w:i/>
          <w:iCs/>
        </w:rPr>
      </w:pPr>
    </w:p>
    <w:p w:rsidR="00000000" w:rsidRDefault="00000000">
      <w:r>
        <w:t>308.</w:t>
      </w:r>
      <w:r>
        <w:tab/>
        <w:t>Заявление в соответствии с пунктом 8.1 представляется раз в год, а документы, подтверждающие уровень дохода семьи, - ежеквартально.</w:t>
      </w:r>
    </w:p>
    <w:p w:rsidR="00000000" w:rsidRDefault="00000000"/>
    <w:p w:rsidR="00000000" w:rsidRDefault="00000000">
      <w:r>
        <w:t>309.</w:t>
      </w:r>
      <w:r>
        <w:tab/>
        <w:t>Ежемесячный доход домашнего хозяйства согласно пункту 8.1 определяется на основе среднемесячного дохода за квартал, предшествующий подаче заявления.</w:t>
      </w:r>
    </w:p>
    <w:p w:rsidR="00000000" w:rsidRDefault="00000000"/>
    <w:p w:rsidR="00000000" w:rsidRDefault="00000000">
      <w:pPr>
        <w:rPr>
          <w:i/>
          <w:iCs/>
        </w:rPr>
      </w:pPr>
      <w:r>
        <w:tab/>
      </w:r>
      <w:r>
        <w:rPr>
          <w:i/>
          <w:iCs/>
        </w:rPr>
        <w:t>8.2</w:t>
      </w:r>
      <w:r>
        <w:rPr>
          <w:i/>
          <w:iCs/>
        </w:rPr>
        <w:tab/>
        <w:t>Домашние хозяйства, в которых получатель пособия является пенсионером</w:t>
      </w:r>
    </w:p>
    <w:p w:rsidR="00000000" w:rsidRDefault="00000000">
      <w:pPr>
        <w:rPr>
          <w:i/>
          <w:iCs/>
        </w:rPr>
      </w:pPr>
    </w:p>
    <w:p w:rsidR="00000000" w:rsidRDefault="00000000">
      <w:r>
        <w:t>310.</w:t>
      </w:r>
      <w:r>
        <w:tab/>
        <w:t xml:space="preserve">Заявление в соответствие с пунктом 8.2 представляется раз в год.  </w:t>
      </w:r>
    </w:p>
    <w:p w:rsidR="00000000" w:rsidRDefault="00000000"/>
    <w:p w:rsidR="00000000" w:rsidRDefault="00000000">
      <w:r>
        <w:t>311.</w:t>
      </w:r>
      <w:r>
        <w:tab/>
        <w:t>Ежемесячный доход семьи согласно пункту 8.2 определяется в зависимости от среднемесячного дохода за квартал, предшествующий подаче заявления.</w:t>
      </w:r>
    </w:p>
    <w:p w:rsidR="00000000" w:rsidRDefault="00000000"/>
    <w:p w:rsidR="00000000" w:rsidRDefault="00000000">
      <w:pPr>
        <w:ind w:left="1134" w:hanging="1134"/>
        <w:rPr>
          <w:i/>
          <w:iCs/>
        </w:rPr>
      </w:pPr>
      <w:r>
        <w:tab/>
      </w:r>
      <w:r>
        <w:rPr>
          <w:i/>
          <w:iCs/>
        </w:rPr>
        <w:t>8.3</w:t>
      </w:r>
      <w:r>
        <w:rPr>
          <w:i/>
          <w:iCs/>
        </w:rPr>
        <w:tab/>
        <w:t>Домашние хозяйства, в которых получатель пособия является зарегистрированным безработным</w:t>
      </w:r>
    </w:p>
    <w:p w:rsidR="00000000" w:rsidRDefault="00000000">
      <w:pPr>
        <w:ind w:left="1134" w:hanging="1134"/>
        <w:rPr>
          <w:i/>
          <w:iCs/>
        </w:rPr>
      </w:pPr>
    </w:p>
    <w:p w:rsidR="00000000" w:rsidRDefault="00000000">
      <w:r>
        <w:t>312.</w:t>
      </w:r>
      <w:r>
        <w:tab/>
        <w:t>Заявление в соответствии с пунктом 8.3 представляется раз в год.</w:t>
      </w:r>
    </w:p>
    <w:p w:rsidR="00000000" w:rsidRDefault="00000000"/>
    <w:p w:rsidR="00000000" w:rsidRDefault="00000000">
      <w:r>
        <w:t>313.</w:t>
      </w:r>
      <w:r>
        <w:tab/>
        <w:t>Ежемесячно на дату, устанавливаемую Центром социальной деятельности, получатель пособия обязан представлять удостоверяющую информацию в форме карточки соответствующего бюро по трудоустройству, в которой согласно Закону о занятости подтверждается, что он/она и остальные члены домашнего хозяйства по</w:t>
      </w:r>
      <w:r>
        <w:noBreakHyphen/>
        <w:t>прежнему являются безработными.</w:t>
      </w:r>
    </w:p>
    <w:p w:rsidR="00000000" w:rsidRDefault="00000000"/>
    <w:p w:rsidR="00000000" w:rsidRDefault="00000000">
      <w:r>
        <w:t>314.</w:t>
      </w:r>
      <w:r>
        <w:tab/>
        <w:t>Ежемесячный доход семьи согласно пункту 8.3 определяется на основе среднемесячного дохода за последний квартал, предшествующий подаче заявления.</w:t>
      </w:r>
    </w:p>
    <w:p w:rsidR="00000000" w:rsidRDefault="00000000"/>
    <w:p w:rsidR="00000000" w:rsidRDefault="00000000">
      <w:pPr>
        <w:ind w:left="1134" w:hanging="1134"/>
        <w:rPr>
          <w:i/>
          <w:iCs/>
        </w:rPr>
      </w:pPr>
      <w:r>
        <w:tab/>
      </w:r>
      <w:r>
        <w:rPr>
          <w:i/>
          <w:iCs/>
        </w:rPr>
        <w:t>8.4</w:t>
      </w:r>
      <w:r>
        <w:rPr>
          <w:i/>
          <w:iCs/>
        </w:rPr>
        <w:tab/>
        <w:t>Домашнее хозяйство, в котором получатель пособия получает постоянное денежное пособие</w:t>
      </w:r>
    </w:p>
    <w:p w:rsidR="00000000" w:rsidRDefault="00000000">
      <w:pPr>
        <w:ind w:left="1134" w:hanging="1134"/>
        <w:rPr>
          <w:i/>
          <w:iCs/>
        </w:rPr>
      </w:pPr>
    </w:p>
    <w:p w:rsidR="00000000" w:rsidRDefault="00000000">
      <w:r>
        <w:t>315.</w:t>
      </w:r>
      <w:r>
        <w:tab/>
        <w:t>Речь идет о домашнем хозяйстве, в котором получатель пособия также получает постоянное денежное пособие в соответствии с Законом о социальной защите.  Заявление в соответствии с пунктом 8.4 подается раз в год, и месячный объем пособия определяется на основании среднемесячного дохода за последний квартал, предшествующий подаче заявления.</w:t>
      </w:r>
    </w:p>
    <w:p w:rsidR="00000000" w:rsidRDefault="00000000"/>
    <w:p w:rsidR="00000000" w:rsidRDefault="00000000">
      <w:pPr>
        <w:keepNext/>
        <w:rPr>
          <w:i/>
          <w:iCs/>
        </w:rPr>
      </w:pPr>
      <w:r>
        <w:rPr>
          <w:i/>
          <w:iCs/>
        </w:rPr>
        <w:tab/>
        <w:t>8.5</w:t>
      </w:r>
      <w:r>
        <w:rPr>
          <w:i/>
          <w:iCs/>
        </w:rPr>
        <w:tab/>
        <w:t>Все другие домашние хозяйства</w:t>
      </w:r>
    </w:p>
    <w:p w:rsidR="00000000" w:rsidRDefault="00000000">
      <w:pPr>
        <w:rPr>
          <w:i/>
          <w:iCs/>
        </w:rPr>
      </w:pPr>
    </w:p>
    <w:p w:rsidR="00000000" w:rsidRDefault="00000000">
      <w:r>
        <w:t>316.</w:t>
      </w:r>
      <w:r>
        <w:tab/>
        <w:t>Заявления в соответствии с пунктом 8.5 подаются раз в год, а необходимые документы, подтверждающие доход семьи, представляются ежеквартально.  Месячный доход семьи, согласно пункту 8.5, определяется на основе среднемесячного дохода за квартал, предшествующий подаче ходатайства.</w:t>
      </w:r>
    </w:p>
    <w:p w:rsidR="00000000" w:rsidRDefault="00000000"/>
    <w:p w:rsidR="00000000" w:rsidRDefault="00000000">
      <w:r>
        <w:t>317.</w:t>
      </w:r>
      <w:r>
        <w:tab/>
        <w:t>Доходом, на основании которого определяется материальное положение домашнего хозяйства для получения социальной помощи в будущем согласно этому постановлению, является доход всех членов домашнего хозяйства из следующих источников:</w:t>
      </w:r>
    </w:p>
    <w:p w:rsidR="00000000" w:rsidRDefault="00000000"/>
    <w:p w:rsidR="00000000" w:rsidRDefault="00000000">
      <w:pPr>
        <w:ind w:left="567"/>
      </w:pPr>
      <w:r>
        <w:t>-</w:t>
      </w:r>
      <w:r>
        <w:tab/>
        <w:t>заработная плата и компенсационные доплаты к ней;</w:t>
      </w:r>
    </w:p>
    <w:p w:rsidR="00000000" w:rsidRDefault="00000000">
      <w:pPr>
        <w:ind w:left="567"/>
      </w:pPr>
    </w:p>
    <w:p w:rsidR="00000000" w:rsidRDefault="00000000">
      <w:pPr>
        <w:ind w:left="1134" w:hanging="567"/>
      </w:pPr>
      <w:r>
        <w:t>-</w:t>
      </w:r>
      <w:r>
        <w:tab/>
        <w:t>пенсии, пенсии по возрасту, пенсии для членов семьи, пенсии по инвалидности, пенсии ветеранов, работников сельского хозяйства и иностранные пенсии;</w:t>
      </w:r>
    </w:p>
    <w:p w:rsidR="00000000" w:rsidRDefault="00000000">
      <w:pPr>
        <w:ind w:left="567"/>
      </w:pPr>
    </w:p>
    <w:p w:rsidR="00000000" w:rsidRDefault="00000000">
      <w:pPr>
        <w:ind w:left="567"/>
      </w:pPr>
      <w:r>
        <w:t>-</w:t>
      </w:r>
      <w:r>
        <w:tab/>
        <w:t>дотации на ребенка;</w:t>
      </w:r>
    </w:p>
    <w:p w:rsidR="00000000" w:rsidRDefault="00000000">
      <w:pPr>
        <w:ind w:left="567"/>
      </w:pPr>
    </w:p>
    <w:p w:rsidR="00000000" w:rsidRDefault="00000000">
      <w:pPr>
        <w:ind w:left="567"/>
      </w:pPr>
      <w:r>
        <w:t>-</w:t>
      </w:r>
      <w:r>
        <w:tab/>
        <w:t>пособие по безработице;</w:t>
      </w:r>
    </w:p>
    <w:p w:rsidR="00000000" w:rsidRDefault="00000000">
      <w:pPr>
        <w:ind w:left="567"/>
      </w:pPr>
    </w:p>
    <w:p w:rsidR="00000000" w:rsidRDefault="00000000">
      <w:pPr>
        <w:ind w:left="567"/>
      </w:pPr>
      <w:r>
        <w:t>-</w:t>
      </w:r>
      <w:r>
        <w:tab/>
        <w:t>постоянное денежное пособие;</w:t>
      </w:r>
    </w:p>
    <w:p w:rsidR="00000000" w:rsidRDefault="00000000">
      <w:pPr>
        <w:ind w:left="567"/>
      </w:pPr>
    </w:p>
    <w:p w:rsidR="00000000" w:rsidRDefault="00000000">
      <w:pPr>
        <w:ind w:left="567"/>
      </w:pPr>
      <w:r>
        <w:t>-</w:t>
      </w:r>
      <w:r>
        <w:tab/>
        <w:t>доход от недвижимости и прав владения;</w:t>
      </w:r>
    </w:p>
    <w:p w:rsidR="00000000" w:rsidRDefault="00000000">
      <w:pPr>
        <w:ind w:left="567"/>
      </w:pPr>
    </w:p>
    <w:p w:rsidR="00000000" w:rsidRDefault="00000000">
      <w:pPr>
        <w:ind w:left="567"/>
      </w:pPr>
      <w:r>
        <w:t>-</w:t>
      </w:r>
      <w:r>
        <w:tab/>
        <w:t>доход от занятия сельским хозяйством;</w:t>
      </w:r>
    </w:p>
    <w:p w:rsidR="00000000" w:rsidRDefault="00000000">
      <w:pPr>
        <w:ind w:left="567"/>
      </w:pPr>
    </w:p>
    <w:p w:rsidR="00000000" w:rsidRDefault="00000000">
      <w:pPr>
        <w:ind w:left="1134" w:hanging="567"/>
      </w:pPr>
      <w:r>
        <w:t>-</w:t>
      </w:r>
      <w:r>
        <w:tab/>
        <w:t>доход от хозяйственной или профессиональной деятельности в личном качестве;</w:t>
      </w:r>
    </w:p>
    <w:p w:rsidR="00000000" w:rsidRDefault="00000000">
      <w:pPr>
        <w:ind w:left="1134" w:hanging="567"/>
      </w:pPr>
    </w:p>
    <w:p w:rsidR="00000000" w:rsidRDefault="00000000">
      <w:pPr>
        <w:ind w:left="567"/>
      </w:pPr>
      <w:r>
        <w:t>-</w:t>
      </w:r>
      <w:r>
        <w:tab/>
        <w:t xml:space="preserve">доход </w:t>
      </w:r>
      <w:proofErr w:type="spellStart"/>
      <w:r>
        <w:t>самозанятого</w:t>
      </w:r>
      <w:proofErr w:type="spellEnd"/>
      <w:r>
        <w:t xml:space="preserve"> лица;</w:t>
      </w:r>
    </w:p>
    <w:p w:rsidR="00000000" w:rsidRDefault="00000000">
      <w:pPr>
        <w:ind w:left="567"/>
      </w:pPr>
    </w:p>
    <w:p w:rsidR="00000000" w:rsidRDefault="00000000">
      <w:pPr>
        <w:ind w:left="567"/>
      </w:pPr>
      <w:r>
        <w:t>-</w:t>
      </w:r>
      <w:r>
        <w:tab/>
        <w:t>алименты, стипендии, кредиты;</w:t>
      </w:r>
    </w:p>
    <w:p w:rsidR="00000000" w:rsidRDefault="00000000">
      <w:pPr>
        <w:ind w:left="567"/>
      </w:pPr>
    </w:p>
    <w:p w:rsidR="00000000" w:rsidRDefault="00000000">
      <w:pPr>
        <w:ind w:left="567"/>
      </w:pPr>
      <w:r>
        <w:t>-</w:t>
      </w:r>
      <w:r>
        <w:tab/>
        <w:t>дивиденды и проценты по вкладам;</w:t>
      </w:r>
    </w:p>
    <w:p w:rsidR="00000000" w:rsidRDefault="00000000">
      <w:pPr>
        <w:ind w:left="567"/>
      </w:pPr>
    </w:p>
    <w:p w:rsidR="00000000" w:rsidRDefault="00000000">
      <w:pPr>
        <w:ind w:left="567"/>
      </w:pPr>
      <w:r>
        <w:t>-</w:t>
      </w:r>
      <w:r>
        <w:tab/>
        <w:t>компенсация за потерю трудоспособности гражданскими лицами;</w:t>
      </w:r>
    </w:p>
    <w:p w:rsidR="00000000" w:rsidRDefault="00000000">
      <w:pPr>
        <w:ind w:left="567"/>
      </w:pPr>
    </w:p>
    <w:p w:rsidR="00000000" w:rsidRDefault="00000000">
      <w:pPr>
        <w:ind w:left="567"/>
      </w:pPr>
      <w:r>
        <w:t>-</w:t>
      </w:r>
      <w:r>
        <w:tab/>
        <w:t>облигации по прежним валютным счетам;</w:t>
      </w:r>
    </w:p>
    <w:p w:rsidR="00000000" w:rsidRDefault="00000000">
      <w:pPr>
        <w:ind w:left="567"/>
      </w:pPr>
      <w:r>
        <w:t>-</w:t>
      </w:r>
      <w:r>
        <w:tab/>
        <w:t>иные источники дохода.</w:t>
      </w:r>
    </w:p>
    <w:p w:rsidR="00000000" w:rsidRDefault="00000000">
      <w:pPr>
        <w:ind w:left="567"/>
      </w:pPr>
    </w:p>
    <w:p w:rsidR="00000000" w:rsidRDefault="00000000">
      <w:r>
        <w:t>318.</w:t>
      </w:r>
      <w:r>
        <w:tab/>
        <w:t>Общий среднемесячный доход домашнего хозяйства рассчитывается как сумма всех доходов его членов из источников, указанных в пункте 1 этой статьи, в расчете на один месяц.</w:t>
      </w:r>
    </w:p>
    <w:p w:rsidR="00000000" w:rsidRDefault="00000000"/>
    <w:p w:rsidR="00000000" w:rsidRDefault="00000000">
      <w:r>
        <w:t>319.</w:t>
      </w:r>
      <w:r>
        <w:tab/>
        <w:t>В качестве исключения из статьи 10 постановления следующие поступления не рассматриваются в качестве дохода домашнего хозяйства:</w:t>
      </w:r>
    </w:p>
    <w:p w:rsidR="00000000" w:rsidRDefault="00000000"/>
    <w:p w:rsidR="00000000" w:rsidRDefault="00000000">
      <w:r>
        <w:tab/>
        <w:t>а)</w:t>
      </w:r>
      <w:r>
        <w:tab/>
        <w:t>денежная компенсация за телесные повреждения;</w:t>
      </w:r>
    </w:p>
    <w:p w:rsidR="00000000" w:rsidRDefault="00000000"/>
    <w:p w:rsidR="00000000" w:rsidRDefault="00000000">
      <w:r>
        <w:tab/>
      </w:r>
      <w:r>
        <w:rPr>
          <w:lang w:val="en-US"/>
        </w:rPr>
        <w:t>b</w:t>
      </w:r>
      <w:r>
        <w:t>)</w:t>
      </w:r>
      <w:r>
        <w:tab/>
        <w:t>дотация на оплату ухода и помощи со стороны третьего лица;</w:t>
      </w:r>
    </w:p>
    <w:p w:rsidR="00000000" w:rsidRDefault="00000000"/>
    <w:p w:rsidR="00000000" w:rsidRDefault="00000000">
      <w:r>
        <w:tab/>
      </w:r>
      <w:r>
        <w:rPr>
          <w:lang w:val="en-US"/>
        </w:rPr>
        <w:t>c</w:t>
      </w:r>
      <w:r>
        <w:t>)</w:t>
      </w:r>
      <w:r>
        <w:tab/>
        <w:t>специальная дотация;</w:t>
      </w:r>
    </w:p>
    <w:p w:rsidR="00000000" w:rsidRDefault="00000000"/>
    <w:p w:rsidR="00000000" w:rsidRDefault="00000000">
      <w:r>
        <w:tab/>
      </w:r>
      <w:r>
        <w:rPr>
          <w:lang w:val="en-US"/>
        </w:rPr>
        <w:t>d</w:t>
      </w:r>
      <w:r>
        <w:t>)</w:t>
      </w:r>
      <w:r>
        <w:tab/>
        <w:t>дотация по приему на работу;</w:t>
      </w:r>
    </w:p>
    <w:p w:rsidR="00000000" w:rsidRDefault="00000000"/>
    <w:p w:rsidR="00000000" w:rsidRDefault="00000000">
      <w:r>
        <w:tab/>
      </w:r>
      <w:r>
        <w:rPr>
          <w:lang w:val="en-US"/>
        </w:rPr>
        <w:t>e</w:t>
      </w:r>
      <w:r>
        <w:t>)</w:t>
      </w:r>
      <w:r>
        <w:tab/>
        <w:t>денежная компенсация расходов по размещению какого-либо лица для проживания в семье;</w:t>
      </w:r>
    </w:p>
    <w:p w:rsidR="00000000" w:rsidRDefault="00000000"/>
    <w:p w:rsidR="00000000" w:rsidRDefault="00000000">
      <w:r>
        <w:tab/>
      </w:r>
      <w:r>
        <w:rPr>
          <w:lang w:val="en-US"/>
        </w:rPr>
        <w:t>f</w:t>
      </w:r>
      <w:r>
        <w:t>)</w:t>
      </w:r>
      <w:r>
        <w:tab/>
        <w:t>компенсация и помощь на случай стихийных бедствий.</w:t>
      </w:r>
    </w:p>
    <w:p w:rsidR="00000000" w:rsidRDefault="00000000"/>
    <w:p w:rsidR="00000000" w:rsidRDefault="00000000">
      <w:r>
        <w:t>320.</w:t>
      </w:r>
      <w:r>
        <w:tab/>
        <w:t>Согласно статье 12, домашние хозяйства не имеют права на получение пособий по социальному страхованию, если, помимо дома или квартиры, где они проживают, они являются также владельцами:</w:t>
      </w:r>
    </w:p>
    <w:p w:rsidR="00000000" w:rsidRDefault="00000000"/>
    <w:p w:rsidR="00000000" w:rsidRDefault="00000000">
      <w:r>
        <w:tab/>
      </w:r>
      <w:r>
        <w:rPr>
          <w:lang w:val="en-US"/>
        </w:rPr>
        <w:t>a</w:t>
      </w:r>
      <w:r>
        <w:t>)</w:t>
      </w:r>
      <w:r>
        <w:tab/>
        <w:t>второго дома или квартиры;</w:t>
      </w:r>
    </w:p>
    <w:p w:rsidR="00000000" w:rsidRDefault="00000000"/>
    <w:p w:rsidR="00000000" w:rsidRDefault="00000000">
      <w:r>
        <w:tab/>
      </w:r>
      <w:r>
        <w:rPr>
          <w:lang w:val="en-US"/>
        </w:rPr>
        <w:t>b</w:t>
      </w:r>
      <w:r>
        <w:t>)</w:t>
      </w:r>
      <w:r>
        <w:tab/>
        <w:t>дачи;</w:t>
      </w:r>
    </w:p>
    <w:p w:rsidR="00000000" w:rsidRDefault="00000000"/>
    <w:p w:rsidR="00000000" w:rsidRDefault="00000000">
      <w:r>
        <w:tab/>
      </w:r>
      <w:r>
        <w:rPr>
          <w:lang w:val="en-US"/>
        </w:rPr>
        <w:t>c</w:t>
      </w:r>
      <w:r>
        <w:t>)</w:t>
      </w:r>
      <w:r>
        <w:tab/>
        <w:t>служебных помещений;</w:t>
      </w:r>
    </w:p>
    <w:p w:rsidR="00000000" w:rsidRDefault="00000000"/>
    <w:p w:rsidR="00000000" w:rsidRDefault="00000000">
      <w:r>
        <w:tab/>
      </w:r>
      <w:r>
        <w:rPr>
          <w:lang w:val="en-US"/>
        </w:rPr>
        <w:t>d</w:t>
      </w:r>
      <w:r>
        <w:t>)</w:t>
      </w:r>
      <w:r>
        <w:tab/>
        <w:t>автомашины, которая может использоваться для коммерческих перевозок (фургон, автобус, грузовик, такси);</w:t>
      </w:r>
    </w:p>
    <w:p w:rsidR="00000000" w:rsidRDefault="00000000"/>
    <w:p w:rsidR="00000000" w:rsidRDefault="00000000">
      <w:r>
        <w:tab/>
      </w:r>
      <w:r>
        <w:rPr>
          <w:lang w:val="en-US"/>
        </w:rPr>
        <w:t>e</w:t>
      </w:r>
      <w:r>
        <w:t>)</w:t>
      </w:r>
      <w:r>
        <w:tab/>
        <w:t>комбайна или трактора в хорошем техническом состоянии;</w:t>
      </w:r>
    </w:p>
    <w:p w:rsidR="00000000" w:rsidRDefault="00000000"/>
    <w:p w:rsidR="00000000" w:rsidRDefault="00000000">
      <w:r>
        <w:tab/>
      </w:r>
      <w:r>
        <w:rPr>
          <w:lang w:val="en-US"/>
        </w:rPr>
        <w:t>f</w:t>
      </w:r>
      <w:r>
        <w:t>)</w:t>
      </w:r>
      <w:r>
        <w:tab/>
        <w:t>участка пахотной земли, находящегося во владении, арендованного или отданного по контракту о пользовании земельным участком и его плодами, площадью свыше 7 000 м</w:t>
      </w:r>
      <w:r>
        <w:rPr>
          <w:vertAlign w:val="superscript"/>
        </w:rPr>
        <w:t>2</w:t>
      </w:r>
      <w:r>
        <w:t>, в отношении которого пахотная земля, относящаяся к четвертому или пятому кадастровому классу, составляет 40% фактической площади участка, а пахотная земля, относящаяся к шестому, седьмому и восьмому кадастровому классу, составляет 20% фактической территории участка;</w:t>
      </w:r>
    </w:p>
    <w:p w:rsidR="00000000" w:rsidRDefault="00000000"/>
    <w:p w:rsidR="00000000" w:rsidRDefault="00000000">
      <w:r>
        <w:tab/>
      </w:r>
      <w:r>
        <w:rPr>
          <w:lang w:val="en-US"/>
        </w:rPr>
        <w:t>g</w:t>
      </w:r>
      <w:r>
        <w:t>)</w:t>
      </w:r>
      <w:r>
        <w:tab/>
        <w:t>имущества, обеспечивающего прожиточный минимум (на сумму свыше суммы социальных пособий, по оценке центра социальной деятельности);</w:t>
      </w:r>
    </w:p>
    <w:p w:rsidR="00000000" w:rsidRDefault="00000000"/>
    <w:p w:rsidR="00000000" w:rsidRDefault="00000000">
      <w:r>
        <w:tab/>
      </w:r>
      <w:r>
        <w:rPr>
          <w:lang w:val="en-US"/>
        </w:rPr>
        <w:t>h</w:t>
      </w:r>
      <w:r>
        <w:t>)</w:t>
      </w:r>
      <w:r>
        <w:tab/>
        <w:t>сбережений на сумму 50 000 денаров и более;</w:t>
      </w:r>
    </w:p>
    <w:p w:rsidR="00000000" w:rsidRDefault="00000000"/>
    <w:p w:rsidR="00000000" w:rsidRDefault="00000000">
      <w:r>
        <w:tab/>
      </w:r>
      <w:r>
        <w:rPr>
          <w:lang w:val="en-US"/>
        </w:rPr>
        <w:t>i</w:t>
      </w:r>
      <w:r>
        <w:t>)</w:t>
      </w:r>
      <w:r>
        <w:tab/>
        <w:t>зарегистрированной автомашины.</w:t>
      </w:r>
    </w:p>
    <w:p w:rsidR="00000000" w:rsidRDefault="00000000"/>
    <w:p w:rsidR="00000000" w:rsidRDefault="00000000">
      <w:r>
        <w:t xml:space="preserve">В качестве исключения из подпунктов </w:t>
      </w:r>
      <w:r>
        <w:rPr>
          <w:lang w:val="en-US"/>
        </w:rPr>
        <w:t>f</w:t>
      </w:r>
      <w:r>
        <w:t xml:space="preserve">), </w:t>
      </w:r>
      <w:r>
        <w:rPr>
          <w:lang w:val="en-US"/>
        </w:rPr>
        <w:t>h</w:t>
      </w:r>
      <w:r>
        <w:t xml:space="preserve">) и </w:t>
      </w:r>
      <w:r>
        <w:rPr>
          <w:lang w:val="en-US"/>
        </w:rPr>
        <w:t>i</w:t>
      </w:r>
      <w:r>
        <w:t>) пункта 1 этой статьи социальные пособия могут выплачиваться домашнему хозяйству, члены которого в силу преклонного возраста, потери трудоспособности или болезни не могут реально использовать земельный участок или технику, а также домашним хозяйствам, члены которых являются владельцами зарегистрированной автомашины, которая используется для передвижения инвалида, являющегося членом этого домашнего хозяйства.</w:t>
      </w:r>
    </w:p>
    <w:p w:rsidR="00000000" w:rsidRDefault="00000000"/>
    <w:p w:rsidR="00000000" w:rsidRDefault="00000000">
      <w:r>
        <w:t>321.</w:t>
      </w:r>
      <w:r>
        <w:tab/>
        <w:t>Согласно статье 13, следующие категории граждан не имеют права на получение социальных льгот:</w:t>
      </w:r>
    </w:p>
    <w:p w:rsidR="00000000" w:rsidRDefault="00000000"/>
    <w:p w:rsidR="00000000" w:rsidRDefault="00000000">
      <w:r>
        <w:tab/>
      </w:r>
      <w:r>
        <w:rPr>
          <w:lang w:val="en-US"/>
        </w:rPr>
        <w:t>a</w:t>
      </w:r>
      <w:r>
        <w:t>)</w:t>
      </w:r>
      <w:r>
        <w:tab/>
        <w:t>безработные лица, не зарегистрированные в компетентном бюро по трудоустройству в соответствии с Законом о занятости и страховании на случай безработицы;</w:t>
      </w:r>
    </w:p>
    <w:p w:rsidR="00000000" w:rsidRDefault="00000000"/>
    <w:p w:rsidR="00000000" w:rsidRDefault="00000000">
      <w:r>
        <w:tab/>
      </w:r>
      <w:r>
        <w:rPr>
          <w:lang w:val="en-US"/>
        </w:rPr>
        <w:t>b</w:t>
      </w:r>
      <w:r>
        <w:t>)</w:t>
      </w:r>
      <w:r>
        <w:tab/>
        <w:t>лица, уволенные с работы по должностному несоответствию или по собственному желанию;</w:t>
      </w:r>
    </w:p>
    <w:p w:rsidR="00000000" w:rsidRDefault="00000000"/>
    <w:p w:rsidR="00000000" w:rsidRDefault="00000000">
      <w:r>
        <w:tab/>
        <w:t>с)</w:t>
      </w:r>
      <w:r>
        <w:tab/>
        <w:t>лица, отказывающиеся от предлагаемой работы, переквалификации или повышения квалификации в целях обеспечения занятости;</w:t>
      </w:r>
    </w:p>
    <w:p w:rsidR="00000000" w:rsidRDefault="00000000"/>
    <w:p w:rsidR="00000000" w:rsidRDefault="00000000">
      <w:r>
        <w:tab/>
        <w:t>d)</w:t>
      </w:r>
      <w:r>
        <w:tab/>
        <w:t>лица, не являющиеся гражданами бывшей югославской Республики Македонии и не имеющие постоянного вида на жительство.</w:t>
      </w:r>
    </w:p>
    <w:p w:rsidR="00000000" w:rsidRDefault="00000000"/>
    <w:p w:rsidR="00000000" w:rsidRDefault="00000000">
      <w:r>
        <w:t>322.</w:t>
      </w:r>
      <w:r>
        <w:tab/>
        <w:t>Лица, упомянутые в пункте 1 статьи 13, считаются членами домашнего хозяйства при подсчете суммарного дохода домашнего хозяйства и исключаются из числа лиц, имеющих право на социальные льготы.</w:t>
      </w:r>
    </w:p>
    <w:p w:rsidR="00000000" w:rsidRDefault="00000000"/>
    <w:p w:rsidR="00000000" w:rsidRDefault="00000000">
      <w:r>
        <w:t>323.</w:t>
      </w:r>
      <w:r>
        <w:tab/>
        <w:t xml:space="preserve">Лица, упоминаемые в подпунктах b) и с) пункта 1 этой статьи, не имеют права на социальные льготы в первые шесть месяцев после потери работы в силу отказа от переквалификации или повышения квалификации для целей продолжения занятости.  </w:t>
      </w:r>
    </w:p>
    <w:p w:rsidR="00000000" w:rsidRDefault="00000000"/>
    <w:p w:rsidR="00000000" w:rsidRDefault="00000000">
      <w:r>
        <w:t>324.</w:t>
      </w:r>
      <w:r>
        <w:tab/>
        <w:t>Согласно этому постановлению, выплачиваемые пособия по социальному страхованию рассчитываются с первого дня наступления права на их получение.</w:t>
      </w:r>
    </w:p>
    <w:p w:rsidR="00000000" w:rsidRDefault="00000000"/>
    <w:p w:rsidR="00000000" w:rsidRDefault="00000000">
      <w:r>
        <w:t>325.</w:t>
      </w:r>
      <w:r>
        <w:tab/>
        <w:t>Получатели пособия по социальному страхованию могут направляться на исполнение работ (сезонного или временного характера), за исключением пенсионеров, лиц, документально подтверждающих утрату трудоспособности в силу возраста, инвалидности или болезни, трудоустроенных лиц, школьников и студентов.</w:t>
      </w:r>
    </w:p>
    <w:p w:rsidR="00000000" w:rsidRDefault="00000000"/>
    <w:p w:rsidR="00000000" w:rsidRDefault="00000000">
      <w:r>
        <w:t>326.</w:t>
      </w:r>
      <w:r>
        <w:tab/>
        <w:t>Если получатель пособия согласно этой статье отказывается от предлагаемой работы, то он теряет право на получение социального пособия в следующие 24 месяца.</w:t>
      </w:r>
    </w:p>
    <w:p w:rsidR="00000000" w:rsidRDefault="00000000"/>
    <w:p w:rsidR="00000000" w:rsidRDefault="00000000">
      <w:r>
        <w:t>327.</w:t>
      </w:r>
      <w:r>
        <w:tab/>
        <w:t>Трудоустройство получателей социального пособия обеспечивается совместными усилиями главы органа местного самоуправления, государственных предприятий и государственных учреждений и соответствующего центра социальной деятельности или агентства по трудоустройству.  Получатель социальной помощи, работающий не более пяти дней в месяц, сохраняет право на получение социального пособия.</w:t>
      </w:r>
    </w:p>
    <w:p w:rsidR="00000000" w:rsidRDefault="00000000"/>
    <w:p w:rsidR="00000000" w:rsidRDefault="00000000">
      <w:pPr>
        <w:keepNext/>
        <w:jc w:val="center"/>
      </w:pPr>
      <w:r>
        <w:rPr>
          <w:b/>
          <w:bCs/>
        </w:rPr>
        <w:t>Статья 10 Пакта</w:t>
      </w:r>
    </w:p>
    <w:p w:rsidR="00000000" w:rsidRDefault="00000000">
      <w:pPr>
        <w:keepNext/>
        <w:jc w:val="center"/>
      </w:pPr>
    </w:p>
    <w:p w:rsidR="00000000" w:rsidRDefault="00000000">
      <w:r>
        <w:t>328.</w:t>
      </w:r>
      <w:r>
        <w:tab/>
        <w:t xml:space="preserve">Правовая система бывшей югославской Республики Македонии гарантирует защиту семьи в соответствии со статьй 40 Конституции, которая гласит:  </w:t>
      </w:r>
      <w:r>
        <w:rPr>
          <w:i/>
          <w:iCs/>
        </w:rPr>
        <w:t>"Государство обеспечивает особую заботу о семье и ее защиту.  Правовые отношения в браке, семье и вне брака регулируются законом.  Правом и обязанностью родителей является забота о содержании и воспитании своих детей.  Дети должны заботиться о пожилых и нетрудоспособных родителях.  Республика обеспечивает особую защиту детей без родителей и детей, лишенных родительской опеки"</w:t>
      </w:r>
      <w:r>
        <w:t>.</w:t>
      </w:r>
    </w:p>
    <w:p w:rsidR="00000000" w:rsidRDefault="00000000"/>
    <w:p w:rsidR="00000000" w:rsidRDefault="00000000">
      <w:r>
        <w:t>329.</w:t>
      </w:r>
      <w:r>
        <w:tab/>
        <w:t>Все взаимоотношения в вопросах брака и семьи, особой заботы о семье, разрыв взаимоотношений и насилия в браке и внутри семьи, усыновления/удочерения, опеки, алиментов и процедуры рассмотрения в судах споров, касающихся семьи и брака, регулируются Законом о семье.</w:t>
      </w:r>
    </w:p>
    <w:p w:rsidR="00000000" w:rsidRDefault="00000000"/>
    <w:p w:rsidR="00000000" w:rsidRDefault="00000000">
      <w:r>
        <w:t>330.</w:t>
      </w:r>
      <w:r>
        <w:tab/>
        <w:t xml:space="preserve">Бывшая югославская Республика Македония гарантирует защиту в случае разрыва отношений и насилия в браке и семье.  Статья 33 а) поправок и добавлений к Закону о семье запрещает подобное насилие в любой форме.  Закон запрещает любой вид насилия в отношениях между членами семьи независимо от пола и возраста.  Нарушителем и жертвой насилия может быть любой член семьи независимо от возраста или пола.  По получении информации о случаях насилия в семье Центр социальной деятельности по собственной инициативе или по просьбе члена семьи принимает меры для защиты семьи и жертв насилия в семье в зависимости от того, обладает ли это лицо дееспособностью или нет.  По просьбе Центра социальной деятельности суд может вынести постановление о принятии временных мер в отношении лица, виновного в совершении насилия в семье, с максимальным сроком действия на один год.  </w:t>
      </w:r>
    </w:p>
    <w:p w:rsidR="00000000" w:rsidRDefault="00000000"/>
    <w:p w:rsidR="00000000" w:rsidRDefault="00000000">
      <w:r>
        <w:t>331.</w:t>
      </w:r>
      <w:r>
        <w:tab/>
        <w:t>Семья представляет собой сообщество родителей и детей и других состоящих в родстве лиц, которые проживают в одном домашнем хозяйстве.  Формирование семьи происходит в момент рождения детей или их усыновления/удочерения.</w:t>
      </w:r>
    </w:p>
    <w:p w:rsidR="00000000" w:rsidRDefault="00000000"/>
    <w:p w:rsidR="00000000" w:rsidRDefault="00000000">
      <w:r>
        <w:t>332.</w:t>
      </w:r>
      <w:r>
        <w:tab/>
        <w:t>На государстве лежит ответственность за обеспечение особой заботы о семье и ее защиты;  из этого следует, что все государственные органы, организации и учреждения обязаны принимать меры, направленные на то, чтобы защитить семью как сообщество родителей, детей и других состоящих в родстве лиц, основанное на гуманных взаимоотношениях, взаимной помощи, уважении и гармонии, предупреждать и искоренять различные формы нарушения нормальных отношений в семье, а также факторы, угрожающие ее стабильности и безопасности.</w:t>
      </w:r>
    </w:p>
    <w:p w:rsidR="00000000" w:rsidRDefault="00000000"/>
    <w:p w:rsidR="00000000" w:rsidRDefault="00000000">
      <w:r>
        <w:t>333.</w:t>
      </w:r>
      <w:r>
        <w:tab/>
        <w:t xml:space="preserve">Специальная защита семьи может принимать различные формы.  Например, практикуется институт опекунства, в рамках которого государство обеспечивает защиту детей, потерявших родителей, подростков, лишенных родительской опеки, и пожилых граждан, частично или полностью утративших дееспособность.  Еще одной формой защиты является пенсионное обеспечение членов семьи.  Кроме того, существуют и другие формы специальной защиты семьи, осуществляемые путем проведения государством целого ряда организованных мероприятий с целью предотвращения и преодоления основных социальных рисков, с которыми сталкиваются граждане (болезни, травмы, утрата трудоспособности, старость, риски, связанные с материнством и созданием семьи, опасность безработицы и плохой профессиональной </w:t>
      </w:r>
      <w:proofErr w:type="spellStart"/>
      <w:r>
        <w:t>адаптированности</w:t>
      </w:r>
      <w:proofErr w:type="spellEnd"/>
      <w:r>
        <w:t xml:space="preserve">, а также риски, связанные с пониженной </w:t>
      </w:r>
      <w:proofErr w:type="spellStart"/>
      <w:r>
        <w:t>адаптируемостью</w:t>
      </w:r>
      <w:proofErr w:type="spellEnd"/>
      <w:r>
        <w:t xml:space="preserve"> к социальной среде).</w:t>
      </w:r>
    </w:p>
    <w:p w:rsidR="00000000" w:rsidRDefault="00000000"/>
    <w:p w:rsidR="00000000" w:rsidRDefault="00000000">
      <w:r>
        <w:t>334.</w:t>
      </w:r>
      <w:r>
        <w:tab/>
        <w:t xml:space="preserve">Права, связанные с социальной защитой, и их осуществление регулируются </w:t>
      </w:r>
      <w:r>
        <w:rPr>
          <w:b/>
          <w:bCs/>
        </w:rPr>
        <w:t>Законом о социальной защите</w:t>
      </w:r>
      <w:r>
        <w:t xml:space="preserve">, в котором предусматриваются различные меры социальной защиты семьи и ее членов, такие как социальная профилактика, т.е. мероприятия по профилактике социальных рисков семьи, в первую очередь консультативно, - просветительские услуги, развитие навыков самопомощи, добровольчество и аналогичные формы работы;  </w:t>
      </w:r>
      <w:proofErr w:type="spellStart"/>
      <w:r>
        <w:t>внеинституциональная</w:t>
      </w:r>
      <w:proofErr w:type="spellEnd"/>
      <w:r>
        <w:t xml:space="preserve"> защита семьи - оказание профессиональной помощи членам семьи по преодолению брачных и семейных конфликтов, в первую очередь в отношениях между родителями и детьми, и создание для семей возможности выполнять свои повседневные функции.  </w:t>
      </w:r>
      <w:proofErr w:type="spellStart"/>
      <w:r>
        <w:t>Внеинституциональная</w:t>
      </w:r>
      <w:proofErr w:type="spellEnd"/>
      <w:r>
        <w:t xml:space="preserve"> защита предоставляется центрами повседневной помощи и центрами временного размещения и ухода за престарелыми, лицами с физическими или умственными недостатками, беспризорными детьми, бездомными лицами, жертвами насилия в семье, лицами, злоупотребляющими алкоголем, наркотиками и другими психотропными веществами, она также принимает форму помещения лиц в приемные семьи.  Институциональная защита охватывает:  право на получение профессиональной подготовки с целью освоения навыков, необходимых для работы и продуктивной деятельности;  право на проживание в учреждениях социальной защиты;  право на социальную помощь, которая предоставляется в форме постоянного денежного пособия лицам, лишенным трудоспособности, и социально незащищенным лицам;  право на социальную защиту квалифицированных специалистов, лишенных такой защиты;  денежную дотацию на уход и помощь со стороны третьего лица;  право на медицинский уход;  компенсационную надбавку к заработной плате при неполной рабочей неделе в связи с уходом за ребенком с инвалидностью;  одноразовое денежное пособие и помощь натурой и право на жилье.</w:t>
      </w:r>
    </w:p>
    <w:p w:rsidR="00000000" w:rsidRDefault="00000000"/>
    <w:p w:rsidR="00000000" w:rsidRDefault="00000000">
      <w:r>
        <w:t>335.</w:t>
      </w:r>
      <w:r>
        <w:tab/>
        <w:t xml:space="preserve">Помимо мер социальной защиты и социальной безопасности, предусмотренных Законом о социальной защите, согласно статье 5 этого Закона в число принимаемых государством мер по предупреждению социальных рисков входят, в частности, меры в области налоговой политики, политики в области занятости и стипендий, жилья, здравоохранения, образования и воспитательной работы.  </w:t>
      </w:r>
    </w:p>
    <w:p w:rsidR="00000000" w:rsidRDefault="00000000"/>
    <w:p w:rsidR="00000000" w:rsidRDefault="00000000">
      <w:r>
        <w:t>336.</w:t>
      </w:r>
      <w:r>
        <w:tab/>
        <w:t>Семья пользуется также защитой со стороны уголовного законодательства.  В Уголовном кодексе содержится отдельная глава "Преступления против брака, семьи и молодежи", которой охватываются следующие преступления:  двубрачие (статья 195), пособничество незаконному браку (статья 196), внебрачное проживание с несовершеннолетним лицом (статья 197), похищение несовершеннолетнего лица (статья 198), подмена семейного положения (статья 199), оставление беззащитного ребенка (статья 200), лишение внимания и жестокое обращение с несовершеннолетним (статья 201), уклонение от алиментов (статья 202), пренебрежение семейными обязанностями (статья 203), продажа алкогольных напитков несовершеннолетним (статья 204).</w:t>
      </w:r>
    </w:p>
    <w:p w:rsidR="00000000" w:rsidRDefault="00000000"/>
    <w:p w:rsidR="00000000" w:rsidRDefault="00000000">
      <w:r>
        <w:t>337.</w:t>
      </w:r>
      <w:r>
        <w:tab/>
        <w:t>Равенство мужчин и женщин в браке и семье подробно прописано в ряде положений Закона о семье.  Согласно статье 3 этого Закона, в основе семейных отношений лежат равенство, взаимное уважение, взаимопомощь и сосуществование, а также защита интересов несовершеннолетних детей.</w:t>
      </w:r>
    </w:p>
    <w:p w:rsidR="00000000" w:rsidRDefault="00000000"/>
    <w:p w:rsidR="00000000" w:rsidRDefault="00000000">
      <w:r>
        <w:t>338.</w:t>
      </w:r>
      <w:r>
        <w:tab/>
        <w:t xml:space="preserve">Равенство мужчин и женщин предусматривается и в отношении детей.  Согласно статье 8 Закона, родители обладают равными правами и обязанностями в отношении своих детей.  Родители в равной степени обладают родительскими правами, которые они осуществляют совместно на основе консенсуса.  Если один из родителей скончался, не известен, лишен родительских прав или не имеет возможности их осуществлять по другим причинам, то второй родитель берет на себя осуществление родительских прав.  </w:t>
      </w:r>
    </w:p>
    <w:p w:rsidR="00000000" w:rsidRDefault="00000000"/>
    <w:p w:rsidR="00000000" w:rsidRDefault="00000000">
      <w:r>
        <w:t>339.</w:t>
      </w:r>
      <w:r>
        <w:tab/>
        <w:t>Условия заключения и признание законности брака регулируются статьей 15 Закона о семье, согласно которой в брак могут вступать два разнополых лица брачного возраста по их желанию, свободно выраженному перед компетентным органом в форме, определяемой законом.  Условием вступления в брак является достижение брачного возраста, который согласно законодательству бывшей югославской Республики Македонии составляет 18 лет.  Однако, согласно пункту 2 статьи 16 Закона о семье, компетентный суд может во внесудебном порядке разрешить вступление в брак лица в возрасте 16 лет, если установит, что это лицо достигло физической и психической зрелости для выполнения прав и обязанностей, связанных с браком;  такая готовность определяется на основе освидетельствования медицинским учреждением и профессионального заключения со стороны центра социальной деятельности.</w:t>
      </w:r>
    </w:p>
    <w:p w:rsidR="00000000" w:rsidRDefault="00000000"/>
    <w:p w:rsidR="00000000" w:rsidRDefault="00000000">
      <w:r>
        <w:t>340.</w:t>
      </w:r>
      <w:r>
        <w:tab/>
        <w:t>Другим препятствием для вступления в брак, помимо несовершеннолетия, служит наличие прерванного брака.  В частности, в соответствии со статьей 17 Закона о семье лицо не может вступить в новый брак до тех пор, пока его предыдущий брак не будет расторгнут в должной форме.  Кроме того, в брак не могут вступать лица с явными признаками умственного расстройства, симптомами психических заболеваний или остаточными признаками болезни, которые не могут осознать значение брака и вытекающих из него обязательств и не способны здраво мыслить.  Умственно отсталые, относящиеся к группе лиц с серьезным и очень серьезным отставанием в умственном развитии (коэффициент умственного развития ниже 36), не могут вступать в брак.  Лица с умеренными психическими нарушениями или лица с серьезными наследственными заболеваниями могут вступать в брак после освидетельствования генетической наследственности Институтом психического здоровья детей и подростков или иным компетентным учреждением, занимающимся генетическими исследованиями.</w:t>
      </w:r>
    </w:p>
    <w:p w:rsidR="00000000" w:rsidRDefault="00000000"/>
    <w:p w:rsidR="00000000" w:rsidRDefault="00000000">
      <w:r>
        <w:t>341.</w:t>
      </w:r>
      <w:r>
        <w:tab/>
        <w:t>Близким родственникам также запрещается вступать в брак друг с другом.  Родственники, состоящие в кровном родстве первой степени (бабушка, дедушка, мать, отец, внуки или родные братья и сестры), не могут вступать в брак;  в брак не могут вступать также родственники, состоящие в кровном родстве второй степени (такие, как двоюродные братья и сестры).</w:t>
      </w:r>
    </w:p>
    <w:p w:rsidR="00000000" w:rsidRDefault="00000000"/>
    <w:p w:rsidR="00000000" w:rsidRDefault="00000000">
      <w:r>
        <w:t>342.</w:t>
      </w:r>
      <w:r>
        <w:tab/>
        <w:t>Заключение брачного союза происходит в присутствии представителей государственного ведомства, отвечающего за регистрацию брака.  Сотрудник бюро записи актов гражданского состояния обязан определить отсутствие правовых препятствий для заключения брака, и, установив, что закон не разрешает заключение данного брака, принимает решение отказать лицам в праве на вступление в брак.</w:t>
      </w:r>
    </w:p>
    <w:p w:rsidR="00000000" w:rsidRDefault="00000000"/>
    <w:p w:rsidR="00000000" w:rsidRDefault="00000000">
      <w:r>
        <w:t>343.</w:t>
      </w:r>
      <w:r>
        <w:tab/>
        <w:t>Брак, заключенный в форме религиозной церемонии, не имеет юридической силы (статья 30 Закона о семье).</w:t>
      </w:r>
    </w:p>
    <w:p w:rsidR="00000000" w:rsidRDefault="00000000"/>
    <w:p w:rsidR="00000000" w:rsidRDefault="00000000">
      <w:r>
        <w:t>344.</w:t>
      </w:r>
      <w:r>
        <w:tab/>
        <w:t>В статье 40 Конституции предусматривается, что государство обеспечивает особую заботу о семье и ее защиту.  Следует подчеркнуть, что защита семьи обеспечивается в различной форме и манере, и среди наиболее важных следует назвать:  пенсионное обеспечение членов семьи, право на медицинское страхование, право на защиту детей в форме дотации на ребенка, специальных дотаций, помощи натурой – оборудованием для новорожденных и участия в покрытии расходов на воспитание, право на наследование и право на жилье при определенных условиях.</w:t>
      </w:r>
    </w:p>
    <w:p w:rsidR="00000000" w:rsidRDefault="00000000"/>
    <w:p w:rsidR="00000000" w:rsidRDefault="00000000">
      <w:r>
        <w:t>345.</w:t>
      </w:r>
      <w:r>
        <w:tab/>
        <w:t>Социальная защита семьи обеспечивается также через различные учреждения, ведающие уходом за детьми, размещением и образованием детей, а также через другие формы организованной помощи семье и создание более благоприятных условий для ведения домашнего хозяйства.</w:t>
      </w:r>
    </w:p>
    <w:p w:rsidR="00000000" w:rsidRDefault="00000000"/>
    <w:p w:rsidR="00000000" w:rsidRDefault="00000000">
      <w:r>
        <w:t>346.</w:t>
      </w:r>
      <w:r>
        <w:tab/>
        <w:t>В целях оказания надлежащей помощи родителям в выполнении их родительских прав государство обеспечивает особую заботу о матерях, сиротах или детях, лишенных родительской заботы, и их защиту.  Гарантированные права на медицинский уход, социальную защиту и социальное страхование осуществляются на основе принципов социальной справедливости и солидарности.</w:t>
      </w:r>
    </w:p>
    <w:p w:rsidR="00000000" w:rsidRDefault="00000000"/>
    <w:p w:rsidR="00000000" w:rsidRDefault="00000000">
      <w:r>
        <w:t>347.</w:t>
      </w:r>
      <w:r>
        <w:tab/>
        <w:t>Согласно статье 14 Закона о семье, вопросы, связанные с особой защитой и помощью семье в плане усыновления/удочерения и опекунства в рамках этого Закона, решаются на уровне Центра социальной деятельности, где применяются методы профессионального консультирования силами междисциплинарной группы специалистов.</w:t>
      </w:r>
    </w:p>
    <w:p w:rsidR="00000000" w:rsidRDefault="00000000"/>
    <w:p w:rsidR="00000000" w:rsidRDefault="00000000">
      <w:r>
        <w:t>348.</w:t>
      </w:r>
      <w:r>
        <w:tab/>
        <w:t>Профессиональные мероприятия, связанные с усыновлением/удочерением, входят в компетенцию Центра социальной деятельности, при этом директивным органом в этих вопросах выступает Комиссия по усыновлению/удочерению при министерстве труда и социальной политики.</w:t>
      </w:r>
    </w:p>
    <w:p w:rsidR="00000000" w:rsidRDefault="00000000"/>
    <w:p w:rsidR="00000000" w:rsidRDefault="00000000">
      <w:r>
        <w:t>349.</w:t>
      </w:r>
      <w:r>
        <w:tab/>
      </w:r>
      <w:r>
        <w:rPr>
          <w:b/>
          <w:bCs/>
        </w:rPr>
        <w:t>Закон о трудовых отношениях</w:t>
      </w:r>
      <w:r>
        <w:t xml:space="preserve"> предусматривает специальную защиту женщин.  В этой связи согласно статье 58 работницы имеют право на девятимесячный непрерывный отпуск по беременности, родам и уходу за новорожденным, а в случае многоплодных родов – на годичный отпуск.  </w:t>
      </w:r>
    </w:p>
    <w:p w:rsidR="00000000" w:rsidRDefault="00000000"/>
    <w:p w:rsidR="00000000" w:rsidRDefault="00000000">
      <w:r>
        <w:t>350.</w:t>
      </w:r>
      <w:r>
        <w:tab/>
        <w:t xml:space="preserve">На основании рекомендаций соответствующего органа здравоохранения работницы могут выходить в отпуск по беременности и родам за 45 дней до ожидаемых родов, причем все женщины в обязательном порядке получают отпуск за 28 дней до ожидаемых родов.  Согласно статье 60, если роды заканчиваются </w:t>
      </w:r>
      <w:proofErr w:type="spellStart"/>
      <w:r>
        <w:t>мертворождением</w:t>
      </w:r>
      <w:proofErr w:type="spellEnd"/>
      <w:r>
        <w:t xml:space="preserve"> или если ребенок умирает до окончания такого отпуска, работницы имеют право оставаться в отпуске по беременности и родам, который согласно заключению врача необходим для восстановления их здоровья после родов или для преодоления последствий психологической травмы, вызванной потерей ребенка;  причем минимальная продолжительность такого периода составляет 45 дней.  Во время отпуска на таких основаниях работницы имеют те же права, что и в случае отпуска по беременности и родам.</w:t>
      </w:r>
    </w:p>
    <w:p w:rsidR="00000000" w:rsidRDefault="00000000"/>
    <w:p w:rsidR="00000000" w:rsidRDefault="00000000">
      <w:r>
        <w:t>351.</w:t>
      </w:r>
      <w:r>
        <w:tab/>
        <w:t>Согласно статье 61, работницы, ожидающие ребенка или имеющие ребенка в возрасте до двух лет, не могут работать сверхурочно или в ночное время.  Им нельзя поручать рабочие операции, имеющие вредные последствия для их здоровья.</w:t>
      </w:r>
    </w:p>
    <w:p w:rsidR="00000000" w:rsidRDefault="00000000"/>
    <w:p w:rsidR="00000000" w:rsidRDefault="00000000">
      <w:r>
        <w:t>352.</w:t>
      </w:r>
      <w:r>
        <w:tab/>
        <w:t>Согласно статье 58, работницы имеют право на девятимесячный непрерывный отпуск в случае рождения одного ребенка и годичный непрерывный отпуск в случае многоплодных родов.</w:t>
      </w:r>
    </w:p>
    <w:p w:rsidR="00000000" w:rsidRDefault="00000000"/>
    <w:p w:rsidR="00000000" w:rsidRDefault="00000000">
      <w:r>
        <w:t>353.</w:t>
      </w:r>
      <w:r>
        <w:tab/>
        <w:t>Работницы, усыновившие/удочерившие ребенка, имеют право на отпуск по беременности и родам до достижения ребенком возраста девяти месяцев, а в случае усыновления/удочерения двух или более детей - право на годичный отпуск.</w:t>
      </w:r>
    </w:p>
    <w:p w:rsidR="00000000" w:rsidRDefault="00000000"/>
    <w:p w:rsidR="00000000" w:rsidRDefault="00000000">
      <w:r>
        <w:t>354.</w:t>
      </w:r>
      <w:r>
        <w:tab/>
        <w:t>Работницы, усыновившие/удочерившие ребенка, уже достигшего возраста девяти месяцев, но не старше пяти лет, имеют право на трехмесячный отпуск.</w:t>
      </w:r>
    </w:p>
    <w:p w:rsidR="00000000" w:rsidRDefault="00000000"/>
    <w:p w:rsidR="00000000" w:rsidRDefault="00000000">
      <w:r>
        <w:t>355.</w:t>
      </w:r>
      <w:r>
        <w:tab/>
        <w:t>Родители-одиночки ребенка в возрасте младше семи лет или ребенка, страдающего тяжелой формой инвалидности, могут привлекаться к работе сверхурочно или в ночные часы только с их письменного согласия.</w:t>
      </w:r>
    </w:p>
    <w:p w:rsidR="00000000" w:rsidRDefault="00000000"/>
    <w:p w:rsidR="00000000" w:rsidRDefault="00000000">
      <w:r>
        <w:t>356.</w:t>
      </w:r>
      <w:r>
        <w:tab/>
        <w:t>Согласно статье 62 Закона о трудовых отношениях и статье 33 Закона о социальной защите, один из родителей ребенка с тяжелой формой инвалидности имеет право на сокращенное рабочее время, если оба родителя работают, а в случае родителей-одиночек, по рекомендации компетентного врачебного совета и при условии, что ребенок не помещен в медицинское учреждение.</w:t>
      </w:r>
    </w:p>
    <w:p w:rsidR="00000000" w:rsidRDefault="00000000"/>
    <w:p w:rsidR="00000000" w:rsidRDefault="00000000">
      <w:r>
        <w:t>357.</w:t>
      </w:r>
      <w:r>
        <w:tab/>
        <w:t xml:space="preserve">При нахождении в отпуске по беременности и родам мать имеет право на компенсацию заработной платы в размере </w:t>
      </w:r>
      <w:proofErr w:type="spellStart"/>
      <w:r>
        <w:t>100%</w:t>
      </w:r>
      <w:proofErr w:type="spellEnd"/>
      <w:r>
        <w:t>.</w:t>
      </w:r>
    </w:p>
    <w:p w:rsidR="00000000" w:rsidRDefault="00000000"/>
    <w:p w:rsidR="00000000" w:rsidRDefault="00000000">
      <w:r>
        <w:t>358.</w:t>
      </w:r>
      <w:r>
        <w:tab/>
        <w:t xml:space="preserve">Согласно статье 17 </w:t>
      </w:r>
      <w:r>
        <w:rPr>
          <w:b/>
          <w:bCs/>
        </w:rPr>
        <w:t>Закона о здравоохранении</w:t>
      </w:r>
      <w:r>
        <w:t>, граждане, не имеющие право на страхование, на основе принципа взаимности и солидарности получают право на медицинский уход или, специально применительно к женщинам, медицинский уход в связи с беременностью, родами, кормлением новорожденного и предупреждением беременности.</w:t>
      </w:r>
    </w:p>
    <w:p w:rsidR="00000000" w:rsidRDefault="00000000"/>
    <w:p w:rsidR="00000000" w:rsidRDefault="00000000">
      <w:r>
        <w:t>359.</w:t>
      </w:r>
      <w:r>
        <w:tab/>
        <w:t xml:space="preserve">Согласно статье 32 </w:t>
      </w:r>
      <w:r>
        <w:rPr>
          <w:b/>
          <w:bCs/>
        </w:rPr>
        <w:t>Закона о социальной защите</w:t>
      </w:r>
      <w:r>
        <w:t>, получатели постоянного денежного пособия, лица, проживающие в приемной семье или в учреждении социальной защиты, и получатели дотации на помощь и уход со стороны третьего лица имеют право на медицинский уход, если они не могут быть застрахованы на других основаниях.</w:t>
      </w:r>
    </w:p>
    <w:p w:rsidR="00000000" w:rsidRDefault="00000000"/>
    <w:p w:rsidR="00000000" w:rsidRDefault="00000000">
      <w:r>
        <w:t>360.</w:t>
      </w:r>
      <w:r>
        <w:tab/>
        <w:t>Согласно правовой системе бывшей югославской Республики Македонии, все лица младше 18 лет имеют статус ребенка.  По достижении 18 лет лицо становится совершеннолетним и полностью дееспособным.</w:t>
      </w:r>
    </w:p>
    <w:p w:rsidR="00000000" w:rsidRDefault="00000000"/>
    <w:p w:rsidR="00000000" w:rsidRDefault="00000000">
      <w:r>
        <w:t>361.</w:t>
      </w:r>
      <w:r>
        <w:tab/>
        <w:t>Согласно статье 40 Конституции, забота о содержании и воспитании своих детей является правом и обязанностью родителей, при этом предусмотрена особая защита сирот и детей, лишенных родительской опеки.</w:t>
      </w:r>
    </w:p>
    <w:p w:rsidR="00000000" w:rsidRDefault="00000000"/>
    <w:p w:rsidR="00000000" w:rsidRDefault="00000000">
      <w:r>
        <w:t>362.</w:t>
      </w:r>
      <w:r>
        <w:tab/>
        <w:t>Принцип действия в первую очередь в интересах детей прописан в статье</w:t>
      </w:r>
      <w:r>
        <w:rPr>
          <w:lang w:val="en-US"/>
        </w:rPr>
        <w:t> </w:t>
      </w:r>
      <w:r>
        <w:t>42 Конституции, согласно которой государство особо защищает матерей, детей и несовершеннолетних.  На работу нельзя принимать подростков младше 15 лет.  В случае трудоустройства несовершеннолетних они имеют право на особую защиту на рабочем месте.  Несовершеннолетние не могут направляться на участки, работа на которых вредна для их здоровья и нравственности.  Согласно Закону о трудовых отношениях, работник моложе 18 лет имеет право на ежегодный отпуск согласно критериям и условиям, действующим при определении продолжительности ежегодного отпуска для других работников, плюс на дополнительный отпуск продолжительностью в семь рабочих дней.  Работник младше 18 лет не может работать сверхурочно, а в промышленности, строительстве и на транспорте несовершеннолетнее лицо не может работать в ночную смену с 10 часов вечера до 6 часов утра.  Законом о трудовых отношениях предусматривается штраф в размере 500-100 средних месячных окладов в отношении работодателей, которые нарушают положение об особой защите работников в возрасте младше 18 лет.</w:t>
      </w:r>
    </w:p>
    <w:p w:rsidR="00000000" w:rsidRDefault="00000000"/>
    <w:p w:rsidR="00000000" w:rsidRDefault="00000000">
      <w:r>
        <w:t>363.</w:t>
      </w:r>
      <w:r>
        <w:tab/>
        <w:t>Уголовный кодекс предусматривает наказание за нарушение прав наемного работника, в том числе права на получение работы, регламентацию рабочего дня, права на отпуск, защиту несовершеннолетних работников и запрет на сверхурочную и ночную работу.</w:t>
      </w:r>
    </w:p>
    <w:p w:rsidR="00000000" w:rsidRDefault="00000000"/>
    <w:p w:rsidR="00000000" w:rsidRDefault="00000000">
      <w:r>
        <w:t>364.</w:t>
      </w:r>
      <w:r>
        <w:tab/>
        <w:t xml:space="preserve">Дети пользуются защитой в рамках системы организованных мер и мероприятий государства по заботе о детях и их защите в соответствии с </w:t>
      </w:r>
      <w:r>
        <w:rPr>
          <w:b/>
          <w:bCs/>
        </w:rPr>
        <w:t>Законом о защите детей</w:t>
      </w:r>
      <w:r>
        <w:t xml:space="preserve"> ("Официальный вестник" бывшей югославской Республики Македонии № 98/2000, 17/2003 и 65/2004) и согласно соответствующим подзаконным актам.  </w:t>
      </w:r>
    </w:p>
    <w:p w:rsidR="00000000" w:rsidRDefault="00000000"/>
    <w:p w:rsidR="00000000" w:rsidRDefault="00000000">
      <w:r>
        <w:t>365.</w:t>
      </w:r>
      <w:r>
        <w:tab/>
        <w:t>Защита детей представляет собой организованную деятельность, в основе которой лежат права ребенка и права и обязанности родителей и государства в отношении планирования размера семьи, обеспечения условий и уровня жизни, соответствующего физическому, умственному, эмоциональному, моральному и социальному развитию детей.  Кроме того, государство обязано создавать условия для реализации гуманной демографической политики, оказывать надлежащую материальную помощь родителям в пределах имеющихся у государства возможностей для обеспечения прожиточного минимума, воспитания, ухода за детьми и их защиты и организации и обеспечения развития учреждений и служб защиты детей.</w:t>
      </w:r>
    </w:p>
    <w:p w:rsidR="00000000" w:rsidRDefault="00000000"/>
    <w:p w:rsidR="00000000" w:rsidRDefault="00000000">
      <w:r>
        <w:t>366.</w:t>
      </w:r>
      <w:r>
        <w:tab/>
        <w:t>Ребенком по смыслу этого Закона является лицо в возрасте младше 18 лет, кроме того, лицо с отставанием в физическом и умственном развитии считается в правовом плане ребенком до достижения возраста 26 лет.  В порядке исключения в контексте осуществления права на получение пособия на ребенка лицо в возрасте старше 18 лет, если оно является очным студентом, также считается ребенком.</w:t>
      </w:r>
    </w:p>
    <w:p w:rsidR="00000000" w:rsidRDefault="00000000"/>
    <w:p w:rsidR="00000000" w:rsidRDefault="00000000">
      <w:r>
        <w:t>367.</w:t>
      </w:r>
      <w:r>
        <w:tab/>
        <w:t>В соответствии со статьей 9 Закона о защите ребенка запрещается какое бы то ни было жестокое моральное или физическое обращение с детьми, наказания или иное бесчеловечное обращение с детьми или нарушение прав детей, а также вовлечение детей в деятельность политических или религиозных организаций, равно как и сама такая деятельность в нарушение прав детей в интересах политических или религиозных организаций или мероприятий.  В статье 129 предусматривается штраф за любой проступок, допущенный лицом, которое организует детей и нарушает их права для целей политических или религиозных организаций или мероприятий, или лицом, которое подвергает детей жестокому моральному или физическому обращению, наказанию или иным образом бесчеловечно обращается с детьми или нарушает их права.</w:t>
      </w:r>
    </w:p>
    <w:p w:rsidR="00000000" w:rsidRDefault="00000000"/>
    <w:p w:rsidR="00000000" w:rsidRDefault="00000000">
      <w:r>
        <w:t>368.</w:t>
      </w:r>
      <w:r>
        <w:tab/>
        <w:t>Защита ребенка отвечает интересам государства и осуществляется путем обеспечения соблюдения соответствующих прав (детское пособие, специальное пособие, помощь в приобретении вещей, необходимых для ухода за новорожденным, или участие в покрытии расходов по такому уходу) и через различные формы защиты детей (забота о детях и образование детей дошкольного возраста, организация каникул и досуга детей и иные формы защиты детей).</w:t>
      </w:r>
    </w:p>
    <w:p w:rsidR="00000000" w:rsidRDefault="00000000"/>
    <w:p w:rsidR="00000000" w:rsidRDefault="00000000">
      <w:pPr>
        <w:rPr>
          <w:i/>
          <w:iCs/>
        </w:rPr>
      </w:pPr>
      <w:r>
        <w:rPr>
          <w:i/>
          <w:iCs/>
        </w:rPr>
        <w:t>Права ребенка на защиту</w:t>
      </w:r>
    </w:p>
    <w:p w:rsidR="00000000" w:rsidRDefault="00000000">
      <w:pPr>
        <w:rPr>
          <w:i/>
          <w:iCs/>
        </w:rPr>
      </w:pPr>
    </w:p>
    <w:p w:rsidR="00000000" w:rsidRDefault="00000000">
      <w:r>
        <w:t>369.</w:t>
      </w:r>
      <w:r>
        <w:tab/>
        <w:t>Государство обеспечивает соблюдение прав ребенка на защиту в соответствии с условиями, изложенными в Законе о защите ребенка.  Предусматривается также возможность участия в этих мероприятиях муниципалитетов, муниципалитета города Скопье и самого города Скопье для обеспечения соблюдения широкого круга прав при условии выделения ими средств на эти цели из собственных источников.</w:t>
      </w:r>
    </w:p>
    <w:p w:rsidR="00000000" w:rsidRDefault="00000000"/>
    <w:p w:rsidR="00000000" w:rsidRDefault="00000000">
      <w:r>
        <w:t>370.</w:t>
      </w:r>
      <w:r>
        <w:tab/>
      </w:r>
      <w:r>
        <w:rPr>
          <w:i/>
          <w:iCs/>
        </w:rPr>
        <w:t>Детское пособие</w:t>
      </w:r>
      <w:r>
        <w:t xml:space="preserve"> предоставляется в форме финансовой компенсации на покрытие части расходов по уходу за ребенком и обеспечению его развития.</w:t>
      </w:r>
    </w:p>
    <w:p w:rsidR="00000000" w:rsidRDefault="00000000"/>
    <w:p w:rsidR="00000000" w:rsidRDefault="00000000">
      <w:r>
        <w:t>371.</w:t>
      </w:r>
      <w:r>
        <w:tab/>
        <w:t>Право на получение детского пособия имеет один из родителей, если он работает, является получателем пенсии или постоянного денежного пособия, является безработным и получает финансовое пособие по безработице, является фермером и платит подоходный налог с сельскохозяйственной деятельности, как единственного рода занятия, является ремесленником, занятым народным или популярным промыслом, является гражданином государства и постоянно проживает в стране;  пособие выплачивается на гражданина государства и ребенка, являющегося очным учащимся.  В соответствии с Законом о защите ребенка правом на получение детского пособия может воспользоваться и иностранный гражданин, постоянно проживающий на территории страны.</w:t>
      </w:r>
    </w:p>
    <w:p w:rsidR="00000000" w:rsidRDefault="00000000"/>
    <w:p w:rsidR="00000000" w:rsidRDefault="00000000">
      <w:r>
        <w:t>372.</w:t>
      </w:r>
      <w:r>
        <w:tab/>
        <w:t>Детское пособие выплачивается в зависимости от возраста ребенка и материального положения семьи.</w:t>
      </w:r>
    </w:p>
    <w:p w:rsidR="00000000" w:rsidRDefault="00000000"/>
    <w:p w:rsidR="00000000" w:rsidRDefault="00000000">
      <w:r>
        <w:t>373.</w:t>
      </w:r>
      <w:r>
        <w:tab/>
        <w:t>Один из родителей или опекунов ребенка имеет право на получение детского пособия до достижения ребенком возраста 18 лет, если ребенок является очным учащимся.  Право на получение детского пособия также предоставляется одному из родителей ребенка с инвалидностью, который в силу своей болезни не посещает школу вообще и на постоянной основе или свыше одного года, до достижения возраста 18 лет.</w:t>
      </w:r>
    </w:p>
    <w:p w:rsidR="00000000" w:rsidRDefault="00000000">
      <w:r>
        <w:t>374.</w:t>
      </w:r>
      <w:r>
        <w:tab/>
        <w:t>Родители имеют право на получение детского пособия в отношении всех детей, которые находятся на его иждивении:  детей, рожденных в браке или вне брака, усыновленных/удочеренных детей, племянников, внуков, родных братьев и сестер и других детей, находящихся на их иждивении.</w:t>
      </w:r>
    </w:p>
    <w:p w:rsidR="00000000" w:rsidRDefault="00000000"/>
    <w:p w:rsidR="00000000" w:rsidRDefault="00000000">
      <w:r>
        <w:t>375.</w:t>
      </w:r>
      <w:r>
        <w:tab/>
        <w:t>В отношении детей, принятых кем-либо на иждивение, такое лицо может получать детское пособие даже при наличии у ребенка своих родителей, при условии, что они утратили работоспособность полностью или на постоянной основе;  отбывают тюремный срок;  лишены родительских прав или являются очными студентами.</w:t>
      </w:r>
    </w:p>
    <w:p w:rsidR="00000000" w:rsidRDefault="00000000"/>
    <w:p w:rsidR="00000000" w:rsidRDefault="00000000">
      <w:r>
        <w:t>376.</w:t>
      </w:r>
      <w:r>
        <w:tab/>
        <w:t>В отношении детей, заботу о которых взяло на себя какое-либо лицо, детское пособие может выплачиваться только в тех случаях, когда родители и дети не владеют недвижимостью или доходами от нее, которые могли бы пойти на содержание детей.</w:t>
      </w:r>
    </w:p>
    <w:p w:rsidR="00000000" w:rsidRDefault="00000000"/>
    <w:p w:rsidR="00000000" w:rsidRDefault="00000000">
      <w:r>
        <w:t>377.</w:t>
      </w:r>
      <w:r>
        <w:tab/>
        <w:t>Детское пособие может выплачиваться в отношении ребенка, лишенного родительской опеки и проживающего в приемной семье.</w:t>
      </w:r>
    </w:p>
    <w:p w:rsidR="00000000" w:rsidRDefault="00000000"/>
    <w:p w:rsidR="00000000" w:rsidRDefault="00000000">
      <w:r>
        <w:t>378.</w:t>
      </w:r>
      <w:r>
        <w:tab/>
        <w:t>Материальное положение семьи определяется исходя из суммарного дохода и активов, приобретенных семьей в предыдущем году, и в зависимости от числа членов семьи.</w:t>
      </w:r>
    </w:p>
    <w:p w:rsidR="00000000" w:rsidRDefault="00000000"/>
    <w:p w:rsidR="00000000" w:rsidRDefault="00000000">
      <w:r>
        <w:t>379.</w:t>
      </w:r>
      <w:r>
        <w:tab/>
        <w:t xml:space="preserve">Верхний предел суммы среднемесячного дохода и помощи на члена семьи для целей получения дотации на ребенка составляет </w:t>
      </w:r>
      <w:proofErr w:type="spellStart"/>
      <w:r>
        <w:t>16%</w:t>
      </w:r>
      <w:proofErr w:type="spellEnd"/>
      <w:r>
        <w:t xml:space="preserve"> от средней заработной платы по стране в первом полугодии предыдущего года, а для родителей-одиночек </w:t>
      </w:r>
      <w:r>
        <w:noBreakHyphen/>
        <w:t> </w:t>
      </w:r>
      <w:proofErr w:type="spellStart"/>
      <w:r>
        <w:t>32%</w:t>
      </w:r>
      <w:proofErr w:type="spellEnd"/>
      <w:r>
        <w:t xml:space="preserve"> от средней заработной платы по стране в первом полугодии предыдущего </w:t>
      </w:r>
      <w:proofErr w:type="spellStart"/>
      <w:r>
        <w:t>года</w:t>
      </w:r>
      <w:r>
        <w:rPr>
          <w:b/>
          <w:bCs/>
          <w:vertAlign w:val="superscript"/>
        </w:rPr>
        <w:t>4</w:t>
      </w:r>
      <w:proofErr w:type="spellEnd"/>
      <w:r>
        <w:t>.</w:t>
      </w:r>
    </w:p>
    <w:p w:rsidR="00000000" w:rsidRDefault="00000000"/>
    <w:p w:rsidR="00000000" w:rsidRDefault="00000000">
      <w:r>
        <w:t>380.</w:t>
      </w:r>
      <w:r>
        <w:tab/>
        <w:t xml:space="preserve">Детское пособие имеет следующую структуру:  для детей в возрасте до 15 лет включительно или до тех пор, пока ребенок постоянно учится в начальной школе, - </w:t>
      </w:r>
      <w:proofErr w:type="spellStart"/>
      <w:r>
        <w:t>4,60%</w:t>
      </w:r>
      <w:proofErr w:type="spellEnd"/>
      <w:r>
        <w:t xml:space="preserve"> от средней заработной платы в стране в первом полугодии предыдущего года;  для детей в возрасте от 15 до 18 лет, или до тех пор пока ребенок является очным учащимся средней школы, - </w:t>
      </w:r>
      <w:proofErr w:type="spellStart"/>
      <w:r>
        <w:t>7,30%</w:t>
      </w:r>
      <w:proofErr w:type="spellEnd"/>
      <w:r>
        <w:t xml:space="preserve"> от средней заработной платы в стране в первом полугодии предыдущего года.</w:t>
      </w:r>
    </w:p>
    <w:p w:rsidR="00000000" w:rsidRDefault="00000000"/>
    <w:p w:rsidR="00000000" w:rsidRDefault="00000000">
      <w:r>
        <w:t>381.</w:t>
      </w:r>
      <w:r>
        <w:tab/>
        <w:t xml:space="preserve">Независимо от числа детей в семье суммарный объем месячной дотации на детей составляет для имеющего на это право родителя 1 800 </w:t>
      </w:r>
      <w:proofErr w:type="spellStart"/>
      <w:r>
        <w:t>денаров</w:t>
      </w:r>
      <w:proofErr w:type="spellEnd"/>
      <w:r>
        <w:t>.</w:t>
      </w:r>
    </w:p>
    <w:p w:rsidR="00000000" w:rsidRDefault="00000000"/>
    <w:p w:rsidR="00000000" w:rsidRDefault="00000000">
      <w:r>
        <w:t>382.</w:t>
      </w:r>
      <w:r>
        <w:tab/>
      </w:r>
      <w:r>
        <w:rPr>
          <w:i/>
          <w:iCs/>
        </w:rPr>
        <w:t>Специальное пособие</w:t>
      </w:r>
      <w:r>
        <w:t xml:space="preserve"> предоставляется в виде финансового пособия на детей с особыми потребностями, т.е. детей, страдающих нарушениями физического и психического развития, вплоть до достижения ими 26-летнего возраста.</w:t>
      </w:r>
    </w:p>
    <w:p w:rsidR="00000000" w:rsidRDefault="00000000">
      <w:r>
        <w:t>383.</w:t>
      </w:r>
      <w:r>
        <w:tab/>
        <w:t>Ребенком с особыми медицинскими потребностями считается ребенок, страдающий серьезными тяжелыми и крайне тяжелыми нарушениями физического развития;  умеренной, тяжелой и крайне тяжелой умственной неполноценностью;  наиболее тяжелыми формами хронических заболеваний;  предельно высокой степенью нарушений зрения, слуха или речи, либо ребенок, одновременно страдающий несколькими видами нарушений - комбинированным нарушением развития.</w:t>
      </w:r>
    </w:p>
    <w:p w:rsidR="00000000" w:rsidRDefault="00000000"/>
    <w:p w:rsidR="00000000" w:rsidRDefault="00000000">
      <w:r>
        <w:t>384.</w:t>
      </w:r>
      <w:r>
        <w:tab/>
        <w:t>Право на получение такого пособия предоставляется родителям или опекунам ребенка, если родители или опекуны, а также дети постоянно проживают в стране и если ребенок является гражданином бывшей югославской Республики Македонии, независимо от материального положения семьи, количества детей в семье и независимо от того, посещает ли такой ребенок школу.</w:t>
      </w:r>
    </w:p>
    <w:p w:rsidR="00000000" w:rsidRDefault="00000000"/>
    <w:p w:rsidR="00000000" w:rsidRDefault="00000000">
      <w:r>
        <w:t>385.</w:t>
      </w:r>
      <w:r>
        <w:tab/>
        <w:t>Помимо права на специальное пособие родителям может также предоставляться право на получение детского пособия, если они соответствуют условиям для приобретения такого права, предусмотренным в Законе о защите детей.</w:t>
      </w:r>
    </w:p>
    <w:p w:rsidR="00000000" w:rsidRDefault="00000000"/>
    <w:p w:rsidR="00000000" w:rsidRDefault="00000000">
      <w:r>
        <w:t>386.</w:t>
      </w:r>
      <w:r>
        <w:tab/>
        <w:t>Размер специального пособия составляет 27% от средней заработной платы по стране за первую половину предыдущего года.</w:t>
      </w:r>
    </w:p>
    <w:p w:rsidR="00000000" w:rsidRDefault="00000000"/>
    <w:p w:rsidR="00000000" w:rsidRDefault="00000000">
      <w:r>
        <w:t>387.</w:t>
      </w:r>
      <w:r>
        <w:tab/>
        <w:t>Право получения помощи на содержание новорожденного предоставляется в связи с первым родившимся ребенком в качестве финансового пособия, которое является одноразовым семейным пособием (в соответствии с поправками к Закону о защите детей, принятыми в сентябре 2004 года;  до этого помощь предоставлялась в натуральном выражении).</w:t>
      </w:r>
    </w:p>
    <w:p w:rsidR="00000000" w:rsidRDefault="00000000"/>
    <w:p w:rsidR="00000000" w:rsidRDefault="00000000">
      <w:r>
        <w:t>388.</w:t>
      </w:r>
      <w:r>
        <w:tab/>
        <w:t>Этим правом может воспользоваться любой из родителей, являющийся гражданином страны и постоянно проживающий в стране, в связи с рождением ребенка на территории бывшей югославской Республики Македонии.</w:t>
      </w:r>
    </w:p>
    <w:p w:rsidR="00000000" w:rsidRDefault="00000000"/>
    <w:p w:rsidR="00000000" w:rsidRDefault="00000000">
      <w:r>
        <w:t>389.</w:t>
      </w:r>
      <w:r>
        <w:tab/>
        <w:t>Право на получение такого пособия не зависит от материального положения и выплачивается на каждого первого родившегося ребенка, независимо от того, является ли такой ребенок родившимся в браке или вне его, и предоставляется по месту жительства матери.</w:t>
      </w:r>
    </w:p>
    <w:p w:rsidR="00000000" w:rsidRDefault="00000000"/>
    <w:p w:rsidR="00000000" w:rsidRDefault="00000000">
      <w:r>
        <w:t>390.</w:t>
      </w:r>
      <w:r>
        <w:tab/>
        <w:t xml:space="preserve">Размер пособия на приобретение вещей, необходимых новорожденному ребенку, составляет </w:t>
      </w:r>
      <w:proofErr w:type="spellStart"/>
      <w:r>
        <w:t>25%</w:t>
      </w:r>
      <w:proofErr w:type="spellEnd"/>
      <w:r>
        <w:t xml:space="preserve"> от средней заработной платы по стране за первую половину предыдущего года.</w:t>
      </w:r>
    </w:p>
    <w:p w:rsidR="00000000" w:rsidRDefault="00000000"/>
    <w:p w:rsidR="00000000" w:rsidRDefault="00000000">
      <w:r>
        <w:t>391.</w:t>
      </w:r>
      <w:r>
        <w:tab/>
        <w:t>Процедура и порядок осуществления прав, предусмотренных в целях защиты детей, и размеры предоставляемой помощи регулируются Законом о защите детей и Постановлением о способах, критериях и порядке осуществления прав на защиту детей ("Официальный вестник" бывшей югославской Республики Македонии № 39/2003 и 70/2004).</w:t>
      </w:r>
    </w:p>
    <w:p w:rsidR="00000000" w:rsidRDefault="00000000"/>
    <w:p w:rsidR="00000000" w:rsidRDefault="00000000">
      <w:r>
        <w:t>392.</w:t>
      </w:r>
      <w:r>
        <w:tab/>
        <w:t>Обеспечением прав на защиту детей (детское пособие, специальное пособие и пособие на приобретение вещей, необходимых новорожденному) в первую очередь занимается центр социальной деятельности, отвечающий за тот район, где проживает лицо, обратившееся за помощью;  при обжаловании решений центра социальной деятельности решения по заявлениям принимаются министром.</w:t>
      </w:r>
    </w:p>
    <w:p w:rsidR="00000000" w:rsidRDefault="00000000"/>
    <w:p w:rsidR="00000000" w:rsidRDefault="00000000">
      <w:pPr>
        <w:jc w:val="center"/>
        <w:rPr>
          <w:b/>
          <w:bCs/>
        </w:rPr>
      </w:pPr>
      <w:r>
        <w:rPr>
          <w:b/>
          <w:bCs/>
        </w:rPr>
        <w:t>Число семей и детей, получивших пособия в соответствии с правами на защиту детей, 2003 и 2004 годы</w:t>
      </w:r>
    </w:p>
    <w:p w:rsidR="00000000" w:rsidRDefault="00000000">
      <w:pPr>
        <w:jc w:val="center"/>
        <w:rPr>
          <w:b/>
          <w:bC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0"/>
        <w:gridCol w:w="1800"/>
        <w:gridCol w:w="1644"/>
        <w:gridCol w:w="2796"/>
        <w:gridCol w:w="1440"/>
      </w:tblGrid>
      <w:tr w:rsidR="00000000">
        <w:trPr>
          <w:trHeight w:val="20"/>
        </w:trPr>
        <w:tc>
          <w:tcPr>
            <w:tcW w:w="1680" w:type="dxa"/>
          </w:tcPr>
          <w:p w:rsidR="00000000" w:rsidRDefault="00000000">
            <w:pPr>
              <w:spacing w:line="240" w:lineRule="auto"/>
              <w:jc w:val="center"/>
              <w:rPr>
                <w:sz w:val="22"/>
              </w:rPr>
            </w:pPr>
          </w:p>
        </w:tc>
        <w:tc>
          <w:tcPr>
            <w:tcW w:w="1800" w:type="dxa"/>
          </w:tcPr>
          <w:p w:rsidR="00000000" w:rsidRDefault="00000000">
            <w:pPr>
              <w:spacing w:line="216" w:lineRule="auto"/>
              <w:jc w:val="center"/>
              <w:rPr>
                <w:sz w:val="22"/>
              </w:rPr>
            </w:pPr>
            <w:r>
              <w:rPr>
                <w:sz w:val="22"/>
              </w:rPr>
              <w:t>Детское пособие</w:t>
            </w:r>
          </w:p>
        </w:tc>
        <w:tc>
          <w:tcPr>
            <w:tcW w:w="1644" w:type="dxa"/>
          </w:tcPr>
          <w:p w:rsidR="00000000" w:rsidRDefault="00000000">
            <w:pPr>
              <w:spacing w:line="216" w:lineRule="auto"/>
              <w:jc w:val="center"/>
              <w:rPr>
                <w:sz w:val="22"/>
              </w:rPr>
            </w:pPr>
            <w:r>
              <w:rPr>
                <w:sz w:val="22"/>
              </w:rPr>
              <w:t>Специальное пособие</w:t>
            </w:r>
          </w:p>
        </w:tc>
        <w:tc>
          <w:tcPr>
            <w:tcW w:w="2796" w:type="dxa"/>
          </w:tcPr>
          <w:p w:rsidR="00000000" w:rsidRDefault="00000000">
            <w:pPr>
              <w:spacing w:line="216" w:lineRule="auto"/>
              <w:ind w:left="-57"/>
              <w:jc w:val="center"/>
              <w:rPr>
                <w:sz w:val="22"/>
              </w:rPr>
            </w:pPr>
            <w:r>
              <w:rPr>
                <w:sz w:val="22"/>
              </w:rPr>
              <w:t>Пособие на приобретение вещей, необходимых новорожденному ребенку</w:t>
            </w:r>
          </w:p>
        </w:tc>
        <w:tc>
          <w:tcPr>
            <w:tcW w:w="1440" w:type="dxa"/>
          </w:tcPr>
          <w:p w:rsidR="00000000" w:rsidRDefault="00000000">
            <w:pPr>
              <w:spacing w:line="216" w:lineRule="auto"/>
              <w:jc w:val="center"/>
              <w:rPr>
                <w:sz w:val="22"/>
              </w:rPr>
            </w:pPr>
            <w:r>
              <w:rPr>
                <w:sz w:val="22"/>
              </w:rPr>
              <w:t>Всего</w:t>
            </w:r>
          </w:p>
        </w:tc>
      </w:tr>
      <w:tr w:rsidR="00000000">
        <w:trPr>
          <w:trHeight w:val="20"/>
        </w:trPr>
        <w:tc>
          <w:tcPr>
            <w:tcW w:w="1680" w:type="dxa"/>
            <w:tcBorders>
              <w:bottom w:val="nil"/>
            </w:tcBorders>
            <w:vAlign w:val="center"/>
          </w:tcPr>
          <w:p w:rsidR="00000000" w:rsidRDefault="00000000">
            <w:pPr>
              <w:spacing w:line="240" w:lineRule="auto"/>
              <w:rPr>
                <w:bCs/>
                <w:sz w:val="22"/>
              </w:rPr>
            </w:pPr>
            <w:r>
              <w:rPr>
                <w:bCs/>
                <w:sz w:val="22"/>
              </w:rPr>
              <w:t>2003</w:t>
            </w:r>
          </w:p>
        </w:tc>
        <w:tc>
          <w:tcPr>
            <w:tcW w:w="1800" w:type="dxa"/>
            <w:tcBorders>
              <w:bottom w:val="nil"/>
            </w:tcBorders>
          </w:tcPr>
          <w:p w:rsidR="00000000" w:rsidRDefault="00000000">
            <w:pPr>
              <w:spacing w:line="240" w:lineRule="auto"/>
              <w:jc w:val="center"/>
              <w:rPr>
                <w:bCs/>
                <w:sz w:val="22"/>
              </w:rPr>
            </w:pPr>
          </w:p>
        </w:tc>
        <w:tc>
          <w:tcPr>
            <w:tcW w:w="1644" w:type="dxa"/>
            <w:tcBorders>
              <w:bottom w:val="nil"/>
            </w:tcBorders>
          </w:tcPr>
          <w:p w:rsidR="00000000" w:rsidRDefault="00000000">
            <w:pPr>
              <w:spacing w:line="240" w:lineRule="auto"/>
              <w:jc w:val="center"/>
              <w:rPr>
                <w:bCs/>
                <w:sz w:val="22"/>
              </w:rPr>
            </w:pPr>
          </w:p>
        </w:tc>
        <w:tc>
          <w:tcPr>
            <w:tcW w:w="2796" w:type="dxa"/>
            <w:tcBorders>
              <w:bottom w:val="nil"/>
            </w:tcBorders>
          </w:tcPr>
          <w:p w:rsidR="00000000" w:rsidRDefault="00000000">
            <w:pPr>
              <w:spacing w:line="240" w:lineRule="auto"/>
              <w:jc w:val="center"/>
              <w:rPr>
                <w:bCs/>
                <w:sz w:val="22"/>
              </w:rPr>
            </w:pPr>
          </w:p>
        </w:tc>
        <w:tc>
          <w:tcPr>
            <w:tcW w:w="1440" w:type="dxa"/>
            <w:tcBorders>
              <w:bottom w:val="nil"/>
            </w:tcBorders>
          </w:tcPr>
          <w:p w:rsidR="00000000" w:rsidRDefault="00000000">
            <w:pPr>
              <w:spacing w:line="240" w:lineRule="auto"/>
              <w:jc w:val="center"/>
              <w:rPr>
                <w:bCs/>
                <w:sz w:val="22"/>
              </w:rPr>
            </w:pPr>
          </w:p>
        </w:tc>
      </w:tr>
      <w:tr w:rsidR="00000000">
        <w:trPr>
          <w:trHeight w:val="20"/>
        </w:trPr>
        <w:tc>
          <w:tcPr>
            <w:tcW w:w="1680" w:type="dxa"/>
            <w:tcBorders>
              <w:top w:val="nil"/>
              <w:bottom w:val="nil"/>
            </w:tcBorders>
            <w:vAlign w:val="center"/>
          </w:tcPr>
          <w:p w:rsidR="00000000" w:rsidRDefault="00000000">
            <w:pPr>
              <w:spacing w:line="240" w:lineRule="auto"/>
              <w:rPr>
                <w:bCs/>
                <w:sz w:val="22"/>
              </w:rPr>
            </w:pPr>
            <w:r>
              <w:rPr>
                <w:bCs/>
                <w:sz w:val="22"/>
              </w:rPr>
              <w:t>Семьи</w:t>
            </w:r>
          </w:p>
        </w:tc>
        <w:tc>
          <w:tcPr>
            <w:tcW w:w="1800" w:type="dxa"/>
            <w:tcBorders>
              <w:top w:val="nil"/>
              <w:bottom w:val="nil"/>
            </w:tcBorders>
            <w:vAlign w:val="center"/>
          </w:tcPr>
          <w:p w:rsidR="00000000" w:rsidRDefault="00000000">
            <w:pPr>
              <w:spacing w:line="240" w:lineRule="auto"/>
              <w:jc w:val="center"/>
              <w:rPr>
                <w:bCs/>
                <w:sz w:val="22"/>
              </w:rPr>
            </w:pPr>
            <w:r>
              <w:rPr>
                <w:bCs/>
                <w:sz w:val="22"/>
              </w:rPr>
              <w:t>28 220</w:t>
            </w:r>
          </w:p>
        </w:tc>
        <w:tc>
          <w:tcPr>
            <w:tcW w:w="1644" w:type="dxa"/>
            <w:tcBorders>
              <w:top w:val="nil"/>
              <w:bottom w:val="nil"/>
            </w:tcBorders>
            <w:vAlign w:val="center"/>
          </w:tcPr>
          <w:p w:rsidR="00000000" w:rsidRDefault="00000000">
            <w:pPr>
              <w:spacing w:line="240" w:lineRule="auto"/>
              <w:jc w:val="center"/>
              <w:rPr>
                <w:bCs/>
                <w:sz w:val="22"/>
              </w:rPr>
            </w:pPr>
            <w:r>
              <w:rPr>
                <w:bCs/>
                <w:sz w:val="22"/>
              </w:rPr>
              <w:t>3 522</w:t>
            </w:r>
          </w:p>
        </w:tc>
        <w:tc>
          <w:tcPr>
            <w:tcW w:w="2796" w:type="dxa"/>
            <w:tcBorders>
              <w:top w:val="nil"/>
              <w:bottom w:val="nil"/>
            </w:tcBorders>
            <w:vAlign w:val="center"/>
          </w:tcPr>
          <w:p w:rsidR="00000000" w:rsidRDefault="00000000">
            <w:pPr>
              <w:spacing w:line="240" w:lineRule="auto"/>
              <w:jc w:val="center"/>
              <w:rPr>
                <w:bCs/>
                <w:sz w:val="22"/>
              </w:rPr>
            </w:pPr>
            <w:r>
              <w:rPr>
                <w:bCs/>
                <w:sz w:val="22"/>
              </w:rPr>
              <w:t>8 265</w:t>
            </w:r>
          </w:p>
        </w:tc>
        <w:tc>
          <w:tcPr>
            <w:tcW w:w="1440" w:type="dxa"/>
            <w:tcBorders>
              <w:top w:val="nil"/>
              <w:bottom w:val="nil"/>
            </w:tcBorders>
            <w:vAlign w:val="center"/>
          </w:tcPr>
          <w:p w:rsidR="00000000" w:rsidRDefault="00000000">
            <w:pPr>
              <w:spacing w:line="240" w:lineRule="auto"/>
              <w:jc w:val="center"/>
              <w:rPr>
                <w:bCs/>
                <w:sz w:val="22"/>
              </w:rPr>
            </w:pPr>
            <w:r>
              <w:rPr>
                <w:bCs/>
                <w:sz w:val="22"/>
              </w:rPr>
              <w:t>40 007</w:t>
            </w:r>
          </w:p>
        </w:tc>
      </w:tr>
      <w:tr w:rsidR="00000000">
        <w:trPr>
          <w:trHeight w:val="20"/>
        </w:trPr>
        <w:tc>
          <w:tcPr>
            <w:tcW w:w="1680" w:type="dxa"/>
            <w:tcBorders>
              <w:top w:val="nil"/>
              <w:bottom w:val="nil"/>
            </w:tcBorders>
            <w:vAlign w:val="center"/>
          </w:tcPr>
          <w:p w:rsidR="00000000" w:rsidRDefault="00000000">
            <w:pPr>
              <w:spacing w:line="240" w:lineRule="auto"/>
              <w:rPr>
                <w:bCs/>
                <w:sz w:val="22"/>
              </w:rPr>
            </w:pPr>
            <w:r>
              <w:rPr>
                <w:bCs/>
                <w:sz w:val="22"/>
              </w:rPr>
              <w:t xml:space="preserve">  Дети</w:t>
            </w:r>
          </w:p>
        </w:tc>
        <w:tc>
          <w:tcPr>
            <w:tcW w:w="1800" w:type="dxa"/>
            <w:tcBorders>
              <w:top w:val="nil"/>
              <w:bottom w:val="nil"/>
            </w:tcBorders>
            <w:vAlign w:val="center"/>
          </w:tcPr>
          <w:p w:rsidR="00000000" w:rsidRDefault="00000000">
            <w:pPr>
              <w:spacing w:line="240" w:lineRule="auto"/>
              <w:jc w:val="center"/>
              <w:rPr>
                <w:bCs/>
                <w:sz w:val="22"/>
              </w:rPr>
            </w:pPr>
            <w:r>
              <w:rPr>
                <w:bCs/>
                <w:sz w:val="22"/>
              </w:rPr>
              <w:t>52 633</w:t>
            </w:r>
          </w:p>
        </w:tc>
        <w:tc>
          <w:tcPr>
            <w:tcW w:w="1644" w:type="dxa"/>
            <w:tcBorders>
              <w:top w:val="nil"/>
              <w:bottom w:val="nil"/>
            </w:tcBorders>
            <w:vAlign w:val="center"/>
          </w:tcPr>
          <w:p w:rsidR="00000000" w:rsidRDefault="00000000">
            <w:pPr>
              <w:spacing w:line="240" w:lineRule="auto"/>
              <w:jc w:val="center"/>
              <w:rPr>
                <w:bCs/>
                <w:sz w:val="22"/>
              </w:rPr>
            </w:pPr>
            <w:r>
              <w:rPr>
                <w:bCs/>
                <w:sz w:val="22"/>
              </w:rPr>
              <w:t>3 602</w:t>
            </w:r>
          </w:p>
        </w:tc>
        <w:tc>
          <w:tcPr>
            <w:tcW w:w="2796" w:type="dxa"/>
            <w:tcBorders>
              <w:top w:val="nil"/>
              <w:bottom w:val="nil"/>
            </w:tcBorders>
            <w:vAlign w:val="center"/>
          </w:tcPr>
          <w:p w:rsidR="00000000" w:rsidRDefault="00000000">
            <w:pPr>
              <w:spacing w:line="240" w:lineRule="auto"/>
              <w:jc w:val="center"/>
              <w:rPr>
                <w:bCs/>
                <w:sz w:val="22"/>
              </w:rPr>
            </w:pPr>
            <w:r>
              <w:rPr>
                <w:bCs/>
                <w:sz w:val="22"/>
              </w:rPr>
              <w:t>8 294</w:t>
            </w:r>
          </w:p>
        </w:tc>
        <w:tc>
          <w:tcPr>
            <w:tcW w:w="1440" w:type="dxa"/>
            <w:tcBorders>
              <w:top w:val="nil"/>
              <w:bottom w:val="nil"/>
            </w:tcBorders>
            <w:vAlign w:val="center"/>
          </w:tcPr>
          <w:p w:rsidR="00000000" w:rsidRDefault="00000000">
            <w:pPr>
              <w:spacing w:line="240" w:lineRule="auto"/>
              <w:jc w:val="center"/>
              <w:rPr>
                <w:bCs/>
                <w:sz w:val="22"/>
              </w:rPr>
            </w:pPr>
            <w:r>
              <w:rPr>
                <w:bCs/>
                <w:sz w:val="22"/>
              </w:rPr>
              <w:t>64 529</w:t>
            </w:r>
          </w:p>
        </w:tc>
      </w:tr>
      <w:tr w:rsidR="00000000">
        <w:trPr>
          <w:trHeight w:val="20"/>
        </w:trPr>
        <w:tc>
          <w:tcPr>
            <w:tcW w:w="1680" w:type="dxa"/>
            <w:tcBorders>
              <w:top w:val="nil"/>
              <w:bottom w:val="nil"/>
            </w:tcBorders>
            <w:vAlign w:val="center"/>
          </w:tcPr>
          <w:p w:rsidR="00000000" w:rsidRDefault="00000000">
            <w:pPr>
              <w:spacing w:line="240" w:lineRule="auto"/>
              <w:rPr>
                <w:bCs/>
                <w:sz w:val="22"/>
              </w:rPr>
            </w:pPr>
            <w:r>
              <w:rPr>
                <w:bCs/>
                <w:sz w:val="22"/>
              </w:rPr>
              <w:t xml:space="preserve">2004 </w:t>
            </w:r>
          </w:p>
        </w:tc>
        <w:tc>
          <w:tcPr>
            <w:tcW w:w="1800" w:type="dxa"/>
            <w:tcBorders>
              <w:top w:val="nil"/>
              <w:bottom w:val="nil"/>
            </w:tcBorders>
            <w:vAlign w:val="center"/>
          </w:tcPr>
          <w:p w:rsidR="00000000" w:rsidRDefault="00000000">
            <w:pPr>
              <w:spacing w:line="240" w:lineRule="auto"/>
              <w:jc w:val="center"/>
              <w:rPr>
                <w:bCs/>
                <w:sz w:val="22"/>
              </w:rPr>
            </w:pPr>
          </w:p>
        </w:tc>
        <w:tc>
          <w:tcPr>
            <w:tcW w:w="1644" w:type="dxa"/>
            <w:tcBorders>
              <w:top w:val="nil"/>
              <w:bottom w:val="nil"/>
            </w:tcBorders>
            <w:vAlign w:val="center"/>
          </w:tcPr>
          <w:p w:rsidR="00000000" w:rsidRDefault="00000000">
            <w:pPr>
              <w:spacing w:line="240" w:lineRule="auto"/>
              <w:jc w:val="center"/>
              <w:rPr>
                <w:bCs/>
                <w:sz w:val="22"/>
              </w:rPr>
            </w:pPr>
          </w:p>
        </w:tc>
        <w:tc>
          <w:tcPr>
            <w:tcW w:w="2796" w:type="dxa"/>
            <w:tcBorders>
              <w:top w:val="nil"/>
              <w:bottom w:val="nil"/>
            </w:tcBorders>
            <w:vAlign w:val="center"/>
          </w:tcPr>
          <w:p w:rsidR="00000000" w:rsidRDefault="00000000">
            <w:pPr>
              <w:spacing w:line="240" w:lineRule="auto"/>
              <w:jc w:val="center"/>
              <w:rPr>
                <w:bCs/>
                <w:sz w:val="22"/>
              </w:rPr>
            </w:pPr>
          </w:p>
        </w:tc>
        <w:tc>
          <w:tcPr>
            <w:tcW w:w="1440" w:type="dxa"/>
            <w:tcBorders>
              <w:top w:val="nil"/>
              <w:bottom w:val="nil"/>
            </w:tcBorders>
            <w:vAlign w:val="center"/>
          </w:tcPr>
          <w:p w:rsidR="00000000" w:rsidRDefault="00000000">
            <w:pPr>
              <w:spacing w:line="240" w:lineRule="auto"/>
              <w:jc w:val="center"/>
              <w:rPr>
                <w:bCs/>
                <w:sz w:val="22"/>
              </w:rPr>
            </w:pPr>
          </w:p>
        </w:tc>
      </w:tr>
      <w:tr w:rsidR="00000000">
        <w:trPr>
          <w:trHeight w:val="20"/>
        </w:trPr>
        <w:tc>
          <w:tcPr>
            <w:tcW w:w="1680" w:type="dxa"/>
            <w:tcBorders>
              <w:top w:val="nil"/>
              <w:bottom w:val="nil"/>
            </w:tcBorders>
            <w:vAlign w:val="center"/>
          </w:tcPr>
          <w:p w:rsidR="00000000" w:rsidRDefault="00000000">
            <w:pPr>
              <w:spacing w:line="240" w:lineRule="auto"/>
              <w:rPr>
                <w:bCs/>
                <w:sz w:val="22"/>
              </w:rPr>
            </w:pPr>
            <w:r>
              <w:rPr>
                <w:bCs/>
                <w:sz w:val="22"/>
              </w:rPr>
              <w:t xml:space="preserve">Семьи </w:t>
            </w:r>
          </w:p>
        </w:tc>
        <w:tc>
          <w:tcPr>
            <w:tcW w:w="1800" w:type="dxa"/>
            <w:tcBorders>
              <w:top w:val="nil"/>
              <w:bottom w:val="nil"/>
            </w:tcBorders>
            <w:vAlign w:val="center"/>
          </w:tcPr>
          <w:p w:rsidR="00000000" w:rsidRDefault="00000000">
            <w:pPr>
              <w:spacing w:line="240" w:lineRule="auto"/>
              <w:jc w:val="center"/>
              <w:rPr>
                <w:bCs/>
                <w:sz w:val="22"/>
              </w:rPr>
            </w:pPr>
            <w:r>
              <w:rPr>
                <w:bCs/>
                <w:sz w:val="22"/>
              </w:rPr>
              <w:t>21 247</w:t>
            </w:r>
          </w:p>
        </w:tc>
        <w:tc>
          <w:tcPr>
            <w:tcW w:w="1644" w:type="dxa"/>
            <w:tcBorders>
              <w:top w:val="nil"/>
              <w:bottom w:val="nil"/>
            </w:tcBorders>
            <w:vAlign w:val="center"/>
          </w:tcPr>
          <w:p w:rsidR="00000000" w:rsidRDefault="00000000">
            <w:pPr>
              <w:spacing w:line="240" w:lineRule="auto"/>
              <w:jc w:val="center"/>
              <w:rPr>
                <w:bCs/>
                <w:sz w:val="22"/>
              </w:rPr>
            </w:pPr>
            <w:r>
              <w:rPr>
                <w:bCs/>
                <w:sz w:val="22"/>
              </w:rPr>
              <w:t>3 983</w:t>
            </w:r>
          </w:p>
        </w:tc>
        <w:tc>
          <w:tcPr>
            <w:tcW w:w="2796" w:type="dxa"/>
            <w:tcBorders>
              <w:top w:val="nil"/>
              <w:bottom w:val="nil"/>
            </w:tcBorders>
            <w:vAlign w:val="center"/>
          </w:tcPr>
          <w:p w:rsidR="00000000" w:rsidRDefault="00000000">
            <w:pPr>
              <w:spacing w:line="240" w:lineRule="auto"/>
              <w:jc w:val="center"/>
              <w:rPr>
                <w:bCs/>
                <w:sz w:val="22"/>
              </w:rPr>
            </w:pPr>
            <w:r>
              <w:rPr>
                <w:bCs/>
                <w:sz w:val="22"/>
              </w:rPr>
              <w:t>8 860</w:t>
            </w:r>
          </w:p>
        </w:tc>
        <w:tc>
          <w:tcPr>
            <w:tcW w:w="1440" w:type="dxa"/>
            <w:tcBorders>
              <w:top w:val="nil"/>
              <w:bottom w:val="nil"/>
            </w:tcBorders>
            <w:vAlign w:val="center"/>
          </w:tcPr>
          <w:p w:rsidR="00000000" w:rsidRDefault="00000000">
            <w:pPr>
              <w:spacing w:line="240" w:lineRule="auto"/>
              <w:jc w:val="center"/>
              <w:rPr>
                <w:bCs/>
                <w:sz w:val="22"/>
              </w:rPr>
            </w:pPr>
            <w:r>
              <w:rPr>
                <w:bCs/>
                <w:sz w:val="22"/>
              </w:rPr>
              <w:t>33 090</w:t>
            </w:r>
          </w:p>
        </w:tc>
      </w:tr>
      <w:tr w:rsidR="00000000">
        <w:trPr>
          <w:trHeight w:val="20"/>
        </w:trPr>
        <w:tc>
          <w:tcPr>
            <w:tcW w:w="1680" w:type="dxa"/>
            <w:tcBorders>
              <w:top w:val="nil"/>
            </w:tcBorders>
            <w:vAlign w:val="center"/>
          </w:tcPr>
          <w:p w:rsidR="00000000" w:rsidRDefault="00000000">
            <w:pPr>
              <w:spacing w:after="120" w:line="240" w:lineRule="auto"/>
              <w:rPr>
                <w:bCs/>
                <w:sz w:val="22"/>
              </w:rPr>
            </w:pPr>
            <w:r>
              <w:rPr>
                <w:bCs/>
                <w:sz w:val="22"/>
              </w:rPr>
              <w:t xml:space="preserve">  Дети </w:t>
            </w:r>
          </w:p>
        </w:tc>
        <w:tc>
          <w:tcPr>
            <w:tcW w:w="1800" w:type="dxa"/>
            <w:tcBorders>
              <w:top w:val="nil"/>
            </w:tcBorders>
            <w:vAlign w:val="center"/>
          </w:tcPr>
          <w:p w:rsidR="00000000" w:rsidRDefault="00000000">
            <w:pPr>
              <w:spacing w:after="120" w:line="240" w:lineRule="auto"/>
              <w:jc w:val="center"/>
              <w:rPr>
                <w:bCs/>
                <w:sz w:val="22"/>
              </w:rPr>
            </w:pPr>
            <w:r>
              <w:rPr>
                <w:bCs/>
                <w:sz w:val="22"/>
              </w:rPr>
              <w:t>40 165</w:t>
            </w:r>
          </w:p>
        </w:tc>
        <w:tc>
          <w:tcPr>
            <w:tcW w:w="1644" w:type="dxa"/>
            <w:tcBorders>
              <w:top w:val="nil"/>
            </w:tcBorders>
            <w:vAlign w:val="center"/>
          </w:tcPr>
          <w:p w:rsidR="00000000" w:rsidRDefault="00000000">
            <w:pPr>
              <w:spacing w:after="120" w:line="240" w:lineRule="auto"/>
              <w:jc w:val="center"/>
              <w:rPr>
                <w:bCs/>
                <w:sz w:val="22"/>
              </w:rPr>
            </w:pPr>
            <w:r>
              <w:rPr>
                <w:bCs/>
                <w:sz w:val="22"/>
              </w:rPr>
              <w:t>4 134</w:t>
            </w:r>
          </w:p>
        </w:tc>
        <w:tc>
          <w:tcPr>
            <w:tcW w:w="2796" w:type="dxa"/>
            <w:tcBorders>
              <w:top w:val="nil"/>
            </w:tcBorders>
            <w:vAlign w:val="center"/>
          </w:tcPr>
          <w:p w:rsidR="00000000" w:rsidRDefault="00000000">
            <w:pPr>
              <w:spacing w:after="120" w:line="240" w:lineRule="auto"/>
              <w:jc w:val="center"/>
              <w:rPr>
                <w:bCs/>
                <w:sz w:val="22"/>
              </w:rPr>
            </w:pPr>
            <w:r>
              <w:rPr>
                <w:bCs/>
                <w:sz w:val="22"/>
              </w:rPr>
              <w:t>9 000</w:t>
            </w:r>
          </w:p>
        </w:tc>
        <w:tc>
          <w:tcPr>
            <w:tcW w:w="1440" w:type="dxa"/>
            <w:tcBorders>
              <w:top w:val="nil"/>
            </w:tcBorders>
            <w:vAlign w:val="center"/>
          </w:tcPr>
          <w:p w:rsidR="00000000" w:rsidRDefault="00000000">
            <w:pPr>
              <w:spacing w:after="120" w:line="240" w:lineRule="auto"/>
              <w:jc w:val="center"/>
              <w:rPr>
                <w:bCs/>
                <w:sz w:val="22"/>
              </w:rPr>
            </w:pPr>
            <w:r>
              <w:rPr>
                <w:bCs/>
                <w:sz w:val="22"/>
              </w:rPr>
              <w:t>53 299</w:t>
            </w:r>
          </w:p>
        </w:tc>
      </w:tr>
    </w:tbl>
    <w:p w:rsidR="00000000" w:rsidRDefault="00000000">
      <w:pPr>
        <w:spacing w:after="120" w:line="240" w:lineRule="auto"/>
      </w:pPr>
    </w:p>
    <w:p w:rsidR="00000000" w:rsidRDefault="00000000">
      <w:pPr>
        <w:rPr>
          <w:b/>
          <w:bCs/>
        </w:rPr>
      </w:pPr>
      <w:r>
        <w:rPr>
          <w:b/>
          <w:bCs/>
        </w:rPr>
        <w:t>Виды защиты детей</w:t>
      </w:r>
    </w:p>
    <w:p w:rsidR="00000000" w:rsidRDefault="00000000">
      <w:pPr>
        <w:rPr>
          <w:b/>
          <w:bCs/>
        </w:rPr>
      </w:pPr>
    </w:p>
    <w:p w:rsidR="00000000" w:rsidRDefault="00000000">
      <w:pPr>
        <w:rPr>
          <w:b/>
          <w:bCs/>
        </w:rPr>
      </w:pPr>
      <w:r>
        <w:tab/>
      </w:r>
      <w:r>
        <w:rPr>
          <w:b/>
          <w:bCs/>
        </w:rPr>
        <w:t>а)</w:t>
      </w:r>
      <w:r>
        <w:rPr>
          <w:b/>
          <w:bCs/>
        </w:rPr>
        <w:tab/>
        <w:t>Уход за детьми дошкольного возраста и их воспитание</w:t>
      </w:r>
    </w:p>
    <w:p w:rsidR="00000000" w:rsidRDefault="00000000">
      <w:pPr>
        <w:rPr>
          <w:b/>
          <w:bCs/>
        </w:rPr>
      </w:pPr>
    </w:p>
    <w:p w:rsidR="00000000" w:rsidRDefault="00000000">
      <w:r>
        <w:t>393.</w:t>
      </w:r>
      <w:r>
        <w:tab/>
        <w:t>В соответствии с Законом о защите детей уход за детьми и их воспитание является одним из видов защиты детей, который касается размещения, содержания, ухода, питания, образования, воспитания, спорта, отдыха, культурных и развлекательных мероприятий, действий и мер по укреплению и поддержанию здоровья, а также поощрению психического, эмоционального, физического, интеллектуального и социального развития детей вплоть до их зачисления в семилетнем возрасте в начальную школу.</w:t>
      </w:r>
    </w:p>
    <w:p w:rsidR="00000000" w:rsidRDefault="00000000"/>
    <w:p w:rsidR="00000000" w:rsidRDefault="00000000">
      <w:r>
        <w:t>394.</w:t>
      </w:r>
      <w:r>
        <w:tab/>
        <w:t xml:space="preserve">Уход за детьми дошкольного возраста и их воспитание является вопросом государственной важности, и в соответствии с Законом о защите детей они могут быть организованы и реализованы в детских учреждениях, детских садах (частных и государственных).  В этой связи Закон предоставляет возможность физическим и юридическим лицам заниматься определенной деятельностью в области ухода за детьми и их воспитания при соблюдении надлежащих условий и в порядке, установленном в Законе (физические лица могут профессионально заниматься деятельностью, связанной с организацией размещения, ухода и питания до трех детей дошкольного возраста на период не менее двух часов в день, а также деятельностью, связанной с предоставлением ухода, размещения и питания детям с физическими или психическими нарушениями развития - до трех детей моложе десяти лет в течение не менее двух часов в день - в соответствии с подпунктами </w:t>
      </w:r>
      <w:r>
        <w:rPr>
          <w:lang w:val="en-US"/>
        </w:rPr>
        <w:t>b</w:t>
      </w:r>
      <w:r>
        <w:t xml:space="preserve">) и с) статьи 59 принятого в сентябре 2004 года Закона о поправках и дополнениях к Закону о защите детей.  Кроме того, учреждения, предоставляющие услуги по уходу за детьми дошкольного возраста, если они являются юридическими лицами, занесенными в судебный регистр, могут осуществлять определенные виды деятельности в данной области, такие как услуги по уходу за детьми дошкольного возраста по вызову (подпункт </w:t>
      </w:r>
      <w:r>
        <w:rPr>
          <w:lang w:val="en-US"/>
        </w:rPr>
        <w:t>d</w:t>
      </w:r>
      <w:r>
        <w:t>) статьи 59)).</w:t>
      </w:r>
    </w:p>
    <w:p w:rsidR="00000000" w:rsidRDefault="00000000"/>
    <w:p w:rsidR="00000000" w:rsidRDefault="00000000">
      <w:r>
        <w:t>395.</w:t>
      </w:r>
      <w:r>
        <w:tab/>
        <w:t>В соответствии с Законом о поправках и дополнениях к Закону о защите детей организация и реализация услуг по уходу за детьми дошкольного возраста и их воспитанию осуществляется в государственных детских учреждениях, созданных муниципальными советами в качестве государственных детских садов.</w:t>
      </w:r>
    </w:p>
    <w:p w:rsidR="00000000" w:rsidRDefault="00000000"/>
    <w:p w:rsidR="00000000" w:rsidRDefault="00000000">
      <w:r>
        <w:t>396.</w:t>
      </w:r>
      <w:r>
        <w:tab/>
        <w:t>Детские сады осуществляют свою деятельность в соответствии с конкретными планами и программами.</w:t>
      </w:r>
    </w:p>
    <w:p w:rsidR="00000000" w:rsidRDefault="00000000"/>
    <w:p w:rsidR="00000000" w:rsidRDefault="00000000">
      <w:r>
        <w:t>397.</w:t>
      </w:r>
      <w:r>
        <w:tab/>
        <w:t>Детский сад обязан предоставить родителям информацию о программах, которые он будет выполнять, о целях и содержании программ и о методах работы.</w:t>
      </w:r>
    </w:p>
    <w:p w:rsidR="00000000" w:rsidRDefault="00000000"/>
    <w:p w:rsidR="00000000" w:rsidRDefault="00000000">
      <w:r>
        <w:t>398.</w:t>
      </w:r>
      <w:r>
        <w:tab/>
        <w:t>Родители имеют право выбирать для своих детей программы по уходу и воспитанию в детском саду.  Кроме того, они также уполномочены участвовать в управлении детским садом через своих представителей, избираемых в родительский комитет.</w:t>
      </w:r>
    </w:p>
    <w:p w:rsidR="00000000" w:rsidRDefault="00000000"/>
    <w:p w:rsidR="00000000" w:rsidRDefault="00000000">
      <w:r>
        <w:t>399.</w:t>
      </w:r>
      <w:r>
        <w:tab/>
        <w:t>Государственные детские сады организуют процесс ухода за детьми с различными нарушениями психического и физического развития и их воспитание с учетом вида и степени нарушения.</w:t>
      </w:r>
    </w:p>
    <w:p w:rsidR="00000000" w:rsidRDefault="00000000"/>
    <w:p w:rsidR="00000000" w:rsidRDefault="00000000">
      <w:r>
        <w:t>400.</w:t>
      </w:r>
      <w:r>
        <w:tab/>
        <w:t>Закон о защите детей предусматривает, что государственные детские сады должны учитывать социальное и экономическое положение семьи и принимать на воспитание детей с нарушениями развития.</w:t>
      </w:r>
    </w:p>
    <w:p w:rsidR="00000000" w:rsidRDefault="00000000"/>
    <w:p w:rsidR="00000000" w:rsidRDefault="00000000">
      <w:r>
        <w:t>401.</w:t>
      </w:r>
      <w:r>
        <w:tab/>
        <w:t>В соответствии с этим Законом для детей, не охваченных системой ухода и воспитания в детских садах, могут быть организованы другие упрощенные виды внеучрежденческого ухода и воспитания.</w:t>
      </w:r>
    </w:p>
    <w:p w:rsidR="00000000" w:rsidRDefault="00000000">
      <w:r>
        <w:t>402.</w:t>
      </w:r>
      <w:r>
        <w:tab/>
        <w:t>Если вблизи от места жительства не имеется государственного детского сада либо все места в детском саду заполнены, а родители желают зачислить определенное количество детей в детский сад, то в соответствии с нормами и положениями о функционировании детского сада ему может быть позволено образовать дополнительную группу и организовать свою деятельность в другом помещении.</w:t>
      </w:r>
    </w:p>
    <w:p w:rsidR="00000000" w:rsidRDefault="00000000"/>
    <w:p w:rsidR="00000000" w:rsidRDefault="00000000">
      <w:r>
        <w:t>403.</w:t>
      </w:r>
      <w:r>
        <w:tab/>
        <w:t>Иногда государственные детские сады могут организовать предоставление ухода сотрудниками детского сада за детьми по месту их жительства либо организовать предоставление ухода другими специалистами.</w:t>
      </w:r>
    </w:p>
    <w:p w:rsidR="00000000" w:rsidRDefault="00000000"/>
    <w:p w:rsidR="00000000" w:rsidRDefault="00000000">
      <w:r>
        <w:t>404.</w:t>
      </w:r>
      <w:r>
        <w:tab/>
        <w:t>Закон предусматривает возможность организации на базе детского сада службы консультаций для детей и родителей в составе соответствующих специалистов, которые консультируют родителей по вопросам правильного развития детей и предоставляют помощь детям, в частности, в связи с их надлежащей социализацией.</w:t>
      </w:r>
    </w:p>
    <w:p w:rsidR="00000000" w:rsidRDefault="00000000"/>
    <w:p w:rsidR="00000000" w:rsidRDefault="00000000">
      <w:r>
        <w:t>405.</w:t>
      </w:r>
      <w:r>
        <w:tab/>
        <w:t>Детский сад может организовывать другие учрежденческие мероприятия с целью удовлетворения конкретных интересов и запросов детей.</w:t>
      </w:r>
    </w:p>
    <w:p w:rsidR="00000000" w:rsidRDefault="00000000"/>
    <w:p w:rsidR="00000000" w:rsidRDefault="00000000">
      <w:r>
        <w:t>406.</w:t>
      </w:r>
      <w:r>
        <w:tab/>
        <w:t>Осуществляемые мероприятия являются частью Программы деятельности.</w:t>
      </w:r>
    </w:p>
    <w:p w:rsidR="00000000" w:rsidRDefault="00000000"/>
    <w:p w:rsidR="00000000" w:rsidRDefault="00000000">
      <w:r>
        <w:t>407.</w:t>
      </w:r>
      <w:r>
        <w:tab/>
        <w:t>В соответствии с установленным расписанием предоставления услуг по уходу и воспитанию детские сады реализуют следующие программы:  программу дневного ухода, программу частичного дневного ухода, краткосрочные программы, экспериментальные программы, внеучрежденческие виды деятельности, рассчитанные на детей.</w:t>
      </w:r>
    </w:p>
    <w:p w:rsidR="00000000" w:rsidRDefault="00000000"/>
    <w:p w:rsidR="00000000" w:rsidRDefault="00000000">
      <w:r>
        <w:t>408.</w:t>
      </w:r>
      <w:r>
        <w:tab/>
        <w:t>Продолжительность краткосрочных программ составляет от 240 до 600 часов ежегодно, и они рассчитаны на детей из отдаленных или неблагополучных с демографической точки зрения районов в возрасте от трех лет и до достижения школьного возраста и состоят в предоставлении услуг по уходу и воспитанию с кормлением или без него.  Такие программы также охватывают детей, находящихся на длительном стационарном лечении.</w:t>
      </w:r>
    </w:p>
    <w:p w:rsidR="00000000" w:rsidRDefault="00000000"/>
    <w:p w:rsidR="00000000" w:rsidRDefault="00000000">
      <w:r>
        <w:t>409.</w:t>
      </w:r>
      <w:r>
        <w:tab/>
        <w:t>Внеучрежденческие мероприятия представляют собой короткие трехчасовые ежедневные ознакомительные программы, включающие в себя обычные и ролевые игры, креативные занятия, ознакомление детей с произведениями культуры и искусства, а также спортивные мероприятия.  Такие программы предназначены для детей от трех лет и до достижения ими школьного возраста и организуются на базе государственных детских садов по соответствующим запросам.</w:t>
      </w:r>
    </w:p>
    <w:p w:rsidR="00000000" w:rsidRDefault="00000000"/>
    <w:p w:rsidR="00000000" w:rsidRDefault="00000000">
      <w:r>
        <w:t>410.</w:t>
      </w:r>
      <w:r>
        <w:tab/>
        <w:t>Экспериментальные программы опираются на особые педагогические принципы и реализуются в государственных детских садах после их одобрения.</w:t>
      </w:r>
    </w:p>
    <w:p w:rsidR="00000000" w:rsidRDefault="00000000"/>
    <w:p w:rsidR="00000000" w:rsidRDefault="00000000">
      <w:r>
        <w:t>411.</w:t>
      </w:r>
      <w:r>
        <w:tab/>
        <w:t>Детские сады могут осуществлять программы продленного пребывания детей, соответствующие графику работы родителей.</w:t>
      </w:r>
    </w:p>
    <w:p w:rsidR="00000000" w:rsidRDefault="00000000"/>
    <w:p w:rsidR="00000000" w:rsidRDefault="00000000">
      <w:r>
        <w:t>412.</w:t>
      </w:r>
      <w:r>
        <w:tab/>
        <w:t>Для ухода за детьми дошкольного возраста и их воспитания создана сеть из 184 детских центров, объединенных в 51 государственное учреждение дошкольного детского воспитания в стране, которые рассчитаны приблизительно на 25 000 детей, что обеспечивает 11-процентный охват детей в возрасте до семи лет.  С 1 сентября 2005 года такие учреждения будут предназначены для детей в возрасте до шести лет, поскольку дети в возрасте шести лет и старше будут охвачены программами подготовки к начальной школе, которые будут осуществляться в системе государственных учреждений для детей дошкольного возраста, уполномоченных правительством в соответствии с новым территориальным делением страны на основе стандартов и норм, предусмотренных для осуществления такой деятельности.</w:t>
      </w:r>
    </w:p>
    <w:p w:rsidR="00000000" w:rsidRDefault="00000000"/>
    <w:p w:rsidR="00000000" w:rsidRDefault="00000000">
      <w:r>
        <w:t>413.</w:t>
      </w:r>
      <w:r>
        <w:tab/>
        <w:t>Деятельностью по предоставлению ухода и воспитания в государственных детских садах занимаются приблизительно 3 300 работников.  В соответствии с Законом и в зависимости от конкретных потребностей в их состав входят медицинские сестры, воспитатели детских садов, помощники специалистов (старшая медицинская сестра, социальный работник), преподаватели музыки, рисования, эксперты-специалисты (педагоги, психологи, социальные работники, врачи, учителя специализированного образования), а также прочий персонал, например повара, кухарки, административные служащие.</w:t>
      </w:r>
    </w:p>
    <w:p w:rsidR="00000000" w:rsidRDefault="00000000"/>
    <w:tbl>
      <w:tblPr>
        <w:tblW w:w="95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725"/>
        <w:gridCol w:w="876"/>
        <w:gridCol w:w="994"/>
        <w:gridCol w:w="952"/>
        <w:gridCol w:w="873"/>
        <w:gridCol w:w="850"/>
        <w:gridCol w:w="930"/>
        <w:gridCol w:w="771"/>
        <w:gridCol w:w="851"/>
        <w:gridCol w:w="850"/>
        <w:gridCol w:w="890"/>
      </w:tblGrid>
      <w:tr w:rsidR="00000000">
        <w:tblPrEx>
          <w:tblCellMar>
            <w:top w:w="0" w:type="dxa"/>
            <w:bottom w:w="0" w:type="dxa"/>
          </w:tblCellMar>
        </w:tblPrEx>
        <w:trPr>
          <w:cantSplit/>
        </w:trPr>
        <w:tc>
          <w:tcPr>
            <w:tcW w:w="725" w:type="dxa"/>
          </w:tcPr>
          <w:p w:rsidR="00000000" w:rsidRDefault="00000000">
            <w:pPr>
              <w:jc w:val="center"/>
              <w:rPr>
                <w:sz w:val="18"/>
              </w:rPr>
            </w:pPr>
            <w:r>
              <w:rPr>
                <w:sz w:val="18"/>
              </w:rPr>
              <w:t>Год</w:t>
            </w:r>
          </w:p>
        </w:tc>
        <w:tc>
          <w:tcPr>
            <w:tcW w:w="1870" w:type="dxa"/>
            <w:gridSpan w:val="2"/>
          </w:tcPr>
          <w:p w:rsidR="00000000" w:rsidRDefault="00000000">
            <w:pPr>
              <w:jc w:val="center"/>
              <w:rPr>
                <w:sz w:val="18"/>
              </w:rPr>
            </w:pPr>
            <w:r>
              <w:rPr>
                <w:sz w:val="18"/>
              </w:rPr>
              <w:t>Всего</w:t>
            </w:r>
          </w:p>
        </w:tc>
        <w:tc>
          <w:tcPr>
            <w:tcW w:w="1825" w:type="dxa"/>
            <w:gridSpan w:val="2"/>
          </w:tcPr>
          <w:p w:rsidR="00000000" w:rsidRDefault="00000000">
            <w:pPr>
              <w:jc w:val="center"/>
              <w:rPr>
                <w:sz w:val="18"/>
              </w:rPr>
            </w:pPr>
            <w:r>
              <w:rPr>
                <w:sz w:val="18"/>
              </w:rPr>
              <w:t>Ясли</w:t>
            </w:r>
          </w:p>
        </w:tc>
        <w:tc>
          <w:tcPr>
            <w:tcW w:w="1780" w:type="dxa"/>
            <w:gridSpan w:val="2"/>
          </w:tcPr>
          <w:p w:rsidR="00000000" w:rsidRDefault="00000000">
            <w:pPr>
              <w:jc w:val="center"/>
              <w:rPr>
                <w:sz w:val="18"/>
              </w:rPr>
            </w:pPr>
            <w:r>
              <w:rPr>
                <w:sz w:val="18"/>
              </w:rPr>
              <w:t>Детские сады</w:t>
            </w:r>
          </w:p>
        </w:tc>
        <w:tc>
          <w:tcPr>
            <w:tcW w:w="1622" w:type="dxa"/>
            <w:gridSpan w:val="2"/>
          </w:tcPr>
          <w:p w:rsidR="00000000" w:rsidRDefault="00000000">
            <w:pPr>
              <w:jc w:val="center"/>
              <w:rPr>
                <w:sz w:val="18"/>
              </w:rPr>
            </w:pPr>
            <w:r>
              <w:rPr>
                <w:sz w:val="18"/>
              </w:rPr>
              <w:t>Детские сады, работающие по сокращенным программам</w:t>
            </w:r>
          </w:p>
        </w:tc>
        <w:tc>
          <w:tcPr>
            <w:tcW w:w="1740" w:type="dxa"/>
            <w:gridSpan w:val="2"/>
          </w:tcPr>
          <w:p w:rsidR="00000000" w:rsidRDefault="00000000">
            <w:pPr>
              <w:jc w:val="center"/>
              <w:rPr>
                <w:sz w:val="18"/>
              </w:rPr>
            </w:pPr>
            <w:proofErr w:type="spellStart"/>
            <w:r>
              <w:rPr>
                <w:sz w:val="18"/>
              </w:rPr>
              <w:t>Внеучрежденческие</w:t>
            </w:r>
            <w:proofErr w:type="spellEnd"/>
            <w:r>
              <w:rPr>
                <w:sz w:val="18"/>
              </w:rPr>
              <w:t xml:space="preserve"> и другие виды предоставления ухода и воспитания</w:t>
            </w:r>
          </w:p>
        </w:tc>
      </w:tr>
      <w:tr w:rsidR="00000000">
        <w:tblPrEx>
          <w:tblCellMar>
            <w:top w:w="0" w:type="dxa"/>
            <w:bottom w:w="0" w:type="dxa"/>
          </w:tblCellMar>
        </w:tblPrEx>
        <w:tc>
          <w:tcPr>
            <w:tcW w:w="725" w:type="dxa"/>
            <w:tcBorders>
              <w:bottom w:val="single" w:sz="4" w:space="0" w:color="auto"/>
            </w:tcBorders>
          </w:tcPr>
          <w:p w:rsidR="00000000" w:rsidRDefault="00000000">
            <w:pPr>
              <w:rPr>
                <w:sz w:val="18"/>
              </w:rPr>
            </w:pPr>
          </w:p>
        </w:tc>
        <w:tc>
          <w:tcPr>
            <w:tcW w:w="876" w:type="dxa"/>
            <w:tcBorders>
              <w:bottom w:val="single" w:sz="4" w:space="0" w:color="auto"/>
            </w:tcBorders>
          </w:tcPr>
          <w:p w:rsidR="00000000" w:rsidRDefault="00000000">
            <w:pPr>
              <w:jc w:val="center"/>
              <w:rPr>
                <w:sz w:val="18"/>
              </w:rPr>
            </w:pPr>
            <w:r>
              <w:rPr>
                <w:sz w:val="18"/>
              </w:rPr>
              <w:t>Группы</w:t>
            </w:r>
          </w:p>
        </w:tc>
        <w:tc>
          <w:tcPr>
            <w:tcW w:w="994" w:type="dxa"/>
            <w:tcBorders>
              <w:bottom w:val="single" w:sz="4" w:space="0" w:color="auto"/>
            </w:tcBorders>
          </w:tcPr>
          <w:p w:rsidR="00000000" w:rsidRDefault="00000000">
            <w:pPr>
              <w:pStyle w:val="FootnoteText"/>
              <w:spacing w:line="288" w:lineRule="auto"/>
              <w:jc w:val="center"/>
              <w:rPr>
                <w:sz w:val="18"/>
              </w:rPr>
            </w:pPr>
            <w:r>
              <w:rPr>
                <w:sz w:val="18"/>
              </w:rPr>
              <w:t>Число детей</w:t>
            </w:r>
          </w:p>
        </w:tc>
        <w:tc>
          <w:tcPr>
            <w:tcW w:w="952" w:type="dxa"/>
            <w:tcBorders>
              <w:bottom w:val="single" w:sz="4" w:space="0" w:color="auto"/>
            </w:tcBorders>
          </w:tcPr>
          <w:p w:rsidR="00000000" w:rsidRDefault="00000000">
            <w:pPr>
              <w:jc w:val="center"/>
              <w:rPr>
                <w:sz w:val="18"/>
              </w:rPr>
            </w:pPr>
            <w:r>
              <w:rPr>
                <w:sz w:val="18"/>
              </w:rPr>
              <w:t>Группы</w:t>
            </w:r>
          </w:p>
        </w:tc>
        <w:tc>
          <w:tcPr>
            <w:tcW w:w="873" w:type="dxa"/>
            <w:tcBorders>
              <w:bottom w:val="single" w:sz="4" w:space="0" w:color="auto"/>
            </w:tcBorders>
          </w:tcPr>
          <w:p w:rsidR="00000000" w:rsidRDefault="00000000">
            <w:pPr>
              <w:pStyle w:val="FootnoteText"/>
              <w:spacing w:line="288" w:lineRule="auto"/>
              <w:jc w:val="center"/>
              <w:rPr>
                <w:sz w:val="18"/>
              </w:rPr>
            </w:pPr>
            <w:r>
              <w:rPr>
                <w:sz w:val="18"/>
              </w:rPr>
              <w:t>Число детей</w:t>
            </w:r>
          </w:p>
        </w:tc>
        <w:tc>
          <w:tcPr>
            <w:tcW w:w="850" w:type="dxa"/>
            <w:tcBorders>
              <w:bottom w:val="single" w:sz="4" w:space="0" w:color="auto"/>
            </w:tcBorders>
          </w:tcPr>
          <w:p w:rsidR="00000000" w:rsidRDefault="00000000">
            <w:pPr>
              <w:jc w:val="center"/>
              <w:rPr>
                <w:sz w:val="18"/>
              </w:rPr>
            </w:pPr>
            <w:r>
              <w:rPr>
                <w:sz w:val="18"/>
              </w:rPr>
              <w:t>Группы</w:t>
            </w:r>
          </w:p>
        </w:tc>
        <w:tc>
          <w:tcPr>
            <w:tcW w:w="930" w:type="dxa"/>
            <w:tcBorders>
              <w:bottom w:val="single" w:sz="4" w:space="0" w:color="auto"/>
            </w:tcBorders>
          </w:tcPr>
          <w:p w:rsidR="00000000" w:rsidRDefault="00000000">
            <w:pPr>
              <w:pStyle w:val="FootnoteText"/>
              <w:spacing w:line="288" w:lineRule="auto"/>
              <w:jc w:val="center"/>
              <w:rPr>
                <w:sz w:val="18"/>
              </w:rPr>
            </w:pPr>
            <w:r>
              <w:rPr>
                <w:sz w:val="18"/>
              </w:rPr>
              <w:t>Число детей</w:t>
            </w:r>
          </w:p>
        </w:tc>
        <w:tc>
          <w:tcPr>
            <w:tcW w:w="771" w:type="dxa"/>
            <w:tcBorders>
              <w:bottom w:val="single" w:sz="4" w:space="0" w:color="auto"/>
            </w:tcBorders>
          </w:tcPr>
          <w:p w:rsidR="00000000" w:rsidRDefault="00000000">
            <w:pPr>
              <w:jc w:val="center"/>
              <w:rPr>
                <w:sz w:val="18"/>
              </w:rPr>
            </w:pPr>
            <w:r>
              <w:rPr>
                <w:sz w:val="18"/>
              </w:rPr>
              <w:t>Группы</w:t>
            </w:r>
          </w:p>
        </w:tc>
        <w:tc>
          <w:tcPr>
            <w:tcW w:w="851" w:type="dxa"/>
            <w:tcBorders>
              <w:bottom w:val="single" w:sz="4" w:space="0" w:color="auto"/>
            </w:tcBorders>
          </w:tcPr>
          <w:p w:rsidR="00000000" w:rsidRDefault="00000000">
            <w:pPr>
              <w:pStyle w:val="FootnoteText"/>
              <w:spacing w:line="288" w:lineRule="auto"/>
              <w:jc w:val="center"/>
              <w:rPr>
                <w:sz w:val="18"/>
              </w:rPr>
            </w:pPr>
            <w:r>
              <w:rPr>
                <w:sz w:val="18"/>
              </w:rPr>
              <w:t>Число детей</w:t>
            </w:r>
          </w:p>
        </w:tc>
        <w:tc>
          <w:tcPr>
            <w:tcW w:w="850" w:type="dxa"/>
            <w:tcBorders>
              <w:bottom w:val="single" w:sz="4" w:space="0" w:color="auto"/>
            </w:tcBorders>
          </w:tcPr>
          <w:p w:rsidR="00000000" w:rsidRDefault="00000000">
            <w:pPr>
              <w:jc w:val="center"/>
              <w:rPr>
                <w:sz w:val="18"/>
              </w:rPr>
            </w:pPr>
            <w:r>
              <w:rPr>
                <w:sz w:val="18"/>
              </w:rPr>
              <w:t>Группы</w:t>
            </w:r>
          </w:p>
        </w:tc>
        <w:tc>
          <w:tcPr>
            <w:tcW w:w="890" w:type="dxa"/>
            <w:tcBorders>
              <w:bottom w:val="single" w:sz="4" w:space="0" w:color="auto"/>
            </w:tcBorders>
          </w:tcPr>
          <w:p w:rsidR="00000000" w:rsidRDefault="00000000">
            <w:pPr>
              <w:pStyle w:val="FootnoteText"/>
              <w:spacing w:line="288" w:lineRule="auto"/>
              <w:jc w:val="center"/>
              <w:rPr>
                <w:sz w:val="18"/>
              </w:rPr>
            </w:pPr>
            <w:r>
              <w:rPr>
                <w:sz w:val="18"/>
              </w:rPr>
              <w:t>Число детей</w:t>
            </w:r>
          </w:p>
        </w:tc>
      </w:tr>
      <w:tr w:rsidR="00000000">
        <w:tblPrEx>
          <w:tblCellMar>
            <w:top w:w="0" w:type="dxa"/>
            <w:bottom w:w="0" w:type="dxa"/>
          </w:tblCellMar>
        </w:tblPrEx>
        <w:trPr>
          <w:cantSplit/>
        </w:trPr>
        <w:tc>
          <w:tcPr>
            <w:tcW w:w="725" w:type="dxa"/>
            <w:tcBorders>
              <w:bottom w:val="nil"/>
            </w:tcBorders>
          </w:tcPr>
          <w:p w:rsidR="00000000" w:rsidRDefault="00000000">
            <w:pPr>
              <w:rPr>
                <w:sz w:val="20"/>
              </w:rPr>
            </w:pPr>
            <w:r>
              <w:rPr>
                <w:sz w:val="20"/>
              </w:rPr>
              <w:t>2003</w:t>
            </w:r>
          </w:p>
        </w:tc>
        <w:tc>
          <w:tcPr>
            <w:tcW w:w="876" w:type="dxa"/>
            <w:tcBorders>
              <w:bottom w:val="nil"/>
            </w:tcBorders>
          </w:tcPr>
          <w:p w:rsidR="00000000" w:rsidRDefault="00000000">
            <w:pPr>
              <w:jc w:val="right"/>
              <w:rPr>
                <w:sz w:val="20"/>
              </w:rPr>
            </w:pPr>
            <w:r>
              <w:rPr>
                <w:sz w:val="20"/>
              </w:rPr>
              <w:t>1 213</w:t>
            </w:r>
          </w:p>
        </w:tc>
        <w:tc>
          <w:tcPr>
            <w:tcW w:w="994" w:type="dxa"/>
            <w:tcBorders>
              <w:bottom w:val="nil"/>
            </w:tcBorders>
          </w:tcPr>
          <w:p w:rsidR="00000000" w:rsidRDefault="00000000">
            <w:pPr>
              <w:jc w:val="right"/>
              <w:rPr>
                <w:sz w:val="20"/>
              </w:rPr>
            </w:pPr>
            <w:r>
              <w:rPr>
                <w:sz w:val="20"/>
              </w:rPr>
              <w:t>218 412</w:t>
            </w:r>
          </w:p>
        </w:tc>
        <w:tc>
          <w:tcPr>
            <w:tcW w:w="952" w:type="dxa"/>
            <w:tcBorders>
              <w:bottom w:val="nil"/>
            </w:tcBorders>
          </w:tcPr>
          <w:p w:rsidR="00000000" w:rsidRDefault="00000000">
            <w:pPr>
              <w:jc w:val="right"/>
              <w:rPr>
                <w:sz w:val="20"/>
              </w:rPr>
            </w:pPr>
            <w:r>
              <w:rPr>
                <w:sz w:val="20"/>
              </w:rPr>
              <w:t>291</w:t>
            </w:r>
          </w:p>
        </w:tc>
        <w:tc>
          <w:tcPr>
            <w:tcW w:w="873" w:type="dxa"/>
            <w:tcBorders>
              <w:bottom w:val="nil"/>
            </w:tcBorders>
          </w:tcPr>
          <w:p w:rsidR="00000000" w:rsidRDefault="00000000">
            <w:pPr>
              <w:jc w:val="right"/>
              <w:rPr>
                <w:sz w:val="20"/>
              </w:rPr>
            </w:pPr>
            <w:r>
              <w:rPr>
                <w:sz w:val="20"/>
              </w:rPr>
              <w:t>2 688</w:t>
            </w:r>
          </w:p>
        </w:tc>
        <w:tc>
          <w:tcPr>
            <w:tcW w:w="850" w:type="dxa"/>
            <w:tcBorders>
              <w:bottom w:val="nil"/>
            </w:tcBorders>
          </w:tcPr>
          <w:p w:rsidR="00000000" w:rsidRDefault="00000000">
            <w:pPr>
              <w:jc w:val="right"/>
              <w:rPr>
                <w:sz w:val="20"/>
              </w:rPr>
            </w:pPr>
            <w:r>
              <w:rPr>
                <w:sz w:val="20"/>
              </w:rPr>
              <w:t>723</w:t>
            </w:r>
          </w:p>
        </w:tc>
        <w:tc>
          <w:tcPr>
            <w:tcW w:w="930" w:type="dxa"/>
            <w:tcBorders>
              <w:bottom w:val="nil"/>
            </w:tcBorders>
          </w:tcPr>
          <w:p w:rsidR="00000000" w:rsidRDefault="00000000">
            <w:pPr>
              <w:jc w:val="right"/>
              <w:rPr>
                <w:sz w:val="20"/>
              </w:rPr>
            </w:pPr>
            <w:r>
              <w:rPr>
                <w:sz w:val="20"/>
              </w:rPr>
              <w:t>15 318</w:t>
            </w:r>
          </w:p>
        </w:tc>
        <w:tc>
          <w:tcPr>
            <w:tcW w:w="771" w:type="dxa"/>
            <w:tcBorders>
              <w:bottom w:val="nil"/>
            </w:tcBorders>
          </w:tcPr>
          <w:p w:rsidR="00000000" w:rsidRDefault="00000000">
            <w:pPr>
              <w:jc w:val="right"/>
              <w:rPr>
                <w:sz w:val="20"/>
              </w:rPr>
            </w:pPr>
            <w:r>
              <w:rPr>
                <w:sz w:val="20"/>
              </w:rPr>
              <w:t>181</w:t>
            </w:r>
          </w:p>
        </w:tc>
        <w:tc>
          <w:tcPr>
            <w:tcW w:w="851" w:type="dxa"/>
            <w:tcBorders>
              <w:bottom w:val="nil"/>
            </w:tcBorders>
          </w:tcPr>
          <w:p w:rsidR="00000000" w:rsidRDefault="00000000">
            <w:pPr>
              <w:jc w:val="right"/>
              <w:rPr>
                <w:sz w:val="20"/>
              </w:rPr>
            </w:pPr>
            <w:r>
              <w:rPr>
                <w:sz w:val="20"/>
              </w:rPr>
              <w:t>3 505</w:t>
            </w:r>
          </w:p>
        </w:tc>
        <w:tc>
          <w:tcPr>
            <w:tcW w:w="850" w:type="dxa"/>
            <w:tcBorders>
              <w:bottom w:val="nil"/>
            </w:tcBorders>
          </w:tcPr>
          <w:p w:rsidR="00000000" w:rsidRDefault="00000000">
            <w:pPr>
              <w:jc w:val="center"/>
              <w:rPr>
                <w:sz w:val="20"/>
              </w:rPr>
            </w:pPr>
            <w:r>
              <w:rPr>
                <w:sz w:val="20"/>
              </w:rPr>
              <w:t>18</w:t>
            </w:r>
          </w:p>
        </w:tc>
        <w:tc>
          <w:tcPr>
            <w:tcW w:w="890" w:type="dxa"/>
            <w:tcBorders>
              <w:bottom w:val="nil"/>
            </w:tcBorders>
          </w:tcPr>
          <w:p w:rsidR="00000000" w:rsidRDefault="00000000">
            <w:pPr>
              <w:jc w:val="center"/>
              <w:rPr>
                <w:sz w:val="20"/>
              </w:rPr>
            </w:pPr>
            <w:r>
              <w:rPr>
                <w:sz w:val="20"/>
              </w:rPr>
              <w:t>330</w:t>
            </w:r>
          </w:p>
        </w:tc>
      </w:tr>
      <w:tr w:rsidR="00000000">
        <w:tblPrEx>
          <w:tblCellMar>
            <w:top w:w="0" w:type="dxa"/>
            <w:bottom w:w="0" w:type="dxa"/>
          </w:tblCellMar>
        </w:tblPrEx>
        <w:trPr>
          <w:cantSplit/>
        </w:trPr>
        <w:tc>
          <w:tcPr>
            <w:tcW w:w="725" w:type="dxa"/>
            <w:tcBorders>
              <w:top w:val="nil"/>
            </w:tcBorders>
          </w:tcPr>
          <w:p w:rsidR="00000000" w:rsidRDefault="00000000">
            <w:pPr>
              <w:rPr>
                <w:sz w:val="20"/>
              </w:rPr>
            </w:pPr>
            <w:r>
              <w:rPr>
                <w:sz w:val="20"/>
              </w:rPr>
              <w:t>2004</w:t>
            </w:r>
          </w:p>
        </w:tc>
        <w:tc>
          <w:tcPr>
            <w:tcW w:w="876" w:type="dxa"/>
            <w:tcBorders>
              <w:top w:val="nil"/>
            </w:tcBorders>
          </w:tcPr>
          <w:p w:rsidR="00000000" w:rsidRDefault="00000000">
            <w:pPr>
              <w:jc w:val="right"/>
              <w:rPr>
                <w:sz w:val="20"/>
              </w:rPr>
            </w:pPr>
            <w:r>
              <w:rPr>
                <w:sz w:val="20"/>
              </w:rPr>
              <w:t>1 208</w:t>
            </w:r>
          </w:p>
        </w:tc>
        <w:tc>
          <w:tcPr>
            <w:tcW w:w="994" w:type="dxa"/>
            <w:tcBorders>
              <w:top w:val="nil"/>
            </w:tcBorders>
          </w:tcPr>
          <w:p w:rsidR="00000000" w:rsidRDefault="00000000">
            <w:pPr>
              <w:jc w:val="right"/>
              <w:rPr>
                <w:sz w:val="20"/>
              </w:rPr>
            </w:pPr>
            <w:r>
              <w:rPr>
                <w:sz w:val="20"/>
              </w:rPr>
              <w:t>21 378</w:t>
            </w:r>
          </w:p>
        </w:tc>
        <w:tc>
          <w:tcPr>
            <w:tcW w:w="952" w:type="dxa"/>
            <w:tcBorders>
              <w:top w:val="nil"/>
            </w:tcBorders>
          </w:tcPr>
          <w:p w:rsidR="00000000" w:rsidRDefault="00000000">
            <w:pPr>
              <w:jc w:val="right"/>
              <w:rPr>
                <w:sz w:val="20"/>
              </w:rPr>
            </w:pPr>
            <w:r>
              <w:rPr>
                <w:sz w:val="20"/>
              </w:rPr>
              <w:t>283</w:t>
            </w:r>
          </w:p>
        </w:tc>
        <w:tc>
          <w:tcPr>
            <w:tcW w:w="873" w:type="dxa"/>
            <w:tcBorders>
              <w:top w:val="nil"/>
            </w:tcBorders>
          </w:tcPr>
          <w:p w:rsidR="00000000" w:rsidRDefault="00000000">
            <w:pPr>
              <w:jc w:val="right"/>
              <w:rPr>
                <w:sz w:val="20"/>
              </w:rPr>
            </w:pPr>
            <w:r>
              <w:rPr>
                <w:sz w:val="20"/>
              </w:rPr>
              <w:t>2 819</w:t>
            </w:r>
          </w:p>
        </w:tc>
        <w:tc>
          <w:tcPr>
            <w:tcW w:w="850" w:type="dxa"/>
            <w:tcBorders>
              <w:top w:val="nil"/>
            </w:tcBorders>
          </w:tcPr>
          <w:p w:rsidR="00000000" w:rsidRDefault="00000000">
            <w:pPr>
              <w:jc w:val="right"/>
              <w:rPr>
                <w:sz w:val="20"/>
              </w:rPr>
            </w:pPr>
            <w:r>
              <w:rPr>
                <w:sz w:val="20"/>
              </w:rPr>
              <w:t>731</w:t>
            </w:r>
          </w:p>
        </w:tc>
        <w:tc>
          <w:tcPr>
            <w:tcW w:w="930" w:type="dxa"/>
            <w:tcBorders>
              <w:top w:val="nil"/>
            </w:tcBorders>
          </w:tcPr>
          <w:p w:rsidR="00000000" w:rsidRDefault="00000000">
            <w:pPr>
              <w:jc w:val="right"/>
              <w:rPr>
                <w:sz w:val="20"/>
              </w:rPr>
            </w:pPr>
            <w:r>
              <w:rPr>
                <w:sz w:val="20"/>
              </w:rPr>
              <w:t>14 944</w:t>
            </w:r>
          </w:p>
        </w:tc>
        <w:tc>
          <w:tcPr>
            <w:tcW w:w="771" w:type="dxa"/>
            <w:tcBorders>
              <w:top w:val="nil"/>
            </w:tcBorders>
          </w:tcPr>
          <w:p w:rsidR="00000000" w:rsidRDefault="00000000">
            <w:pPr>
              <w:jc w:val="right"/>
              <w:rPr>
                <w:sz w:val="20"/>
              </w:rPr>
            </w:pPr>
            <w:r>
              <w:rPr>
                <w:sz w:val="20"/>
              </w:rPr>
              <w:t>164</w:t>
            </w:r>
          </w:p>
        </w:tc>
        <w:tc>
          <w:tcPr>
            <w:tcW w:w="851" w:type="dxa"/>
            <w:tcBorders>
              <w:top w:val="nil"/>
            </w:tcBorders>
          </w:tcPr>
          <w:p w:rsidR="00000000" w:rsidRDefault="00000000">
            <w:pPr>
              <w:jc w:val="right"/>
              <w:rPr>
                <w:sz w:val="20"/>
              </w:rPr>
            </w:pPr>
            <w:r>
              <w:rPr>
                <w:sz w:val="20"/>
              </w:rPr>
              <w:t>3 248</w:t>
            </w:r>
          </w:p>
        </w:tc>
        <w:tc>
          <w:tcPr>
            <w:tcW w:w="850" w:type="dxa"/>
            <w:tcBorders>
              <w:top w:val="nil"/>
            </w:tcBorders>
          </w:tcPr>
          <w:p w:rsidR="00000000" w:rsidRDefault="00000000">
            <w:pPr>
              <w:jc w:val="center"/>
              <w:rPr>
                <w:sz w:val="20"/>
              </w:rPr>
            </w:pPr>
            <w:r>
              <w:rPr>
                <w:sz w:val="20"/>
              </w:rPr>
              <w:t>30</w:t>
            </w:r>
          </w:p>
        </w:tc>
        <w:tc>
          <w:tcPr>
            <w:tcW w:w="890" w:type="dxa"/>
            <w:tcBorders>
              <w:top w:val="nil"/>
            </w:tcBorders>
          </w:tcPr>
          <w:p w:rsidR="00000000" w:rsidRDefault="00000000">
            <w:pPr>
              <w:jc w:val="center"/>
              <w:rPr>
                <w:sz w:val="20"/>
              </w:rPr>
            </w:pPr>
            <w:r>
              <w:rPr>
                <w:sz w:val="20"/>
              </w:rPr>
              <w:t>378</w:t>
            </w:r>
          </w:p>
        </w:tc>
      </w:tr>
    </w:tbl>
    <w:p w:rsidR="00000000" w:rsidRDefault="00000000"/>
    <w:p w:rsidR="00000000" w:rsidRDefault="00000000">
      <w:pPr>
        <w:rPr>
          <w:b/>
          <w:bCs/>
        </w:rPr>
      </w:pPr>
      <w:r>
        <w:tab/>
      </w:r>
      <w:proofErr w:type="spellStart"/>
      <w:r>
        <w:rPr>
          <w:b/>
          <w:bCs/>
        </w:rPr>
        <w:t>b</w:t>
      </w:r>
      <w:proofErr w:type="spellEnd"/>
      <w:r>
        <w:rPr>
          <w:b/>
          <w:bCs/>
        </w:rPr>
        <w:t>)</w:t>
      </w:r>
      <w:r>
        <w:rPr>
          <w:b/>
          <w:bCs/>
        </w:rPr>
        <w:tab/>
        <w:t>Каникулы и детский отдых</w:t>
      </w:r>
    </w:p>
    <w:p w:rsidR="00000000" w:rsidRDefault="00000000">
      <w:pPr>
        <w:rPr>
          <w:b/>
          <w:bCs/>
        </w:rPr>
      </w:pPr>
    </w:p>
    <w:p w:rsidR="00000000" w:rsidRDefault="00000000">
      <w:r>
        <w:t>414.</w:t>
      </w:r>
      <w:r>
        <w:tab/>
        <w:t>Каникулы и детский отдых являются одним из видов защиты детей и организуются в форме совместного проживания, активного отдыха, приобщения детей к жизни в обществе, образовательных, культурно-развлекательных, спортивно-оздоровительных и других мероприятий, предназначенных для детей в возрасте от 5 до 18 лет с целью содействия умственному и физическом развитию детей и приобретению ими навыков общения, уважения различий, совместного труда, способности к восприятию себя и других и ориентации в пространстве.</w:t>
      </w:r>
    </w:p>
    <w:p w:rsidR="00000000" w:rsidRDefault="00000000"/>
    <w:p w:rsidR="00000000" w:rsidRDefault="00000000">
      <w:r>
        <w:t>415.</w:t>
      </w:r>
      <w:r>
        <w:tab/>
        <w:t>Организация каникул и детского отдыха в стране осуществляется на базе существующей системы учреждений, располагающих коечным фондом, рассчитанным на 6 000 мест в одну смену.</w:t>
      </w:r>
    </w:p>
    <w:p w:rsidR="00000000" w:rsidRDefault="00000000"/>
    <w:p w:rsidR="00000000" w:rsidRDefault="00000000">
      <w:r>
        <w:t>416.</w:t>
      </w:r>
      <w:r>
        <w:tab/>
        <w:t>Детские лагеря предоставляют возможности для проведения зимних и летних каникул, внешкольных занятий и других программ, таких, как экскурсии, туристические мероприятия, походы, краткосрочные интенсивные курсы обучения, занятия в школе катания на мини-лыжах, ролевые занятия по охране окружающей среды, приготовление пищи;  при этом поправками к Закону предусмотрено использование таких лагерей в качестве открытых курортов и предоставление ими других услуг в те периоды, когда они не используются для вышеперечисленного обслуживания детей.</w:t>
      </w:r>
    </w:p>
    <w:p w:rsidR="00000000" w:rsidRDefault="00000000"/>
    <w:p w:rsidR="00000000" w:rsidRDefault="00000000">
      <w:r>
        <w:t>417.</w:t>
      </w:r>
      <w:r>
        <w:tab/>
        <w:t>В соответствии с "Нормами оснащения и оборудования детских лагерей отдыха" было построено и оборудовано 26 объектов для организации каникул и отдыха детей, которые отвечают санитарным и техническим условиям, предусмотренным для размещения, отдыха и досуга детей.</w:t>
      </w:r>
    </w:p>
    <w:p w:rsidR="00000000" w:rsidRDefault="00000000"/>
    <w:p w:rsidR="00000000" w:rsidRDefault="00000000">
      <w:r>
        <w:t>418.</w:t>
      </w:r>
      <w:r>
        <w:tab/>
        <w:t>Дети имеют возможность в организованном порядке проводить каникулы и отдыхать в пяти государственных учреждениях и 11 центрах.</w:t>
      </w:r>
    </w:p>
    <w:p w:rsidR="00000000" w:rsidRDefault="00000000"/>
    <w:p w:rsidR="00000000" w:rsidRDefault="00000000">
      <w:r>
        <w:t>419.</w:t>
      </w:r>
      <w:r>
        <w:tab/>
        <w:t>Закон о защите детей предусматривает создание государственных/муниципальных и частных детских лагерей, детских лагерей города Скопье и государственных детских лагерей.</w:t>
      </w:r>
    </w:p>
    <w:p w:rsidR="00000000" w:rsidRDefault="00000000"/>
    <w:p w:rsidR="00000000" w:rsidRDefault="00000000">
      <w:r>
        <w:t>420.</w:t>
      </w:r>
      <w:r>
        <w:tab/>
        <w:t>После принятия Закона о поправках и дополнениях к Закону о защите детей была отменена организация каникул и отдыха в сезонных детских лагерях, которые являлись организационными подразделениями министерства труда и социальной политики.  Вместо этого ожидается, что существующие государственные объекты для отдыха будут приватизированы.  В соответствии с поправками к указанному закону имеющиеся государственные детские лагеря продолжат свое существование в качестве созданных правительством государственных учреждений вплоть до завершения их преобразования.</w:t>
      </w:r>
    </w:p>
    <w:p w:rsidR="00000000" w:rsidRDefault="00000000"/>
    <w:p w:rsidR="00000000" w:rsidRDefault="00000000">
      <w:pPr>
        <w:keepNext/>
        <w:rPr>
          <w:b/>
          <w:bCs/>
        </w:rPr>
      </w:pPr>
      <w:r>
        <w:rPr>
          <w:b/>
          <w:bCs/>
        </w:rPr>
        <w:t>Прочие вопросы</w:t>
      </w:r>
    </w:p>
    <w:p w:rsidR="00000000" w:rsidRDefault="00000000">
      <w:pPr>
        <w:keepNext/>
        <w:rPr>
          <w:b/>
          <w:bCs/>
        </w:rPr>
      </w:pPr>
    </w:p>
    <w:p w:rsidR="00000000" w:rsidRDefault="00000000">
      <w:r>
        <w:t>421.</w:t>
      </w:r>
      <w:r>
        <w:tab/>
        <w:t>Бывшая югославская Республика Македония ратифицировала Конвенцию о правах ребенка и Конвенцию о гражданских аспектах международного похищения детей.  Таким образом, права ребенка обеспечиваются в соответствии с этими конвенциями.</w:t>
      </w:r>
    </w:p>
    <w:p w:rsidR="00000000" w:rsidRDefault="00000000"/>
    <w:p w:rsidR="00000000" w:rsidRDefault="00000000">
      <w:r>
        <w:t>422.</w:t>
      </w:r>
      <w:r>
        <w:tab/>
        <w:t>В соответствии со статьей 16 Закона о социальной защите лица, лишенные надлежащих жизненных условий в своей собственной семье либо вынужденные в силу каких-либо иных обстоятельств быть переданными на воспитание в другую семью, в условиях невозможности применения других форм социальной защиты, имеют право быть переданными на воспитание в приемную семью.</w:t>
      </w:r>
    </w:p>
    <w:p w:rsidR="00000000" w:rsidRDefault="00000000"/>
    <w:p w:rsidR="00000000" w:rsidRDefault="00000000">
      <w:r>
        <w:t>423.</w:t>
      </w:r>
      <w:r>
        <w:tab/>
        <w:t>Право передачи на воспитание в приемную семью предоставляется сиротам или детям, лишенным родительской опеки, вплоть до обретения ими готовности к самостоятельной жизни и рабочей деятельности или по крайней мере до завершения среднего образования, если отсутствуют другие возможности для предоставления ухода и воспитания.  В соответствии со статьей 19 Закона о социальной защите право на размещение в учреждениях социальной защиты имеют следующие лица:</w:t>
      </w:r>
    </w:p>
    <w:p w:rsidR="00000000" w:rsidRDefault="00000000"/>
    <w:p w:rsidR="00000000" w:rsidRDefault="00000000">
      <w:pPr>
        <w:ind w:left="1134" w:hanging="1134"/>
      </w:pPr>
      <w:r>
        <w:tab/>
        <w:t>-</w:t>
      </w:r>
      <w:r>
        <w:tab/>
        <w:t>сироты или дети, лишенные родительской опеки, вплоть до обретения ими готовности к самостоятельной жизни и рабочей деятельности или по крайней мере до завершения среднего образования, если отсутствуют другие возможности для предоставления ухода и воспитания;</w:t>
      </w:r>
    </w:p>
    <w:p w:rsidR="00000000" w:rsidRDefault="00000000">
      <w:pPr>
        <w:ind w:left="1134" w:hanging="1134"/>
      </w:pPr>
    </w:p>
    <w:p w:rsidR="00000000" w:rsidRDefault="00000000">
      <w:pPr>
        <w:ind w:left="1134" w:hanging="1134"/>
      </w:pPr>
      <w:r>
        <w:tab/>
        <w:t>-</w:t>
      </w:r>
      <w:r>
        <w:tab/>
        <w:t>дети с воспитательными и социальными проблемами (дети, лишенные родительской опеки, дети, подвергшиеся жестокому обращению, и социально незащищенные дети);</w:t>
      </w:r>
    </w:p>
    <w:p w:rsidR="00000000" w:rsidRDefault="00000000">
      <w:pPr>
        <w:ind w:left="1134" w:hanging="1134"/>
      </w:pPr>
    </w:p>
    <w:p w:rsidR="00000000" w:rsidRDefault="00000000">
      <w:pPr>
        <w:ind w:left="1134" w:hanging="1134"/>
      </w:pPr>
      <w:r>
        <w:tab/>
        <w:t>-</w:t>
      </w:r>
      <w:r>
        <w:tab/>
        <w:t>дети с деструктивным поведением;</w:t>
      </w:r>
    </w:p>
    <w:p w:rsidR="00000000" w:rsidRDefault="00000000">
      <w:pPr>
        <w:ind w:left="1134" w:hanging="1134"/>
      </w:pPr>
    </w:p>
    <w:p w:rsidR="00000000" w:rsidRDefault="00000000">
      <w:pPr>
        <w:ind w:left="1134" w:hanging="1134"/>
      </w:pPr>
      <w:r>
        <w:tab/>
        <w:t>-</w:t>
      </w:r>
      <w:r>
        <w:tab/>
        <w:t>беременные женщины за месяц до родов, а также родители-одиночки, имеющие ребенка в возрасте до трех месяцев;</w:t>
      </w:r>
    </w:p>
    <w:p w:rsidR="00000000" w:rsidRDefault="00000000">
      <w:pPr>
        <w:ind w:left="1134" w:hanging="1134"/>
      </w:pPr>
    </w:p>
    <w:p w:rsidR="00000000" w:rsidRDefault="00000000">
      <w:pPr>
        <w:ind w:left="1134" w:hanging="1134"/>
      </w:pPr>
      <w:r>
        <w:tab/>
        <w:t>-</w:t>
      </w:r>
      <w:r>
        <w:tab/>
        <w:t xml:space="preserve">дети с умеренными и серьезными нарушениями психического развития, </w:t>
      </w:r>
      <w:proofErr w:type="spellStart"/>
      <w:r>
        <w:t>институционализированные</w:t>
      </w:r>
      <w:proofErr w:type="spellEnd"/>
      <w:r>
        <w:t xml:space="preserve"> с целью приобретения навыков продуктивной деятельности, дети с наиболее тяжелыми нарушениями психического развития, физически недееспособные лица, нуждающиеся в постоянном содержании и уходе.</w:t>
      </w:r>
    </w:p>
    <w:p w:rsidR="00000000" w:rsidRDefault="00000000">
      <w:pPr>
        <w:ind w:left="1134" w:hanging="1134"/>
      </w:pPr>
    </w:p>
    <w:p w:rsidR="00000000" w:rsidRDefault="00000000">
      <w:r>
        <w:t>424.</w:t>
      </w:r>
      <w:r>
        <w:tab/>
        <w:t>Дети, упомянутые в пунктах 1, 2 и 3 статьи 19, могут быть размещены в школах-интернатах или в других учреждениях, которые, по мнению Центра социальной деятельности, имеют возможности для предоставления ухода, образования и обеспечения нормального развития детям.</w:t>
      </w:r>
    </w:p>
    <w:p w:rsidR="00000000" w:rsidRDefault="00000000"/>
    <w:p w:rsidR="00000000" w:rsidRDefault="00000000">
      <w:r>
        <w:t>425.</w:t>
      </w:r>
      <w:r>
        <w:tab/>
        <w:t>К числу прочих мер, принимаемых государством помимо принятия соответствующих законов, регулирующих права детей, относится Программа защиты беспризорных детей, проводимая в сотрудничестве с Институтом открытого общества, которая охватывает детей, подвергшихся экономической эксплуатации, физической эксплуатации и детей, занимающихся попрошайничеством.</w:t>
      </w:r>
    </w:p>
    <w:p w:rsidR="00000000" w:rsidRDefault="00000000"/>
    <w:p w:rsidR="00000000" w:rsidRDefault="00000000">
      <w:r>
        <w:t>426.</w:t>
      </w:r>
      <w:r>
        <w:tab/>
        <w:t>Намеченная деятельность будет проводиться в сотрудничестве с существующими учреждениями и программами, занимающимися профилактическими мерами и вопросами психического здоровья детей, особенно с центрами социальной деятельности, детскими больницами, психиатрическими лечебницами, детскими кризисными центрами, службами оказания экстренной помощи детям и другими НПО, участвующими в решении проблем детей.</w:t>
      </w:r>
    </w:p>
    <w:p w:rsidR="00000000" w:rsidRDefault="00000000"/>
    <w:p w:rsidR="00000000" w:rsidRDefault="00000000">
      <w:r>
        <w:t>427.</w:t>
      </w:r>
      <w:r>
        <w:tab/>
        <w:t>Будут также проводиться семинары для работающего с такими лицами персонала, а именно:  с социальными работниками, наставниками, психологами, учителями и медицинскими работниками.</w:t>
      </w:r>
    </w:p>
    <w:p w:rsidR="00000000" w:rsidRDefault="00000000"/>
    <w:p w:rsidR="00000000" w:rsidRDefault="00000000">
      <w:pPr>
        <w:jc w:val="center"/>
        <w:rPr>
          <w:b/>
          <w:bCs/>
        </w:rPr>
      </w:pPr>
      <w:r>
        <w:rPr>
          <w:b/>
          <w:bCs/>
        </w:rPr>
        <w:t>Статья 11 Пакта</w:t>
      </w:r>
    </w:p>
    <w:p w:rsidR="00000000" w:rsidRDefault="00000000">
      <w:pPr>
        <w:jc w:val="center"/>
        <w:rPr>
          <w:b/>
          <w:bCs/>
        </w:rPr>
      </w:pPr>
    </w:p>
    <w:p w:rsidR="00000000" w:rsidRDefault="00000000">
      <w:r>
        <w:t>428.</w:t>
      </w:r>
      <w:r>
        <w:tab/>
        <w:t>Контроль и анализ уровня жизни в бывшей югославской Республике Македонии производится на основе доли личного потребления населения в составе структуры расходов валового внутреннего продукта (</w:t>
      </w:r>
      <w:proofErr w:type="spellStart"/>
      <w:r>
        <w:t>ВВП</w:t>
      </w:r>
      <w:proofErr w:type="spellEnd"/>
      <w:r>
        <w:t>)</w:t>
      </w:r>
      <w:r>
        <w:rPr>
          <w:b/>
          <w:bCs/>
          <w:vertAlign w:val="superscript"/>
        </w:rPr>
        <w:t>5</w:t>
      </w:r>
      <w:r>
        <w:t>.  В данном контексте личное потребление определяется на основе метода доходов (баланс доходов и расходов населения), а также метода расходов в соответствии с Обследованием потребления домашних хозяйств.</w:t>
      </w:r>
    </w:p>
    <w:p w:rsidR="00000000" w:rsidRDefault="00000000"/>
    <w:p w:rsidR="00000000" w:rsidRDefault="00000000">
      <w:r>
        <w:t>429.</w:t>
      </w:r>
      <w:r>
        <w:tab/>
        <w:t xml:space="preserve">В 2003 году </w:t>
      </w:r>
      <w:proofErr w:type="spellStart"/>
      <w:r>
        <w:t>ВВП</w:t>
      </w:r>
      <w:proofErr w:type="spellEnd"/>
      <w:r>
        <w:t xml:space="preserve"> в бывшей югославской Республике Македонии составил в номинальном выражении 251 486 млн. </w:t>
      </w:r>
      <w:proofErr w:type="spellStart"/>
      <w:r>
        <w:t>денаров</w:t>
      </w:r>
      <w:proofErr w:type="spellEnd"/>
      <w:r>
        <w:t xml:space="preserve">.  Номинальный рост в 2002 году составил </w:t>
      </w:r>
      <w:proofErr w:type="spellStart"/>
      <w:r>
        <w:t>3,1%</w:t>
      </w:r>
      <w:proofErr w:type="spellEnd"/>
      <w:r>
        <w:t xml:space="preserve">, а реальный - </w:t>
      </w:r>
      <w:proofErr w:type="spellStart"/>
      <w:r>
        <w:t>2,8%</w:t>
      </w:r>
      <w:proofErr w:type="spellEnd"/>
      <w:r>
        <w:t>.</w:t>
      </w:r>
    </w:p>
    <w:p w:rsidR="00000000" w:rsidRDefault="00000000"/>
    <w:p w:rsidR="00000000" w:rsidRDefault="00000000">
      <w:r>
        <w:t>430.</w:t>
      </w:r>
      <w:r>
        <w:tab/>
        <w:t xml:space="preserve">Добавленная стоимость в оптовой и розничной торговле и секторе ремонта автомобилей, мотоциклов и бытовой техники в номинальном выражении возросла на </w:t>
      </w:r>
      <w:proofErr w:type="spellStart"/>
      <w:r>
        <w:t>3,1%</w:t>
      </w:r>
      <w:proofErr w:type="spellEnd"/>
      <w:r>
        <w:t xml:space="preserve">, сохранив тот же удельный вес в </w:t>
      </w:r>
      <w:proofErr w:type="spellStart"/>
      <w:r>
        <w:t>ВВП</w:t>
      </w:r>
      <w:proofErr w:type="spellEnd"/>
      <w:r>
        <w:t xml:space="preserve"> (</w:t>
      </w:r>
      <w:proofErr w:type="spellStart"/>
      <w:r>
        <w:t>11,2%</w:t>
      </w:r>
      <w:proofErr w:type="spellEnd"/>
      <w:r>
        <w:t>), что и в 2002 году.  Относительно более высокий рост добавленной стоимости по сравнению с 2002 годом был зарегистрирован в следующих секторах:  сельское хозяйство, охота и лесное хозяйство (</w:t>
      </w:r>
      <w:proofErr w:type="spellStart"/>
      <w:r>
        <w:t>17%</w:t>
      </w:r>
      <w:proofErr w:type="spellEnd"/>
      <w:r>
        <w:t xml:space="preserve">), </w:t>
      </w:r>
      <w:proofErr w:type="spellStart"/>
      <w:r>
        <w:t>электро</w:t>
      </w:r>
      <w:proofErr w:type="spellEnd"/>
      <w:r>
        <w:t xml:space="preserve">-, </w:t>
      </w:r>
      <w:proofErr w:type="spellStart"/>
      <w:r>
        <w:t>газо</w:t>
      </w:r>
      <w:proofErr w:type="spellEnd"/>
      <w:r>
        <w:t>- и водоснабжение (</w:t>
      </w:r>
      <w:proofErr w:type="spellStart"/>
      <w:r>
        <w:t>28,8%</w:t>
      </w:r>
      <w:proofErr w:type="spellEnd"/>
      <w:r>
        <w:t>), строительство (</w:t>
      </w:r>
      <w:proofErr w:type="spellStart"/>
      <w:r>
        <w:t>13,8%</w:t>
      </w:r>
      <w:proofErr w:type="spellEnd"/>
      <w:r>
        <w:t>), содержание гостиниц и ресторанов (</w:t>
      </w:r>
      <w:proofErr w:type="spellStart"/>
      <w:r>
        <w:t>13,8%</w:t>
      </w:r>
      <w:proofErr w:type="spellEnd"/>
      <w:r>
        <w:t xml:space="preserve">).  Самая высокая доля </w:t>
      </w:r>
      <w:proofErr w:type="spellStart"/>
      <w:r>
        <w:t>ВВП</w:t>
      </w:r>
      <w:proofErr w:type="spellEnd"/>
      <w:r>
        <w:t xml:space="preserve"> приходится на обрабатывающую промышленность (</w:t>
      </w:r>
      <w:proofErr w:type="spellStart"/>
      <w:r>
        <w:t>15,8%</w:t>
      </w:r>
      <w:proofErr w:type="spellEnd"/>
      <w:r>
        <w:t xml:space="preserve">), при одновременном росте добавочной стоимости в данном секторе на </w:t>
      </w:r>
      <w:proofErr w:type="spellStart"/>
      <w:r>
        <w:t>4,6%</w:t>
      </w:r>
      <w:proofErr w:type="spellEnd"/>
      <w:r>
        <w:t xml:space="preserve"> по сравнению с 2002 годом.</w:t>
      </w:r>
    </w:p>
    <w:p w:rsidR="00000000" w:rsidRDefault="00000000"/>
    <w:p w:rsidR="00000000" w:rsidRDefault="00000000">
      <w:r>
        <w:t>431.</w:t>
      </w:r>
      <w:r>
        <w:tab/>
        <w:t>Конечное потребление составляет крупнейшую долю (</w:t>
      </w:r>
      <w:proofErr w:type="spellStart"/>
      <w:r>
        <w:t>97%</w:t>
      </w:r>
      <w:proofErr w:type="spellEnd"/>
      <w:r>
        <w:t xml:space="preserve">) в структуре расходов </w:t>
      </w:r>
      <w:proofErr w:type="spellStart"/>
      <w:r>
        <w:t>ВВП</w:t>
      </w:r>
      <w:proofErr w:type="spellEnd"/>
      <w:r>
        <w:t xml:space="preserve">, при номинальном росте, однако, в размере </w:t>
      </w:r>
      <w:proofErr w:type="spellStart"/>
      <w:r>
        <w:t>0,4%</w:t>
      </w:r>
      <w:proofErr w:type="spellEnd"/>
      <w:r>
        <w:t xml:space="preserve"> в результате низкого роста конечного потребления домашних хозяйств, включая </w:t>
      </w:r>
      <w:proofErr w:type="spellStart"/>
      <w:r>
        <w:t>НКООДХ</w:t>
      </w:r>
      <w:proofErr w:type="spellEnd"/>
      <w:r>
        <w:t xml:space="preserve"> (</w:t>
      </w:r>
      <w:proofErr w:type="spellStart"/>
      <w:r>
        <w:t>2%</w:t>
      </w:r>
      <w:proofErr w:type="spellEnd"/>
      <w:r>
        <w:t xml:space="preserve">) и снижение уровня конечных государственных расходов по сравнению с 2002 годом на </w:t>
      </w:r>
      <w:proofErr w:type="spellStart"/>
      <w:r>
        <w:t>4,8%</w:t>
      </w:r>
      <w:proofErr w:type="spellEnd"/>
      <w:r>
        <w:t>.</w:t>
      </w:r>
    </w:p>
    <w:p w:rsidR="00000000" w:rsidRDefault="00000000"/>
    <w:p w:rsidR="00000000" w:rsidRDefault="00000000">
      <w:r>
        <w:t>432.</w:t>
      </w:r>
      <w:r>
        <w:tab/>
        <w:t xml:space="preserve">Объем экспорта товаров и услуг в 2003 году увеличился по сравнению с 2002 годом и составил </w:t>
      </w:r>
      <w:proofErr w:type="spellStart"/>
      <w:r>
        <w:t>37,9%</w:t>
      </w:r>
      <w:proofErr w:type="spellEnd"/>
      <w:r>
        <w:t xml:space="preserve"> от </w:t>
      </w:r>
      <w:proofErr w:type="spellStart"/>
      <w:r>
        <w:t>ВВП</w:t>
      </w:r>
      <w:proofErr w:type="spellEnd"/>
      <w:r>
        <w:t xml:space="preserve"> в номинальном выражении, что сопровождалось сокращением объема импорта товаров и услуг, доля которого в </w:t>
      </w:r>
      <w:proofErr w:type="spellStart"/>
      <w:r>
        <w:t>ВВП</w:t>
      </w:r>
      <w:proofErr w:type="spellEnd"/>
      <w:r>
        <w:t xml:space="preserve"> сократилась на </w:t>
      </w:r>
      <w:proofErr w:type="spellStart"/>
      <w:r>
        <w:t>2,8%</w:t>
      </w:r>
      <w:proofErr w:type="spellEnd"/>
      <w:r>
        <w:t>.</w:t>
      </w:r>
    </w:p>
    <w:p w:rsidR="00000000" w:rsidRDefault="00000000"/>
    <w:p w:rsidR="00000000" w:rsidRDefault="00000000">
      <w:r>
        <w:t>433.</w:t>
      </w:r>
      <w:r>
        <w:tab/>
        <w:t xml:space="preserve">В 2003 году доля валовых капиталовложений составила </w:t>
      </w:r>
      <w:proofErr w:type="spellStart"/>
      <w:r>
        <w:t>20%</w:t>
      </w:r>
      <w:proofErr w:type="spellEnd"/>
      <w:r>
        <w:t xml:space="preserve"> </w:t>
      </w:r>
      <w:proofErr w:type="spellStart"/>
      <w:r>
        <w:t>ВВП</w:t>
      </w:r>
      <w:proofErr w:type="spellEnd"/>
      <w:r>
        <w:t xml:space="preserve"> при относительно небольшом увеличении доли инвестиций в основные фонды (</w:t>
      </w:r>
      <w:proofErr w:type="spellStart"/>
      <w:r>
        <w:t>16,7%</w:t>
      </w:r>
      <w:proofErr w:type="spellEnd"/>
      <w:r>
        <w:t xml:space="preserve">) по сравнению с 2002 годом, когда этот показатель составил </w:t>
      </w:r>
      <w:proofErr w:type="spellStart"/>
      <w:r>
        <w:t>16,6%</w:t>
      </w:r>
      <w:proofErr w:type="spellEnd"/>
      <w:r>
        <w:t>.</w:t>
      </w:r>
    </w:p>
    <w:p w:rsidR="00000000" w:rsidRDefault="00000000">
      <w:pPr>
        <w:rPr>
          <w:sz w:val="16"/>
        </w:rPr>
      </w:pPr>
    </w:p>
    <w:p w:rsidR="00000000" w:rsidRDefault="00000000">
      <w:r>
        <w:t>434.</w:t>
      </w:r>
      <w:r>
        <w:tab/>
        <w:t xml:space="preserve">Валовой внутренний доход в 2003 году возрос на </w:t>
      </w:r>
      <w:proofErr w:type="spellStart"/>
      <w:r>
        <w:t>3,2%</w:t>
      </w:r>
      <w:proofErr w:type="spellEnd"/>
      <w:r>
        <w:t xml:space="preserve">, в то время как чистый приток текущих переводов из-за рубежа превысил уровень предыдущего года на </w:t>
      </w:r>
      <w:proofErr w:type="spellStart"/>
      <w:r>
        <w:t>29,6%</w:t>
      </w:r>
      <w:proofErr w:type="spellEnd"/>
      <w:r>
        <w:t xml:space="preserve">.  Доля валовых внутренних сбережений в </w:t>
      </w:r>
      <w:proofErr w:type="spellStart"/>
      <w:r>
        <w:t>ВВП</w:t>
      </w:r>
      <w:proofErr w:type="spellEnd"/>
      <w:r>
        <w:t xml:space="preserve"> 2003 года составила </w:t>
      </w:r>
      <w:proofErr w:type="spellStart"/>
      <w:r>
        <w:t>16,7%</w:t>
      </w:r>
      <w:proofErr w:type="spellEnd"/>
      <w:r>
        <w:t xml:space="preserve">, что свидетельствует об увеличении на </w:t>
      </w:r>
      <w:proofErr w:type="spellStart"/>
      <w:r>
        <w:t>54,9%</w:t>
      </w:r>
      <w:proofErr w:type="spellEnd"/>
      <w:r>
        <w:t xml:space="preserve"> по сравнению с 2002 годом.</w:t>
      </w:r>
    </w:p>
    <w:p w:rsidR="00000000" w:rsidRDefault="00000000">
      <w:pPr>
        <w:rPr>
          <w:sz w:val="16"/>
        </w:rPr>
      </w:pPr>
    </w:p>
    <w:p w:rsidR="00000000" w:rsidRDefault="00000000">
      <w:pPr>
        <w:pStyle w:val="Heading2"/>
        <w:jc w:val="center"/>
        <w:rPr>
          <w:b/>
          <w:bCs/>
          <w:u w:val="none"/>
        </w:rPr>
      </w:pPr>
      <w:r>
        <w:rPr>
          <w:b/>
          <w:bCs/>
          <w:u w:val="none"/>
        </w:rPr>
        <w:t>Валовой внутренний продукт в период 1990-2003 годов</w:t>
      </w:r>
    </w:p>
    <w:p w:rsidR="00000000" w:rsidRDefault="00000000">
      <w:pPr>
        <w:rPr>
          <w:sz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8"/>
        <w:gridCol w:w="1736"/>
        <w:gridCol w:w="1386"/>
        <w:gridCol w:w="1372"/>
        <w:gridCol w:w="1665"/>
        <w:gridCol w:w="1260"/>
        <w:gridCol w:w="1139"/>
      </w:tblGrid>
      <w:tr w:rsidR="00000000">
        <w:tblPrEx>
          <w:tblCellMar>
            <w:top w:w="0" w:type="dxa"/>
            <w:bottom w:w="0" w:type="dxa"/>
          </w:tblCellMar>
        </w:tblPrEx>
        <w:tc>
          <w:tcPr>
            <w:tcW w:w="798" w:type="dxa"/>
            <w:tcBorders>
              <w:bottom w:val="single" w:sz="4" w:space="0" w:color="auto"/>
            </w:tcBorders>
          </w:tcPr>
          <w:p w:rsidR="00000000" w:rsidRDefault="00000000">
            <w:pPr>
              <w:spacing w:line="240" w:lineRule="auto"/>
            </w:pPr>
            <w:r>
              <w:t>Год</w:t>
            </w:r>
          </w:p>
        </w:tc>
        <w:tc>
          <w:tcPr>
            <w:tcW w:w="1736" w:type="dxa"/>
            <w:tcBorders>
              <w:bottom w:val="single" w:sz="4" w:space="0" w:color="auto"/>
            </w:tcBorders>
          </w:tcPr>
          <w:p w:rsidR="00000000" w:rsidRDefault="00000000">
            <w:pPr>
              <w:spacing w:line="240" w:lineRule="auto"/>
              <w:jc w:val="center"/>
              <w:rPr>
                <w:sz w:val="22"/>
              </w:rPr>
            </w:pPr>
            <w:proofErr w:type="spellStart"/>
            <w:r>
              <w:rPr>
                <w:sz w:val="22"/>
              </w:rPr>
              <w:t>ВВП</w:t>
            </w:r>
            <w:proofErr w:type="spellEnd"/>
            <w:r>
              <w:rPr>
                <w:sz w:val="22"/>
              </w:rPr>
              <w:t xml:space="preserve"> в текущих ценах (в млн. </w:t>
            </w:r>
            <w:proofErr w:type="spellStart"/>
            <w:r>
              <w:rPr>
                <w:sz w:val="22"/>
              </w:rPr>
              <w:t>денаров</w:t>
            </w:r>
            <w:proofErr w:type="spellEnd"/>
            <w:r>
              <w:rPr>
                <w:sz w:val="22"/>
              </w:rPr>
              <w:t>)</w:t>
            </w:r>
          </w:p>
        </w:tc>
        <w:tc>
          <w:tcPr>
            <w:tcW w:w="1386" w:type="dxa"/>
            <w:tcBorders>
              <w:bottom w:val="single" w:sz="4" w:space="0" w:color="auto"/>
            </w:tcBorders>
          </w:tcPr>
          <w:p w:rsidR="00000000" w:rsidRDefault="00000000">
            <w:pPr>
              <w:spacing w:line="240" w:lineRule="auto"/>
              <w:ind w:left="-115"/>
              <w:jc w:val="center"/>
              <w:rPr>
                <w:sz w:val="22"/>
                <w:lang w:val="en-US"/>
              </w:rPr>
            </w:pPr>
            <w:proofErr w:type="spellStart"/>
            <w:r>
              <w:rPr>
                <w:sz w:val="22"/>
              </w:rPr>
              <w:t>ВВП</w:t>
            </w:r>
            <w:proofErr w:type="spellEnd"/>
            <w:r>
              <w:rPr>
                <w:sz w:val="22"/>
              </w:rPr>
              <w:t xml:space="preserve"> на душу населения в долл. США</w:t>
            </w:r>
            <w:r>
              <w:rPr>
                <w:b/>
                <w:bCs/>
                <w:sz w:val="22"/>
                <w:vertAlign w:val="superscript"/>
                <w:lang w:val="en-US"/>
              </w:rPr>
              <w:t>6</w:t>
            </w:r>
          </w:p>
        </w:tc>
        <w:tc>
          <w:tcPr>
            <w:tcW w:w="1372" w:type="dxa"/>
            <w:tcBorders>
              <w:bottom w:val="single" w:sz="4" w:space="0" w:color="auto"/>
            </w:tcBorders>
          </w:tcPr>
          <w:p w:rsidR="00000000" w:rsidRDefault="00000000">
            <w:pPr>
              <w:spacing w:line="240" w:lineRule="auto"/>
              <w:ind w:left="-108"/>
              <w:jc w:val="center"/>
              <w:rPr>
                <w:sz w:val="22"/>
              </w:rPr>
            </w:pPr>
            <w:proofErr w:type="spellStart"/>
            <w:r>
              <w:rPr>
                <w:sz w:val="22"/>
              </w:rPr>
              <w:t>ВВП</w:t>
            </w:r>
            <w:proofErr w:type="spellEnd"/>
            <w:r>
              <w:rPr>
                <w:sz w:val="22"/>
              </w:rPr>
              <w:t xml:space="preserve"> в млн. долл. США</w:t>
            </w:r>
          </w:p>
        </w:tc>
        <w:tc>
          <w:tcPr>
            <w:tcW w:w="1665" w:type="dxa"/>
            <w:tcBorders>
              <w:bottom w:val="single" w:sz="4" w:space="0" w:color="auto"/>
            </w:tcBorders>
          </w:tcPr>
          <w:p w:rsidR="00000000" w:rsidRDefault="00000000">
            <w:pPr>
              <w:spacing w:line="240" w:lineRule="auto"/>
              <w:ind w:left="-72"/>
              <w:jc w:val="center"/>
              <w:rPr>
                <w:sz w:val="22"/>
              </w:rPr>
            </w:pPr>
            <w:proofErr w:type="spellStart"/>
            <w:r>
              <w:rPr>
                <w:sz w:val="22"/>
              </w:rPr>
              <w:t>ВВП</w:t>
            </w:r>
            <w:proofErr w:type="spellEnd"/>
            <w:r>
              <w:rPr>
                <w:sz w:val="22"/>
              </w:rPr>
              <w:t xml:space="preserve"> в </w:t>
            </w:r>
            <w:proofErr w:type="spellStart"/>
            <w:r>
              <w:rPr>
                <w:sz w:val="22"/>
              </w:rPr>
              <w:t>денарах</w:t>
            </w:r>
            <w:proofErr w:type="spellEnd"/>
            <w:r>
              <w:rPr>
                <w:sz w:val="22"/>
              </w:rPr>
              <w:br/>
              <w:t xml:space="preserve">(с 1995 года в млн. </w:t>
            </w:r>
            <w:proofErr w:type="spellStart"/>
            <w:r>
              <w:rPr>
                <w:sz w:val="22"/>
              </w:rPr>
              <w:t>денаров</w:t>
            </w:r>
            <w:proofErr w:type="spellEnd"/>
            <w:r>
              <w:rPr>
                <w:sz w:val="22"/>
              </w:rPr>
              <w:t>)</w:t>
            </w:r>
          </w:p>
        </w:tc>
        <w:tc>
          <w:tcPr>
            <w:tcW w:w="1260" w:type="dxa"/>
            <w:tcBorders>
              <w:bottom w:val="single" w:sz="4" w:space="0" w:color="auto"/>
            </w:tcBorders>
          </w:tcPr>
          <w:p w:rsidR="00000000" w:rsidRDefault="00000000">
            <w:pPr>
              <w:spacing w:line="240" w:lineRule="auto"/>
              <w:ind w:left="-108"/>
              <w:jc w:val="center"/>
              <w:rPr>
                <w:sz w:val="22"/>
              </w:rPr>
            </w:pPr>
            <w:r>
              <w:rPr>
                <w:sz w:val="22"/>
              </w:rPr>
              <w:t xml:space="preserve">Реальные темпы роста </w:t>
            </w:r>
            <w:proofErr w:type="spellStart"/>
            <w:r>
              <w:rPr>
                <w:sz w:val="22"/>
              </w:rPr>
              <w:t>ВВП</w:t>
            </w:r>
            <w:proofErr w:type="spellEnd"/>
          </w:p>
        </w:tc>
        <w:tc>
          <w:tcPr>
            <w:tcW w:w="1139" w:type="dxa"/>
            <w:tcBorders>
              <w:bottom w:val="single" w:sz="4" w:space="0" w:color="auto"/>
            </w:tcBorders>
          </w:tcPr>
          <w:p w:rsidR="00000000" w:rsidRDefault="00000000">
            <w:pPr>
              <w:spacing w:line="240" w:lineRule="auto"/>
              <w:jc w:val="center"/>
              <w:rPr>
                <w:sz w:val="22"/>
              </w:rPr>
            </w:pPr>
            <w:r>
              <w:rPr>
                <w:sz w:val="22"/>
              </w:rPr>
              <w:t xml:space="preserve">Дефлятор </w:t>
            </w:r>
            <w:proofErr w:type="spellStart"/>
            <w:r>
              <w:rPr>
                <w:sz w:val="22"/>
              </w:rPr>
              <w:t>ВВП</w:t>
            </w:r>
            <w:proofErr w:type="spellEnd"/>
          </w:p>
        </w:tc>
      </w:tr>
      <w:tr w:rsidR="00000000">
        <w:tblPrEx>
          <w:tblCellMar>
            <w:top w:w="0" w:type="dxa"/>
            <w:bottom w:w="0" w:type="dxa"/>
          </w:tblCellMar>
        </w:tblPrEx>
        <w:tc>
          <w:tcPr>
            <w:tcW w:w="798" w:type="dxa"/>
            <w:tcBorders>
              <w:bottom w:val="nil"/>
            </w:tcBorders>
          </w:tcPr>
          <w:p w:rsidR="00000000" w:rsidRDefault="00000000">
            <w:pPr>
              <w:pStyle w:val="Header"/>
              <w:spacing w:line="240" w:lineRule="auto"/>
              <w:rPr>
                <w:lang w:val="en-US"/>
              </w:rPr>
            </w:pPr>
            <w:r>
              <w:rPr>
                <w:lang w:val="en-US"/>
              </w:rPr>
              <w:t>1990</w:t>
            </w:r>
          </w:p>
        </w:tc>
        <w:tc>
          <w:tcPr>
            <w:tcW w:w="1736" w:type="dxa"/>
            <w:tcBorders>
              <w:bottom w:val="nil"/>
            </w:tcBorders>
          </w:tcPr>
          <w:p w:rsidR="00000000" w:rsidRDefault="00000000">
            <w:pPr>
              <w:spacing w:line="240" w:lineRule="auto"/>
              <w:jc w:val="right"/>
              <w:rPr>
                <w:lang w:val="en-US"/>
              </w:rPr>
            </w:pPr>
            <w:r>
              <w:rPr>
                <w:lang w:val="en-US"/>
              </w:rPr>
              <w:t>506</w:t>
            </w:r>
          </w:p>
        </w:tc>
        <w:tc>
          <w:tcPr>
            <w:tcW w:w="1386" w:type="dxa"/>
            <w:tcBorders>
              <w:bottom w:val="nil"/>
            </w:tcBorders>
          </w:tcPr>
          <w:p w:rsidR="00000000" w:rsidRDefault="00000000">
            <w:pPr>
              <w:spacing w:line="240" w:lineRule="auto"/>
              <w:jc w:val="right"/>
              <w:rPr>
                <w:lang w:val="en-US"/>
              </w:rPr>
            </w:pPr>
            <w:r>
              <w:rPr>
                <w:lang w:val="en-US"/>
              </w:rPr>
              <w:t>2 235</w:t>
            </w:r>
          </w:p>
        </w:tc>
        <w:tc>
          <w:tcPr>
            <w:tcW w:w="1372" w:type="dxa"/>
            <w:tcBorders>
              <w:bottom w:val="nil"/>
            </w:tcBorders>
          </w:tcPr>
          <w:p w:rsidR="00000000" w:rsidRDefault="00000000">
            <w:pPr>
              <w:spacing w:line="240" w:lineRule="auto"/>
              <w:jc w:val="right"/>
              <w:rPr>
                <w:lang w:val="en-US"/>
              </w:rPr>
            </w:pPr>
            <w:r>
              <w:rPr>
                <w:lang w:val="en-US"/>
              </w:rPr>
              <w:t>4 252</w:t>
            </w:r>
          </w:p>
        </w:tc>
        <w:tc>
          <w:tcPr>
            <w:tcW w:w="1665" w:type="dxa"/>
            <w:tcBorders>
              <w:bottom w:val="nil"/>
            </w:tcBorders>
          </w:tcPr>
          <w:p w:rsidR="00000000" w:rsidRDefault="00000000">
            <w:pPr>
              <w:spacing w:line="240" w:lineRule="auto"/>
              <w:ind w:left="-72"/>
              <w:jc w:val="center"/>
              <w:rPr>
                <w:lang w:val="en-US"/>
              </w:rPr>
            </w:pPr>
            <w:r>
              <w:rPr>
                <w:lang w:val="en-US"/>
              </w:rPr>
              <w:t>215 111</w:t>
            </w:r>
          </w:p>
        </w:tc>
        <w:tc>
          <w:tcPr>
            <w:tcW w:w="1260" w:type="dxa"/>
            <w:tcBorders>
              <w:bottom w:val="nil"/>
            </w:tcBorders>
          </w:tcPr>
          <w:p w:rsidR="00000000" w:rsidRDefault="00000000">
            <w:pPr>
              <w:spacing w:line="240" w:lineRule="auto"/>
              <w:jc w:val="right"/>
              <w:rPr>
                <w:lang w:val="en-US"/>
              </w:rPr>
            </w:pPr>
            <w:r>
              <w:rPr>
                <w:lang w:val="en-US"/>
              </w:rPr>
              <w:t>-</w:t>
            </w:r>
          </w:p>
        </w:tc>
        <w:tc>
          <w:tcPr>
            <w:tcW w:w="1139" w:type="dxa"/>
            <w:tcBorders>
              <w:bottom w:val="nil"/>
            </w:tcBorders>
          </w:tcPr>
          <w:p w:rsidR="00000000" w:rsidRDefault="00000000">
            <w:pPr>
              <w:spacing w:line="240" w:lineRule="auto"/>
              <w:jc w:val="right"/>
              <w:rPr>
                <w:lang w:val="en-US"/>
              </w:rPr>
            </w:pPr>
            <w:r>
              <w:rPr>
                <w:lang w:val="en-US"/>
              </w:rPr>
              <w:t>-</w:t>
            </w:r>
          </w:p>
        </w:tc>
      </w:tr>
      <w:tr w:rsidR="00000000">
        <w:tblPrEx>
          <w:tblCellMar>
            <w:top w:w="0" w:type="dxa"/>
            <w:bottom w:w="0" w:type="dxa"/>
          </w:tblCellMar>
        </w:tblPrEx>
        <w:tc>
          <w:tcPr>
            <w:tcW w:w="798" w:type="dxa"/>
            <w:tcBorders>
              <w:top w:val="nil"/>
              <w:bottom w:val="nil"/>
            </w:tcBorders>
          </w:tcPr>
          <w:p w:rsidR="00000000" w:rsidRDefault="00000000">
            <w:pPr>
              <w:spacing w:line="240" w:lineRule="auto"/>
              <w:rPr>
                <w:lang w:val="en-US"/>
              </w:rPr>
            </w:pPr>
            <w:r>
              <w:rPr>
                <w:lang w:val="en-US"/>
              </w:rPr>
              <w:t>1991</w:t>
            </w:r>
          </w:p>
        </w:tc>
        <w:tc>
          <w:tcPr>
            <w:tcW w:w="1736" w:type="dxa"/>
            <w:tcBorders>
              <w:top w:val="nil"/>
              <w:bottom w:val="nil"/>
            </w:tcBorders>
          </w:tcPr>
          <w:p w:rsidR="00000000" w:rsidRDefault="00000000">
            <w:pPr>
              <w:spacing w:line="240" w:lineRule="auto"/>
              <w:jc w:val="right"/>
              <w:rPr>
                <w:lang w:val="en-US"/>
              </w:rPr>
            </w:pPr>
            <w:r>
              <w:rPr>
                <w:lang w:val="en-US"/>
              </w:rPr>
              <w:t>920</w:t>
            </w:r>
          </w:p>
        </w:tc>
        <w:tc>
          <w:tcPr>
            <w:tcW w:w="1386" w:type="dxa"/>
            <w:tcBorders>
              <w:top w:val="nil"/>
              <w:bottom w:val="nil"/>
            </w:tcBorders>
          </w:tcPr>
          <w:p w:rsidR="00000000" w:rsidRDefault="00000000">
            <w:pPr>
              <w:spacing w:line="240" w:lineRule="auto"/>
              <w:jc w:val="right"/>
              <w:rPr>
                <w:lang w:val="en-US"/>
              </w:rPr>
            </w:pPr>
            <w:r>
              <w:rPr>
                <w:lang w:val="en-US"/>
              </w:rPr>
              <w:t>2 083</w:t>
            </w:r>
          </w:p>
        </w:tc>
        <w:tc>
          <w:tcPr>
            <w:tcW w:w="1372" w:type="dxa"/>
            <w:tcBorders>
              <w:top w:val="nil"/>
              <w:bottom w:val="nil"/>
            </w:tcBorders>
          </w:tcPr>
          <w:p w:rsidR="00000000" w:rsidRDefault="00000000">
            <w:pPr>
              <w:spacing w:line="240" w:lineRule="auto"/>
              <w:jc w:val="right"/>
              <w:rPr>
                <w:lang w:val="en-US"/>
              </w:rPr>
            </w:pPr>
            <w:r>
              <w:rPr>
                <w:lang w:val="en-US"/>
              </w:rPr>
              <w:t>3 990</w:t>
            </w:r>
          </w:p>
        </w:tc>
        <w:tc>
          <w:tcPr>
            <w:tcW w:w="1665" w:type="dxa"/>
            <w:tcBorders>
              <w:top w:val="nil"/>
              <w:bottom w:val="nil"/>
            </w:tcBorders>
          </w:tcPr>
          <w:p w:rsidR="00000000" w:rsidRDefault="00000000">
            <w:pPr>
              <w:spacing w:line="240" w:lineRule="auto"/>
              <w:ind w:left="-72"/>
              <w:jc w:val="center"/>
              <w:rPr>
                <w:lang w:val="en-US"/>
              </w:rPr>
            </w:pPr>
            <w:r>
              <w:rPr>
                <w:lang w:val="en-US"/>
              </w:rPr>
              <w:t>201 837</w:t>
            </w:r>
          </w:p>
        </w:tc>
        <w:tc>
          <w:tcPr>
            <w:tcW w:w="1260" w:type="dxa"/>
            <w:tcBorders>
              <w:top w:val="nil"/>
              <w:bottom w:val="nil"/>
            </w:tcBorders>
          </w:tcPr>
          <w:p w:rsidR="00000000" w:rsidRDefault="00000000">
            <w:pPr>
              <w:spacing w:line="240" w:lineRule="auto"/>
              <w:jc w:val="right"/>
              <w:rPr>
                <w:lang w:val="en-US"/>
              </w:rPr>
            </w:pPr>
            <w:r>
              <w:rPr>
                <w:lang w:val="en-US"/>
              </w:rPr>
              <w:t>-6,2</w:t>
            </w:r>
          </w:p>
        </w:tc>
        <w:tc>
          <w:tcPr>
            <w:tcW w:w="1139" w:type="dxa"/>
            <w:tcBorders>
              <w:top w:val="nil"/>
              <w:bottom w:val="nil"/>
            </w:tcBorders>
          </w:tcPr>
          <w:p w:rsidR="00000000" w:rsidRDefault="00000000">
            <w:pPr>
              <w:spacing w:line="240" w:lineRule="auto"/>
              <w:jc w:val="right"/>
              <w:rPr>
                <w:lang w:val="en-US"/>
              </w:rPr>
            </w:pPr>
            <w:r>
              <w:rPr>
                <w:lang w:val="en-US"/>
              </w:rPr>
              <w:t>193,7</w:t>
            </w:r>
          </w:p>
        </w:tc>
      </w:tr>
      <w:tr w:rsidR="00000000">
        <w:tblPrEx>
          <w:tblCellMar>
            <w:top w:w="0" w:type="dxa"/>
            <w:bottom w:w="0" w:type="dxa"/>
          </w:tblCellMar>
        </w:tblPrEx>
        <w:tc>
          <w:tcPr>
            <w:tcW w:w="798" w:type="dxa"/>
            <w:tcBorders>
              <w:top w:val="nil"/>
              <w:bottom w:val="nil"/>
            </w:tcBorders>
          </w:tcPr>
          <w:p w:rsidR="00000000" w:rsidRDefault="00000000">
            <w:pPr>
              <w:spacing w:line="240" w:lineRule="auto"/>
              <w:rPr>
                <w:lang w:val="en-US"/>
              </w:rPr>
            </w:pPr>
            <w:r>
              <w:rPr>
                <w:lang w:val="en-US"/>
              </w:rPr>
              <w:t>1992</w:t>
            </w:r>
          </w:p>
        </w:tc>
        <w:tc>
          <w:tcPr>
            <w:tcW w:w="1736" w:type="dxa"/>
            <w:tcBorders>
              <w:top w:val="nil"/>
              <w:bottom w:val="nil"/>
            </w:tcBorders>
          </w:tcPr>
          <w:p w:rsidR="00000000" w:rsidRDefault="00000000">
            <w:pPr>
              <w:spacing w:line="240" w:lineRule="auto"/>
              <w:jc w:val="right"/>
              <w:rPr>
                <w:lang w:val="en-US"/>
              </w:rPr>
            </w:pPr>
            <w:r>
              <w:rPr>
                <w:lang w:val="en-US"/>
              </w:rPr>
              <w:t>11 794</w:t>
            </w:r>
          </w:p>
        </w:tc>
        <w:tc>
          <w:tcPr>
            <w:tcW w:w="1386" w:type="dxa"/>
            <w:tcBorders>
              <w:top w:val="nil"/>
              <w:bottom w:val="nil"/>
            </w:tcBorders>
          </w:tcPr>
          <w:p w:rsidR="00000000" w:rsidRDefault="00000000">
            <w:pPr>
              <w:spacing w:line="240" w:lineRule="auto"/>
              <w:jc w:val="right"/>
              <w:rPr>
                <w:lang w:val="en-US"/>
              </w:rPr>
            </w:pPr>
            <w:r>
              <w:rPr>
                <w:lang w:val="en-US"/>
              </w:rPr>
              <w:t>1 937</w:t>
            </w:r>
          </w:p>
        </w:tc>
        <w:tc>
          <w:tcPr>
            <w:tcW w:w="1372" w:type="dxa"/>
            <w:tcBorders>
              <w:top w:val="nil"/>
              <w:bottom w:val="nil"/>
            </w:tcBorders>
          </w:tcPr>
          <w:p w:rsidR="00000000" w:rsidRDefault="00000000">
            <w:pPr>
              <w:spacing w:line="240" w:lineRule="auto"/>
              <w:jc w:val="right"/>
              <w:rPr>
                <w:lang w:val="en-US"/>
              </w:rPr>
            </w:pPr>
            <w:r>
              <w:rPr>
                <w:lang w:val="en-US"/>
              </w:rPr>
              <w:t>3 728</w:t>
            </w:r>
          </w:p>
        </w:tc>
        <w:tc>
          <w:tcPr>
            <w:tcW w:w="1665" w:type="dxa"/>
            <w:tcBorders>
              <w:top w:val="nil"/>
              <w:bottom w:val="nil"/>
            </w:tcBorders>
          </w:tcPr>
          <w:p w:rsidR="00000000" w:rsidRDefault="00000000">
            <w:pPr>
              <w:spacing w:line="240" w:lineRule="auto"/>
              <w:ind w:left="-72"/>
              <w:jc w:val="center"/>
              <w:rPr>
                <w:lang w:val="en-US"/>
              </w:rPr>
            </w:pPr>
            <w:r>
              <w:rPr>
                <w:lang w:val="en-US"/>
              </w:rPr>
              <w:t>188 586</w:t>
            </w:r>
          </w:p>
        </w:tc>
        <w:tc>
          <w:tcPr>
            <w:tcW w:w="1260" w:type="dxa"/>
            <w:tcBorders>
              <w:top w:val="nil"/>
              <w:bottom w:val="nil"/>
            </w:tcBorders>
          </w:tcPr>
          <w:p w:rsidR="00000000" w:rsidRDefault="00000000">
            <w:pPr>
              <w:spacing w:line="240" w:lineRule="auto"/>
              <w:jc w:val="right"/>
              <w:rPr>
                <w:lang w:val="en-US"/>
              </w:rPr>
            </w:pPr>
            <w:r>
              <w:rPr>
                <w:lang w:val="en-US"/>
              </w:rPr>
              <w:t>-6,6</w:t>
            </w:r>
          </w:p>
        </w:tc>
        <w:tc>
          <w:tcPr>
            <w:tcW w:w="1139" w:type="dxa"/>
            <w:tcBorders>
              <w:top w:val="nil"/>
              <w:bottom w:val="nil"/>
            </w:tcBorders>
          </w:tcPr>
          <w:p w:rsidR="00000000" w:rsidRDefault="00000000">
            <w:pPr>
              <w:spacing w:line="240" w:lineRule="auto"/>
              <w:jc w:val="right"/>
              <w:rPr>
                <w:lang w:val="en-US"/>
              </w:rPr>
            </w:pPr>
            <w:r>
              <w:rPr>
                <w:lang w:val="en-US"/>
              </w:rPr>
              <w:t>1 371,8</w:t>
            </w:r>
          </w:p>
        </w:tc>
      </w:tr>
      <w:tr w:rsidR="00000000">
        <w:tblPrEx>
          <w:tblCellMar>
            <w:top w:w="0" w:type="dxa"/>
            <w:bottom w:w="0" w:type="dxa"/>
          </w:tblCellMar>
        </w:tblPrEx>
        <w:tc>
          <w:tcPr>
            <w:tcW w:w="798" w:type="dxa"/>
            <w:tcBorders>
              <w:top w:val="nil"/>
              <w:bottom w:val="nil"/>
            </w:tcBorders>
          </w:tcPr>
          <w:p w:rsidR="00000000" w:rsidRDefault="00000000">
            <w:pPr>
              <w:spacing w:line="240" w:lineRule="auto"/>
              <w:rPr>
                <w:lang w:val="en-US"/>
              </w:rPr>
            </w:pPr>
            <w:r>
              <w:rPr>
                <w:lang w:val="en-US"/>
              </w:rPr>
              <w:t>1993</w:t>
            </w:r>
          </w:p>
        </w:tc>
        <w:tc>
          <w:tcPr>
            <w:tcW w:w="1736" w:type="dxa"/>
            <w:tcBorders>
              <w:top w:val="nil"/>
              <w:bottom w:val="nil"/>
            </w:tcBorders>
          </w:tcPr>
          <w:p w:rsidR="00000000" w:rsidRDefault="00000000">
            <w:pPr>
              <w:spacing w:line="240" w:lineRule="auto"/>
              <w:jc w:val="right"/>
              <w:rPr>
                <w:lang w:val="en-US"/>
              </w:rPr>
            </w:pPr>
            <w:r>
              <w:rPr>
                <w:lang w:val="en-US"/>
              </w:rPr>
              <w:t>59 165</w:t>
            </w:r>
          </w:p>
        </w:tc>
        <w:tc>
          <w:tcPr>
            <w:tcW w:w="1386" w:type="dxa"/>
            <w:tcBorders>
              <w:top w:val="nil"/>
              <w:bottom w:val="nil"/>
            </w:tcBorders>
          </w:tcPr>
          <w:p w:rsidR="00000000" w:rsidRDefault="00000000">
            <w:pPr>
              <w:spacing w:line="240" w:lineRule="auto"/>
              <w:jc w:val="right"/>
              <w:rPr>
                <w:lang w:val="en-US"/>
              </w:rPr>
            </w:pPr>
            <w:r>
              <w:rPr>
                <w:lang w:val="en-US"/>
              </w:rPr>
              <w:t>1 785</w:t>
            </w:r>
          </w:p>
        </w:tc>
        <w:tc>
          <w:tcPr>
            <w:tcW w:w="1372" w:type="dxa"/>
            <w:tcBorders>
              <w:top w:val="nil"/>
              <w:bottom w:val="nil"/>
            </w:tcBorders>
          </w:tcPr>
          <w:p w:rsidR="00000000" w:rsidRDefault="00000000">
            <w:pPr>
              <w:spacing w:line="240" w:lineRule="auto"/>
              <w:jc w:val="right"/>
              <w:rPr>
                <w:lang w:val="en-US"/>
              </w:rPr>
            </w:pPr>
            <w:r>
              <w:rPr>
                <w:lang w:val="en-US"/>
              </w:rPr>
              <w:t>3 450</w:t>
            </w:r>
          </w:p>
        </w:tc>
        <w:tc>
          <w:tcPr>
            <w:tcW w:w="1665" w:type="dxa"/>
            <w:tcBorders>
              <w:top w:val="nil"/>
              <w:bottom w:val="nil"/>
            </w:tcBorders>
          </w:tcPr>
          <w:p w:rsidR="00000000" w:rsidRDefault="00000000">
            <w:pPr>
              <w:spacing w:line="240" w:lineRule="auto"/>
              <w:ind w:left="-72"/>
              <w:jc w:val="center"/>
              <w:rPr>
                <w:lang w:val="en-US"/>
              </w:rPr>
            </w:pPr>
            <w:r>
              <w:rPr>
                <w:lang w:val="en-US"/>
              </w:rPr>
              <w:t>174 500</w:t>
            </w:r>
          </w:p>
        </w:tc>
        <w:tc>
          <w:tcPr>
            <w:tcW w:w="1260" w:type="dxa"/>
            <w:tcBorders>
              <w:top w:val="nil"/>
              <w:bottom w:val="nil"/>
            </w:tcBorders>
          </w:tcPr>
          <w:p w:rsidR="00000000" w:rsidRDefault="00000000">
            <w:pPr>
              <w:spacing w:line="240" w:lineRule="auto"/>
              <w:jc w:val="right"/>
              <w:rPr>
                <w:lang w:val="en-US"/>
              </w:rPr>
            </w:pPr>
            <w:r>
              <w:rPr>
                <w:lang w:val="en-US"/>
              </w:rPr>
              <w:t>-7,5</w:t>
            </w:r>
          </w:p>
        </w:tc>
        <w:tc>
          <w:tcPr>
            <w:tcW w:w="1139" w:type="dxa"/>
            <w:tcBorders>
              <w:top w:val="nil"/>
              <w:bottom w:val="nil"/>
            </w:tcBorders>
          </w:tcPr>
          <w:p w:rsidR="00000000" w:rsidRDefault="00000000">
            <w:pPr>
              <w:spacing w:line="240" w:lineRule="auto"/>
              <w:jc w:val="right"/>
              <w:rPr>
                <w:lang w:val="en-US"/>
              </w:rPr>
            </w:pPr>
            <w:r>
              <w:rPr>
                <w:lang w:val="en-US"/>
              </w:rPr>
              <w:t>542,1</w:t>
            </w:r>
          </w:p>
        </w:tc>
      </w:tr>
      <w:tr w:rsidR="00000000">
        <w:tblPrEx>
          <w:tblCellMar>
            <w:top w:w="0" w:type="dxa"/>
            <w:bottom w:w="0" w:type="dxa"/>
          </w:tblCellMar>
        </w:tblPrEx>
        <w:tc>
          <w:tcPr>
            <w:tcW w:w="798" w:type="dxa"/>
            <w:tcBorders>
              <w:top w:val="nil"/>
              <w:bottom w:val="nil"/>
            </w:tcBorders>
          </w:tcPr>
          <w:p w:rsidR="00000000" w:rsidRDefault="00000000">
            <w:pPr>
              <w:spacing w:line="240" w:lineRule="auto"/>
              <w:rPr>
                <w:lang w:val="en-US"/>
              </w:rPr>
            </w:pPr>
            <w:r>
              <w:rPr>
                <w:lang w:val="en-US"/>
              </w:rPr>
              <w:t>1994</w:t>
            </w:r>
          </w:p>
        </w:tc>
        <w:tc>
          <w:tcPr>
            <w:tcW w:w="1736" w:type="dxa"/>
            <w:tcBorders>
              <w:top w:val="nil"/>
              <w:bottom w:val="nil"/>
            </w:tcBorders>
          </w:tcPr>
          <w:p w:rsidR="00000000" w:rsidRDefault="00000000">
            <w:pPr>
              <w:spacing w:line="240" w:lineRule="auto"/>
              <w:jc w:val="right"/>
              <w:rPr>
                <w:lang w:val="en-US"/>
              </w:rPr>
            </w:pPr>
            <w:r>
              <w:rPr>
                <w:lang w:val="en-US"/>
              </w:rPr>
              <w:t>146 409</w:t>
            </w:r>
          </w:p>
        </w:tc>
        <w:tc>
          <w:tcPr>
            <w:tcW w:w="1386" w:type="dxa"/>
            <w:tcBorders>
              <w:top w:val="nil"/>
              <w:bottom w:val="nil"/>
            </w:tcBorders>
          </w:tcPr>
          <w:p w:rsidR="00000000" w:rsidRDefault="00000000">
            <w:pPr>
              <w:spacing w:line="240" w:lineRule="auto"/>
              <w:jc w:val="right"/>
              <w:rPr>
                <w:lang w:val="en-US"/>
              </w:rPr>
            </w:pPr>
            <w:r>
              <w:rPr>
                <w:lang w:val="en-US"/>
              </w:rPr>
              <w:t>1 742</w:t>
            </w:r>
          </w:p>
        </w:tc>
        <w:tc>
          <w:tcPr>
            <w:tcW w:w="1372" w:type="dxa"/>
            <w:tcBorders>
              <w:top w:val="nil"/>
              <w:bottom w:val="nil"/>
            </w:tcBorders>
          </w:tcPr>
          <w:p w:rsidR="00000000" w:rsidRDefault="00000000">
            <w:pPr>
              <w:spacing w:line="240" w:lineRule="auto"/>
              <w:jc w:val="right"/>
              <w:rPr>
                <w:lang w:val="en-US"/>
              </w:rPr>
            </w:pPr>
            <w:r>
              <w:rPr>
                <w:lang w:val="en-US"/>
              </w:rPr>
              <w:t>3 389</w:t>
            </w:r>
          </w:p>
        </w:tc>
        <w:tc>
          <w:tcPr>
            <w:tcW w:w="1665" w:type="dxa"/>
            <w:tcBorders>
              <w:top w:val="nil"/>
              <w:bottom w:val="nil"/>
            </w:tcBorders>
          </w:tcPr>
          <w:p w:rsidR="00000000" w:rsidRDefault="00000000">
            <w:pPr>
              <w:spacing w:line="240" w:lineRule="auto"/>
              <w:ind w:left="-72"/>
              <w:jc w:val="center"/>
              <w:rPr>
                <w:lang w:val="en-US"/>
              </w:rPr>
            </w:pPr>
            <w:r>
              <w:rPr>
                <w:lang w:val="en-US"/>
              </w:rPr>
              <w:t>171 432</w:t>
            </w:r>
          </w:p>
        </w:tc>
        <w:tc>
          <w:tcPr>
            <w:tcW w:w="1260" w:type="dxa"/>
            <w:tcBorders>
              <w:top w:val="nil"/>
              <w:bottom w:val="nil"/>
            </w:tcBorders>
          </w:tcPr>
          <w:p w:rsidR="00000000" w:rsidRDefault="00000000">
            <w:pPr>
              <w:spacing w:line="240" w:lineRule="auto"/>
              <w:jc w:val="right"/>
              <w:rPr>
                <w:lang w:val="en-US"/>
              </w:rPr>
            </w:pPr>
            <w:r>
              <w:rPr>
                <w:lang w:val="en-US"/>
              </w:rPr>
              <w:t>-1,8</w:t>
            </w:r>
          </w:p>
        </w:tc>
        <w:tc>
          <w:tcPr>
            <w:tcW w:w="1139" w:type="dxa"/>
            <w:tcBorders>
              <w:top w:val="nil"/>
              <w:bottom w:val="nil"/>
            </w:tcBorders>
          </w:tcPr>
          <w:p w:rsidR="00000000" w:rsidRDefault="00000000">
            <w:pPr>
              <w:spacing w:line="240" w:lineRule="auto"/>
              <w:jc w:val="right"/>
              <w:rPr>
                <w:lang w:val="en-US"/>
              </w:rPr>
            </w:pPr>
            <w:r>
              <w:rPr>
                <w:lang w:val="en-US"/>
              </w:rPr>
              <w:t>251,9</w:t>
            </w:r>
          </w:p>
        </w:tc>
      </w:tr>
      <w:tr w:rsidR="00000000">
        <w:tblPrEx>
          <w:tblCellMar>
            <w:top w:w="0" w:type="dxa"/>
            <w:bottom w:w="0" w:type="dxa"/>
          </w:tblCellMar>
        </w:tblPrEx>
        <w:tc>
          <w:tcPr>
            <w:tcW w:w="798" w:type="dxa"/>
            <w:tcBorders>
              <w:top w:val="nil"/>
              <w:bottom w:val="nil"/>
            </w:tcBorders>
          </w:tcPr>
          <w:p w:rsidR="00000000" w:rsidRDefault="00000000">
            <w:pPr>
              <w:spacing w:line="240" w:lineRule="auto"/>
              <w:rPr>
                <w:lang w:val="en-US"/>
              </w:rPr>
            </w:pPr>
            <w:r>
              <w:rPr>
                <w:lang w:val="en-US"/>
              </w:rPr>
              <w:t>1995</w:t>
            </w:r>
          </w:p>
        </w:tc>
        <w:tc>
          <w:tcPr>
            <w:tcW w:w="1736" w:type="dxa"/>
            <w:tcBorders>
              <w:top w:val="nil"/>
              <w:bottom w:val="nil"/>
            </w:tcBorders>
          </w:tcPr>
          <w:p w:rsidR="00000000" w:rsidRDefault="00000000">
            <w:pPr>
              <w:spacing w:line="240" w:lineRule="auto"/>
              <w:jc w:val="right"/>
              <w:rPr>
                <w:lang w:val="en-US"/>
              </w:rPr>
            </w:pPr>
            <w:r>
              <w:rPr>
                <w:lang w:val="en-US"/>
              </w:rPr>
              <w:t>169 521</w:t>
            </w:r>
          </w:p>
        </w:tc>
        <w:tc>
          <w:tcPr>
            <w:tcW w:w="1386" w:type="dxa"/>
            <w:tcBorders>
              <w:top w:val="nil"/>
              <w:bottom w:val="nil"/>
            </w:tcBorders>
          </w:tcPr>
          <w:p w:rsidR="00000000" w:rsidRDefault="00000000">
            <w:pPr>
              <w:spacing w:line="240" w:lineRule="auto"/>
              <w:jc w:val="right"/>
              <w:rPr>
                <w:lang w:val="en-US"/>
              </w:rPr>
            </w:pPr>
            <w:r>
              <w:rPr>
                <w:lang w:val="en-US"/>
              </w:rPr>
              <w:t>1 705</w:t>
            </w:r>
          </w:p>
        </w:tc>
        <w:tc>
          <w:tcPr>
            <w:tcW w:w="1372" w:type="dxa"/>
            <w:tcBorders>
              <w:top w:val="nil"/>
              <w:bottom w:val="nil"/>
            </w:tcBorders>
          </w:tcPr>
          <w:p w:rsidR="00000000" w:rsidRDefault="00000000">
            <w:pPr>
              <w:spacing w:line="240" w:lineRule="auto"/>
              <w:jc w:val="right"/>
              <w:rPr>
                <w:lang w:val="en-US"/>
              </w:rPr>
            </w:pPr>
            <w:r>
              <w:rPr>
                <w:lang w:val="en-US"/>
              </w:rPr>
              <w:t>3 351</w:t>
            </w:r>
          </w:p>
        </w:tc>
        <w:tc>
          <w:tcPr>
            <w:tcW w:w="1665" w:type="dxa"/>
            <w:tcBorders>
              <w:top w:val="nil"/>
              <w:bottom w:val="nil"/>
            </w:tcBorders>
          </w:tcPr>
          <w:p w:rsidR="00000000" w:rsidRDefault="00000000">
            <w:pPr>
              <w:spacing w:line="240" w:lineRule="auto"/>
              <w:ind w:left="-72"/>
              <w:jc w:val="center"/>
              <w:rPr>
                <w:lang w:val="en-US"/>
              </w:rPr>
            </w:pPr>
            <w:r>
              <w:rPr>
                <w:lang w:val="en-US"/>
              </w:rPr>
              <w:t>169 521</w:t>
            </w:r>
          </w:p>
        </w:tc>
        <w:tc>
          <w:tcPr>
            <w:tcW w:w="1260" w:type="dxa"/>
            <w:tcBorders>
              <w:top w:val="nil"/>
              <w:bottom w:val="nil"/>
            </w:tcBorders>
          </w:tcPr>
          <w:p w:rsidR="00000000" w:rsidRDefault="00000000">
            <w:pPr>
              <w:spacing w:line="240" w:lineRule="auto"/>
              <w:jc w:val="right"/>
              <w:rPr>
                <w:lang w:val="en-US"/>
              </w:rPr>
            </w:pPr>
            <w:r>
              <w:rPr>
                <w:lang w:val="en-US"/>
              </w:rPr>
              <w:t>-1,1</w:t>
            </w:r>
          </w:p>
        </w:tc>
        <w:tc>
          <w:tcPr>
            <w:tcW w:w="1139" w:type="dxa"/>
            <w:tcBorders>
              <w:top w:val="nil"/>
              <w:bottom w:val="nil"/>
            </w:tcBorders>
          </w:tcPr>
          <w:p w:rsidR="00000000" w:rsidRDefault="00000000">
            <w:pPr>
              <w:spacing w:line="240" w:lineRule="auto"/>
              <w:jc w:val="right"/>
              <w:rPr>
                <w:lang w:val="en-US"/>
              </w:rPr>
            </w:pPr>
            <w:r>
              <w:rPr>
                <w:lang w:val="en-US"/>
              </w:rPr>
              <w:t>117,1</w:t>
            </w:r>
          </w:p>
        </w:tc>
      </w:tr>
      <w:tr w:rsidR="00000000">
        <w:tblPrEx>
          <w:tblCellMar>
            <w:top w:w="0" w:type="dxa"/>
            <w:bottom w:w="0" w:type="dxa"/>
          </w:tblCellMar>
        </w:tblPrEx>
        <w:tc>
          <w:tcPr>
            <w:tcW w:w="798" w:type="dxa"/>
            <w:tcBorders>
              <w:top w:val="nil"/>
              <w:bottom w:val="nil"/>
            </w:tcBorders>
          </w:tcPr>
          <w:p w:rsidR="00000000" w:rsidRDefault="00000000">
            <w:pPr>
              <w:spacing w:line="240" w:lineRule="auto"/>
              <w:rPr>
                <w:lang w:val="en-US"/>
              </w:rPr>
            </w:pPr>
            <w:r>
              <w:rPr>
                <w:lang w:val="en-US"/>
              </w:rPr>
              <w:t>1996</w:t>
            </w:r>
          </w:p>
        </w:tc>
        <w:tc>
          <w:tcPr>
            <w:tcW w:w="1736" w:type="dxa"/>
            <w:tcBorders>
              <w:top w:val="nil"/>
              <w:bottom w:val="nil"/>
            </w:tcBorders>
          </w:tcPr>
          <w:p w:rsidR="00000000" w:rsidRDefault="00000000">
            <w:pPr>
              <w:spacing w:line="240" w:lineRule="auto"/>
              <w:jc w:val="right"/>
              <w:rPr>
                <w:lang w:val="en-US"/>
              </w:rPr>
            </w:pPr>
            <w:r>
              <w:rPr>
                <w:lang w:val="en-US"/>
              </w:rPr>
              <w:t>176 444</w:t>
            </w:r>
          </w:p>
        </w:tc>
        <w:tc>
          <w:tcPr>
            <w:tcW w:w="1386" w:type="dxa"/>
            <w:tcBorders>
              <w:top w:val="nil"/>
              <w:bottom w:val="nil"/>
            </w:tcBorders>
          </w:tcPr>
          <w:p w:rsidR="00000000" w:rsidRDefault="00000000">
            <w:pPr>
              <w:spacing w:line="240" w:lineRule="auto"/>
              <w:jc w:val="right"/>
              <w:rPr>
                <w:lang w:val="en-US"/>
              </w:rPr>
            </w:pPr>
            <w:r>
              <w:rPr>
                <w:lang w:val="en-US"/>
              </w:rPr>
              <w:t>1 709</w:t>
            </w:r>
          </w:p>
        </w:tc>
        <w:tc>
          <w:tcPr>
            <w:tcW w:w="1372" w:type="dxa"/>
            <w:tcBorders>
              <w:top w:val="nil"/>
              <w:bottom w:val="nil"/>
            </w:tcBorders>
          </w:tcPr>
          <w:p w:rsidR="00000000" w:rsidRDefault="00000000">
            <w:pPr>
              <w:spacing w:line="240" w:lineRule="auto"/>
              <w:jc w:val="right"/>
              <w:rPr>
                <w:lang w:val="en-US"/>
              </w:rPr>
            </w:pPr>
            <w:r>
              <w:rPr>
                <w:lang w:val="en-US"/>
              </w:rPr>
              <w:t>3 390</w:t>
            </w:r>
          </w:p>
        </w:tc>
        <w:tc>
          <w:tcPr>
            <w:tcW w:w="1665" w:type="dxa"/>
            <w:tcBorders>
              <w:top w:val="nil"/>
              <w:bottom w:val="nil"/>
            </w:tcBorders>
          </w:tcPr>
          <w:p w:rsidR="00000000" w:rsidRDefault="00000000">
            <w:pPr>
              <w:spacing w:line="240" w:lineRule="auto"/>
              <w:ind w:left="-72"/>
              <w:jc w:val="center"/>
              <w:rPr>
                <w:lang w:val="en-US"/>
              </w:rPr>
            </w:pPr>
            <w:r>
              <w:rPr>
                <w:lang w:val="en-US"/>
              </w:rPr>
              <w:t>171 530</w:t>
            </w:r>
          </w:p>
        </w:tc>
        <w:tc>
          <w:tcPr>
            <w:tcW w:w="1260" w:type="dxa"/>
            <w:tcBorders>
              <w:top w:val="nil"/>
              <w:bottom w:val="nil"/>
            </w:tcBorders>
          </w:tcPr>
          <w:p w:rsidR="00000000" w:rsidRDefault="00000000">
            <w:pPr>
              <w:spacing w:line="240" w:lineRule="auto"/>
              <w:jc w:val="right"/>
              <w:rPr>
                <w:lang w:val="en-US"/>
              </w:rPr>
            </w:pPr>
            <w:r>
              <w:rPr>
                <w:lang w:val="en-US"/>
              </w:rPr>
              <w:t>1,2</w:t>
            </w:r>
          </w:p>
        </w:tc>
        <w:tc>
          <w:tcPr>
            <w:tcW w:w="1139" w:type="dxa"/>
            <w:tcBorders>
              <w:top w:val="nil"/>
              <w:bottom w:val="nil"/>
            </w:tcBorders>
          </w:tcPr>
          <w:p w:rsidR="00000000" w:rsidRDefault="00000000">
            <w:pPr>
              <w:spacing w:line="240" w:lineRule="auto"/>
              <w:jc w:val="right"/>
              <w:rPr>
                <w:lang w:val="en-US"/>
              </w:rPr>
            </w:pPr>
            <w:r>
              <w:rPr>
                <w:lang w:val="en-US"/>
              </w:rPr>
              <w:t>102,9</w:t>
            </w:r>
          </w:p>
        </w:tc>
      </w:tr>
      <w:tr w:rsidR="00000000">
        <w:tblPrEx>
          <w:tblCellMar>
            <w:top w:w="0" w:type="dxa"/>
            <w:bottom w:w="0" w:type="dxa"/>
          </w:tblCellMar>
        </w:tblPrEx>
        <w:tc>
          <w:tcPr>
            <w:tcW w:w="798" w:type="dxa"/>
            <w:tcBorders>
              <w:top w:val="nil"/>
              <w:bottom w:val="nil"/>
            </w:tcBorders>
          </w:tcPr>
          <w:p w:rsidR="00000000" w:rsidRDefault="00000000">
            <w:pPr>
              <w:spacing w:line="240" w:lineRule="auto"/>
              <w:rPr>
                <w:lang w:val="en-US"/>
              </w:rPr>
            </w:pPr>
            <w:r>
              <w:rPr>
                <w:lang w:val="en-US"/>
              </w:rPr>
              <w:t>1997</w:t>
            </w:r>
          </w:p>
        </w:tc>
        <w:tc>
          <w:tcPr>
            <w:tcW w:w="1736" w:type="dxa"/>
            <w:tcBorders>
              <w:top w:val="nil"/>
              <w:bottom w:val="nil"/>
            </w:tcBorders>
          </w:tcPr>
          <w:p w:rsidR="00000000" w:rsidRDefault="00000000">
            <w:pPr>
              <w:spacing w:line="240" w:lineRule="auto"/>
              <w:jc w:val="right"/>
              <w:rPr>
                <w:lang w:val="en-US"/>
              </w:rPr>
            </w:pPr>
            <w:r>
              <w:rPr>
                <w:lang w:val="en-US"/>
              </w:rPr>
              <w:t>186 018</w:t>
            </w:r>
          </w:p>
        </w:tc>
        <w:tc>
          <w:tcPr>
            <w:tcW w:w="1386" w:type="dxa"/>
            <w:tcBorders>
              <w:top w:val="nil"/>
              <w:bottom w:val="nil"/>
            </w:tcBorders>
          </w:tcPr>
          <w:p w:rsidR="00000000" w:rsidRDefault="00000000">
            <w:pPr>
              <w:spacing w:line="240" w:lineRule="auto"/>
              <w:jc w:val="right"/>
              <w:rPr>
                <w:lang w:val="en-US"/>
              </w:rPr>
            </w:pPr>
            <w:r>
              <w:rPr>
                <w:lang w:val="en-US"/>
              </w:rPr>
              <w:t>1 732</w:t>
            </w:r>
          </w:p>
        </w:tc>
        <w:tc>
          <w:tcPr>
            <w:tcW w:w="1372" w:type="dxa"/>
            <w:tcBorders>
              <w:top w:val="nil"/>
              <w:bottom w:val="nil"/>
            </w:tcBorders>
          </w:tcPr>
          <w:p w:rsidR="00000000" w:rsidRDefault="00000000">
            <w:pPr>
              <w:spacing w:line="240" w:lineRule="auto"/>
              <w:jc w:val="right"/>
              <w:rPr>
                <w:lang w:val="en-US"/>
              </w:rPr>
            </w:pPr>
            <w:r>
              <w:rPr>
                <w:lang w:val="en-US"/>
              </w:rPr>
              <w:t>3 458</w:t>
            </w:r>
          </w:p>
        </w:tc>
        <w:tc>
          <w:tcPr>
            <w:tcW w:w="1665" w:type="dxa"/>
            <w:tcBorders>
              <w:top w:val="nil"/>
              <w:bottom w:val="nil"/>
            </w:tcBorders>
          </w:tcPr>
          <w:p w:rsidR="00000000" w:rsidRDefault="00000000">
            <w:pPr>
              <w:spacing w:line="240" w:lineRule="auto"/>
              <w:ind w:left="-72"/>
              <w:jc w:val="center"/>
              <w:rPr>
                <w:lang w:val="en-US"/>
              </w:rPr>
            </w:pPr>
            <w:r>
              <w:rPr>
                <w:lang w:val="en-US"/>
              </w:rPr>
              <w:t>174 000</w:t>
            </w:r>
          </w:p>
        </w:tc>
        <w:tc>
          <w:tcPr>
            <w:tcW w:w="1260" w:type="dxa"/>
            <w:tcBorders>
              <w:top w:val="nil"/>
              <w:bottom w:val="nil"/>
            </w:tcBorders>
          </w:tcPr>
          <w:p w:rsidR="00000000" w:rsidRDefault="00000000">
            <w:pPr>
              <w:spacing w:line="240" w:lineRule="auto"/>
              <w:jc w:val="right"/>
              <w:rPr>
                <w:lang w:val="en-US"/>
              </w:rPr>
            </w:pPr>
            <w:r>
              <w:rPr>
                <w:lang w:val="en-US"/>
              </w:rPr>
              <w:t>1,4</w:t>
            </w:r>
          </w:p>
        </w:tc>
        <w:tc>
          <w:tcPr>
            <w:tcW w:w="1139" w:type="dxa"/>
            <w:tcBorders>
              <w:top w:val="nil"/>
              <w:bottom w:val="nil"/>
            </w:tcBorders>
          </w:tcPr>
          <w:p w:rsidR="00000000" w:rsidRDefault="00000000">
            <w:pPr>
              <w:spacing w:line="240" w:lineRule="auto"/>
              <w:jc w:val="right"/>
              <w:rPr>
                <w:lang w:val="en-US"/>
              </w:rPr>
            </w:pPr>
            <w:r>
              <w:rPr>
                <w:lang w:val="en-US"/>
              </w:rPr>
              <w:t>103,4</w:t>
            </w:r>
          </w:p>
        </w:tc>
      </w:tr>
      <w:tr w:rsidR="00000000">
        <w:tblPrEx>
          <w:tblCellMar>
            <w:top w:w="0" w:type="dxa"/>
            <w:bottom w:w="0" w:type="dxa"/>
          </w:tblCellMar>
        </w:tblPrEx>
        <w:tc>
          <w:tcPr>
            <w:tcW w:w="798" w:type="dxa"/>
            <w:tcBorders>
              <w:top w:val="nil"/>
              <w:bottom w:val="nil"/>
            </w:tcBorders>
          </w:tcPr>
          <w:p w:rsidR="00000000" w:rsidRDefault="00000000">
            <w:pPr>
              <w:spacing w:line="240" w:lineRule="auto"/>
              <w:rPr>
                <w:lang w:val="en-US"/>
              </w:rPr>
            </w:pPr>
            <w:r>
              <w:rPr>
                <w:lang w:val="en-US"/>
              </w:rPr>
              <w:t>1998</w:t>
            </w:r>
          </w:p>
        </w:tc>
        <w:tc>
          <w:tcPr>
            <w:tcW w:w="1736" w:type="dxa"/>
            <w:tcBorders>
              <w:top w:val="nil"/>
              <w:bottom w:val="nil"/>
            </w:tcBorders>
          </w:tcPr>
          <w:p w:rsidR="00000000" w:rsidRDefault="00000000">
            <w:pPr>
              <w:spacing w:line="240" w:lineRule="auto"/>
              <w:jc w:val="right"/>
              <w:rPr>
                <w:lang w:val="en-US"/>
              </w:rPr>
            </w:pPr>
            <w:r>
              <w:rPr>
                <w:lang w:val="en-US"/>
              </w:rPr>
              <w:t>194 979</w:t>
            </w:r>
          </w:p>
        </w:tc>
        <w:tc>
          <w:tcPr>
            <w:tcW w:w="1386" w:type="dxa"/>
            <w:tcBorders>
              <w:top w:val="nil"/>
              <w:bottom w:val="nil"/>
            </w:tcBorders>
          </w:tcPr>
          <w:p w:rsidR="00000000" w:rsidRDefault="00000000">
            <w:pPr>
              <w:spacing w:line="240" w:lineRule="auto"/>
              <w:jc w:val="right"/>
              <w:rPr>
                <w:lang w:val="en-US"/>
              </w:rPr>
            </w:pPr>
            <w:r>
              <w:rPr>
                <w:lang w:val="en-US"/>
              </w:rPr>
              <w:t>1 781</w:t>
            </w:r>
          </w:p>
        </w:tc>
        <w:tc>
          <w:tcPr>
            <w:tcW w:w="1372" w:type="dxa"/>
            <w:tcBorders>
              <w:top w:val="nil"/>
              <w:bottom w:val="nil"/>
            </w:tcBorders>
          </w:tcPr>
          <w:p w:rsidR="00000000" w:rsidRDefault="00000000">
            <w:pPr>
              <w:spacing w:line="240" w:lineRule="auto"/>
              <w:jc w:val="right"/>
              <w:rPr>
                <w:lang w:val="en-US"/>
              </w:rPr>
            </w:pPr>
            <w:r>
              <w:rPr>
                <w:lang w:val="en-US"/>
              </w:rPr>
              <w:t>3 575</w:t>
            </w:r>
          </w:p>
        </w:tc>
        <w:tc>
          <w:tcPr>
            <w:tcW w:w="1665" w:type="dxa"/>
            <w:tcBorders>
              <w:top w:val="nil"/>
              <w:bottom w:val="nil"/>
            </w:tcBorders>
          </w:tcPr>
          <w:p w:rsidR="00000000" w:rsidRDefault="00000000">
            <w:pPr>
              <w:spacing w:line="240" w:lineRule="auto"/>
              <w:ind w:left="-72"/>
              <w:jc w:val="center"/>
              <w:rPr>
                <w:lang w:val="en-US"/>
              </w:rPr>
            </w:pPr>
            <w:r>
              <w:rPr>
                <w:lang w:val="en-US"/>
              </w:rPr>
              <w:t>179 879</w:t>
            </w:r>
          </w:p>
        </w:tc>
        <w:tc>
          <w:tcPr>
            <w:tcW w:w="1260" w:type="dxa"/>
            <w:tcBorders>
              <w:top w:val="nil"/>
              <w:bottom w:val="nil"/>
            </w:tcBorders>
          </w:tcPr>
          <w:p w:rsidR="00000000" w:rsidRDefault="00000000">
            <w:pPr>
              <w:spacing w:line="240" w:lineRule="auto"/>
              <w:jc w:val="right"/>
              <w:rPr>
                <w:lang w:val="en-US"/>
              </w:rPr>
            </w:pPr>
            <w:r>
              <w:rPr>
                <w:lang w:val="en-US"/>
              </w:rPr>
              <w:t>3,4</w:t>
            </w:r>
          </w:p>
        </w:tc>
        <w:tc>
          <w:tcPr>
            <w:tcW w:w="1139" w:type="dxa"/>
            <w:tcBorders>
              <w:top w:val="nil"/>
              <w:bottom w:val="nil"/>
            </w:tcBorders>
          </w:tcPr>
          <w:p w:rsidR="00000000" w:rsidRDefault="00000000">
            <w:pPr>
              <w:spacing w:line="240" w:lineRule="auto"/>
              <w:jc w:val="right"/>
              <w:rPr>
                <w:lang w:val="en-US"/>
              </w:rPr>
            </w:pPr>
            <w:r>
              <w:rPr>
                <w:lang w:val="en-US"/>
              </w:rPr>
              <w:t>101,4</w:t>
            </w:r>
          </w:p>
        </w:tc>
      </w:tr>
      <w:tr w:rsidR="00000000">
        <w:tblPrEx>
          <w:tblCellMar>
            <w:top w:w="0" w:type="dxa"/>
            <w:bottom w:w="0" w:type="dxa"/>
          </w:tblCellMar>
        </w:tblPrEx>
        <w:tc>
          <w:tcPr>
            <w:tcW w:w="798" w:type="dxa"/>
            <w:tcBorders>
              <w:top w:val="nil"/>
              <w:bottom w:val="nil"/>
            </w:tcBorders>
          </w:tcPr>
          <w:p w:rsidR="00000000" w:rsidRDefault="00000000">
            <w:pPr>
              <w:spacing w:line="240" w:lineRule="auto"/>
              <w:rPr>
                <w:lang w:val="en-US"/>
              </w:rPr>
            </w:pPr>
            <w:r>
              <w:rPr>
                <w:lang w:val="en-US"/>
              </w:rPr>
              <w:t>1999</w:t>
            </w:r>
          </w:p>
        </w:tc>
        <w:tc>
          <w:tcPr>
            <w:tcW w:w="1736" w:type="dxa"/>
            <w:tcBorders>
              <w:top w:val="nil"/>
              <w:bottom w:val="nil"/>
            </w:tcBorders>
          </w:tcPr>
          <w:p w:rsidR="00000000" w:rsidRDefault="00000000">
            <w:pPr>
              <w:spacing w:line="240" w:lineRule="auto"/>
              <w:jc w:val="right"/>
              <w:rPr>
                <w:lang w:val="en-US"/>
              </w:rPr>
            </w:pPr>
            <w:r>
              <w:rPr>
                <w:lang w:val="en-US"/>
              </w:rPr>
              <w:t>209 010</w:t>
            </w:r>
          </w:p>
        </w:tc>
        <w:tc>
          <w:tcPr>
            <w:tcW w:w="1386" w:type="dxa"/>
            <w:tcBorders>
              <w:top w:val="nil"/>
              <w:bottom w:val="nil"/>
            </w:tcBorders>
          </w:tcPr>
          <w:p w:rsidR="00000000" w:rsidRDefault="00000000">
            <w:pPr>
              <w:spacing w:line="240" w:lineRule="auto"/>
              <w:jc w:val="right"/>
              <w:rPr>
                <w:lang w:val="en-US"/>
              </w:rPr>
            </w:pPr>
            <w:r>
              <w:rPr>
                <w:lang w:val="en-US"/>
              </w:rPr>
              <w:t>1 849</w:t>
            </w:r>
          </w:p>
        </w:tc>
        <w:tc>
          <w:tcPr>
            <w:tcW w:w="1372" w:type="dxa"/>
            <w:tcBorders>
              <w:top w:val="nil"/>
              <w:bottom w:val="nil"/>
            </w:tcBorders>
          </w:tcPr>
          <w:p w:rsidR="00000000" w:rsidRDefault="00000000">
            <w:pPr>
              <w:spacing w:line="240" w:lineRule="auto"/>
              <w:jc w:val="right"/>
              <w:rPr>
                <w:lang w:val="en-US"/>
              </w:rPr>
            </w:pPr>
            <w:r>
              <w:rPr>
                <w:lang w:val="en-US"/>
              </w:rPr>
              <w:t>3 730</w:t>
            </w:r>
          </w:p>
        </w:tc>
        <w:tc>
          <w:tcPr>
            <w:tcW w:w="1665" w:type="dxa"/>
            <w:tcBorders>
              <w:top w:val="nil"/>
              <w:bottom w:val="nil"/>
            </w:tcBorders>
          </w:tcPr>
          <w:p w:rsidR="00000000" w:rsidRDefault="00000000">
            <w:pPr>
              <w:spacing w:line="240" w:lineRule="auto"/>
              <w:ind w:left="-72"/>
              <w:jc w:val="center"/>
              <w:rPr>
                <w:lang w:val="en-US"/>
              </w:rPr>
            </w:pPr>
            <w:r>
              <w:rPr>
                <w:lang w:val="en-US"/>
              </w:rPr>
              <w:t>187 684</w:t>
            </w:r>
          </w:p>
        </w:tc>
        <w:tc>
          <w:tcPr>
            <w:tcW w:w="1260" w:type="dxa"/>
            <w:tcBorders>
              <w:top w:val="nil"/>
              <w:bottom w:val="nil"/>
            </w:tcBorders>
          </w:tcPr>
          <w:p w:rsidR="00000000" w:rsidRDefault="00000000">
            <w:pPr>
              <w:spacing w:line="240" w:lineRule="auto"/>
              <w:jc w:val="right"/>
              <w:rPr>
                <w:lang w:val="en-US"/>
              </w:rPr>
            </w:pPr>
            <w:r>
              <w:rPr>
                <w:lang w:val="en-US"/>
              </w:rPr>
              <w:t>4,3</w:t>
            </w:r>
          </w:p>
        </w:tc>
        <w:tc>
          <w:tcPr>
            <w:tcW w:w="1139" w:type="dxa"/>
            <w:tcBorders>
              <w:top w:val="nil"/>
              <w:bottom w:val="nil"/>
            </w:tcBorders>
          </w:tcPr>
          <w:p w:rsidR="00000000" w:rsidRDefault="00000000">
            <w:pPr>
              <w:spacing w:line="240" w:lineRule="auto"/>
              <w:jc w:val="right"/>
              <w:rPr>
                <w:lang w:val="en-US"/>
              </w:rPr>
            </w:pPr>
            <w:r>
              <w:rPr>
                <w:lang w:val="en-US"/>
              </w:rPr>
              <w:t>102,7</w:t>
            </w:r>
          </w:p>
        </w:tc>
      </w:tr>
      <w:tr w:rsidR="00000000">
        <w:tblPrEx>
          <w:tblCellMar>
            <w:top w:w="0" w:type="dxa"/>
            <w:bottom w:w="0" w:type="dxa"/>
          </w:tblCellMar>
        </w:tblPrEx>
        <w:tc>
          <w:tcPr>
            <w:tcW w:w="798" w:type="dxa"/>
            <w:tcBorders>
              <w:top w:val="nil"/>
              <w:bottom w:val="nil"/>
            </w:tcBorders>
          </w:tcPr>
          <w:p w:rsidR="00000000" w:rsidRDefault="00000000">
            <w:pPr>
              <w:spacing w:line="240" w:lineRule="auto"/>
              <w:rPr>
                <w:lang w:val="en-US"/>
              </w:rPr>
            </w:pPr>
            <w:r>
              <w:rPr>
                <w:lang w:val="en-US"/>
              </w:rPr>
              <w:t>2000</w:t>
            </w:r>
          </w:p>
        </w:tc>
        <w:tc>
          <w:tcPr>
            <w:tcW w:w="1736" w:type="dxa"/>
            <w:tcBorders>
              <w:top w:val="nil"/>
              <w:bottom w:val="nil"/>
            </w:tcBorders>
          </w:tcPr>
          <w:p w:rsidR="00000000" w:rsidRDefault="00000000">
            <w:pPr>
              <w:spacing w:line="240" w:lineRule="auto"/>
              <w:jc w:val="right"/>
              <w:rPr>
                <w:lang w:val="en-US"/>
              </w:rPr>
            </w:pPr>
            <w:r>
              <w:rPr>
                <w:lang w:val="en-US"/>
              </w:rPr>
              <w:t>236 389</w:t>
            </w:r>
          </w:p>
        </w:tc>
        <w:tc>
          <w:tcPr>
            <w:tcW w:w="1386" w:type="dxa"/>
            <w:tcBorders>
              <w:top w:val="nil"/>
              <w:bottom w:val="nil"/>
            </w:tcBorders>
          </w:tcPr>
          <w:p w:rsidR="00000000" w:rsidRDefault="00000000">
            <w:pPr>
              <w:spacing w:line="240" w:lineRule="auto"/>
              <w:jc w:val="right"/>
              <w:rPr>
                <w:lang w:val="en-US"/>
              </w:rPr>
            </w:pPr>
            <w:r>
              <w:rPr>
                <w:lang w:val="en-US"/>
              </w:rPr>
              <w:t>1 924</w:t>
            </w:r>
          </w:p>
        </w:tc>
        <w:tc>
          <w:tcPr>
            <w:tcW w:w="1372" w:type="dxa"/>
            <w:tcBorders>
              <w:top w:val="nil"/>
              <w:bottom w:val="nil"/>
            </w:tcBorders>
          </w:tcPr>
          <w:p w:rsidR="00000000" w:rsidRDefault="00000000">
            <w:pPr>
              <w:spacing w:line="240" w:lineRule="auto"/>
              <w:jc w:val="right"/>
              <w:rPr>
                <w:lang w:val="en-US"/>
              </w:rPr>
            </w:pPr>
            <w:r>
              <w:rPr>
                <w:lang w:val="en-US"/>
              </w:rPr>
              <w:t>3 899</w:t>
            </w:r>
          </w:p>
        </w:tc>
        <w:tc>
          <w:tcPr>
            <w:tcW w:w="1665" w:type="dxa"/>
            <w:tcBorders>
              <w:top w:val="nil"/>
              <w:bottom w:val="nil"/>
            </w:tcBorders>
          </w:tcPr>
          <w:p w:rsidR="00000000" w:rsidRDefault="00000000">
            <w:pPr>
              <w:spacing w:line="240" w:lineRule="auto"/>
              <w:ind w:left="-72"/>
              <w:jc w:val="center"/>
              <w:rPr>
                <w:lang w:val="en-US"/>
              </w:rPr>
            </w:pPr>
            <w:r>
              <w:rPr>
                <w:lang w:val="en-US"/>
              </w:rPr>
              <w:t>196 222</w:t>
            </w:r>
          </w:p>
        </w:tc>
        <w:tc>
          <w:tcPr>
            <w:tcW w:w="1260" w:type="dxa"/>
            <w:tcBorders>
              <w:top w:val="nil"/>
              <w:bottom w:val="nil"/>
            </w:tcBorders>
          </w:tcPr>
          <w:p w:rsidR="00000000" w:rsidRDefault="00000000">
            <w:pPr>
              <w:spacing w:line="240" w:lineRule="auto"/>
              <w:jc w:val="right"/>
              <w:rPr>
                <w:lang w:val="en-US"/>
              </w:rPr>
            </w:pPr>
            <w:r>
              <w:rPr>
                <w:lang w:val="en-US"/>
              </w:rPr>
              <w:t>4,5</w:t>
            </w:r>
          </w:p>
        </w:tc>
        <w:tc>
          <w:tcPr>
            <w:tcW w:w="1139" w:type="dxa"/>
            <w:tcBorders>
              <w:top w:val="nil"/>
              <w:bottom w:val="nil"/>
            </w:tcBorders>
          </w:tcPr>
          <w:p w:rsidR="00000000" w:rsidRDefault="00000000">
            <w:pPr>
              <w:spacing w:line="240" w:lineRule="auto"/>
              <w:jc w:val="right"/>
              <w:rPr>
                <w:lang w:val="en-US"/>
              </w:rPr>
            </w:pPr>
            <w:r>
              <w:rPr>
                <w:lang w:val="en-US"/>
              </w:rPr>
              <w:t>108,2</w:t>
            </w:r>
          </w:p>
        </w:tc>
      </w:tr>
      <w:tr w:rsidR="00000000">
        <w:tblPrEx>
          <w:tblCellMar>
            <w:top w:w="0" w:type="dxa"/>
            <w:bottom w:w="0" w:type="dxa"/>
          </w:tblCellMar>
        </w:tblPrEx>
        <w:tc>
          <w:tcPr>
            <w:tcW w:w="798" w:type="dxa"/>
            <w:tcBorders>
              <w:top w:val="nil"/>
              <w:bottom w:val="nil"/>
            </w:tcBorders>
          </w:tcPr>
          <w:p w:rsidR="00000000" w:rsidRDefault="00000000">
            <w:pPr>
              <w:spacing w:line="240" w:lineRule="auto"/>
              <w:rPr>
                <w:lang w:val="en-US"/>
              </w:rPr>
            </w:pPr>
            <w:r>
              <w:rPr>
                <w:lang w:val="en-US"/>
              </w:rPr>
              <w:t>2001</w:t>
            </w:r>
          </w:p>
        </w:tc>
        <w:tc>
          <w:tcPr>
            <w:tcW w:w="1736" w:type="dxa"/>
            <w:tcBorders>
              <w:top w:val="nil"/>
              <w:bottom w:val="nil"/>
            </w:tcBorders>
          </w:tcPr>
          <w:p w:rsidR="00000000" w:rsidRDefault="00000000">
            <w:pPr>
              <w:spacing w:line="240" w:lineRule="auto"/>
              <w:jc w:val="right"/>
              <w:rPr>
                <w:lang w:val="en-US"/>
              </w:rPr>
            </w:pPr>
            <w:r>
              <w:rPr>
                <w:lang w:val="en-US"/>
              </w:rPr>
              <w:t>233 841</w:t>
            </w:r>
          </w:p>
        </w:tc>
        <w:tc>
          <w:tcPr>
            <w:tcW w:w="1386" w:type="dxa"/>
            <w:tcBorders>
              <w:top w:val="nil"/>
              <w:bottom w:val="nil"/>
            </w:tcBorders>
          </w:tcPr>
          <w:p w:rsidR="00000000" w:rsidRDefault="00000000">
            <w:pPr>
              <w:spacing w:line="240" w:lineRule="auto"/>
              <w:jc w:val="right"/>
              <w:rPr>
                <w:lang w:val="en-US"/>
              </w:rPr>
            </w:pPr>
            <w:r>
              <w:rPr>
                <w:lang w:val="en-US"/>
              </w:rPr>
              <w:t>1 830</w:t>
            </w:r>
          </w:p>
        </w:tc>
        <w:tc>
          <w:tcPr>
            <w:tcW w:w="1372" w:type="dxa"/>
            <w:tcBorders>
              <w:top w:val="nil"/>
              <w:bottom w:val="nil"/>
            </w:tcBorders>
          </w:tcPr>
          <w:p w:rsidR="00000000" w:rsidRDefault="00000000">
            <w:pPr>
              <w:spacing w:line="240" w:lineRule="auto"/>
              <w:jc w:val="right"/>
              <w:rPr>
                <w:lang w:val="en-US"/>
              </w:rPr>
            </w:pPr>
            <w:r>
              <w:rPr>
                <w:lang w:val="en-US"/>
              </w:rPr>
              <w:t>3 723</w:t>
            </w:r>
          </w:p>
        </w:tc>
        <w:tc>
          <w:tcPr>
            <w:tcW w:w="1665" w:type="dxa"/>
            <w:tcBorders>
              <w:top w:val="nil"/>
              <w:bottom w:val="nil"/>
            </w:tcBorders>
          </w:tcPr>
          <w:p w:rsidR="00000000" w:rsidRDefault="00000000">
            <w:pPr>
              <w:spacing w:line="240" w:lineRule="auto"/>
              <w:ind w:left="-72"/>
              <w:jc w:val="center"/>
              <w:rPr>
                <w:lang w:val="en-US"/>
              </w:rPr>
            </w:pPr>
            <w:r>
              <w:rPr>
                <w:lang w:val="en-US"/>
              </w:rPr>
              <w:t>187 342</w:t>
            </w:r>
          </w:p>
        </w:tc>
        <w:tc>
          <w:tcPr>
            <w:tcW w:w="1260" w:type="dxa"/>
            <w:tcBorders>
              <w:top w:val="nil"/>
              <w:bottom w:val="nil"/>
            </w:tcBorders>
          </w:tcPr>
          <w:p w:rsidR="00000000" w:rsidRDefault="00000000">
            <w:pPr>
              <w:spacing w:line="240" w:lineRule="auto"/>
              <w:jc w:val="right"/>
              <w:rPr>
                <w:lang w:val="en-US"/>
              </w:rPr>
            </w:pPr>
            <w:r>
              <w:rPr>
                <w:lang w:val="en-US"/>
              </w:rPr>
              <w:t>-4,5</w:t>
            </w:r>
          </w:p>
        </w:tc>
        <w:tc>
          <w:tcPr>
            <w:tcW w:w="1139" w:type="dxa"/>
            <w:tcBorders>
              <w:top w:val="nil"/>
              <w:bottom w:val="nil"/>
            </w:tcBorders>
          </w:tcPr>
          <w:p w:rsidR="00000000" w:rsidRDefault="00000000">
            <w:pPr>
              <w:spacing w:line="240" w:lineRule="auto"/>
              <w:jc w:val="right"/>
              <w:rPr>
                <w:lang w:val="en-US"/>
              </w:rPr>
            </w:pPr>
            <w:r>
              <w:rPr>
                <w:lang w:val="en-US"/>
              </w:rPr>
              <w:t>103,6</w:t>
            </w:r>
          </w:p>
        </w:tc>
      </w:tr>
      <w:tr w:rsidR="00000000">
        <w:tblPrEx>
          <w:tblCellMar>
            <w:top w:w="0" w:type="dxa"/>
            <w:bottom w:w="0" w:type="dxa"/>
          </w:tblCellMar>
        </w:tblPrEx>
        <w:tc>
          <w:tcPr>
            <w:tcW w:w="798" w:type="dxa"/>
            <w:tcBorders>
              <w:top w:val="nil"/>
              <w:bottom w:val="nil"/>
            </w:tcBorders>
          </w:tcPr>
          <w:p w:rsidR="00000000" w:rsidRDefault="00000000">
            <w:pPr>
              <w:spacing w:line="240" w:lineRule="auto"/>
              <w:rPr>
                <w:lang w:val="en-US"/>
              </w:rPr>
            </w:pPr>
            <w:r>
              <w:rPr>
                <w:lang w:val="en-US"/>
              </w:rPr>
              <w:t>2002</w:t>
            </w:r>
          </w:p>
        </w:tc>
        <w:tc>
          <w:tcPr>
            <w:tcW w:w="1736" w:type="dxa"/>
            <w:tcBorders>
              <w:top w:val="nil"/>
              <w:bottom w:val="nil"/>
            </w:tcBorders>
          </w:tcPr>
          <w:p w:rsidR="00000000" w:rsidRDefault="00000000">
            <w:pPr>
              <w:spacing w:line="240" w:lineRule="auto"/>
              <w:jc w:val="right"/>
              <w:rPr>
                <w:lang w:val="en-US"/>
              </w:rPr>
            </w:pPr>
            <w:r>
              <w:rPr>
                <w:lang w:val="en-US"/>
              </w:rPr>
              <w:t>243 970</w:t>
            </w:r>
          </w:p>
        </w:tc>
        <w:tc>
          <w:tcPr>
            <w:tcW w:w="1386" w:type="dxa"/>
            <w:tcBorders>
              <w:top w:val="nil"/>
              <w:bottom w:val="nil"/>
            </w:tcBorders>
          </w:tcPr>
          <w:p w:rsidR="00000000" w:rsidRDefault="00000000">
            <w:pPr>
              <w:spacing w:line="240" w:lineRule="auto"/>
              <w:jc w:val="right"/>
              <w:rPr>
                <w:lang w:val="en-US"/>
              </w:rPr>
            </w:pPr>
            <w:r>
              <w:rPr>
                <w:lang w:val="en-US"/>
              </w:rPr>
              <w:t>1 859</w:t>
            </w:r>
          </w:p>
        </w:tc>
        <w:tc>
          <w:tcPr>
            <w:tcW w:w="1372" w:type="dxa"/>
            <w:tcBorders>
              <w:top w:val="nil"/>
              <w:bottom w:val="nil"/>
            </w:tcBorders>
          </w:tcPr>
          <w:p w:rsidR="00000000" w:rsidRDefault="00000000">
            <w:pPr>
              <w:spacing w:line="240" w:lineRule="auto"/>
              <w:jc w:val="right"/>
              <w:rPr>
                <w:lang w:val="en-US"/>
              </w:rPr>
            </w:pPr>
            <w:r>
              <w:rPr>
                <w:lang w:val="en-US"/>
              </w:rPr>
              <w:t>3 755</w:t>
            </w:r>
          </w:p>
        </w:tc>
        <w:tc>
          <w:tcPr>
            <w:tcW w:w="1665" w:type="dxa"/>
            <w:tcBorders>
              <w:top w:val="nil"/>
              <w:bottom w:val="nil"/>
            </w:tcBorders>
          </w:tcPr>
          <w:p w:rsidR="00000000" w:rsidRDefault="00000000">
            <w:pPr>
              <w:spacing w:line="240" w:lineRule="auto"/>
              <w:ind w:left="-72"/>
              <w:jc w:val="center"/>
              <w:rPr>
                <w:lang w:val="en-US"/>
              </w:rPr>
            </w:pPr>
            <w:r>
              <w:rPr>
                <w:lang w:val="en-US"/>
              </w:rPr>
              <w:t>188 941</w:t>
            </w:r>
          </w:p>
        </w:tc>
        <w:tc>
          <w:tcPr>
            <w:tcW w:w="1260" w:type="dxa"/>
            <w:tcBorders>
              <w:top w:val="nil"/>
              <w:bottom w:val="nil"/>
            </w:tcBorders>
          </w:tcPr>
          <w:p w:rsidR="00000000" w:rsidRDefault="00000000">
            <w:pPr>
              <w:spacing w:line="240" w:lineRule="auto"/>
              <w:jc w:val="right"/>
              <w:rPr>
                <w:lang w:val="en-US"/>
              </w:rPr>
            </w:pPr>
            <w:r>
              <w:rPr>
                <w:lang w:val="en-US"/>
              </w:rPr>
              <w:t>0,9</w:t>
            </w:r>
          </w:p>
        </w:tc>
        <w:tc>
          <w:tcPr>
            <w:tcW w:w="1139" w:type="dxa"/>
            <w:tcBorders>
              <w:top w:val="nil"/>
              <w:bottom w:val="nil"/>
            </w:tcBorders>
          </w:tcPr>
          <w:p w:rsidR="00000000" w:rsidRDefault="00000000">
            <w:pPr>
              <w:spacing w:line="240" w:lineRule="auto"/>
              <w:jc w:val="right"/>
              <w:rPr>
                <w:lang w:val="en-US"/>
              </w:rPr>
            </w:pPr>
            <w:r>
              <w:rPr>
                <w:lang w:val="en-US"/>
              </w:rPr>
              <w:t>103,4</w:t>
            </w:r>
          </w:p>
        </w:tc>
      </w:tr>
      <w:tr w:rsidR="00000000">
        <w:tblPrEx>
          <w:tblCellMar>
            <w:top w:w="0" w:type="dxa"/>
            <w:bottom w:w="0" w:type="dxa"/>
          </w:tblCellMar>
        </w:tblPrEx>
        <w:tc>
          <w:tcPr>
            <w:tcW w:w="798" w:type="dxa"/>
            <w:tcBorders>
              <w:top w:val="nil"/>
            </w:tcBorders>
          </w:tcPr>
          <w:p w:rsidR="00000000" w:rsidRDefault="00000000">
            <w:pPr>
              <w:spacing w:line="240" w:lineRule="auto"/>
              <w:rPr>
                <w:lang w:val="en-US"/>
              </w:rPr>
            </w:pPr>
            <w:r>
              <w:rPr>
                <w:lang w:val="en-US"/>
              </w:rPr>
              <w:t>2003</w:t>
            </w:r>
          </w:p>
        </w:tc>
        <w:tc>
          <w:tcPr>
            <w:tcW w:w="1736" w:type="dxa"/>
            <w:tcBorders>
              <w:top w:val="nil"/>
            </w:tcBorders>
          </w:tcPr>
          <w:p w:rsidR="00000000" w:rsidRDefault="00000000">
            <w:pPr>
              <w:spacing w:line="240" w:lineRule="auto"/>
              <w:jc w:val="right"/>
              <w:rPr>
                <w:lang w:val="en-US"/>
              </w:rPr>
            </w:pPr>
            <w:r>
              <w:rPr>
                <w:lang w:val="en-US"/>
              </w:rPr>
              <w:t>251 486</w:t>
            </w:r>
          </w:p>
        </w:tc>
        <w:tc>
          <w:tcPr>
            <w:tcW w:w="1386" w:type="dxa"/>
            <w:tcBorders>
              <w:top w:val="nil"/>
            </w:tcBorders>
          </w:tcPr>
          <w:p w:rsidR="00000000" w:rsidRDefault="00000000">
            <w:pPr>
              <w:spacing w:line="240" w:lineRule="auto"/>
              <w:jc w:val="right"/>
              <w:rPr>
                <w:lang w:val="en-US"/>
              </w:rPr>
            </w:pPr>
            <w:r>
              <w:rPr>
                <w:lang w:val="en-US"/>
              </w:rPr>
              <w:t>2 230</w:t>
            </w:r>
          </w:p>
        </w:tc>
        <w:tc>
          <w:tcPr>
            <w:tcW w:w="1372" w:type="dxa"/>
            <w:tcBorders>
              <w:top w:val="nil"/>
            </w:tcBorders>
          </w:tcPr>
          <w:p w:rsidR="00000000" w:rsidRDefault="00000000">
            <w:pPr>
              <w:spacing w:line="240" w:lineRule="auto"/>
              <w:jc w:val="right"/>
              <w:rPr>
                <w:lang w:val="en-US"/>
              </w:rPr>
            </w:pPr>
            <w:r>
              <w:rPr>
                <w:lang w:val="en-US"/>
              </w:rPr>
              <w:t>4 521</w:t>
            </w:r>
          </w:p>
        </w:tc>
        <w:tc>
          <w:tcPr>
            <w:tcW w:w="1665" w:type="dxa"/>
            <w:tcBorders>
              <w:top w:val="nil"/>
            </w:tcBorders>
          </w:tcPr>
          <w:p w:rsidR="00000000" w:rsidRDefault="00000000">
            <w:pPr>
              <w:spacing w:line="240" w:lineRule="auto"/>
              <w:ind w:left="-72"/>
              <w:jc w:val="center"/>
              <w:rPr>
                <w:lang w:val="en-US"/>
              </w:rPr>
            </w:pPr>
            <w:r>
              <w:rPr>
                <w:lang w:val="en-US"/>
              </w:rPr>
              <w:t>194 263</w:t>
            </w:r>
          </w:p>
        </w:tc>
        <w:tc>
          <w:tcPr>
            <w:tcW w:w="1260" w:type="dxa"/>
            <w:tcBorders>
              <w:top w:val="nil"/>
            </w:tcBorders>
          </w:tcPr>
          <w:p w:rsidR="00000000" w:rsidRDefault="00000000">
            <w:pPr>
              <w:spacing w:line="240" w:lineRule="auto"/>
              <w:jc w:val="right"/>
            </w:pPr>
            <w:r>
              <w:t>2,8</w:t>
            </w:r>
          </w:p>
        </w:tc>
        <w:tc>
          <w:tcPr>
            <w:tcW w:w="1139" w:type="dxa"/>
            <w:tcBorders>
              <w:top w:val="nil"/>
            </w:tcBorders>
          </w:tcPr>
          <w:p w:rsidR="00000000" w:rsidRDefault="00000000">
            <w:pPr>
              <w:spacing w:line="240" w:lineRule="auto"/>
              <w:jc w:val="right"/>
            </w:pPr>
            <w:r>
              <w:t>100,3</w:t>
            </w:r>
          </w:p>
        </w:tc>
      </w:tr>
    </w:tbl>
    <w:p w:rsidR="00000000" w:rsidRDefault="00000000">
      <w:pPr>
        <w:pStyle w:val="Heading2"/>
        <w:jc w:val="center"/>
        <w:rPr>
          <w:b/>
          <w:bCs/>
          <w:u w:val="none"/>
        </w:rPr>
      </w:pPr>
      <w:r>
        <w:rPr>
          <w:b/>
          <w:bCs/>
          <w:u w:val="none"/>
        </w:rPr>
        <w:t>Валовой внутренний продукт бывшей югославской Республики Македонии,</w:t>
      </w:r>
    </w:p>
    <w:p w:rsidR="00000000" w:rsidRDefault="00000000">
      <w:pPr>
        <w:keepNext/>
        <w:jc w:val="center"/>
        <w:rPr>
          <w:b/>
          <w:bCs/>
        </w:rPr>
      </w:pPr>
      <w:r>
        <w:rPr>
          <w:b/>
          <w:bCs/>
        </w:rPr>
        <w:t>2002-2003 годы</w:t>
      </w:r>
    </w:p>
    <w:p w:rsidR="00000000" w:rsidRDefault="00000000">
      <w:pPr>
        <w:keepNext/>
        <w:jc w:val="center"/>
        <w:rPr>
          <w:b/>
          <w:bCs/>
        </w:rPr>
      </w:pPr>
    </w:p>
    <w:p w:rsidR="00000000" w:rsidRDefault="00000000">
      <w:pPr>
        <w:pStyle w:val="BodyText3"/>
        <w:keepNext/>
        <w:spacing w:after="0" w:line="288" w:lineRule="auto"/>
        <w:rPr>
          <w:lang w:val="ru-RU"/>
        </w:rPr>
      </w:pPr>
      <w:r>
        <w:rPr>
          <w:lang w:val="ru-RU"/>
        </w:rPr>
        <w:t xml:space="preserve">В млн. </w:t>
      </w:r>
      <w:proofErr w:type="spellStart"/>
      <w:r>
        <w:rPr>
          <w:lang w:val="ru-RU"/>
        </w:rPr>
        <w:t>денаров</w:t>
      </w:r>
      <w:proofErr w:type="spellEnd"/>
      <w:r>
        <w:rPr>
          <w:lang w:val="ru-RU"/>
        </w:rPr>
        <w:t xml:space="preserve"> по текущим ценам</w:t>
      </w:r>
    </w:p>
    <w:p w:rsidR="00000000" w:rsidRDefault="00000000">
      <w:pPr>
        <w:pStyle w:val="BodyText3"/>
        <w:keepNext/>
        <w:spacing w:after="0" w:line="288" w:lineRule="auto"/>
        <w:rPr>
          <w:lang w:val="ru-RU"/>
        </w:rPr>
      </w:pPr>
    </w:p>
    <w:tbl>
      <w:tblPr>
        <w:tblW w:w="9365"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3199"/>
        <w:gridCol w:w="928"/>
        <w:gridCol w:w="933"/>
        <w:gridCol w:w="930"/>
        <w:gridCol w:w="1051"/>
        <w:gridCol w:w="10"/>
        <w:gridCol w:w="854"/>
        <w:gridCol w:w="816"/>
      </w:tblGrid>
      <w:tr w:rsidR="00000000">
        <w:tblPrEx>
          <w:tblCellMar>
            <w:top w:w="0" w:type="dxa"/>
            <w:bottom w:w="0" w:type="dxa"/>
          </w:tblCellMar>
        </w:tblPrEx>
        <w:tc>
          <w:tcPr>
            <w:tcW w:w="5704" w:type="dxa"/>
            <w:gridSpan w:val="4"/>
            <w:tcMar>
              <w:left w:w="28" w:type="dxa"/>
              <w:right w:w="28" w:type="dxa"/>
            </w:tcMar>
          </w:tcPr>
          <w:p w:rsidR="00000000" w:rsidRDefault="00000000">
            <w:pPr>
              <w:keepNext/>
              <w:jc w:val="center"/>
              <w:rPr>
                <w:sz w:val="18"/>
              </w:rPr>
            </w:pPr>
          </w:p>
        </w:tc>
        <w:tc>
          <w:tcPr>
            <w:tcW w:w="1981" w:type="dxa"/>
            <w:gridSpan w:val="2"/>
            <w:tcMar>
              <w:left w:w="28" w:type="dxa"/>
              <w:right w:w="28" w:type="dxa"/>
            </w:tcMar>
          </w:tcPr>
          <w:p w:rsidR="00000000" w:rsidRDefault="00000000">
            <w:pPr>
              <w:keepNext/>
              <w:jc w:val="center"/>
              <w:rPr>
                <w:sz w:val="22"/>
              </w:rPr>
            </w:pPr>
            <w:r>
              <w:rPr>
                <w:sz w:val="22"/>
              </w:rPr>
              <w:t>Показатели</w:t>
            </w:r>
          </w:p>
        </w:tc>
        <w:tc>
          <w:tcPr>
            <w:tcW w:w="1680" w:type="dxa"/>
            <w:gridSpan w:val="3"/>
            <w:tcMar>
              <w:left w:w="28" w:type="dxa"/>
              <w:right w:w="28" w:type="dxa"/>
            </w:tcMar>
          </w:tcPr>
          <w:p w:rsidR="00000000" w:rsidRDefault="00000000">
            <w:pPr>
              <w:keepNext/>
              <w:rPr>
                <w:sz w:val="18"/>
              </w:rPr>
            </w:pPr>
          </w:p>
        </w:tc>
      </w:tr>
      <w:tr w:rsidR="00000000">
        <w:tblPrEx>
          <w:tblCellMar>
            <w:top w:w="0" w:type="dxa"/>
            <w:bottom w:w="0" w:type="dxa"/>
          </w:tblCellMar>
        </w:tblPrEx>
        <w:tc>
          <w:tcPr>
            <w:tcW w:w="644" w:type="dxa"/>
            <w:tcBorders>
              <w:bottom w:val="single" w:sz="4" w:space="0" w:color="auto"/>
            </w:tcBorders>
            <w:tcMar>
              <w:left w:w="28" w:type="dxa"/>
              <w:right w:w="28" w:type="dxa"/>
            </w:tcMar>
          </w:tcPr>
          <w:p w:rsidR="00000000" w:rsidRDefault="00000000">
            <w:pPr>
              <w:keepNext/>
              <w:jc w:val="center"/>
              <w:rPr>
                <w:sz w:val="18"/>
              </w:rPr>
            </w:pPr>
            <w:r>
              <w:rPr>
                <w:sz w:val="18"/>
              </w:rPr>
              <w:t xml:space="preserve">Сектор </w:t>
            </w:r>
            <w:proofErr w:type="spellStart"/>
            <w:r>
              <w:rPr>
                <w:sz w:val="18"/>
              </w:rPr>
              <w:t>НКД</w:t>
            </w:r>
            <w:proofErr w:type="spellEnd"/>
          </w:p>
        </w:tc>
        <w:tc>
          <w:tcPr>
            <w:tcW w:w="3199" w:type="dxa"/>
            <w:tcBorders>
              <w:bottom w:val="single" w:sz="4" w:space="0" w:color="auto"/>
            </w:tcBorders>
            <w:tcMar>
              <w:left w:w="28" w:type="dxa"/>
              <w:right w:w="28" w:type="dxa"/>
            </w:tcMar>
          </w:tcPr>
          <w:p w:rsidR="00000000" w:rsidRDefault="00000000">
            <w:pPr>
              <w:keepNext/>
              <w:jc w:val="center"/>
              <w:rPr>
                <w:sz w:val="18"/>
              </w:rPr>
            </w:pPr>
            <w:r>
              <w:rPr>
                <w:sz w:val="18"/>
              </w:rPr>
              <w:t>Наименование</w:t>
            </w:r>
          </w:p>
        </w:tc>
        <w:tc>
          <w:tcPr>
            <w:tcW w:w="928" w:type="dxa"/>
            <w:tcBorders>
              <w:bottom w:val="single" w:sz="4" w:space="0" w:color="auto"/>
            </w:tcBorders>
            <w:tcMar>
              <w:left w:w="28" w:type="dxa"/>
              <w:right w:w="28" w:type="dxa"/>
            </w:tcMar>
          </w:tcPr>
          <w:p w:rsidR="00000000" w:rsidRDefault="00000000">
            <w:pPr>
              <w:keepNext/>
              <w:jc w:val="center"/>
              <w:rPr>
                <w:sz w:val="18"/>
              </w:rPr>
            </w:pPr>
            <w:r>
              <w:rPr>
                <w:sz w:val="18"/>
              </w:rPr>
              <w:t>2002</w:t>
            </w:r>
          </w:p>
        </w:tc>
        <w:tc>
          <w:tcPr>
            <w:tcW w:w="933" w:type="dxa"/>
            <w:tcBorders>
              <w:bottom w:val="single" w:sz="4" w:space="0" w:color="auto"/>
            </w:tcBorders>
            <w:tcMar>
              <w:left w:w="28" w:type="dxa"/>
              <w:right w:w="28" w:type="dxa"/>
            </w:tcMar>
          </w:tcPr>
          <w:p w:rsidR="00000000" w:rsidRDefault="00000000">
            <w:pPr>
              <w:keepNext/>
              <w:jc w:val="center"/>
              <w:rPr>
                <w:sz w:val="18"/>
              </w:rPr>
            </w:pPr>
            <w:r>
              <w:rPr>
                <w:sz w:val="18"/>
              </w:rPr>
              <w:t>2003</w:t>
            </w:r>
          </w:p>
        </w:tc>
        <w:tc>
          <w:tcPr>
            <w:tcW w:w="930" w:type="dxa"/>
            <w:tcBorders>
              <w:bottom w:val="single" w:sz="4" w:space="0" w:color="auto"/>
            </w:tcBorders>
            <w:tcMar>
              <w:left w:w="28" w:type="dxa"/>
              <w:right w:w="28" w:type="dxa"/>
            </w:tcMar>
          </w:tcPr>
          <w:p w:rsidR="00000000" w:rsidRDefault="00000000">
            <w:pPr>
              <w:keepNext/>
              <w:jc w:val="center"/>
              <w:rPr>
                <w:sz w:val="18"/>
              </w:rPr>
            </w:pPr>
            <w:r>
              <w:rPr>
                <w:sz w:val="18"/>
              </w:rPr>
              <w:t>2002/2001</w:t>
            </w:r>
          </w:p>
        </w:tc>
        <w:tc>
          <w:tcPr>
            <w:tcW w:w="1061" w:type="dxa"/>
            <w:gridSpan w:val="2"/>
            <w:tcBorders>
              <w:bottom w:val="single" w:sz="4" w:space="0" w:color="auto"/>
            </w:tcBorders>
            <w:tcMar>
              <w:left w:w="28" w:type="dxa"/>
              <w:right w:w="28" w:type="dxa"/>
            </w:tcMar>
          </w:tcPr>
          <w:p w:rsidR="00000000" w:rsidRDefault="00000000">
            <w:pPr>
              <w:keepNext/>
              <w:jc w:val="center"/>
              <w:rPr>
                <w:sz w:val="18"/>
              </w:rPr>
            </w:pPr>
            <w:r>
              <w:rPr>
                <w:sz w:val="18"/>
              </w:rPr>
              <w:t xml:space="preserve">2003/2002 </w:t>
            </w:r>
          </w:p>
        </w:tc>
        <w:tc>
          <w:tcPr>
            <w:tcW w:w="854" w:type="dxa"/>
            <w:tcBorders>
              <w:bottom w:val="single" w:sz="4" w:space="0" w:color="auto"/>
            </w:tcBorders>
            <w:tcMar>
              <w:left w:w="28" w:type="dxa"/>
              <w:right w:w="28" w:type="dxa"/>
            </w:tcMar>
          </w:tcPr>
          <w:p w:rsidR="00000000" w:rsidRDefault="00000000">
            <w:pPr>
              <w:keepNext/>
              <w:jc w:val="center"/>
              <w:rPr>
                <w:sz w:val="18"/>
              </w:rPr>
            </w:pPr>
            <w:r>
              <w:rPr>
                <w:sz w:val="18"/>
              </w:rPr>
              <w:t xml:space="preserve">2002 </w:t>
            </w:r>
          </w:p>
        </w:tc>
        <w:tc>
          <w:tcPr>
            <w:tcW w:w="816" w:type="dxa"/>
            <w:tcBorders>
              <w:bottom w:val="single" w:sz="4" w:space="0" w:color="auto"/>
            </w:tcBorders>
            <w:tcMar>
              <w:left w:w="28" w:type="dxa"/>
              <w:right w:w="28" w:type="dxa"/>
            </w:tcMar>
          </w:tcPr>
          <w:p w:rsidR="00000000" w:rsidRDefault="00000000">
            <w:pPr>
              <w:keepNext/>
              <w:jc w:val="center"/>
              <w:rPr>
                <w:sz w:val="18"/>
                <w:lang w:val="en-US"/>
              </w:rPr>
            </w:pPr>
            <w:r>
              <w:rPr>
                <w:sz w:val="18"/>
                <w:lang w:val="en-US"/>
              </w:rPr>
              <w:t>2003</w:t>
            </w:r>
            <w:r>
              <w:rPr>
                <w:sz w:val="18"/>
              </w:rPr>
              <w:t xml:space="preserve"> </w:t>
            </w:r>
          </w:p>
        </w:tc>
      </w:tr>
      <w:tr w:rsidR="00000000">
        <w:tblPrEx>
          <w:tblCellMar>
            <w:top w:w="0" w:type="dxa"/>
            <w:bottom w:w="0" w:type="dxa"/>
          </w:tblCellMar>
        </w:tblPrEx>
        <w:tc>
          <w:tcPr>
            <w:tcW w:w="644" w:type="dxa"/>
            <w:tcBorders>
              <w:bottom w:val="nil"/>
            </w:tcBorders>
            <w:tcMar>
              <w:left w:w="28" w:type="dxa"/>
              <w:right w:w="28" w:type="dxa"/>
            </w:tcMar>
          </w:tcPr>
          <w:p w:rsidR="00000000" w:rsidRDefault="00000000">
            <w:pPr>
              <w:jc w:val="center"/>
              <w:rPr>
                <w:sz w:val="18"/>
                <w:lang w:val="en-US"/>
              </w:rPr>
            </w:pPr>
            <w:r>
              <w:rPr>
                <w:sz w:val="18"/>
                <w:lang w:val="en-US"/>
              </w:rPr>
              <w:t>A</w:t>
            </w:r>
          </w:p>
        </w:tc>
        <w:tc>
          <w:tcPr>
            <w:tcW w:w="3199" w:type="dxa"/>
            <w:tcBorders>
              <w:bottom w:val="nil"/>
            </w:tcBorders>
            <w:tcMar>
              <w:left w:w="28" w:type="dxa"/>
              <w:right w:w="28" w:type="dxa"/>
            </w:tcMar>
          </w:tcPr>
          <w:p w:rsidR="00000000" w:rsidRDefault="00000000">
            <w:pPr>
              <w:rPr>
                <w:sz w:val="18"/>
              </w:rPr>
            </w:pPr>
            <w:r>
              <w:rPr>
                <w:sz w:val="18"/>
              </w:rPr>
              <w:t>Сельское хозяйство, охотничий промысел, лесозаготовки</w:t>
            </w:r>
          </w:p>
        </w:tc>
        <w:tc>
          <w:tcPr>
            <w:tcW w:w="928" w:type="dxa"/>
            <w:tcBorders>
              <w:bottom w:val="nil"/>
            </w:tcBorders>
            <w:tcMar>
              <w:left w:w="28" w:type="dxa"/>
              <w:right w:w="28" w:type="dxa"/>
            </w:tcMar>
          </w:tcPr>
          <w:p w:rsidR="00000000" w:rsidRDefault="00000000">
            <w:pPr>
              <w:jc w:val="right"/>
              <w:rPr>
                <w:sz w:val="18"/>
                <w:lang w:val="en-US"/>
              </w:rPr>
            </w:pPr>
            <w:r>
              <w:rPr>
                <w:sz w:val="18"/>
                <w:lang w:val="en-US"/>
              </w:rPr>
              <w:t>24 509</w:t>
            </w:r>
          </w:p>
        </w:tc>
        <w:tc>
          <w:tcPr>
            <w:tcW w:w="933" w:type="dxa"/>
            <w:tcBorders>
              <w:bottom w:val="nil"/>
            </w:tcBorders>
            <w:tcMar>
              <w:left w:w="28" w:type="dxa"/>
              <w:right w:w="28" w:type="dxa"/>
            </w:tcMar>
          </w:tcPr>
          <w:p w:rsidR="00000000" w:rsidRDefault="00000000">
            <w:pPr>
              <w:jc w:val="right"/>
              <w:rPr>
                <w:sz w:val="18"/>
                <w:lang w:val="en-US"/>
              </w:rPr>
            </w:pPr>
            <w:r>
              <w:rPr>
                <w:sz w:val="18"/>
                <w:lang w:val="en-US"/>
              </w:rPr>
              <w:t>28 672</w:t>
            </w:r>
          </w:p>
        </w:tc>
        <w:tc>
          <w:tcPr>
            <w:tcW w:w="930" w:type="dxa"/>
            <w:tcBorders>
              <w:bottom w:val="nil"/>
            </w:tcBorders>
            <w:tcMar>
              <w:left w:w="28" w:type="dxa"/>
              <w:right w:w="28" w:type="dxa"/>
            </w:tcMar>
          </w:tcPr>
          <w:p w:rsidR="00000000" w:rsidRDefault="00000000">
            <w:pPr>
              <w:jc w:val="right"/>
              <w:rPr>
                <w:sz w:val="18"/>
                <w:lang w:val="en-US"/>
              </w:rPr>
            </w:pPr>
            <w:r>
              <w:rPr>
                <w:sz w:val="18"/>
                <w:lang w:val="en-US"/>
              </w:rPr>
              <w:t>106,9</w:t>
            </w:r>
          </w:p>
        </w:tc>
        <w:tc>
          <w:tcPr>
            <w:tcW w:w="1061" w:type="dxa"/>
            <w:gridSpan w:val="2"/>
            <w:tcBorders>
              <w:bottom w:val="nil"/>
            </w:tcBorders>
            <w:tcMar>
              <w:left w:w="28" w:type="dxa"/>
              <w:right w:w="28" w:type="dxa"/>
            </w:tcMar>
          </w:tcPr>
          <w:p w:rsidR="00000000" w:rsidRDefault="00000000">
            <w:pPr>
              <w:jc w:val="right"/>
              <w:rPr>
                <w:sz w:val="18"/>
                <w:lang w:val="en-US"/>
              </w:rPr>
            </w:pPr>
            <w:r>
              <w:rPr>
                <w:sz w:val="18"/>
                <w:lang w:val="en-US"/>
              </w:rPr>
              <w:t>117,0</w:t>
            </w:r>
          </w:p>
        </w:tc>
        <w:tc>
          <w:tcPr>
            <w:tcW w:w="854" w:type="dxa"/>
            <w:tcBorders>
              <w:bottom w:val="nil"/>
            </w:tcBorders>
            <w:tcMar>
              <w:left w:w="28" w:type="dxa"/>
              <w:right w:w="28" w:type="dxa"/>
            </w:tcMar>
          </w:tcPr>
          <w:p w:rsidR="00000000" w:rsidRDefault="00000000">
            <w:pPr>
              <w:jc w:val="right"/>
              <w:rPr>
                <w:sz w:val="18"/>
                <w:lang w:val="en-US"/>
              </w:rPr>
            </w:pPr>
            <w:r>
              <w:rPr>
                <w:sz w:val="18"/>
                <w:lang w:val="en-US"/>
              </w:rPr>
              <w:t>10,0</w:t>
            </w:r>
          </w:p>
        </w:tc>
        <w:tc>
          <w:tcPr>
            <w:tcW w:w="816" w:type="dxa"/>
            <w:tcBorders>
              <w:bottom w:val="nil"/>
            </w:tcBorders>
            <w:tcMar>
              <w:left w:w="28" w:type="dxa"/>
              <w:right w:w="28" w:type="dxa"/>
            </w:tcMar>
          </w:tcPr>
          <w:p w:rsidR="00000000" w:rsidRDefault="00000000">
            <w:pPr>
              <w:jc w:val="right"/>
              <w:rPr>
                <w:sz w:val="18"/>
                <w:lang w:val="en-US"/>
              </w:rPr>
            </w:pPr>
            <w:r>
              <w:rPr>
                <w:sz w:val="18"/>
                <w:lang w:val="en-US"/>
              </w:rPr>
              <w:t>11,4</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r>
              <w:rPr>
                <w:sz w:val="18"/>
                <w:lang w:val="en-US"/>
              </w:rPr>
              <w:t>B</w:t>
            </w:r>
          </w:p>
        </w:tc>
        <w:tc>
          <w:tcPr>
            <w:tcW w:w="3199" w:type="dxa"/>
            <w:tcBorders>
              <w:top w:val="nil"/>
              <w:bottom w:val="nil"/>
            </w:tcBorders>
            <w:tcMar>
              <w:left w:w="28" w:type="dxa"/>
              <w:right w:w="28" w:type="dxa"/>
            </w:tcMar>
          </w:tcPr>
          <w:p w:rsidR="00000000" w:rsidRDefault="00000000">
            <w:pPr>
              <w:rPr>
                <w:sz w:val="18"/>
              </w:rPr>
            </w:pPr>
            <w:r>
              <w:rPr>
                <w:sz w:val="18"/>
              </w:rPr>
              <w:t>Рыболовство</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48</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27</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198,6</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56,6</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0,0</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0,0</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r>
              <w:rPr>
                <w:sz w:val="18"/>
                <w:lang w:val="en-US"/>
              </w:rPr>
              <w:t>C</w:t>
            </w:r>
          </w:p>
        </w:tc>
        <w:tc>
          <w:tcPr>
            <w:tcW w:w="3199" w:type="dxa"/>
            <w:tcBorders>
              <w:top w:val="nil"/>
              <w:bottom w:val="nil"/>
            </w:tcBorders>
            <w:tcMar>
              <w:left w:w="28" w:type="dxa"/>
              <w:right w:w="28" w:type="dxa"/>
            </w:tcMar>
          </w:tcPr>
          <w:p w:rsidR="00000000" w:rsidRDefault="00000000">
            <w:pPr>
              <w:rPr>
                <w:sz w:val="18"/>
              </w:rPr>
            </w:pPr>
            <w:r>
              <w:rPr>
                <w:sz w:val="18"/>
              </w:rPr>
              <w:t>Горнодобывающая промышленность</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960</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989</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73,2</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102,9</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0,4</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0,4</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r>
              <w:rPr>
                <w:sz w:val="18"/>
                <w:lang w:val="en-US"/>
              </w:rPr>
              <w:t>D</w:t>
            </w:r>
          </w:p>
        </w:tc>
        <w:tc>
          <w:tcPr>
            <w:tcW w:w="3199" w:type="dxa"/>
            <w:tcBorders>
              <w:top w:val="nil"/>
              <w:bottom w:val="nil"/>
            </w:tcBorders>
            <w:tcMar>
              <w:left w:w="28" w:type="dxa"/>
              <w:right w:w="28" w:type="dxa"/>
            </w:tcMar>
          </w:tcPr>
          <w:p w:rsidR="00000000" w:rsidRDefault="00000000">
            <w:pPr>
              <w:rPr>
                <w:sz w:val="18"/>
              </w:rPr>
            </w:pPr>
            <w:r>
              <w:rPr>
                <w:sz w:val="18"/>
              </w:rPr>
              <w:t>Обрабатывающая промышленность</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37 925</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39 651</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95,8</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104,6</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15,5</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15,8</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r>
              <w:rPr>
                <w:sz w:val="18"/>
                <w:lang w:val="en-US"/>
              </w:rPr>
              <w:t>E</w:t>
            </w:r>
          </w:p>
        </w:tc>
        <w:tc>
          <w:tcPr>
            <w:tcW w:w="3199" w:type="dxa"/>
            <w:tcBorders>
              <w:top w:val="nil"/>
              <w:bottom w:val="nil"/>
            </w:tcBorders>
            <w:tcMar>
              <w:left w:w="28" w:type="dxa"/>
              <w:right w:w="28" w:type="dxa"/>
            </w:tcMar>
          </w:tcPr>
          <w:p w:rsidR="00000000" w:rsidRDefault="00000000">
            <w:pPr>
              <w:rPr>
                <w:sz w:val="18"/>
              </w:rPr>
            </w:pPr>
            <w:proofErr w:type="spellStart"/>
            <w:r>
              <w:rPr>
                <w:sz w:val="18"/>
              </w:rPr>
              <w:t>Электро</w:t>
            </w:r>
            <w:proofErr w:type="spellEnd"/>
            <w:r>
              <w:rPr>
                <w:sz w:val="18"/>
              </w:rPr>
              <w:t xml:space="preserve">-, </w:t>
            </w:r>
            <w:proofErr w:type="spellStart"/>
            <w:r>
              <w:rPr>
                <w:sz w:val="18"/>
              </w:rPr>
              <w:t>газо-и</w:t>
            </w:r>
            <w:proofErr w:type="spellEnd"/>
            <w:r>
              <w:rPr>
                <w:sz w:val="18"/>
              </w:rPr>
              <w:t xml:space="preserve"> водоснабжение</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9 146</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11 778</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91,1</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128,8</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3,7</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4,7</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r>
              <w:rPr>
                <w:sz w:val="18"/>
                <w:lang w:val="en-US"/>
              </w:rPr>
              <w:t>F</w:t>
            </w:r>
          </w:p>
        </w:tc>
        <w:tc>
          <w:tcPr>
            <w:tcW w:w="3199" w:type="dxa"/>
            <w:tcBorders>
              <w:top w:val="nil"/>
              <w:bottom w:val="nil"/>
            </w:tcBorders>
            <w:tcMar>
              <w:left w:w="28" w:type="dxa"/>
              <w:right w:w="28" w:type="dxa"/>
            </w:tcMar>
          </w:tcPr>
          <w:p w:rsidR="00000000" w:rsidRDefault="00000000">
            <w:pPr>
              <w:rPr>
                <w:sz w:val="18"/>
              </w:rPr>
            </w:pPr>
            <w:r>
              <w:rPr>
                <w:sz w:val="18"/>
              </w:rPr>
              <w:t>Строительство</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11 893</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13 537</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100,8</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113,8</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4,9</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5,4</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r>
              <w:rPr>
                <w:sz w:val="18"/>
                <w:lang w:val="en-US"/>
              </w:rPr>
              <w:t>G</w:t>
            </w:r>
          </w:p>
        </w:tc>
        <w:tc>
          <w:tcPr>
            <w:tcW w:w="3199" w:type="dxa"/>
            <w:tcBorders>
              <w:top w:val="nil"/>
              <w:bottom w:val="nil"/>
            </w:tcBorders>
            <w:tcMar>
              <w:left w:w="28" w:type="dxa"/>
              <w:right w:w="28" w:type="dxa"/>
            </w:tcMar>
          </w:tcPr>
          <w:p w:rsidR="00000000" w:rsidRDefault="00000000">
            <w:pPr>
              <w:tabs>
                <w:tab w:val="clear" w:pos="567"/>
                <w:tab w:val="left" w:pos="224"/>
              </w:tabs>
              <w:ind w:left="224" w:hanging="224"/>
              <w:rPr>
                <w:sz w:val="18"/>
              </w:rPr>
            </w:pPr>
            <w:r>
              <w:rPr>
                <w:sz w:val="18"/>
              </w:rPr>
              <w:t>Оптовая и розничная торговля, ремонт автомобилей, мотоциклов и бытовой техники</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27 438</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28 282</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105,2</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103,1</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11,2</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11,2</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r>
              <w:rPr>
                <w:sz w:val="18"/>
                <w:lang w:val="en-US"/>
              </w:rPr>
              <w:t>H</w:t>
            </w:r>
          </w:p>
        </w:tc>
        <w:tc>
          <w:tcPr>
            <w:tcW w:w="3199" w:type="dxa"/>
            <w:tcBorders>
              <w:top w:val="nil"/>
              <w:bottom w:val="nil"/>
            </w:tcBorders>
            <w:tcMar>
              <w:left w:w="28" w:type="dxa"/>
              <w:right w:w="28" w:type="dxa"/>
            </w:tcMar>
          </w:tcPr>
          <w:p w:rsidR="00000000" w:rsidRDefault="00000000">
            <w:pPr>
              <w:rPr>
                <w:sz w:val="18"/>
              </w:rPr>
            </w:pPr>
            <w:r>
              <w:rPr>
                <w:sz w:val="18"/>
              </w:rPr>
              <w:t>Гостиницы и рестораны</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4 088</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4 653</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119,9</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113,8</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1,7</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1,9</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r>
              <w:rPr>
                <w:sz w:val="18"/>
                <w:lang w:val="en-US"/>
              </w:rPr>
              <w:t>I</w:t>
            </w:r>
          </w:p>
        </w:tc>
        <w:tc>
          <w:tcPr>
            <w:tcW w:w="3199" w:type="dxa"/>
            <w:tcBorders>
              <w:top w:val="nil"/>
              <w:bottom w:val="nil"/>
            </w:tcBorders>
            <w:tcMar>
              <w:left w:w="28" w:type="dxa"/>
              <w:right w:w="28" w:type="dxa"/>
            </w:tcMar>
          </w:tcPr>
          <w:p w:rsidR="00000000" w:rsidRDefault="00000000">
            <w:pPr>
              <w:rPr>
                <w:sz w:val="18"/>
              </w:rPr>
            </w:pPr>
            <w:r>
              <w:rPr>
                <w:sz w:val="18"/>
              </w:rPr>
              <w:t>Транспортировка, складирование и коммуникации</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20 610</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21 062</w:t>
            </w:r>
          </w:p>
        </w:tc>
        <w:tc>
          <w:tcPr>
            <w:tcW w:w="930" w:type="dxa"/>
            <w:tcBorders>
              <w:top w:val="nil"/>
              <w:bottom w:val="nil"/>
            </w:tcBorders>
            <w:tcMar>
              <w:left w:w="28" w:type="dxa"/>
              <w:right w:w="28" w:type="dxa"/>
            </w:tcMar>
          </w:tcPr>
          <w:p w:rsidR="00000000" w:rsidRDefault="00000000">
            <w:pPr>
              <w:jc w:val="right"/>
              <w:rPr>
                <w:sz w:val="18"/>
              </w:rPr>
            </w:pPr>
            <w:r>
              <w:rPr>
                <w:sz w:val="18"/>
              </w:rPr>
              <w:t>95,0</w:t>
            </w:r>
          </w:p>
        </w:tc>
        <w:tc>
          <w:tcPr>
            <w:tcW w:w="1061" w:type="dxa"/>
            <w:gridSpan w:val="2"/>
            <w:tcBorders>
              <w:top w:val="nil"/>
              <w:bottom w:val="nil"/>
            </w:tcBorders>
            <w:tcMar>
              <w:left w:w="28" w:type="dxa"/>
              <w:right w:w="28" w:type="dxa"/>
            </w:tcMar>
          </w:tcPr>
          <w:p w:rsidR="00000000" w:rsidRDefault="00000000">
            <w:pPr>
              <w:jc w:val="right"/>
              <w:rPr>
                <w:sz w:val="18"/>
              </w:rPr>
            </w:pPr>
            <w:r>
              <w:rPr>
                <w:sz w:val="18"/>
              </w:rPr>
              <w:t>102,2</w:t>
            </w:r>
          </w:p>
        </w:tc>
        <w:tc>
          <w:tcPr>
            <w:tcW w:w="854" w:type="dxa"/>
            <w:tcBorders>
              <w:top w:val="nil"/>
              <w:bottom w:val="nil"/>
            </w:tcBorders>
            <w:tcMar>
              <w:left w:w="28" w:type="dxa"/>
              <w:right w:w="28" w:type="dxa"/>
            </w:tcMar>
          </w:tcPr>
          <w:p w:rsidR="00000000" w:rsidRDefault="00000000">
            <w:pPr>
              <w:jc w:val="right"/>
              <w:rPr>
                <w:sz w:val="18"/>
              </w:rPr>
            </w:pPr>
            <w:r>
              <w:rPr>
                <w:sz w:val="18"/>
              </w:rPr>
              <w:t>8,4</w:t>
            </w:r>
          </w:p>
        </w:tc>
        <w:tc>
          <w:tcPr>
            <w:tcW w:w="816" w:type="dxa"/>
            <w:tcBorders>
              <w:top w:val="nil"/>
              <w:bottom w:val="nil"/>
            </w:tcBorders>
            <w:tcMar>
              <w:left w:w="28" w:type="dxa"/>
              <w:right w:w="28" w:type="dxa"/>
            </w:tcMar>
          </w:tcPr>
          <w:p w:rsidR="00000000" w:rsidRDefault="00000000">
            <w:pPr>
              <w:jc w:val="right"/>
              <w:rPr>
                <w:sz w:val="18"/>
              </w:rPr>
            </w:pPr>
            <w:r>
              <w:rPr>
                <w:sz w:val="18"/>
              </w:rPr>
              <w:t>8,4</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rPr>
            </w:pPr>
            <w:r>
              <w:rPr>
                <w:sz w:val="18"/>
                <w:lang w:val="en-US"/>
              </w:rPr>
              <w:t>J</w:t>
            </w:r>
          </w:p>
        </w:tc>
        <w:tc>
          <w:tcPr>
            <w:tcW w:w="3199" w:type="dxa"/>
            <w:tcBorders>
              <w:top w:val="nil"/>
              <w:bottom w:val="nil"/>
            </w:tcBorders>
            <w:tcMar>
              <w:left w:w="28" w:type="dxa"/>
              <w:right w:w="28" w:type="dxa"/>
            </w:tcMar>
          </w:tcPr>
          <w:p w:rsidR="00000000" w:rsidRDefault="00000000">
            <w:pPr>
              <w:rPr>
                <w:sz w:val="18"/>
              </w:rPr>
            </w:pPr>
            <w:r>
              <w:rPr>
                <w:sz w:val="18"/>
              </w:rPr>
              <w:t>Финансовое посредничество</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7 427</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6 110</w:t>
            </w:r>
          </w:p>
        </w:tc>
        <w:tc>
          <w:tcPr>
            <w:tcW w:w="930" w:type="dxa"/>
            <w:tcBorders>
              <w:top w:val="nil"/>
              <w:bottom w:val="nil"/>
            </w:tcBorders>
            <w:tcMar>
              <w:left w:w="28" w:type="dxa"/>
              <w:right w:w="28" w:type="dxa"/>
            </w:tcMar>
          </w:tcPr>
          <w:p w:rsidR="00000000" w:rsidRDefault="00000000">
            <w:pPr>
              <w:jc w:val="right"/>
              <w:rPr>
                <w:sz w:val="18"/>
              </w:rPr>
            </w:pPr>
            <w:r>
              <w:rPr>
                <w:sz w:val="18"/>
              </w:rPr>
              <w:t>100,1</w:t>
            </w:r>
          </w:p>
        </w:tc>
        <w:tc>
          <w:tcPr>
            <w:tcW w:w="1061" w:type="dxa"/>
            <w:gridSpan w:val="2"/>
            <w:tcBorders>
              <w:top w:val="nil"/>
              <w:bottom w:val="nil"/>
            </w:tcBorders>
            <w:tcMar>
              <w:left w:w="28" w:type="dxa"/>
              <w:right w:w="28" w:type="dxa"/>
            </w:tcMar>
          </w:tcPr>
          <w:p w:rsidR="00000000" w:rsidRDefault="00000000">
            <w:pPr>
              <w:jc w:val="right"/>
              <w:rPr>
                <w:sz w:val="18"/>
              </w:rPr>
            </w:pPr>
            <w:r>
              <w:rPr>
                <w:sz w:val="18"/>
              </w:rPr>
              <w:t>82,3</w:t>
            </w:r>
          </w:p>
        </w:tc>
        <w:tc>
          <w:tcPr>
            <w:tcW w:w="854" w:type="dxa"/>
            <w:tcBorders>
              <w:top w:val="nil"/>
              <w:bottom w:val="nil"/>
            </w:tcBorders>
            <w:tcMar>
              <w:left w:w="28" w:type="dxa"/>
              <w:right w:w="28" w:type="dxa"/>
            </w:tcMar>
          </w:tcPr>
          <w:p w:rsidR="00000000" w:rsidRDefault="00000000">
            <w:pPr>
              <w:jc w:val="right"/>
              <w:rPr>
                <w:sz w:val="18"/>
              </w:rPr>
            </w:pPr>
            <w:r>
              <w:rPr>
                <w:sz w:val="18"/>
              </w:rPr>
              <w:t>3,0</w:t>
            </w:r>
          </w:p>
        </w:tc>
        <w:tc>
          <w:tcPr>
            <w:tcW w:w="816" w:type="dxa"/>
            <w:tcBorders>
              <w:top w:val="nil"/>
              <w:bottom w:val="nil"/>
            </w:tcBorders>
            <w:tcMar>
              <w:left w:w="28" w:type="dxa"/>
              <w:right w:w="28" w:type="dxa"/>
            </w:tcMar>
          </w:tcPr>
          <w:p w:rsidR="00000000" w:rsidRDefault="00000000">
            <w:pPr>
              <w:jc w:val="right"/>
              <w:rPr>
                <w:sz w:val="18"/>
              </w:rPr>
            </w:pPr>
            <w:r>
              <w:rPr>
                <w:sz w:val="18"/>
              </w:rPr>
              <w:t>2,4</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rPr>
            </w:pPr>
            <w:r>
              <w:rPr>
                <w:sz w:val="18"/>
                <w:lang w:val="en-US"/>
              </w:rPr>
              <w:t>K</w:t>
            </w:r>
          </w:p>
        </w:tc>
        <w:tc>
          <w:tcPr>
            <w:tcW w:w="3199" w:type="dxa"/>
            <w:tcBorders>
              <w:top w:val="nil"/>
              <w:bottom w:val="nil"/>
            </w:tcBorders>
            <w:tcMar>
              <w:left w:w="28" w:type="dxa"/>
              <w:right w:w="28" w:type="dxa"/>
            </w:tcMar>
          </w:tcPr>
          <w:p w:rsidR="00000000" w:rsidRDefault="00000000">
            <w:pPr>
              <w:tabs>
                <w:tab w:val="clear" w:pos="567"/>
                <w:tab w:val="left" w:pos="252"/>
              </w:tabs>
              <w:ind w:left="252" w:hanging="252"/>
              <w:rPr>
                <w:sz w:val="18"/>
              </w:rPr>
            </w:pPr>
            <w:r>
              <w:rPr>
                <w:sz w:val="18"/>
              </w:rPr>
              <w:t>Операции с недвижимым имуществом, аренда и предпринимательская деятельность</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8 168</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8 453</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98,4</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103,5</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3,3</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3,4</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r>
              <w:rPr>
                <w:sz w:val="18"/>
                <w:lang w:val="en-US"/>
              </w:rPr>
              <w:t>L</w:t>
            </w:r>
          </w:p>
        </w:tc>
        <w:tc>
          <w:tcPr>
            <w:tcW w:w="3199" w:type="dxa"/>
            <w:tcBorders>
              <w:top w:val="nil"/>
              <w:bottom w:val="nil"/>
            </w:tcBorders>
            <w:tcMar>
              <w:left w:w="28" w:type="dxa"/>
              <w:right w:w="28" w:type="dxa"/>
            </w:tcMar>
          </w:tcPr>
          <w:p w:rsidR="00000000" w:rsidRDefault="00000000">
            <w:pPr>
              <w:tabs>
                <w:tab w:val="clear" w:pos="567"/>
                <w:tab w:val="left" w:pos="252"/>
              </w:tabs>
              <w:ind w:left="252" w:hanging="252"/>
              <w:rPr>
                <w:sz w:val="18"/>
              </w:rPr>
            </w:pPr>
            <w:r>
              <w:rPr>
                <w:sz w:val="18"/>
              </w:rPr>
              <w:t>Государственное управление и оборона:  обязательная социальная защита</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16 145</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16 984</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111,8</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105,2</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6,6</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6,8</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r>
              <w:rPr>
                <w:sz w:val="18"/>
                <w:lang w:val="en-US"/>
              </w:rPr>
              <w:t>M</w:t>
            </w:r>
          </w:p>
        </w:tc>
        <w:tc>
          <w:tcPr>
            <w:tcW w:w="3199" w:type="dxa"/>
            <w:tcBorders>
              <w:top w:val="nil"/>
              <w:bottom w:val="nil"/>
            </w:tcBorders>
            <w:tcMar>
              <w:left w:w="28" w:type="dxa"/>
              <w:right w:w="28" w:type="dxa"/>
            </w:tcMar>
          </w:tcPr>
          <w:p w:rsidR="00000000" w:rsidRDefault="00000000">
            <w:pPr>
              <w:tabs>
                <w:tab w:val="clear" w:pos="567"/>
                <w:tab w:val="left" w:pos="252"/>
              </w:tabs>
              <w:ind w:left="252" w:hanging="252"/>
              <w:rPr>
                <w:sz w:val="18"/>
              </w:rPr>
            </w:pPr>
            <w:r>
              <w:rPr>
                <w:sz w:val="18"/>
              </w:rPr>
              <w:t>Образование</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8 688</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9 436</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108,0</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108,6</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3,6</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3,8</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r>
              <w:rPr>
                <w:sz w:val="18"/>
                <w:lang w:val="en-US"/>
              </w:rPr>
              <w:t>N</w:t>
            </w:r>
          </w:p>
        </w:tc>
        <w:tc>
          <w:tcPr>
            <w:tcW w:w="3199" w:type="dxa"/>
            <w:tcBorders>
              <w:top w:val="nil"/>
              <w:bottom w:val="nil"/>
            </w:tcBorders>
            <w:tcMar>
              <w:left w:w="28" w:type="dxa"/>
              <w:right w:w="28" w:type="dxa"/>
            </w:tcMar>
          </w:tcPr>
          <w:p w:rsidR="00000000" w:rsidRDefault="00000000">
            <w:pPr>
              <w:tabs>
                <w:tab w:val="clear" w:pos="567"/>
                <w:tab w:val="left" w:pos="252"/>
              </w:tabs>
              <w:ind w:left="252" w:hanging="252"/>
              <w:rPr>
                <w:sz w:val="18"/>
              </w:rPr>
            </w:pPr>
            <w:r>
              <w:rPr>
                <w:sz w:val="18"/>
              </w:rPr>
              <w:t>Здравоохранение и социальная деятельность</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9 361</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9 897</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107,7</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105,7</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3,8</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3,9</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r>
              <w:rPr>
                <w:sz w:val="18"/>
                <w:lang w:val="en-US"/>
              </w:rPr>
              <w:t>O</w:t>
            </w:r>
          </w:p>
        </w:tc>
        <w:tc>
          <w:tcPr>
            <w:tcW w:w="3199" w:type="dxa"/>
            <w:tcBorders>
              <w:top w:val="nil"/>
              <w:bottom w:val="nil"/>
            </w:tcBorders>
            <w:tcMar>
              <w:left w:w="28" w:type="dxa"/>
              <w:right w:w="28" w:type="dxa"/>
            </w:tcMar>
          </w:tcPr>
          <w:p w:rsidR="00000000" w:rsidRDefault="00000000">
            <w:pPr>
              <w:tabs>
                <w:tab w:val="clear" w:pos="567"/>
                <w:tab w:val="left" w:pos="252"/>
              </w:tabs>
              <w:ind w:left="252" w:hanging="252"/>
              <w:rPr>
                <w:sz w:val="18"/>
              </w:rPr>
            </w:pPr>
            <w:r>
              <w:rPr>
                <w:sz w:val="18"/>
              </w:rPr>
              <w:t>Прочие виды деятельности по оказанию культурных, общих и персональных услуг на местном уровне</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5 553</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5 503</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100,1</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99,1</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2,3</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2,2</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r>
              <w:rPr>
                <w:sz w:val="18"/>
                <w:lang w:val="en-US"/>
              </w:rPr>
              <w:t>P</w:t>
            </w:r>
          </w:p>
        </w:tc>
        <w:tc>
          <w:tcPr>
            <w:tcW w:w="3199" w:type="dxa"/>
            <w:tcBorders>
              <w:top w:val="nil"/>
              <w:bottom w:val="nil"/>
            </w:tcBorders>
            <w:tcMar>
              <w:left w:w="28" w:type="dxa"/>
              <w:right w:w="28" w:type="dxa"/>
            </w:tcMar>
          </w:tcPr>
          <w:p w:rsidR="00000000" w:rsidRDefault="00000000">
            <w:pPr>
              <w:tabs>
                <w:tab w:val="clear" w:pos="567"/>
                <w:tab w:val="left" w:pos="252"/>
              </w:tabs>
              <w:ind w:left="252" w:hanging="252"/>
              <w:rPr>
                <w:sz w:val="18"/>
              </w:rPr>
            </w:pPr>
            <w:r>
              <w:rPr>
                <w:sz w:val="18"/>
              </w:rPr>
              <w:t>Частные домашние хозяйства с наемными работниками</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w:t>
            </w:r>
          </w:p>
        </w:tc>
      </w:tr>
      <w:tr w:rsidR="00000000">
        <w:tblPrEx>
          <w:tblCellMar>
            <w:top w:w="0" w:type="dxa"/>
            <w:bottom w:w="0" w:type="dxa"/>
          </w:tblCellMar>
        </w:tblPrEx>
        <w:tc>
          <w:tcPr>
            <w:tcW w:w="644" w:type="dxa"/>
            <w:tcBorders>
              <w:top w:val="nil"/>
              <w:bottom w:val="single" w:sz="4" w:space="0" w:color="auto"/>
            </w:tcBorders>
            <w:tcMar>
              <w:left w:w="28" w:type="dxa"/>
              <w:right w:w="28" w:type="dxa"/>
            </w:tcMar>
          </w:tcPr>
          <w:p w:rsidR="00000000" w:rsidRDefault="00000000">
            <w:pPr>
              <w:jc w:val="center"/>
              <w:rPr>
                <w:sz w:val="18"/>
                <w:lang w:val="en-US"/>
              </w:rPr>
            </w:pPr>
            <w:r>
              <w:rPr>
                <w:sz w:val="18"/>
                <w:lang w:val="en-US"/>
              </w:rPr>
              <w:t>Q</w:t>
            </w:r>
          </w:p>
        </w:tc>
        <w:tc>
          <w:tcPr>
            <w:tcW w:w="3199" w:type="dxa"/>
            <w:tcBorders>
              <w:top w:val="nil"/>
              <w:bottom w:val="single" w:sz="4" w:space="0" w:color="auto"/>
            </w:tcBorders>
            <w:tcMar>
              <w:left w:w="28" w:type="dxa"/>
              <w:right w:w="28" w:type="dxa"/>
            </w:tcMar>
          </w:tcPr>
          <w:p w:rsidR="00000000" w:rsidRDefault="00000000">
            <w:pPr>
              <w:tabs>
                <w:tab w:val="clear" w:pos="567"/>
                <w:tab w:val="left" w:pos="252"/>
              </w:tabs>
              <w:ind w:left="252" w:hanging="252"/>
              <w:rPr>
                <w:sz w:val="18"/>
              </w:rPr>
            </w:pPr>
            <w:r>
              <w:rPr>
                <w:sz w:val="18"/>
              </w:rPr>
              <w:t>Экстерриториальные органы и организации</w:t>
            </w:r>
          </w:p>
        </w:tc>
        <w:tc>
          <w:tcPr>
            <w:tcW w:w="928" w:type="dxa"/>
            <w:tcBorders>
              <w:top w:val="nil"/>
              <w:bottom w:val="single" w:sz="4" w:space="0" w:color="auto"/>
            </w:tcBorders>
            <w:tcMar>
              <w:left w:w="28" w:type="dxa"/>
              <w:right w:w="28" w:type="dxa"/>
            </w:tcMar>
          </w:tcPr>
          <w:p w:rsidR="00000000" w:rsidRDefault="00000000">
            <w:pPr>
              <w:jc w:val="right"/>
              <w:rPr>
                <w:sz w:val="18"/>
                <w:lang w:val="en-US"/>
              </w:rPr>
            </w:pPr>
            <w:r>
              <w:rPr>
                <w:sz w:val="18"/>
                <w:lang w:val="en-US"/>
              </w:rPr>
              <w:t>-</w:t>
            </w:r>
          </w:p>
        </w:tc>
        <w:tc>
          <w:tcPr>
            <w:tcW w:w="933" w:type="dxa"/>
            <w:tcBorders>
              <w:top w:val="nil"/>
              <w:bottom w:val="single" w:sz="4" w:space="0" w:color="auto"/>
            </w:tcBorders>
            <w:tcMar>
              <w:left w:w="28" w:type="dxa"/>
              <w:right w:w="28" w:type="dxa"/>
            </w:tcMar>
          </w:tcPr>
          <w:p w:rsidR="00000000" w:rsidRDefault="00000000">
            <w:pPr>
              <w:jc w:val="right"/>
              <w:rPr>
                <w:sz w:val="18"/>
                <w:lang w:val="en-US"/>
              </w:rPr>
            </w:pPr>
            <w:r>
              <w:rPr>
                <w:sz w:val="18"/>
                <w:lang w:val="en-US"/>
              </w:rPr>
              <w:t>-</w:t>
            </w:r>
          </w:p>
        </w:tc>
        <w:tc>
          <w:tcPr>
            <w:tcW w:w="930" w:type="dxa"/>
            <w:tcBorders>
              <w:top w:val="nil"/>
              <w:bottom w:val="single" w:sz="4" w:space="0" w:color="auto"/>
            </w:tcBorders>
            <w:tcMar>
              <w:left w:w="28" w:type="dxa"/>
              <w:right w:w="28" w:type="dxa"/>
            </w:tcMar>
          </w:tcPr>
          <w:p w:rsidR="00000000" w:rsidRDefault="00000000">
            <w:pPr>
              <w:jc w:val="right"/>
              <w:rPr>
                <w:sz w:val="18"/>
                <w:lang w:val="en-US"/>
              </w:rPr>
            </w:pPr>
            <w:r>
              <w:rPr>
                <w:sz w:val="18"/>
                <w:lang w:val="en-US"/>
              </w:rPr>
              <w:t>-</w:t>
            </w:r>
          </w:p>
        </w:tc>
        <w:tc>
          <w:tcPr>
            <w:tcW w:w="1061" w:type="dxa"/>
            <w:gridSpan w:val="2"/>
            <w:tcBorders>
              <w:top w:val="nil"/>
              <w:bottom w:val="single" w:sz="4" w:space="0" w:color="auto"/>
            </w:tcBorders>
            <w:tcMar>
              <w:left w:w="28" w:type="dxa"/>
              <w:right w:w="28" w:type="dxa"/>
            </w:tcMar>
          </w:tcPr>
          <w:p w:rsidR="00000000" w:rsidRDefault="00000000">
            <w:pPr>
              <w:jc w:val="right"/>
              <w:rPr>
                <w:sz w:val="18"/>
                <w:lang w:val="en-US"/>
              </w:rPr>
            </w:pPr>
            <w:r>
              <w:rPr>
                <w:sz w:val="18"/>
                <w:lang w:val="en-US"/>
              </w:rPr>
              <w:t>-</w:t>
            </w:r>
          </w:p>
        </w:tc>
        <w:tc>
          <w:tcPr>
            <w:tcW w:w="854" w:type="dxa"/>
            <w:tcBorders>
              <w:top w:val="nil"/>
              <w:bottom w:val="single" w:sz="4" w:space="0" w:color="auto"/>
            </w:tcBorders>
            <w:tcMar>
              <w:left w:w="28" w:type="dxa"/>
              <w:right w:w="28" w:type="dxa"/>
            </w:tcMar>
          </w:tcPr>
          <w:p w:rsidR="00000000" w:rsidRDefault="00000000">
            <w:pPr>
              <w:jc w:val="right"/>
              <w:rPr>
                <w:sz w:val="18"/>
                <w:lang w:val="en-US"/>
              </w:rPr>
            </w:pPr>
            <w:r>
              <w:rPr>
                <w:sz w:val="18"/>
                <w:lang w:val="en-US"/>
              </w:rPr>
              <w:t>-</w:t>
            </w:r>
          </w:p>
        </w:tc>
        <w:tc>
          <w:tcPr>
            <w:tcW w:w="816" w:type="dxa"/>
            <w:tcBorders>
              <w:top w:val="nil"/>
              <w:bottom w:val="single" w:sz="4" w:space="0" w:color="auto"/>
            </w:tcBorders>
            <w:tcMar>
              <w:left w:w="28" w:type="dxa"/>
              <w:right w:w="28" w:type="dxa"/>
            </w:tcMar>
          </w:tcPr>
          <w:p w:rsidR="00000000" w:rsidRDefault="00000000">
            <w:pPr>
              <w:jc w:val="right"/>
              <w:rPr>
                <w:sz w:val="18"/>
                <w:lang w:val="en-US"/>
              </w:rPr>
            </w:pPr>
            <w:r>
              <w:rPr>
                <w:sz w:val="18"/>
                <w:lang w:val="en-US"/>
              </w:rPr>
              <w:t>-</w:t>
            </w:r>
          </w:p>
        </w:tc>
      </w:tr>
      <w:tr w:rsidR="00000000">
        <w:tblPrEx>
          <w:tblCellMar>
            <w:top w:w="0" w:type="dxa"/>
            <w:bottom w:w="0" w:type="dxa"/>
          </w:tblCellMar>
        </w:tblPrEx>
        <w:tc>
          <w:tcPr>
            <w:tcW w:w="644" w:type="dxa"/>
            <w:tcBorders>
              <w:top w:val="single" w:sz="4" w:space="0" w:color="auto"/>
              <w:bottom w:val="nil"/>
            </w:tcBorders>
            <w:tcMar>
              <w:left w:w="28" w:type="dxa"/>
              <w:right w:w="28" w:type="dxa"/>
            </w:tcMar>
          </w:tcPr>
          <w:p w:rsidR="00000000" w:rsidRDefault="00000000">
            <w:pPr>
              <w:jc w:val="center"/>
              <w:rPr>
                <w:sz w:val="18"/>
                <w:lang w:val="en-US"/>
              </w:rPr>
            </w:pPr>
          </w:p>
        </w:tc>
        <w:tc>
          <w:tcPr>
            <w:tcW w:w="3199" w:type="dxa"/>
            <w:tcBorders>
              <w:top w:val="single" w:sz="4" w:space="0" w:color="auto"/>
              <w:bottom w:val="nil"/>
            </w:tcBorders>
            <w:tcMar>
              <w:left w:w="28" w:type="dxa"/>
              <w:right w:w="28" w:type="dxa"/>
            </w:tcMar>
          </w:tcPr>
          <w:p w:rsidR="00000000" w:rsidRDefault="00000000">
            <w:pPr>
              <w:tabs>
                <w:tab w:val="clear" w:pos="567"/>
                <w:tab w:val="left" w:pos="252"/>
              </w:tabs>
              <w:ind w:left="252" w:hanging="252"/>
              <w:rPr>
                <w:sz w:val="18"/>
              </w:rPr>
            </w:pPr>
            <w:r>
              <w:rPr>
                <w:sz w:val="18"/>
              </w:rPr>
              <w:t>Вмененная рента</w:t>
            </w:r>
          </w:p>
        </w:tc>
        <w:tc>
          <w:tcPr>
            <w:tcW w:w="928" w:type="dxa"/>
            <w:tcBorders>
              <w:top w:val="single" w:sz="4" w:space="0" w:color="auto"/>
              <w:bottom w:val="nil"/>
            </w:tcBorders>
            <w:tcMar>
              <w:left w:w="28" w:type="dxa"/>
              <w:right w:w="28" w:type="dxa"/>
            </w:tcMar>
          </w:tcPr>
          <w:p w:rsidR="00000000" w:rsidRDefault="00000000">
            <w:pPr>
              <w:jc w:val="right"/>
              <w:rPr>
                <w:sz w:val="18"/>
                <w:lang w:val="en-US"/>
              </w:rPr>
            </w:pPr>
            <w:r>
              <w:rPr>
                <w:sz w:val="18"/>
                <w:lang w:val="en-US"/>
              </w:rPr>
              <w:t>10 792</w:t>
            </w:r>
          </w:p>
        </w:tc>
        <w:tc>
          <w:tcPr>
            <w:tcW w:w="933" w:type="dxa"/>
            <w:tcBorders>
              <w:top w:val="single" w:sz="4" w:space="0" w:color="auto"/>
              <w:bottom w:val="nil"/>
            </w:tcBorders>
            <w:tcMar>
              <w:left w:w="28" w:type="dxa"/>
              <w:right w:w="28" w:type="dxa"/>
            </w:tcMar>
          </w:tcPr>
          <w:p w:rsidR="00000000" w:rsidRDefault="00000000">
            <w:pPr>
              <w:jc w:val="right"/>
              <w:rPr>
                <w:sz w:val="18"/>
                <w:lang w:val="en-US"/>
              </w:rPr>
            </w:pPr>
            <w:r>
              <w:rPr>
                <w:sz w:val="18"/>
                <w:lang w:val="en-US"/>
              </w:rPr>
              <w:t>13 732</w:t>
            </w:r>
          </w:p>
        </w:tc>
        <w:tc>
          <w:tcPr>
            <w:tcW w:w="930" w:type="dxa"/>
            <w:tcBorders>
              <w:top w:val="single" w:sz="4" w:space="0" w:color="auto"/>
              <w:bottom w:val="nil"/>
            </w:tcBorders>
            <w:tcMar>
              <w:left w:w="28" w:type="dxa"/>
              <w:right w:w="28" w:type="dxa"/>
            </w:tcMar>
          </w:tcPr>
          <w:p w:rsidR="00000000" w:rsidRDefault="00000000">
            <w:pPr>
              <w:jc w:val="right"/>
              <w:rPr>
                <w:sz w:val="18"/>
              </w:rPr>
            </w:pPr>
            <w:r>
              <w:rPr>
                <w:sz w:val="18"/>
              </w:rPr>
              <w:t>101,5</w:t>
            </w:r>
          </w:p>
        </w:tc>
        <w:tc>
          <w:tcPr>
            <w:tcW w:w="1061" w:type="dxa"/>
            <w:gridSpan w:val="2"/>
            <w:tcBorders>
              <w:top w:val="single" w:sz="4" w:space="0" w:color="auto"/>
              <w:bottom w:val="nil"/>
            </w:tcBorders>
            <w:tcMar>
              <w:left w:w="28" w:type="dxa"/>
              <w:right w:w="28" w:type="dxa"/>
            </w:tcMar>
          </w:tcPr>
          <w:p w:rsidR="00000000" w:rsidRDefault="00000000">
            <w:pPr>
              <w:jc w:val="right"/>
              <w:rPr>
                <w:sz w:val="18"/>
              </w:rPr>
            </w:pPr>
            <w:r>
              <w:rPr>
                <w:sz w:val="18"/>
              </w:rPr>
              <w:t>127,2</w:t>
            </w:r>
          </w:p>
        </w:tc>
        <w:tc>
          <w:tcPr>
            <w:tcW w:w="854" w:type="dxa"/>
            <w:tcBorders>
              <w:top w:val="single" w:sz="4" w:space="0" w:color="auto"/>
              <w:bottom w:val="nil"/>
            </w:tcBorders>
            <w:tcMar>
              <w:left w:w="28" w:type="dxa"/>
              <w:right w:w="28" w:type="dxa"/>
            </w:tcMar>
          </w:tcPr>
          <w:p w:rsidR="00000000" w:rsidRDefault="00000000">
            <w:pPr>
              <w:jc w:val="right"/>
              <w:rPr>
                <w:sz w:val="18"/>
              </w:rPr>
            </w:pPr>
            <w:r>
              <w:rPr>
                <w:sz w:val="18"/>
              </w:rPr>
              <w:t>4,4</w:t>
            </w:r>
          </w:p>
        </w:tc>
        <w:tc>
          <w:tcPr>
            <w:tcW w:w="816" w:type="dxa"/>
            <w:tcBorders>
              <w:top w:val="single" w:sz="4" w:space="0" w:color="auto"/>
              <w:bottom w:val="nil"/>
            </w:tcBorders>
            <w:tcMar>
              <w:left w:w="28" w:type="dxa"/>
              <w:right w:w="28" w:type="dxa"/>
            </w:tcMar>
          </w:tcPr>
          <w:p w:rsidR="00000000" w:rsidRDefault="00000000">
            <w:pPr>
              <w:jc w:val="right"/>
              <w:rPr>
                <w:sz w:val="18"/>
              </w:rPr>
            </w:pPr>
            <w:r>
              <w:rPr>
                <w:sz w:val="18"/>
              </w:rPr>
              <w:t>5,5</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rPr>
            </w:pPr>
          </w:p>
        </w:tc>
        <w:tc>
          <w:tcPr>
            <w:tcW w:w="3199" w:type="dxa"/>
            <w:tcBorders>
              <w:top w:val="nil"/>
              <w:bottom w:val="nil"/>
            </w:tcBorders>
            <w:tcMar>
              <w:left w:w="28" w:type="dxa"/>
              <w:right w:w="28" w:type="dxa"/>
            </w:tcMar>
          </w:tcPr>
          <w:p w:rsidR="00000000" w:rsidRDefault="00000000">
            <w:pPr>
              <w:tabs>
                <w:tab w:val="clear" w:pos="567"/>
                <w:tab w:val="left" w:pos="252"/>
              </w:tabs>
              <w:ind w:left="252" w:hanging="252"/>
              <w:rPr>
                <w:sz w:val="18"/>
              </w:rPr>
            </w:pPr>
            <w:r>
              <w:rPr>
                <w:sz w:val="18"/>
              </w:rPr>
              <w:t>За вычетом:  вмененные банковские услуги</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4 160</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3 797</w:t>
            </w:r>
          </w:p>
        </w:tc>
        <w:tc>
          <w:tcPr>
            <w:tcW w:w="930" w:type="dxa"/>
            <w:tcBorders>
              <w:top w:val="nil"/>
              <w:bottom w:val="nil"/>
            </w:tcBorders>
            <w:tcMar>
              <w:left w:w="28" w:type="dxa"/>
              <w:right w:w="28" w:type="dxa"/>
            </w:tcMar>
          </w:tcPr>
          <w:p w:rsidR="00000000" w:rsidRDefault="00000000">
            <w:pPr>
              <w:jc w:val="right"/>
              <w:rPr>
                <w:sz w:val="18"/>
              </w:rPr>
            </w:pPr>
            <w:r>
              <w:rPr>
                <w:sz w:val="18"/>
              </w:rPr>
              <w:t>87,8</w:t>
            </w:r>
          </w:p>
        </w:tc>
        <w:tc>
          <w:tcPr>
            <w:tcW w:w="1061" w:type="dxa"/>
            <w:gridSpan w:val="2"/>
            <w:tcBorders>
              <w:top w:val="nil"/>
              <w:bottom w:val="nil"/>
            </w:tcBorders>
            <w:tcMar>
              <w:left w:w="28" w:type="dxa"/>
              <w:right w:w="28" w:type="dxa"/>
            </w:tcMar>
          </w:tcPr>
          <w:p w:rsidR="00000000" w:rsidRDefault="00000000">
            <w:pPr>
              <w:jc w:val="right"/>
              <w:rPr>
                <w:sz w:val="18"/>
              </w:rPr>
            </w:pPr>
            <w:r>
              <w:rPr>
                <w:sz w:val="18"/>
              </w:rPr>
              <w:t>91,3</w:t>
            </w:r>
          </w:p>
        </w:tc>
        <w:tc>
          <w:tcPr>
            <w:tcW w:w="854" w:type="dxa"/>
            <w:tcBorders>
              <w:top w:val="nil"/>
              <w:bottom w:val="nil"/>
            </w:tcBorders>
            <w:tcMar>
              <w:left w:w="28" w:type="dxa"/>
              <w:right w:w="28" w:type="dxa"/>
            </w:tcMar>
          </w:tcPr>
          <w:p w:rsidR="00000000" w:rsidRDefault="00000000">
            <w:pPr>
              <w:jc w:val="right"/>
              <w:rPr>
                <w:sz w:val="18"/>
              </w:rPr>
            </w:pPr>
            <w:r>
              <w:rPr>
                <w:sz w:val="18"/>
              </w:rPr>
              <w:t>1,7</w:t>
            </w:r>
          </w:p>
        </w:tc>
        <w:tc>
          <w:tcPr>
            <w:tcW w:w="816" w:type="dxa"/>
            <w:tcBorders>
              <w:top w:val="nil"/>
              <w:bottom w:val="nil"/>
            </w:tcBorders>
            <w:tcMar>
              <w:left w:w="28" w:type="dxa"/>
              <w:right w:w="28" w:type="dxa"/>
            </w:tcMar>
          </w:tcPr>
          <w:p w:rsidR="00000000" w:rsidRDefault="00000000">
            <w:pPr>
              <w:jc w:val="right"/>
              <w:rPr>
                <w:sz w:val="18"/>
              </w:rPr>
            </w:pPr>
            <w:r>
              <w:rPr>
                <w:sz w:val="18"/>
              </w:rPr>
              <w:t>1,5</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rPr>
            </w:pPr>
          </w:p>
        </w:tc>
        <w:tc>
          <w:tcPr>
            <w:tcW w:w="3199" w:type="dxa"/>
            <w:tcBorders>
              <w:top w:val="nil"/>
              <w:bottom w:val="nil"/>
            </w:tcBorders>
            <w:tcMar>
              <w:left w:w="28" w:type="dxa"/>
              <w:right w:w="28" w:type="dxa"/>
            </w:tcMar>
          </w:tcPr>
          <w:p w:rsidR="00000000" w:rsidRDefault="00000000">
            <w:pPr>
              <w:rPr>
                <w:sz w:val="18"/>
              </w:rPr>
            </w:pPr>
            <w:r>
              <w:rPr>
                <w:sz w:val="18"/>
              </w:rPr>
              <w:t>Прочие налоги на чистую продукцию</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p>
        </w:tc>
        <w:tc>
          <w:tcPr>
            <w:tcW w:w="3199" w:type="dxa"/>
            <w:tcBorders>
              <w:top w:val="nil"/>
              <w:bottom w:val="nil"/>
            </w:tcBorders>
            <w:tcMar>
              <w:left w:w="28" w:type="dxa"/>
              <w:right w:w="28" w:type="dxa"/>
            </w:tcMar>
          </w:tcPr>
          <w:p w:rsidR="00000000" w:rsidRDefault="00000000">
            <w:pPr>
              <w:rPr>
                <w:sz w:val="18"/>
              </w:rPr>
            </w:pPr>
            <w:r>
              <w:rPr>
                <w:sz w:val="18"/>
                <w:lang w:val="en-US"/>
              </w:rPr>
              <w:t xml:space="preserve">A.  </w:t>
            </w:r>
            <w:r>
              <w:rPr>
                <w:sz w:val="18"/>
              </w:rPr>
              <w:t>Добавленная стоимость</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198 592</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214 969</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101,7</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108,2</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81,4</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85,5</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p>
        </w:tc>
        <w:tc>
          <w:tcPr>
            <w:tcW w:w="3199" w:type="dxa"/>
            <w:tcBorders>
              <w:top w:val="nil"/>
              <w:bottom w:val="nil"/>
            </w:tcBorders>
            <w:tcMar>
              <w:left w:w="28" w:type="dxa"/>
              <w:right w:w="28" w:type="dxa"/>
            </w:tcMar>
          </w:tcPr>
          <w:p w:rsidR="00000000" w:rsidRDefault="00000000">
            <w:pPr>
              <w:rPr>
                <w:sz w:val="18"/>
              </w:rPr>
            </w:pPr>
            <w:r>
              <w:rPr>
                <w:sz w:val="18"/>
                <w:lang w:val="en-US"/>
              </w:rPr>
              <w:t xml:space="preserve">B.  </w:t>
            </w:r>
            <w:r>
              <w:rPr>
                <w:sz w:val="18"/>
              </w:rPr>
              <w:t>Налог на добавленную стоимость</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38 874</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30 229</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119,7</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77,8</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15,9</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12,0</w:t>
            </w:r>
          </w:p>
        </w:tc>
      </w:tr>
      <w:tr w:rsidR="00000000">
        <w:tblPrEx>
          <w:tblCellMar>
            <w:top w:w="0" w:type="dxa"/>
            <w:bottom w:w="0" w:type="dxa"/>
          </w:tblCellMar>
        </w:tblPrEx>
        <w:tc>
          <w:tcPr>
            <w:tcW w:w="644" w:type="dxa"/>
            <w:tcBorders>
              <w:top w:val="nil"/>
              <w:bottom w:val="nil"/>
            </w:tcBorders>
            <w:tcMar>
              <w:left w:w="28" w:type="dxa"/>
              <w:right w:w="28" w:type="dxa"/>
            </w:tcMar>
          </w:tcPr>
          <w:p w:rsidR="00000000" w:rsidRDefault="00000000">
            <w:pPr>
              <w:jc w:val="center"/>
              <w:rPr>
                <w:sz w:val="18"/>
                <w:lang w:val="en-US"/>
              </w:rPr>
            </w:pPr>
          </w:p>
        </w:tc>
        <w:tc>
          <w:tcPr>
            <w:tcW w:w="3199" w:type="dxa"/>
            <w:tcBorders>
              <w:top w:val="nil"/>
              <w:bottom w:val="nil"/>
            </w:tcBorders>
            <w:tcMar>
              <w:left w:w="28" w:type="dxa"/>
              <w:right w:w="28" w:type="dxa"/>
            </w:tcMar>
          </w:tcPr>
          <w:p w:rsidR="00000000" w:rsidRDefault="00000000">
            <w:pPr>
              <w:rPr>
                <w:sz w:val="18"/>
              </w:rPr>
            </w:pPr>
            <w:r>
              <w:rPr>
                <w:sz w:val="18"/>
                <w:lang w:val="en-US"/>
              </w:rPr>
              <w:t xml:space="preserve">C.  </w:t>
            </w:r>
            <w:r>
              <w:rPr>
                <w:sz w:val="18"/>
              </w:rPr>
              <w:t>Таможенные сборы и пошлины</w:t>
            </w:r>
          </w:p>
        </w:tc>
        <w:tc>
          <w:tcPr>
            <w:tcW w:w="928" w:type="dxa"/>
            <w:tcBorders>
              <w:top w:val="nil"/>
              <w:bottom w:val="nil"/>
            </w:tcBorders>
            <w:tcMar>
              <w:left w:w="28" w:type="dxa"/>
              <w:right w:w="28" w:type="dxa"/>
            </w:tcMar>
          </w:tcPr>
          <w:p w:rsidR="00000000" w:rsidRDefault="00000000">
            <w:pPr>
              <w:jc w:val="right"/>
              <w:rPr>
                <w:sz w:val="18"/>
                <w:lang w:val="en-US"/>
              </w:rPr>
            </w:pPr>
            <w:r>
              <w:rPr>
                <w:sz w:val="18"/>
                <w:lang w:val="en-US"/>
              </w:rPr>
              <w:t>6 504</w:t>
            </w:r>
          </w:p>
        </w:tc>
        <w:tc>
          <w:tcPr>
            <w:tcW w:w="933" w:type="dxa"/>
            <w:tcBorders>
              <w:top w:val="nil"/>
              <w:bottom w:val="nil"/>
            </w:tcBorders>
            <w:tcMar>
              <w:left w:w="28" w:type="dxa"/>
              <w:right w:w="28" w:type="dxa"/>
            </w:tcMar>
          </w:tcPr>
          <w:p w:rsidR="00000000" w:rsidRDefault="00000000">
            <w:pPr>
              <w:jc w:val="right"/>
              <w:rPr>
                <w:sz w:val="18"/>
                <w:lang w:val="en-US"/>
              </w:rPr>
            </w:pPr>
            <w:r>
              <w:rPr>
                <w:sz w:val="18"/>
                <w:lang w:val="en-US"/>
              </w:rPr>
              <w:t>6 291</w:t>
            </w:r>
          </w:p>
        </w:tc>
        <w:tc>
          <w:tcPr>
            <w:tcW w:w="930" w:type="dxa"/>
            <w:tcBorders>
              <w:top w:val="nil"/>
              <w:bottom w:val="nil"/>
            </w:tcBorders>
            <w:tcMar>
              <w:left w:w="28" w:type="dxa"/>
              <w:right w:w="28" w:type="dxa"/>
            </w:tcMar>
          </w:tcPr>
          <w:p w:rsidR="00000000" w:rsidRDefault="00000000">
            <w:pPr>
              <w:jc w:val="right"/>
              <w:rPr>
                <w:sz w:val="18"/>
                <w:lang w:val="en-US"/>
              </w:rPr>
            </w:pPr>
            <w:r>
              <w:rPr>
                <w:sz w:val="18"/>
                <w:lang w:val="en-US"/>
              </w:rPr>
              <w:t>105,9</w:t>
            </w:r>
          </w:p>
        </w:tc>
        <w:tc>
          <w:tcPr>
            <w:tcW w:w="1061" w:type="dxa"/>
            <w:gridSpan w:val="2"/>
            <w:tcBorders>
              <w:top w:val="nil"/>
              <w:bottom w:val="nil"/>
            </w:tcBorders>
            <w:tcMar>
              <w:left w:w="28" w:type="dxa"/>
              <w:right w:w="28" w:type="dxa"/>
            </w:tcMar>
          </w:tcPr>
          <w:p w:rsidR="00000000" w:rsidRDefault="00000000">
            <w:pPr>
              <w:jc w:val="right"/>
              <w:rPr>
                <w:sz w:val="18"/>
                <w:lang w:val="en-US"/>
              </w:rPr>
            </w:pPr>
            <w:r>
              <w:rPr>
                <w:sz w:val="18"/>
                <w:lang w:val="en-US"/>
              </w:rPr>
              <w:t>96,7</w:t>
            </w:r>
          </w:p>
        </w:tc>
        <w:tc>
          <w:tcPr>
            <w:tcW w:w="854" w:type="dxa"/>
            <w:tcBorders>
              <w:top w:val="nil"/>
              <w:bottom w:val="nil"/>
            </w:tcBorders>
            <w:tcMar>
              <w:left w:w="28" w:type="dxa"/>
              <w:right w:w="28" w:type="dxa"/>
            </w:tcMar>
          </w:tcPr>
          <w:p w:rsidR="00000000" w:rsidRDefault="00000000">
            <w:pPr>
              <w:jc w:val="right"/>
              <w:rPr>
                <w:sz w:val="18"/>
                <w:lang w:val="en-US"/>
              </w:rPr>
            </w:pPr>
            <w:r>
              <w:rPr>
                <w:sz w:val="18"/>
                <w:lang w:val="en-US"/>
              </w:rPr>
              <w:t>2,7</w:t>
            </w:r>
          </w:p>
        </w:tc>
        <w:tc>
          <w:tcPr>
            <w:tcW w:w="816" w:type="dxa"/>
            <w:tcBorders>
              <w:top w:val="nil"/>
              <w:bottom w:val="nil"/>
            </w:tcBorders>
            <w:tcMar>
              <w:left w:w="28" w:type="dxa"/>
              <w:right w:w="28" w:type="dxa"/>
            </w:tcMar>
          </w:tcPr>
          <w:p w:rsidR="00000000" w:rsidRDefault="00000000">
            <w:pPr>
              <w:jc w:val="right"/>
              <w:rPr>
                <w:sz w:val="18"/>
                <w:lang w:val="en-US"/>
              </w:rPr>
            </w:pPr>
            <w:r>
              <w:rPr>
                <w:sz w:val="18"/>
                <w:lang w:val="en-US"/>
              </w:rPr>
              <w:t>2,5</w:t>
            </w:r>
          </w:p>
        </w:tc>
      </w:tr>
      <w:tr w:rsidR="00000000">
        <w:tblPrEx>
          <w:tblCellMar>
            <w:top w:w="0" w:type="dxa"/>
            <w:bottom w:w="0" w:type="dxa"/>
          </w:tblCellMar>
        </w:tblPrEx>
        <w:tc>
          <w:tcPr>
            <w:tcW w:w="644" w:type="dxa"/>
            <w:tcBorders>
              <w:top w:val="nil"/>
            </w:tcBorders>
            <w:tcMar>
              <w:left w:w="28" w:type="dxa"/>
              <w:right w:w="28" w:type="dxa"/>
            </w:tcMar>
          </w:tcPr>
          <w:p w:rsidR="00000000" w:rsidRDefault="00000000">
            <w:pPr>
              <w:jc w:val="center"/>
              <w:rPr>
                <w:sz w:val="18"/>
                <w:lang w:val="en-US"/>
              </w:rPr>
            </w:pPr>
          </w:p>
        </w:tc>
        <w:tc>
          <w:tcPr>
            <w:tcW w:w="3199" w:type="dxa"/>
            <w:tcBorders>
              <w:top w:val="nil"/>
            </w:tcBorders>
            <w:tcMar>
              <w:left w:w="28" w:type="dxa"/>
              <w:right w:w="28" w:type="dxa"/>
            </w:tcMar>
          </w:tcPr>
          <w:p w:rsidR="00000000" w:rsidRDefault="00000000">
            <w:pPr>
              <w:rPr>
                <w:sz w:val="18"/>
              </w:rPr>
            </w:pPr>
            <w:r>
              <w:rPr>
                <w:sz w:val="18"/>
                <w:lang w:val="en-US"/>
              </w:rPr>
              <w:t xml:space="preserve">D.  </w:t>
            </w:r>
            <w:r>
              <w:rPr>
                <w:sz w:val="18"/>
              </w:rPr>
              <w:t xml:space="preserve">За вычетом субсидируемой </w:t>
            </w:r>
            <w:r>
              <w:rPr>
                <w:sz w:val="18"/>
              </w:rPr>
              <w:br/>
              <w:t xml:space="preserve">      продукции</w:t>
            </w:r>
          </w:p>
        </w:tc>
        <w:tc>
          <w:tcPr>
            <w:tcW w:w="928" w:type="dxa"/>
            <w:tcBorders>
              <w:top w:val="nil"/>
            </w:tcBorders>
            <w:tcMar>
              <w:left w:w="28" w:type="dxa"/>
              <w:right w:w="28" w:type="dxa"/>
            </w:tcMar>
          </w:tcPr>
          <w:p w:rsidR="00000000" w:rsidRDefault="00000000">
            <w:pPr>
              <w:jc w:val="right"/>
              <w:rPr>
                <w:sz w:val="18"/>
                <w:lang w:val="en-US"/>
              </w:rPr>
            </w:pPr>
            <w:r>
              <w:rPr>
                <w:sz w:val="18"/>
                <w:lang w:val="en-US"/>
              </w:rPr>
              <w:t>-</w:t>
            </w:r>
          </w:p>
        </w:tc>
        <w:tc>
          <w:tcPr>
            <w:tcW w:w="933" w:type="dxa"/>
            <w:tcBorders>
              <w:top w:val="nil"/>
            </w:tcBorders>
            <w:tcMar>
              <w:left w:w="28" w:type="dxa"/>
              <w:right w:w="28" w:type="dxa"/>
            </w:tcMar>
          </w:tcPr>
          <w:p w:rsidR="00000000" w:rsidRDefault="00000000">
            <w:pPr>
              <w:jc w:val="right"/>
              <w:rPr>
                <w:sz w:val="18"/>
                <w:lang w:val="en-US"/>
              </w:rPr>
            </w:pPr>
            <w:r>
              <w:rPr>
                <w:sz w:val="18"/>
                <w:lang w:val="en-US"/>
              </w:rPr>
              <w:t>4</w:t>
            </w:r>
          </w:p>
        </w:tc>
        <w:tc>
          <w:tcPr>
            <w:tcW w:w="930" w:type="dxa"/>
            <w:tcBorders>
              <w:top w:val="nil"/>
            </w:tcBorders>
            <w:tcMar>
              <w:left w:w="28" w:type="dxa"/>
              <w:right w:w="28" w:type="dxa"/>
            </w:tcMar>
          </w:tcPr>
          <w:p w:rsidR="00000000" w:rsidRDefault="00000000">
            <w:pPr>
              <w:jc w:val="right"/>
              <w:rPr>
                <w:sz w:val="18"/>
                <w:lang w:val="en-US"/>
              </w:rPr>
            </w:pPr>
            <w:r>
              <w:rPr>
                <w:sz w:val="18"/>
                <w:lang w:val="en-US"/>
              </w:rPr>
              <w:t>-</w:t>
            </w:r>
          </w:p>
        </w:tc>
        <w:tc>
          <w:tcPr>
            <w:tcW w:w="1061" w:type="dxa"/>
            <w:gridSpan w:val="2"/>
            <w:tcBorders>
              <w:top w:val="nil"/>
            </w:tcBorders>
            <w:tcMar>
              <w:left w:w="28" w:type="dxa"/>
              <w:right w:w="28" w:type="dxa"/>
            </w:tcMar>
          </w:tcPr>
          <w:p w:rsidR="00000000" w:rsidRDefault="00000000">
            <w:pPr>
              <w:jc w:val="right"/>
              <w:rPr>
                <w:sz w:val="18"/>
                <w:lang w:val="en-US"/>
              </w:rPr>
            </w:pPr>
            <w:r>
              <w:rPr>
                <w:sz w:val="18"/>
                <w:lang w:val="en-US"/>
              </w:rPr>
              <w:t>-</w:t>
            </w:r>
          </w:p>
        </w:tc>
        <w:tc>
          <w:tcPr>
            <w:tcW w:w="854" w:type="dxa"/>
            <w:tcBorders>
              <w:top w:val="nil"/>
            </w:tcBorders>
            <w:tcMar>
              <w:left w:w="28" w:type="dxa"/>
              <w:right w:w="28" w:type="dxa"/>
            </w:tcMar>
          </w:tcPr>
          <w:p w:rsidR="00000000" w:rsidRDefault="00000000">
            <w:pPr>
              <w:jc w:val="right"/>
              <w:rPr>
                <w:sz w:val="18"/>
                <w:lang w:val="en-US"/>
              </w:rPr>
            </w:pPr>
            <w:r>
              <w:rPr>
                <w:sz w:val="18"/>
                <w:lang w:val="en-US"/>
              </w:rPr>
              <w:t>-</w:t>
            </w:r>
          </w:p>
        </w:tc>
        <w:tc>
          <w:tcPr>
            <w:tcW w:w="816" w:type="dxa"/>
            <w:tcBorders>
              <w:top w:val="nil"/>
            </w:tcBorders>
            <w:tcMar>
              <w:left w:w="28" w:type="dxa"/>
              <w:right w:w="28" w:type="dxa"/>
            </w:tcMar>
          </w:tcPr>
          <w:p w:rsidR="00000000" w:rsidRDefault="00000000">
            <w:pPr>
              <w:jc w:val="right"/>
              <w:rPr>
                <w:sz w:val="18"/>
                <w:lang w:val="en-US"/>
              </w:rPr>
            </w:pPr>
            <w:r>
              <w:rPr>
                <w:sz w:val="18"/>
                <w:lang w:val="en-US"/>
              </w:rPr>
              <w:t>0,0</w:t>
            </w:r>
          </w:p>
        </w:tc>
      </w:tr>
      <w:tr w:rsidR="00000000">
        <w:tblPrEx>
          <w:tblCellMar>
            <w:top w:w="0" w:type="dxa"/>
            <w:bottom w:w="0" w:type="dxa"/>
          </w:tblCellMar>
        </w:tblPrEx>
        <w:tc>
          <w:tcPr>
            <w:tcW w:w="644" w:type="dxa"/>
            <w:tcMar>
              <w:left w:w="28" w:type="dxa"/>
              <w:right w:w="28" w:type="dxa"/>
            </w:tcMar>
          </w:tcPr>
          <w:p w:rsidR="00000000" w:rsidRDefault="00000000">
            <w:pPr>
              <w:jc w:val="center"/>
              <w:rPr>
                <w:sz w:val="18"/>
                <w:lang w:val="en-US"/>
              </w:rPr>
            </w:pPr>
          </w:p>
        </w:tc>
        <w:tc>
          <w:tcPr>
            <w:tcW w:w="3199" w:type="dxa"/>
            <w:tcMar>
              <w:left w:w="28" w:type="dxa"/>
              <w:right w:w="28" w:type="dxa"/>
            </w:tcMar>
          </w:tcPr>
          <w:p w:rsidR="00000000" w:rsidRDefault="00000000">
            <w:pPr>
              <w:rPr>
                <w:sz w:val="18"/>
                <w:lang w:val="en-US"/>
              </w:rPr>
            </w:pPr>
            <w:proofErr w:type="spellStart"/>
            <w:r>
              <w:rPr>
                <w:sz w:val="18"/>
              </w:rPr>
              <w:t>ВВП</w:t>
            </w:r>
            <w:proofErr w:type="spellEnd"/>
            <w:r>
              <w:rPr>
                <w:sz w:val="18"/>
                <w:lang w:val="en-US"/>
              </w:rPr>
              <w:t xml:space="preserve"> (</w:t>
            </w:r>
            <w:proofErr w:type="spellStart"/>
            <w:r>
              <w:rPr>
                <w:sz w:val="18"/>
                <w:lang w:val="en-US"/>
              </w:rPr>
              <w:t>A+B+C+D</w:t>
            </w:r>
            <w:proofErr w:type="spellEnd"/>
            <w:r>
              <w:rPr>
                <w:sz w:val="18"/>
                <w:lang w:val="en-US"/>
              </w:rPr>
              <w:t>)</w:t>
            </w:r>
          </w:p>
        </w:tc>
        <w:tc>
          <w:tcPr>
            <w:tcW w:w="928" w:type="dxa"/>
            <w:tcMar>
              <w:left w:w="28" w:type="dxa"/>
              <w:right w:w="28" w:type="dxa"/>
            </w:tcMar>
          </w:tcPr>
          <w:p w:rsidR="00000000" w:rsidRDefault="00000000">
            <w:pPr>
              <w:jc w:val="right"/>
              <w:rPr>
                <w:sz w:val="18"/>
                <w:lang w:val="en-US"/>
              </w:rPr>
            </w:pPr>
            <w:r>
              <w:rPr>
                <w:sz w:val="18"/>
                <w:lang w:val="en-US"/>
              </w:rPr>
              <w:t>243 970</w:t>
            </w:r>
          </w:p>
        </w:tc>
        <w:tc>
          <w:tcPr>
            <w:tcW w:w="933" w:type="dxa"/>
            <w:tcMar>
              <w:left w:w="28" w:type="dxa"/>
              <w:right w:w="28" w:type="dxa"/>
            </w:tcMar>
          </w:tcPr>
          <w:p w:rsidR="00000000" w:rsidRDefault="00000000">
            <w:pPr>
              <w:jc w:val="right"/>
              <w:rPr>
                <w:sz w:val="18"/>
                <w:lang w:val="en-US"/>
              </w:rPr>
            </w:pPr>
            <w:r>
              <w:rPr>
                <w:sz w:val="18"/>
                <w:lang w:val="en-US"/>
              </w:rPr>
              <w:t>251 486</w:t>
            </w:r>
          </w:p>
        </w:tc>
        <w:tc>
          <w:tcPr>
            <w:tcW w:w="930" w:type="dxa"/>
            <w:tcMar>
              <w:left w:w="28" w:type="dxa"/>
              <w:right w:w="28" w:type="dxa"/>
            </w:tcMar>
          </w:tcPr>
          <w:p w:rsidR="00000000" w:rsidRDefault="00000000">
            <w:pPr>
              <w:jc w:val="right"/>
              <w:rPr>
                <w:sz w:val="18"/>
                <w:lang w:val="en-US"/>
              </w:rPr>
            </w:pPr>
            <w:r>
              <w:rPr>
                <w:sz w:val="18"/>
                <w:lang w:val="en-US"/>
              </w:rPr>
              <w:t>104,3</w:t>
            </w:r>
          </w:p>
        </w:tc>
        <w:tc>
          <w:tcPr>
            <w:tcW w:w="1061" w:type="dxa"/>
            <w:gridSpan w:val="2"/>
            <w:tcMar>
              <w:left w:w="28" w:type="dxa"/>
              <w:right w:w="28" w:type="dxa"/>
            </w:tcMar>
          </w:tcPr>
          <w:p w:rsidR="00000000" w:rsidRDefault="00000000">
            <w:pPr>
              <w:jc w:val="right"/>
              <w:rPr>
                <w:sz w:val="18"/>
                <w:lang w:val="en-US"/>
              </w:rPr>
            </w:pPr>
            <w:r>
              <w:rPr>
                <w:sz w:val="18"/>
                <w:lang w:val="en-US"/>
              </w:rPr>
              <w:t>103,1</w:t>
            </w:r>
          </w:p>
        </w:tc>
        <w:tc>
          <w:tcPr>
            <w:tcW w:w="854" w:type="dxa"/>
            <w:tcMar>
              <w:left w:w="28" w:type="dxa"/>
              <w:right w:w="28" w:type="dxa"/>
            </w:tcMar>
          </w:tcPr>
          <w:p w:rsidR="00000000" w:rsidRDefault="00000000">
            <w:pPr>
              <w:jc w:val="right"/>
              <w:rPr>
                <w:sz w:val="18"/>
                <w:lang w:val="en-US"/>
              </w:rPr>
            </w:pPr>
            <w:r>
              <w:rPr>
                <w:sz w:val="18"/>
                <w:lang w:val="en-US"/>
              </w:rPr>
              <w:t>100,0</w:t>
            </w:r>
          </w:p>
        </w:tc>
        <w:tc>
          <w:tcPr>
            <w:tcW w:w="816" w:type="dxa"/>
            <w:tcMar>
              <w:left w:w="28" w:type="dxa"/>
              <w:right w:w="28" w:type="dxa"/>
            </w:tcMar>
          </w:tcPr>
          <w:p w:rsidR="00000000" w:rsidRDefault="00000000">
            <w:pPr>
              <w:jc w:val="right"/>
              <w:rPr>
                <w:sz w:val="18"/>
                <w:lang w:val="en-US"/>
              </w:rPr>
            </w:pPr>
            <w:r>
              <w:rPr>
                <w:sz w:val="18"/>
                <w:lang w:val="en-US"/>
              </w:rPr>
              <w:t>100,0</w:t>
            </w:r>
          </w:p>
        </w:tc>
      </w:tr>
    </w:tbl>
    <w:p w:rsidR="00000000" w:rsidRDefault="00000000">
      <w:pPr>
        <w:pStyle w:val="Heading2"/>
        <w:keepNext w:val="0"/>
        <w:jc w:val="center"/>
        <w:rPr>
          <w:b/>
          <w:bCs/>
          <w:u w:val="none"/>
        </w:rPr>
      </w:pPr>
    </w:p>
    <w:p w:rsidR="00000000" w:rsidRDefault="00000000">
      <w:pPr>
        <w:pStyle w:val="Heading2"/>
        <w:keepNext w:val="0"/>
        <w:spacing w:line="240" w:lineRule="auto"/>
        <w:jc w:val="center"/>
        <w:rPr>
          <w:b/>
          <w:bCs/>
          <w:u w:val="none"/>
        </w:rPr>
      </w:pPr>
      <w:r>
        <w:rPr>
          <w:b/>
          <w:bCs/>
          <w:u w:val="none"/>
        </w:rPr>
        <w:br w:type="page"/>
        <w:t>Национальные счета</w:t>
      </w:r>
    </w:p>
    <w:p w:rsidR="00000000" w:rsidRDefault="00000000">
      <w:pPr>
        <w:keepNext/>
        <w:spacing w:line="240" w:lineRule="auto"/>
        <w:rPr>
          <w:sz w:val="16"/>
        </w:rPr>
      </w:pPr>
    </w:p>
    <w:p w:rsidR="00000000" w:rsidRDefault="00000000">
      <w:pPr>
        <w:spacing w:line="240" w:lineRule="auto"/>
        <w:jc w:val="center"/>
        <w:rPr>
          <w:b/>
          <w:bCs/>
        </w:rPr>
      </w:pPr>
      <w:r>
        <w:rPr>
          <w:b/>
          <w:bCs/>
        </w:rPr>
        <w:t>Статьи расходов валового внутреннего продукта (текущие цены)</w:t>
      </w:r>
    </w:p>
    <w:p w:rsidR="00000000" w:rsidRDefault="00000000">
      <w:pPr>
        <w:spacing w:line="240" w:lineRule="auto"/>
        <w:jc w:val="center"/>
        <w:rPr>
          <w:sz w:val="16"/>
        </w:rPr>
      </w:pPr>
    </w:p>
    <w:p w:rsidR="00000000" w:rsidRDefault="00000000">
      <w:pPr>
        <w:pStyle w:val="Header"/>
        <w:tabs>
          <w:tab w:val="left" w:pos="7513"/>
        </w:tabs>
        <w:spacing w:line="240" w:lineRule="auto"/>
        <w:jc w:val="right"/>
      </w:pPr>
      <w:r>
        <w:t xml:space="preserve">В млн. </w:t>
      </w:r>
      <w:proofErr w:type="spellStart"/>
      <w:r>
        <w:t>денаров</w:t>
      </w:r>
      <w:proofErr w:type="spellEnd"/>
    </w:p>
    <w:p w:rsidR="00000000" w:rsidRDefault="00000000">
      <w:pPr>
        <w:pStyle w:val="Header"/>
        <w:tabs>
          <w:tab w:val="left" w:pos="7513"/>
        </w:tabs>
        <w:jc w:val="right"/>
        <w:rPr>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0"/>
        <w:gridCol w:w="1438"/>
        <w:gridCol w:w="1439"/>
        <w:gridCol w:w="1439"/>
      </w:tblGrid>
      <w:tr w:rsidR="00000000">
        <w:tblPrEx>
          <w:tblCellMar>
            <w:top w:w="0" w:type="dxa"/>
            <w:bottom w:w="0" w:type="dxa"/>
          </w:tblCellMar>
        </w:tblPrEx>
        <w:tc>
          <w:tcPr>
            <w:tcW w:w="5040" w:type="dxa"/>
            <w:tcBorders>
              <w:bottom w:val="single" w:sz="4" w:space="0" w:color="auto"/>
            </w:tcBorders>
          </w:tcPr>
          <w:p w:rsidR="00000000" w:rsidRDefault="00000000">
            <w:pPr>
              <w:tabs>
                <w:tab w:val="left" w:pos="7088"/>
              </w:tabs>
              <w:spacing w:line="240" w:lineRule="auto"/>
              <w:rPr>
                <w:lang w:val="en-US"/>
              </w:rPr>
            </w:pPr>
          </w:p>
        </w:tc>
        <w:tc>
          <w:tcPr>
            <w:tcW w:w="1438" w:type="dxa"/>
            <w:tcBorders>
              <w:bottom w:val="single" w:sz="4" w:space="0" w:color="auto"/>
            </w:tcBorders>
          </w:tcPr>
          <w:p w:rsidR="00000000" w:rsidRDefault="00000000">
            <w:pPr>
              <w:tabs>
                <w:tab w:val="left" w:pos="7088"/>
              </w:tabs>
              <w:spacing w:line="240" w:lineRule="auto"/>
              <w:jc w:val="center"/>
            </w:pPr>
            <w:r>
              <w:t>2001</w:t>
            </w:r>
          </w:p>
        </w:tc>
        <w:tc>
          <w:tcPr>
            <w:tcW w:w="1439" w:type="dxa"/>
            <w:tcBorders>
              <w:bottom w:val="single" w:sz="4" w:space="0" w:color="auto"/>
            </w:tcBorders>
          </w:tcPr>
          <w:p w:rsidR="00000000" w:rsidRDefault="00000000">
            <w:pPr>
              <w:tabs>
                <w:tab w:val="left" w:pos="7088"/>
              </w:tabs>
              <w:spacing w:line="240" w:lineRule="auto"/>
              <w:jc w:val="center"/>
            </w:pPr>
            <w:r>
              <w:t>2002</w:t>
            </w:r>
          </w:p>
        </w:tc>
        <w:tc>
          <w:tcPr>
            <w:tcW w:w="1439" w:type="dxa"/>
            <w:tcBorders>
              <w:bottom w:val="single" w:sz="4" w:space="0" w:color="auto"/>
            </w:tcBorders>
          </w:tcPr>
          <w:p w:rsidR="00000000" w:rsidRDefault="00000000">
            <w:pPr>
              <w:tabs>
                <w:tab w:val="left" w:pos="7088"/>
              </w:tabs>
              <w:spacing w:line="240" w:lineRule="auto"/>
              <w:jc w:val="center"/>
            </w:pPr>
            <w:r>
              <w:t>2003</w:t>
            </w:r>
          </w:p>
        </w:tc>
      </w:tr>
      <w:tr w:rsidR="00000000">
        <w:tblPrEx>
          <w:tblCellMar>
            <w:top w:w="0" w:type="dxa"/>
            <w:bottom w:w="0" w:type="dxa"/>
          </w:tblCellMar>
        </w:tblPrEx>
        <w:tc>
          <w:tcPr>
            <w:tcW w:w="5040" w:type="dxa"/>
            <w:tcBorders>
              <w:bottom w:val="nil"/>
            </w:tcBorders>
          </w:tcPr>
          <w:p w:rsidR="00000000" w:rsidRDefault="00000000">
            <w:pPr>
              <w:tabs>
                <w:tab w:val="left" w:pos="7088"/>
              </w:tabs>
              <w:spacing w:line="240" w:lineRule="auto"/>
            </w:pPr>
            <w:proofErr w:type="spellStart"/>
            <w:r>
              <w:t>ВВП</w:t>
            </w:r>
            <w:proofErr w:type="spellEnd"/>
          </w:p>
        </w:tc>
        <w:tc>
          <w:tcPr>
            <w:tcW w:w="1438" w:type="dxa"/>
            <w:tcBorders>
              <w:bottom w:val="nil"/>
            </w:tcBorders>
          </w:tcPr>
          <w:p w:rsidR="00000000" w:rsidRDefault="00000000">
            <w:pPr>
              <w:tabs>
                <w:tab w:val="clear" w:pos="1134"/>
                <w:tab w:val="left" w:pos="7088"/>
              </w:tabs>
              <w:spacing w:line="240" w:lineRule="auto"/>
              <w:ind w:right="274"/>
              <w:jc w:val="right"/>
              <w:rPr>
                <w:lang w:val="en-US"/>
              </w:rPr>
            </w:pPr>
            <w:r>
              <w:rPr>
                <w:lang w:val="en-US"/>
              </w:rPr>
              <w:t>233 841</w:t>
            </w:r>
          </w:p>
        </w:tc>
        <w:tc>
          <w:tcPr>
            <w:tcW w:w="1439" w:type="dxa"/>
            <w:tcBorders>
              <w:bottom w:val="nil"/>
            </w:tcBorders>
          </w:tcPr>
          <w:p w:rsidR="00000000" w:rsidRDefault="00000000">
            <w:pPr>
              <w:tabs>
                <w:tab w:val="clear" w:pos="1134"/>
                <w:tab w:val="left" w:pos="7088"/>
              </w:tabs>
              <w:spacing w:line="240" w:lineRule="auto"/>
              <w:ind w:right="296"/>
              <w:jc w:val="right"/>
              <w:rPr>
                <w:lang w:val="en-US"/>
              </w:rPr>
            </w:pPr>
            <w:r>
              <w:rPr>
                <w:lang w:val="en-US"/>
              </w:rPr>
              <w:t>243 970</w:t>
            </w:r>
          </w:p>
        </w:tc>
        <w:tc>
          <w:tcPr>
            <w:tcW w:w="1439" w:type="dxa"/>
            <w:tcBorders>
              <w:bottom w:val="nil"/>
            </w:tcBorders>
          </w:tcPr>
          <w:p w:rsidR="00000000" w:rsidRDefault="00000000">
            <w:pPr>
              <w:tabs>
                <w:tab w:val="clear" w:pos="1134"/>
                <w:tab w:val="left" w:pos="7088"/>
              </w:tabs>
              <w:spacing w:line="240" w:lineRule="auto"/>
              <w:ind w:right="176"/>
              <w:jc w:val="right"/>
              <w:rPr>
                <w:lang w:val="en-US"/>
              </w:rPr>
            </w:pPr>
            <w:r>
              <w:rPr>
                <w:lang w:val="en-US"/>
              </w:rPr>
              <w:t>251 486</w:t>
            </w:r>
          </w:p>
        </w:tc>
      </w:tr>
      <w:tr w:rsidR="00000000">
        <w:tblPrEx>
          <w:tblCellMar>
            <w:top w:w="0" w:type="dxa"/>
            <w:bottom w:w="0" w:type="dxa"/>
          </w:tblCellMar>
        </w:tblPrEx>
        <w:tc>
          <w:tcPr>
            <w:tcW w:w="5040" w:type="dxa"/>
            <w:tcBorders>
              <w:top w:val="nil"/>
              <w:bottom w:val="nil"/>
            </w:tcBorders>
          </w:tcPr>
          <w:p w:rsidR="00000000" w:rsidRDefault="00000000">
            <w:pPr>
              <w:pStyle w:val="Header"/>
              <w:tabs>
                <w:tab w:val="left" w:pos="7088"/>
              </w:tabs>
              <w:spacing w:line="240" w:lineRule="auto"/>
            </w:pPr>
            <w:r>
              <w:t>Конечное потребление</w:t>
            </w:r>
          </w:p>
        </w:tc>
        <w:tc>
          <w:tcPr>
            <w:tcW w:w="1438" w:type="dxa"/>
            <w:tcBorders>
              <w:top w:val="nil"/>
              <w:bottom w:val="nil"/>
            </w:tcBorders>
          </w:tcPr>
          <w:p w:rsidR="00000000" w:rsidRDefault="00000000">
            <w:pPr>
              <w:tabs>
                <w:tab w:val="clear" w:pos="1134"/>
                <w:tab w:val="left" w:pos="7088"/>
              </w:tabs>
              <w:spacing w:line="240" w:lineRule="auto"/>
              <w:ind w:right="274"/>
              <w:jc w:val="right"/>
              <w:rPr>
                <w:lang w:val="en-US"/>
              </w:rPr>
            </w:pPr>
            <w:r>
              <w:rPr>
                <w:lang w:val="en-US"/>
              </w:rPr>
              <w:t>221 771</w:t>
            </w:r>
          </w:p>
        </w:tc>
        <w:tc>
          <w:tcPr>
            <w:tcW w:w="1439" w:type="dxa"/>
            <w:tcBorders>
              <w:top w:val="nil"/>
              <w:bottom w:val="nil"/>
            </w:tcBorders>
          </w:tcPr>
          <w:p w:rsidR="00000000" w:rsidRDefault="00000000">
            <w:pPr>
              <w:tabs>
                <w:tab w:val="clear" w:pos="1134"/>
                <w:tab w:val="left" w:pos="7088"/>
              </w:tabs>
              <w:spacing w:line="240" w:lineRule="auto"/>
              <w:ind w:right="296"/>
              <w:jc w:val="right"/>
              <w:rPr>
                <w:lang w:val="en-US"/>
              </w:rPr>
            </w:pPr>
            <w:r>
              <w:rPr>
                <w:lang w:val="en-US"/>
              </w:rPr>
              <w:t>242 795</w:t>
            </w:r>
          </w:p>
        </w:tc>
        <w:tc>
          <w:tcPr>
            <w:tcW w:w="1439" w:type="dxa"/>
            <w:tcBorders>
              <w:top w:val="nil"/>
              <w:bottom w:val="nil"/>
            </w:tcBorders>
          </w:tcPr>
          <w:p w:rsidR="00000000" w:rsidRDefault="00000000">
            <w:pPr>
              <w:tabs>
                <w:tab w:val="clear" w:pos="1134"/>
                <w:tab w:val="left" w:pos="7088"/>
              </w:tabs>
              <w:spacing w:line="240" w:lineRule="auto"/>
              <w:ind w:right="176"/>
              <w:jc w:val="right"/>
              <w:rPr>
                <w:lang w:val="en-US"/>
              </w:rPr>
            </w:pPr>
            <w:r>
              <w:rPr>
                <w:lang w:val="en-US"/>
              </w:rPr>
              <w:t>243 853</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line="240" w:lineRule="auto"/>
            </w:pPr>
            <w:r>
              <w:t xml:space="preserve">Конечное потребление домашних хозяйств, включая </w:t>
            </w:r>
            <w:proofErr w:type="spellStart"/>
            <w:r>
              <w:t>НКООДХ</w:t>
            </w:r>
            <w:proofErr w:type="spellEnd"/>
          </w:p>
        </w:tc>
        <w:tc>
          <w:tcPr>
            <w:tcW w:w="1438" w:type="dxa"/>
            <w:tcBorders>
              <w:top w:val="nil"/>
              <w:bottom w:val="nil"/>
            </w:tcBorders>
          </w:tcPr>
          <w:p w:rsidR="00000000" w:rsidRDefault="00000000">
            <w:pPr>
              <w:pStyle w:val="Header"/>
              <w:tabs>
                <w:tab w:val="left" w:pos="7088"/>
              </w:tabs>
              <w:spacing w:line="240" w:lineRule="auto"/>
              <w:ind w:right="274"/>
              <w:jc w:val="right"/>
              <w:rPr>
                <w:lang w:val="en-US"/>
              </w:rPr>
            </w:pPr>
            <w:r>
              <w:rPr>
                <w:lang w:val="en-US"/>
              </w:rPr>
              <w:t>163 788</w:t>
            </w:r>
          </w:p>
        </w:tc>
        <w:tc>
          <w:tcPr>
            <w:tcW w:w="1439" w:type="dxa"/>
            <w:tcBorders>
              <w:top w:val="nil"/>
              <w:bottom w:val="nil"/>
            </w:tcBorders>
          </w:tcPr>
          <w:p w:rsidR="00000000" w:rsidRDefault="00000000">
            <w:pPr>
              <w:tabs>
                <w:tab w:val="clear" w:pos="1134"/>
                <w:tab w:val="left" w:pos="7088"/>
              </w:tabs>
              <w:spacing w:line="240" w:lineRule="auto"/>
              <w:ind w:right="296"/>
              <w:jc w:val="right"/>
              <w:rPr>
                <w:lang w:val="en-US"/>
              </w:rPr>
            </w:pPr>
            <w:r>
              <w:rPr>
                <w:lang w:val="en-US"/>
              </w:rPr>
              <w:t>188 179</w:t>
            </w:r>
          </w:p>
        </w:tc>
        <w:tc>
          <w:tcPr>
            <w:tcW w:w="1439" w:type="dxa"/>
            <w:tcBorders>
              <w:top w:val="nil"/>
              <w:bottom w:val="nil"/>
            </w:tcBorders>
          </w:tcPr>
          <w:p w:rsidR="00000000" w:rsidRDefault="00000000">
            <w:pPr>
              <w:tabs>
                <w:tab w:val="clear" w:pos="1134"/>
                <w:tab w:val="left" w:pos="7088"/>
              </w:tabs>
              <w:spacing w:line="240" w:lineRule="auto"/>
              <w:ind w:right="176"/>
              <w:jc w:val="right"/>
              <w:rPr>
                <w:lang w:val="en-US"/>
              </w:rPr>
            </w:pPr>
            <w:r>
              <w:rPr>
                <w:lang w:val="en-US"/>
              </w:rPr>
              <w:t>191 873</w:t>
            </w:r>
          </w:p>
        </w:tc>
      </w:tr>
      <w:tr w:rsidR="00000000">
        <w:tblPrEx>
          <w:tblCellMar>
            <w:top w:w="0" w:type="dxa"/>
            <w:bottom w:w="0" w:type="dxa"/>
          </w:tblCellMar>
        </w:tblPrEx>
        <w:tc>
          <w:tcPr>
            <w:tcW w:w="5040" w:type="dxa"/>
            <w:tcBorders>
              <w:top w:val="nil"/>
              <w:bottom w:val="nil"/>
            </w:tcBorders>
          </w:tcPr>
          <w:p w:rsidR="00000000" w:rsidRDefault="00000000">
            <w:pPr>
              <w:pStyle w:val="Header"/>
              <w:tabs>
                <w:tab w:val="left" w:pos="7088"/>
              </w:tabs>
              <w:spacing w:line="240" w:lineRule="auto"/>
            </w:pPr>
            <w:r>
              <w:t>Конечное потребление органов общего управления</w:t>
            </w:r>
          </w:p>
        </w:tc>
        <w:tc>
          <w:tcPr>
            <w:tcW w:w="1438" w:type="dxa"/>
            <w:tcBorders>
              <w:top w:val="nil"/>
              <w:bottom w:val="nil"/>
            </w:tcBorders>
          </w:tcPr>
          <w:p w:rsidR="00000000" w:rsidRDefault="00000000">
            <w:pPr>
              <w:tabs>
                <w:tab w:val="clear" w:pos="1134"/>
                <w:tab w:val="left" w:pos="7088"/>
              </w:tabs>
              <w:spacing w:line="240" w:lineRule="auto"/>
              <w:ind w:right="274"/>
              <w:jc w:val="right"/>
            </w:pPr>
            <w:r>
              <w:t>57 983</w:t>
            </w:r>
          </w:p>
        </w:tc>
        <w:tc>
          <w:tcPr>
            <w:tcW w:w="1439" w:type="dxa"/>
            <w:tcBorders>
              <w:top w:val="nil"/>
              <w:bottom w:val="nil"/>
            </w:tcBorders>
          </w:tcPr>
          <w:p w:rsidR="00000000" w:rsidRDefault="00000000">
            <w:pPr>
              <w:tabs>
                <w:tab w:val="clear" w:pos="1134"/>
                <w:tab w:val="left" w:pos="7088"/>
              </w:tabs>
              <w:spacing w:line="240" w:lineRule="auto"/>
              <w:ind w:right="296"/>
              <w:jc w:val="right"/>
              <w:rPr>
                <w:lang w:val="en-US"/>
              </w:rPr>
            </w:pPr>
            <w:r>
              <w:rPr>
                <w:lang w:val="en-US"/>
              </w:rPr>
              <w:t>54 616</w:t>
            </w:r>
          </w:p>
        </w:tc>
        <w:tc>
          <w:tcPr>
            <w:tcW w:w="1439" w:type="dxa"/>
            <w:tcBorders>
              <w:top w:val="nil"/>
              <w:bottom w:val="nil"/>
            </w:tcBorders>
          </w:tcPr>
          <w:p w:rsidR="00000000" w:rsidRDefault="00000000">
            <w:pPr>
              <w:tabs>
                <w:tab w:val="clear" w:pos="1134"/>
                <w:tab w:val="left" w:pos="7088"/>
              </w:tabs>
              <w:spacing w:line="240" w:lineRule="auto"/>
              <w:ind w:right="176"/>
              <w:jc w:val="right"/>
              <w:rPr>
                <w:lang w:val="en-US"/>
              </w:rPr>
            </w:pPr>
            <w:r>
              <w:rPr>
                <w:lang w:val="en-US"/>
              </w:rPr>
              <w:t>51 980</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line="240" w:lineRule="auto"/>
            </w:pPr>
            <w:r>
              <w:t xml:space="preserve">Валовое </w:t>
            </w:r>
            <w:proofErr w:type="spellStart"/>
            <w:r>
              <w:t>капиталообразование</w:t>
            </w:r>
            <w:proofErr w:type="spellEnd"/>
          </w:p>
        </w:tc>
        <w:tc>
          <w:tcPr>
            <w:tcW w:w="1438" w:type="dxa"/>
            <w:tcBorders>
              <w:top w:val="nil"/>
              <w:bottom w:val="nil"/>
            </w:tcBorders>
          </w:tcPr>
          <w:p w:rsidR="00000000" w:rsidRDefault="00000000">
            <w:pPr>
              <w:tabs>
                <w:tab w:val="clear" w:pos="1134"/>
                <w:tab w:val="left" w:pos="7088"/>
              </w:tabs>
              <w:spacing w:line="240" w:lineRule="auto"/>
              <w:ind w:right="274"/>
              <w:jc w:val="right"/>
            </w:pPr>
            <w:r>
              <w:t>44 618</w:t>
            </w:r>
          </w:p>
        </w:tc>
        <w:tc>
          <w:tcPr>
            <w:tcW w:w="1439" w:type="dxa"/>
            <w:tcBorders>
              <w:top w:val="nil"/>
              <w:bottom w:val="nil"/>
            </w:tcBorders>
          </w:tcPr>
          <w:p w:rsidR="00000000" w:rsidRDefault="00000000">
            <w:pPr>
              <w:pStyle w:val="Header"/>
              <w:tabs>
                <w:tab w:val="left" w:pos="7088"/>
              </w:tabs>
              <w:spacing w:line="240" w:lineRule="auto"/>
              <w:ind w:right="296"/>
              <w:jc w:val="right"/>
            </w:pPr>
            <w:r>
              <w:t>50 275</w:t>
            </w:r>
          </w:p>
        </w:tc>
        <w:tc>
          <w:tcPr>
            <w:tcW w:w="1439" w:type="dxa"/>
            <w:tcBorders>
              <w:top w:val="nil"/>
              <w:bottom w:val="nil"/>
            </w:tcBorders>
          </w:tcPr>
          <w:p w:rsidR="00000000" w:rsidRDefault="00000000">
            <w:pPr>
              <w:tabs>
                <w:tab w:val="clear" w:pos="1134"/>
                <w:tab w:val="left" w:pos="7088"/>
              </w:tabs>
              <w:spacing w:line="240" w:lineRule="auto"/>
              <w:ind w:right="176"/>
              <w:jc w:val="right"/>
              <w:rPr>
                <w:lang w:val="en-US"/>
              </w:rPr>
            </w:pPr>
            <w:r>
              <w:rPr>
                <w:lang w:val="en-US"/>
              </w:rPr>
              <w:t>50 261</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line="240" w:lineRule="auto"/>
            </w:pPr>
            <w:r>
              <w:t xml:space="preserve">    Валовой прирост основного капитала</w:t>
            </w:r>
          </w:p>
        </w:tc>
        <w:tc>
          <w:tcPr>
            <w:tcW w:w="1438" w:type="dxa"/>
            <w:tcBorders>
              <w:top w:val="nil"/>
              <w:bottom w:val="nil"/>
            </w:tcBorders>
          </w:tcPr>
          <w:p w:rsidR="00000000" w:rsidRDefault="00000000">
            <w:pPr>
              <w:tabs>
                <w:tab w:val="clear" w:pos="1134"/>
                <w:tab w:val="left" w:pos="7088"/>
              </w:tabs>
              <w:spacing w:line="240" w:lineRule="auto"/>
              <w:ind w:right="274"/>
              <w:jc w:val="right"/>
            </w:pPr>
            <w:r>
              <w:t>34 716</w:t>
            </w:r>
          </w:p>
        </w:tc>
        <w:tc>
          <w:tcPr>
            <w:tcW w:w="1439" w:type="dxa"/>
            <w:tcBorders>
              <w:top w:val="nil"/>
              <w:bottom w:val="nil"/>
            </w:tcBorders>
          </w:tcPr>
          <w:p w:rsidR="00000000" w:rsidRDefault="00000000">
            <w:pPr>
              <w:pStyle w:val="Header"/>
              <w:tabs>
                <w:tab w:val="left" w:pos="7088"/>
              </w:tabs>
              <w:spacing w:line="240" w:lineRule="auto"/>
              <w:ind w:right="296"/>
              <w:jc w:val="right"/>
              <w:rPr>
                <w:lang w:val="en-US"/>
              </w:rPr>
            </w:pPr>
            <w:r>
              <w:rPr>
                <w:lang w:val="en-US"/>
              </w:rPr>
              <w:t>40 448</w:t>
            </w:r>
          </w:p>
        </w:tc>
        <w:tc>
          <w:tcPr>
            <w:tcW w:w="1439" w:type="dxa"/>
            <w:tcBorders>
              <w:top w:val="nil"/>
              <w:bottom w:val="nil"/>
            </w:tcBorders>
          </w:tcPr>
          <w:p w:rsidR="00000000" w:rsidRDefault="00000000">
            <w:pPr>
              <w:tabs>
                <w:tab w:val="clear" w:pos="1134"/>
                <w:tab w:val="left" w:pos="7088"/>
              </w:tabs>
              <w:spacing w:line="240" w:lineRule="auto"/>
              <w:ind w:right="176"/>
              <w:jc w:val="right"/>
              <w:rPr>
                <w:lang w:val="en-US"/>
              </w:rPr>
            </w:pPr>
            <w:r>
              <w:rPr>
                <w:lang w:val="en-US"/>
              </w:rPr>
              <w:t>42 110</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line="240" w:lineRule="auto"/>
            </w:pPr>
            <w:r>
              <w:t xml:space="preserve">    Изменение уровней запасов</w:t>
            </w:r>
          </w:p>
        </w:tc>
        <w:tc>
          <w:tcPr>
            <w:tcW w:w="1438" w:type="dxa"/>
            <w:tcBorders>
              <w:top w:val="nil"/>
              <w:bottom w:val="nil"/>
            </w:tcBorders>
          </w:tcPr>
          <w:p w:rsidR="00000000" w:rsidRDefault="00000000">
            <w:pPr>
              <w:tabs>
                <w:tab w:val="clear" w:pos="1134"/>
                <w:tab w:val="left" w:pos="7088"/>
              </w:tabs>
              <w:spacing w:line="240" w:lineRule="auto"/>
              <w:ind w:right="274"/>
              <w:jc w:val="right"/>
              <w:rPr>
                <w:lang w:val="en-US"/>
              </w:rPr>
            </w:pPr>
            <w:r>
              <w:rPr>
                <w:lang w:val="en-US"/>
              </w:rPr>
              <w:t>9 902</w:t>
            </w:r>
          </w:p>
        </w:tc>
        <w:tc>
          <w:tcPr>
            <w:tcW w:w="1439" w:type="dxa"/>
            <w:tcBorders>
              <w:top w:val="nil"/>
              <w:bottom w:val="nil"/>
            </w:tcBorders>
          </w:tcPr>
          <w:p w:rsidR="00000000" w:rsidRDefault="00000000">
            <w:pPr>
              <w:tabs>
                <w:tab w:val="clear" w:pos="1134"/>
                <w:tab w:val="left" w:pos="7088"/>
              </w:tabs>
              <w:spacing w:line="240" w:lineRule="auto"/>
              <w:ind w:right="296"/>
              <w:jc w:val="right"/>
              <w:rPr>
                <w:lang w:val="en-US"/>
              </w:rPr>
            </w:pPr>
            <w:r>
              <w:rPr>
                <w:lang w:val="en-US"/>
              </w:rPr>
              <w:t>9 828</w:t>
            </w:r>
          </w:p>
        </w:tc>
        <w:tc>
          <w:tcPr>
            <w:tcW w:w="1439" w:type="dxa"/>
            <w:tcBorders>
              <w:top w:val="nil"/>
              <w:bottom w:val="nil"/>
            </w:tcBorders>
          </w:tcPr>
          <w:p w:rsidR="00000000" w:rsidRDefault="00000000">
            <w:pPr>
              <w:tabs>
                <w:tab w:val="clear" w:pos="1134"/>
                <w:tab w:val="left" w:pos="7088"/>
              </w:tabs>
              <w:spacing w:line="240" w:lineRule="auto"/>
              <w:ind w:right="176"/>
              <w:jc w:val="right"/>
              <w:rPr>
                <w:lang w:val="en-US"/>
              </w:rPr>
            </w:pPr>
            <w:r>
              <w:rPr>
                <w:lang w:val="en-US"/>
              </w:rPr>
              <w:t>8 151</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line="240" w:lineRule="auto"/>
            </w:pPr>
            <w:r>
              <w:t>Экспорт товаров и услуг</w:t>
            </w:r>
          </w:p>
        </w:tc>
        <w:tc>
          <w:tcPr>
            <w:tcW w:w="1438" w:type="dxa"/>
            <w:tcBorders>
              <w:top w:val="nil"/>
              <w:bottom w:val="nil"/>
            </w:tcBorders>
          </w:tcPr>
          <w:p w:rsidR="00000000" w:rsidRDefault="00000000">
            <w:pPr>
              <w:tabs>
                <w:tab w:val="clear" w:pos="1134"/>
                <w:tab w:val="left" w:pos="7088"/>
              </w:tabs>
              <w:spacing w:line="240" w:lineRule="auto"/>
              <w:ind w:right="274"/>
              <w:jc w:val="right"/>
              <w:rPr>
                <w:lang w:val="en-US"/>
              </w:rPr>
            </w:pPr>
            <w:r>
              <w:rPr>
                <w:lang w:val="en-US"/>
              </w:rPr>
              <w:t>99 833</w:t>
            </w:r>
          </w:p>
        </w:tc>
        <w:tc>
          <w:tcPr>
            <w:tcW w:w="1439" w:type="dxa"/>
            <w:tcBorders>
              <w:top w:val="nil"/>
              <w:bottom w:val="nil"/>
            </w:tcBorders>
          </w:tcPr>
          <w:p w:rsidR="00000000" w:rsidRDefault="00000000">
            <w:pPr>
              <w:tabs>
                <w:tab w:val="clear" w:pos="1134"/>
                <w:tab w:val="left" w:pos="7088"/>
              </w:tabs>
              <w:spacing w:line="240" w:lineRule="auto"/>
              <w:ind w:right="296"/>
              <w:jc w:val="right"/>
              <w:rPr>
                <w:lang w:val="en-US"/>
              </w:rPr>
            </w:pPr>
            <w:r>
              <w:rPr>
                <w:lang w:val="en-US"/>
              </w:rPr>
              <w:t>92 781</w:t>
            </w:r>
          </w:p>
        </w:tc>
        <w:tc>
          <w:tcPr>
            <w:tcW w:w="1439" w:type="dxa"/>
            <w:tcBorders>
              <w:top w:val="nil"/>
              <w:bottom w:val="nil"/>
            </w:tcBorders>
          </w:tcPr>
          <w:p w:rsidR="00000000" w:rsidRDefault="00000000">
            <w:pPr>
              <w:tabs>
                <w:tab w:val="clear" w:pos="1134"/>
                <w:tab w:val="left" w:pos="7088"/>
              </w:tabs>
              <w:spacing w:line="240" w:lineRule="auto"/>
              <w:ind w:right="176"/>
              <w:jc w:val="right"/>
              <w:rPr>
                <w:lang w:val="en-US"/>
              </w:rPr>
            </w:pPr>
            <w:r>
              <w:rPr>
                <w:lang w:val="en-US"/>
              </w:rPr>
              <w:t>95 254</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line="240" w:lineRule="auto"/>
            </w:pPr>
            <w:r>
              <w:t xml:space="preserve">    Экспорт товаров</w:t>
            </w:r>
          </w:p>
        </w:tc>
        <w:tc>
          <w:tcPr>
            <w:tcW w:w="1438" w:type="dxa"/>
            <w:tcBorders>
              <w:top w:val="nil"/>
              <w:bottom w:val="nil"/>
            </w:tcBorders>
          </w:tcPr>
          <w:p w:rsidR="00000000" w:rsidRDefault="00000000">
            <w:pPr>
              <w:tabs>
                <w:tab w:val="clear" w:pos="1134"/>
                <w:tab w:val="left" w:pos="7088"/>
              </w:tabs>
              <w:spacing w:line="240" w:lineRule="auto"/>
              <w:ind w:right="274"/>
              <w:jc w:val="right"/>
              <w:rPr>
                <w:lang w:val="en-US"/>
              </w:rPr>
            </w:pPr>
            <w:r>
              <w:rPr>
                <w:lang w:val="en-US"/>
              </w:rPr>
              <w:t>78 618</w:t>
            </w:r>
          </w:p>
        </w:tc>
        <w:tc>
          <w:tcPr>
            <w:tcW w:w="1439" w:type="dxa"/>
            <w:tcBorders>
              <w:top w:val="nil"/>
              <w:bottom w:val="nil"/>
            </w:tcBorders>
          </w:tcPr>
          <w:p w:rsidR="00000000" w:rsidRDefault="00000000">
            <w:pPr>
              <w:tabs>
                <w:tab w:val="clear" w:pos="1134"/>
                <w:tab w:val="left" w:pos="7088"/>
              </w:tabs>
              <w:spacing w:line="240" w:lineRule="auto"/>
              <w:ind w:right="296"/>
              <w:jc w:val="right"/>
              <w:rPr>
                <w:lang w:val="en-US"/>
              </w:rPr>
            </w:pPr>
            <w:r>
              <w:rPr>
                <w:lang w:val="en-US"/>
              </w:rPr>
              <w:t>71 994</w:t>
            </w:r>
          </w:p>
        </w:tc>
        <w:tc>
          <w:tcPr>
            <w:tcW w:w="1439" w:type="dxa"/>
            <w:tcBorders>
              <w:top w:val="nil"/>
              <w:bottom w:val="nil"/>
            </w:tcBorders>
          </w:tcPr>
          <w:p w:rsidR="00000000" w:rsidRDefault="00000000">
            <w:pPr>
              <w:tabs>
                <w:tab w:val="clear" w:pos="1134"/>
                <w:tab w:val="left" w:pos="7088"/>
              </w:tabs>
              <w:spacing w:line="240" w:lineRule="auto"/>
              <w:ind w:right="176"/>
              <w:jc w:val="right"/>
              <w:rPr>
                <w:lang w:val="en-US"/>
              </w:rPr>
            </w:pPr>
            <w:r>
              <w:rPr>
                <w:lang w:val="en-US"/>
              </w:rPr>
              <w:t>73 800</w:t>
            </w:r>
          </w:p>
        </w:tc>
      </w:tr>
      <w:tr w:rsidR="00000000">
        <w:tblPrEx>
          <w:tblCellMar>
            <w:top w:w="0" w:type="dxa"/>
            <w:bottom w:w="0" w:type="dxa"/>
          </w:tblCellMar>
        </w:tblPrEx>
        <w:tc>
          <w:tcPr>
            <w:tcW w:w="5040" w:type="dxa"/>
            <w:tcBorders>
              <w:top w:val="nil"/>
              <w:bottom w:val="nil"/>
            </w:tcBorders>
          </w:tcPr>
          <w:p w:rsidR="00000000" w:rsidRDefault="00000000">
            <w:pPr>
              <w:pStyle w:val="Header"/>
              <w:tabs>
                <w:tab w:val="left" w:pos="7088"/>
              </w:tabs>
              <w:spacing w:line="240" w:lineRule="auto"/>
            </w:pPr>
            <w:r>
              <w:t xml:space="preserve">    Экспорт услуг</w:t>
            </w:r>
          </w:p>
        </w:tc>
        <w:tc>
          <w:tcPr>
            <w:tcW w:w="1438" w:type="dxa"/>
            <w:tcBorders>
              <w:top w:val="nil"/>
              <w:bottom w:val="nil"/>
            </w:tcBorders>
          </w:tcPr>
          <w:p w:rsidR="00000000" w:rsidRDefault="00000000">
            <w:pPr>
              <w:tabs>
                <w:tab w:val="clear" w:pos="1134"/>
                <w:tab w:val="left" w:pos="7088"/>
              </w:tabs>
              <w:spacing w:line="240" w:lineRule="auto"/>
              <w:ind w:right="274"/>
              <w:jc w:val="right"/>
              <w:rPr>
                <w:lang w:val="en-US"/>
              </w:rPr>
            </w:pPr>
            <w:r>
              <w:rPr>
                <w:lang w:val="en-US"/>
              </w:rPr>
              <w:t>16 643</w:t>
            </w:r>
          </w:p>
        </w:tc>
        <w:tc>
          <w:tcPr>
            <w:tcW w:w="1439" w:type="dxa"/>
            <w:tcBorders>
              <w:top w:val="nil"/>
              <w:bottom w:val="nil"/>
            </w:tcBorders>
          </w:tcPr>
          <w:p w:rsidR="00000000" w:rsidRDefault="00000000">
            <w:pPr>
              <w:tabs>
                <w:tab w:val="clear" w:pos="1134"/>
                <w:tab w:val="left" w:pos="7088"/>
              </w:tabs>
              <w:spacing w:line="240" w:lineRule="auto"/>
              <w:ind w:right="296"/>
              <w:jc w:val="right"/>
              <w:rPr>
                <w:lang w:val="en-US"/>
              </w:rPr>
            </w:pPr>
            <w:r>
              <w:rPr>
                <w:lang w:val="en-US"/>
              </w:rPr>
              <w:t>16 387</w:t>
            </w:r>
          </w:p>
        </w:tc>
        <w:tc>
          <w:tcPr>
            <w:tcW w:w="1439" w:type="dxa"/>
            <w:tcBorders>
              <w:top w:val="nil"/>
              <w:bottom w:val="nil"/>
            </w:tcBorders>
          </w:tcPr>
          <w:p w:rsidR="00000000" w:rsidRDefault="00000000">
            <w:pPr>
              <w:tabs>
                <w:tab w:val="clear" w:pos="1134"/>
                <w:tab w:val="left" w:pos="7088"/>
              </w:tabs>
              <w:spacing w:line="240" w:lineRule="auto"/>
              <w:ind w:right="176"/>
              <w:jc w:val="right"/>
              <w:rPr>
                <w:lang w:val="en-US"/>
              </w:rPr>
            </w:pPr>
            <w:r>
              <w:rPr>
                <w:lang w:val="en-US"/>
              </w:rPr>
              <w:t>17 705</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line="240" w:lineRule="auto"/>
            </w:pPr>
            <w:r>
              <w:t>Покупки, произведенные иностранными гражданами</w:t>
            </w:r>
          </w:p>
        </w:tc>
        <w:tc>
          <w:tcPr>
            <w:tcW w:w="1438" w:type="dxa"/>
            <w:tcBorders>
              <w:top w:val="nil"/>
              <w:bottom w:val="nil"/>
            </w:tcBorders>
          </w:tcPr>
          <w:p w:rsidR="00000000" w:rsidRDefault="00000000">
            <w:pPr>
              <w:tabs>
                <w:tab w:val="clear" w:pos="1134"/>
                <w:tab w:val="left" w:pos="7088"/>
              </w:tabs>
              <w:spacing w:line="240" w:lineRule="auto"/>
              <w:ind w:right="274"/>
              <w:jc w:val="right"/>
              <w:rPr>
                <w:lang w:val="en-US"/>
              </w:rPr>
            </w:pPr>
            <w:r>
              <w:rPr>
                <w:lang w:val="en-US"/>
              </w:rPr>
              <w:t>4 572</w:t>
            </w:r>
          </w:p>
        </w:tc>
        <w:tc>
          <w:tcPr>
            <w:tcW w:w="1439" w:type="dxa"/>
            <w:tcBorders>
              <w:top w:val="nil"/>
              <w:bottom w:val="nil"/>
            </w:tcBorders>
          </w:tcPr>
          <w:p w:rsidR="00000000" w:rsidRDefault="00000000">
            <w:pPr>
              <w:tabs>
                <w:tab w:val="clear" w:pos="1134"/>
                <w:tab w:val="left" w:pos="7088"/>
              </w:tabs>
              <w:spacing w:line="240" w:lineRule="auto"/>
              <w:ind w:right="296"/>
              <w:jc w:val="right"/>
              <w:rPr>
                <w:lang w:val="en-US"/>
              </w:rPr>
            </w:pPr>
            <w:r>
              <w:rPr>
                <w:lang w:val="en-US"/>
              </w:rPr>
              <w:t>4 399</w:t>
            </w:r>
          </w:p>
        </w:tc>
        <w:tc>
          <w:tcPr>
            <w:tcW w:w="1439" w:type="dxa"/>
            <w:tcBorders>
              <w:top w:val="nil"/>
              <w:bottom w:val="nil"/>
            </w:tcBorders>
          </w:tcPr>
          <w:p w:rsidR="00000000" w:rsidRDefault="00000000">
            <w:pPr>
              <w:tabs>
                <w:tab w:val="clear" w:pos="1134"/>
                <w:tab w:val="left" w:pos="7088"/>
              </w:tabs>
              <w:spacing w:line="240" w:lineRule="auto"/>
              <w:ind w:right="176"/>
              <w:jc w:val="right"/>
              <w:rPr>
                <w:lang w:val="en-US"/>
              </w:rPr>
            </w:pPr>
            <w:r>
              <w:rPr>
                <w:lang w:val="en-US"/>
              </w:rPr>
              <w:t>3 749</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line="240" w:lineRule="auto"/>
            </w:pPr>
            <w:r>
              <w:t>Импорт товаров и услуг</w:t>
            </w:r>
          </w:p>
        </w:tc>
        <w:tc>
          <w:tcPr>
            <w:tcW w:w="1438" w:type="dxa"/>
            <w:tcBorders>
              <w:top w:val="nil"/>
              <w:bottom w:val="nil"/>
            </w:tcBorders>
          </w:tcPr>
          <w:p w:rsidR="00000000" w:rsidRDefault="00000000">
            <w:pPr>
              <w:tabs>
                <w:tab w:val="clear" w:pos="1134"/>
                <w:tab w:val="left" w:pos="7088"/>
              </w:tabs>
              <w:spacing w:line="240" w:lineRule="auto"/>
              <w:ind w:right="274"/>
              <w:jc w:val="right"/>
              <w:rPr>
                <w:lang w:val="en-US"/>
              </w:rPr>
            </w:pPr>
            <w:r>
              <w:rPr>
                <w:lang w:val="en-US"/>
              </w:rPr>
              <w:t>132 381</w:t>
            </w:r>
          </w:p>
        </w:tc>
        <w:tc>
          <w:tcPr>
            <w:tcW w:w="1439" w:type="dxa"/>
            <w:tcBorders>
              <w:top w:val="nil"/>
              <w:bottom w:val="nil"/>
            </w:tcBorders>
          </w:tcPr>
          <w:p w:rsidR="00000000" w:rsidRDefault="00000000">
            <w:pPr>
              <w:tabs>
                <w:tab w:val="clear" w:pos="1134"/>
                <w:tab w:val="left" w:pos="7088"/>
              </w:tabs>
              <w:spacing w:line="240" w:lineRule="auto"/>
              <w:ind w:right="296"/>
              <w:jc w:val="right"/>
              <w:rPr>
                <w:lang w:val="en-US"/>
              </w:rPr>
            </w:pPr>
            <w:r>
              <w:rPr>
                <w:lang w:val="en-US"/>
              </w:rPr>
              <w:t>141 882</w:t>
            </w:r>
          </w:p>
        </w:tc>
        <w:tc>
          <w:tcPr>
            <w:tcW w:w="1439" w:type="dxa"/>
            <w:tcBorders>
              <w:top w:val="nil"/>
              <w:bottom w:val="nil"/>
            </w:tcBorders>
          </w:tcPr>
          <w:p w:rsidR="00000000" w:rsidRDefault="00000000">
            <w:pPr>
              <w:tabs>
                <w:tab w:val="clear" w:pos="1134"/>
                <w:tab w:val="left" w:pos="7088"/>
              </w:tabs>
              <w:spacing w:line="240" w:lineRule="auto"/>
              <w:ind w:right="176"/>
              <w:jc w:val="right"/>
              <w:rPr>
                <w:lang w:val="en-US"/>
              </w:rPr>
            </w:pPr>
            <w:r>
              <w:rPr>
                <w:lang w:val="en-US"/>
              </w:rPr>
              <w:t>137 882</w:t>
            </w:r>
          </w:p>
        </w:tc>
      </w:tr>
      <w:tr w:rsidR="00000000">
        <w:tblPrEx>
          <w:tblCellMar>
            <w:top w:w="0" w:type="dxa"/>
            <w:bottom w:w="0" w:type="dxa"/>
          </w:tblCellMar>
        </w:tblPrEx>
        <w:tc>
          <w:tcPr>
            <w:tcW w:w="5040" w:type="dxa"/>
            <w:tcBorders>
              <w:top w:val="nil"/>
              <w:bottom w:val="nil"/>
            </w:tcBorders>
          </w:tcPr>
          <w:p w:rsidR="00000000" w:rsidRDefault="00000000">
            <w:pPr>
              <w:tabs>
                <w:tab w:val="left" w:pos="7088"/>
              </w:tabs>
              <w:spacing w:line="240" w:lineRule="auto"/>
            </w:pPr>
            <w:r>
              <w:t xml:space="preserve">    Импорт товаров </w:t>
            </w:r>
          </w:p>
        </w:tc>
        <w:tc>
          <w:tcPr>
            <w:tcW w:w="1438" w:type="dxa"/>
            <w:tcBorders>
              <w:top w:val="nil"/>
              <w:bottom w:val="nil"/>
            </w:tcBorders>
          </w:tcPr>
          <w:p w:rsidR="00000000" w:rsidRDefault="00000000">
            <w:pPr>
              <w:tabs>
                <w:tab w:val="clear" w:pos="1134"/>
                <w:tab w:val="left" w:pos="7088"/>
              </w:tabs>
              <w:spacing w:line="240" w:lineRule="auto"/>
              <w:ind w:right="274"/>
              <w:jc w:val="right"/>
              <w:rPr>
                <w:lang w:val="en-US"/>
              </w:rPr>
            </w:pPr>
            <w:r>
              <w:rPr>
                <w:lang w:val="en-US"/>
              </w:rPr>
              <w:t>114 434</w:t>
            </w:r>
          </w:p>
        </w:tc>
        <w:tc>
          <w:tcPr>
            <w:tcW w:w="1439" w:type="dxa"/>
            <w:tcBorders>
              <w:top w:val="nil"/>
              <w:bottom w:val="nil"/>
            </w:tcBorders>
          </w:tcPr>
          <w:p w:rsidR="00000000" w:rsidRDefault="00000000">
            <w:pPr>
              <w:tabs>
                <w:tab w:val="clear" w:pos="1134"/>
                <w:tab w:val="left" w:pos="7088"/>
              </w:tabs>
              <w:spacing w:line="240" w:lineRule="auto"/>
              <w:ind w:right="296"/>
              <w:jc w:val="right"/>
              <w:rPr>
                <w:lang w:val="en-US"/>
              </w:rPr>
            </w:pPr>
            <w:r>
              <w:rPr>
                <w:lang w:val="en-US"/>
              </w:rPr>
              <w:t>124 062</w:t>
            </w:r>
          </w:p>
        </w:tc>
        <w:tc>
          <w:tcPr>
            <w:tcW w:w="1439" w:type="dxa"/>
            <w:tcBorders>
              <w:top w:val="nil"/>
              <w:bottom w:val="nil"/>
            </w:tcBorders>
          </w:tcPr>
          <w:p w:rsidR="00000000" w:rsidRDefault="00000000">
            <w:pPr>
              <w:tabs>
                <w:tab w:val="clear" w:pos="1134"/>
                <w:tab w:val="left" w:pos="7088"/>
              </w:tabs>
              <w:spacing w:line="240" w:lineRule="auto"/>
              <w:ind w:right="176"/>
              <w:jc w:val="right"/>
              <w:rPr>
                <w:lang w:val="en-US"/>
              </w:rPr>
            </w:pPr>
            <w:r>
              <w:rPr>
                <w:lang w:val="en-US"/>
              </w:rPr>
              <w:t>120 038</w:t>
            </w:r>
          </w:p>
        </w:tc>
      </w:tr>
      <w:tr w:rsidR="00000000">
        <w:tblPrEx>
          <w:tblCellMar>
            <w:top w:w="0" w:type="dxa"/>
            <w:bottom w:w="0" w:type="dxa"/>
          </w:tblCellMar>
        </w:tblPrEx>
        <w:tc>
          <w:tcPr>
            <w:tcW w:w="5040" w:type="dxa"/>
            <w:tcBorders>
              <w:top w:val="nil"/>
            </w:tcBorders>
          </w:tcPr>
          <w:p w:rsidR="00000000" w:rsidRDefault="00000000">
            <w:pPr>
              <w:tabs>
                <w:tab w:val="left" w:pos="7088"/>
              </w:tabs>
              <w:spacing w:line="240" w:lineRule="auto"/>
            </w:pPr>
            <w:r>
              <w:rPr>
                <w:lang w:val="en-US"/>
              </w:rPr>
              <w:t xml:space="preserve">   </w:t>
            </w:r>
            <w:r>
              <w:t xml:space="preserve"> Импорт услуг</w:t>
            </w:r>
          </w:p>
        </w:tc>
        <w:tc>
          <w:tcPr>
            <w:tcW w:w="1438" w:type="dxa"/>
            <w:tcBorders>
              <w:top w:val="nil"/>
            </w:tcBorders>
          </w:tcPr>
          <w:p w:rsidR="00000000" w:rsidRDefault="00000000">
            <w:pPr>
              <w:tabs>
                <w:tab w:val="clear" w:pos="1134"/>
                <w:tab w:val="left" w:pos="7088"/>
              </w:tabs>
              <w:spacing w:line="240" w:lineRule="auto"/>
              <w:ind w:right="274"/>
              <w:jc w:val="right"/>
              <w:rPr>
                <w:lang w:val="en-US"/>
              </w:rPr>
            </w:pPr>
            <w:r>
              <w:rPr>
                <w:lang w:val="en-US"/>
              </w:rPr>
              <w:t>17 947</w:t>
            </w:r>
          </w:p>
        </w:tc>
        <w:tc>
          <w:tcPr>
            <w:tcW w:w="1439" w:type="dxa"/>
            <w:tcBorders>
              <w:top w:val="nil"/>
            </w:tcBorders>
          </w:tcPr>
          <w:p w:rsidR="00000000" w:rsidRDefault="00000000">
            <w:pPr>
              <w:tabs>
                <w:tab w:val="clear" w:pos="1134"/>
                <w:tab w:val="left" w:pos="7088"/>
              </w:tabs>
              <w:spacing w:line="240" w:lineRule="auto"/>
              <w:ind w:right="296"/>
              <w:jc w:val="right"/>
              <w:rPr>
                <w:lang w:val="en-US"/>
              </w:rPr>
            </w:pPr>
            <w:r>
              <w:rPr>
                <w:lang w:val="en-US"/>
              </w:rPr>
              <w:t>17 819</w:t>
            </w:r>
          </w:p>
        </w:tc>
        <w:tc>
          <w:tcPr>
            <w:tcW w:w="1439" w:type="dxa"/>
            <w:tcBorders>
              <w:top w:val="nil"/>
            </w:tcBorders>
          </w:tcPr>
          <w:p w:rsidR="00000000" w:rsidRDefault="00000000">
            <w:pPr>
              <w:tabs>
                <w:tab w:val="clear" w:pos="1134"/>
                <w:tab w:val="left" w:pos="7088"/>
              </w:tabs>
              <w:spacing w:line="240" w:lineRule="auto"/>
              <w:ind w:right="176"/>
              <w:jc w:val="right"/>
              <w:rPr>
                <w:lang w:val="en-US"/>
              </w:rPr>
            </w:pPr>
            <w:r>
              <w:rPr>
                <w:lang w:val="en-US"/>
              </w:rPr>
              <w:t>17 844</w:t>
            </w:r>
          </w:p>
        </w:tc>
      </w:tr>
    </w:tbl>
    <w:p w:rsidR="00000000" w:rsidRDefault="00000000">
      <w:pPr>
        <w:pStyle w:val="Heading2"/>
        <w:spacing w:line="240" w:lineRule="auto"/>
        <w:jc w:val="center"/>
        <w:rPr>
          <w:b/>
          <w:bCs/>
          <w:sz w:val="16"/>
          <w:u w:val="none"/>
        </w:rPr>
      </w:pPr>
    </w:p>
    <w:p w:rsidR="00000000" w:rsidRDefault="00000000">
      <w:pPr>
        <w:pStyle w:val="Heading2"/>
        <w:spacing w:line="240" w:lineRule="auto"/>
        <w:jc w:val="center"/>
        <w:rPr>
          <w:b/>
          <w:bCs/>
          <w:u w:val="none"/>
        </w:rPr>
      </w:pPr>
      <w:r>
        <w:rPr>
          <w:b/>
          <w:bCs/>
          <w:u w:val="none"/>
        </w:rPr>
        <w:t>Валовой внутренний доход:  текущие цены</w:t>
      </w:r>
    </w:p>
    <w:p w:rsidR="00000000" w:rsidRDefault="00000000">
      <w:pPr>
        <w:pStyle w:val="Heading2"/>
        <w:spacing w:line="240" w:lineRule="auto"/>
        <w:jc w:val="center"/>
        <w:rPr>
          <w:sz w:val="16"/>
          <w:u w:val="none"/>
        </w:rPr>
      </w:pPr>
    </w:p>
    <w:p w:rsidR="00000000" w:rsidRDefault="00000000">
      <w:pPr>
        <w:pStyle w:val="Header"/>
        <w:tabs>
          <w:tab w:val="left" w:pos="7230"/>
        </w:tabs>
        <w:spacing w:line="240" w:lineRule="auto"/>
        <w:jc w:val="right"/>
      </w:pPr>
      <w:r>
        <w:t xml:space="preserve">В млн. </w:t>
      </w:r>
      <w:proofErr w:type="spellStart"/>
      <w:r>
        <w:t>денаров</w:t>
      </w:r>
      <w:proofErr w:type="spellEnd"/>
    </w:p>
    <w:p w:rsidR="00000000" w:rsidRDefault="00000000">
      <w:pPr>
        <w:pStyle w:val="Header"/>
        <w:tabs>
          <w:tab w:val="left" w:pos="7230"/>
        </w:tabs>
        <w:spacing w:line="240" w:lineRule="auto"/>
        <w:jc w:val="righ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3882"/>
        <w:gridCol w:w="1559"/>
        <w:gridCol w:w="1417"/>
        <w:gridCol w:w="1418"/>
      </w:tblGrid>
      <w:tr w:rsidR="00000000">
        <w:tblPrEx>
          <w:tblCellMar>
            <w:top w:w="0" w:type="dxa"/>
            <w:bottom w:w="0" w:type="dxa"/>
          </w:tblCellMar>
        </w:tblPrEx>
        <w:trPr>
          <w:cantSplit/>
        </w:trPr>
        <w:tc>
          <w:tcPr>
            <w:tcW w:w="4962" w:type="dxa"/>
            <w:gridSpan w:val="2"/>
            <w:tcBorders>
              <w:bottom w:val="single" w:sz="4" w:space="0" w:color="auto"/>
            </w:tcBorders>
          </w:tcPr>
          <w:p w:rsidR="00000000" w:rsidRDefault="00000000">
            <w:pPr>
              <w:spacing w:line="240" w:lineRule="auto"/>
            </w:pPr>
          </w:p>
        </w:tc>
        <w:tc>
          <w:tcPr>
            <w:tcW w:w="1559" w:type="dxa"/>
            <w:tcBorders>
              <w:bottom w:val="single" w:sz="4" w:space="0" w:color="auto"/>
            </w:tcBorders>
          </w:tcPr>
          <w:p w:rsidR="00000000" w:rsidRDefault="00000000">
            <w:pPr>
              <w:spacing w:line="240" w:lineRule="auto"/>
              <w:jc w:val="center"/>
            </w:pPr>
            <w:r>
              <w:t>2001</w:t>
            </w:r>
          </w:p>
        </w:tc>
        <w:tc>
          <w:tcPr>
            <w:tcW w:w="1417" w:type="dxa"/>
            <w:tcBorders>
              <w:bottom w:val="single" w:sz="4" w:space="0" w:color="auto"/>
            </w:tcBorders>
          </w:tcPr>
          <w:p w:rsidR="00000000" w:rsidRDefault="00000000">
            <w:pPr>
              <w:spacing w:line="240" w:lineRule="auto"/>
              <w:jc w:val="center"/>
              <w:rPr>
                <w:b/>
                <w:bCs/>
                <w:vertAlign w:val="superscript"/>
              </w:rPr>
            </w:pPr>
            <w:r>
              <w:t>2002</w:t>
            </w:r>
            <w:r>
              <w:rPr>
                <w:b/>
                <w:bCs/>
                <w:vertAlign w:val="superscript"/>
                <w:lang w:val="en-US"/>
              </w:rPr>
              <w:t>a</w:t>
            </w:r>
          </w:p>
        </w:tc>
        <w:tc>
          <w:tcPr>
            <w:tcW w:w="1418" w:type="dxa"/>
            <w:tcBorders>
              <w:bottom w:val="single" w:sz="4" w:space="0" w:color="auto"/>
            </w:tcBorders>
          </w:tcPr>
          <w:p w:rsidR="00000000" w:rsidRDefault="00000000">
            <w:pPr>
              <w:spacing w:line="240" w:lineRule="auto"/>
              <w:jc w:val="center"/>
            </w:pPr>
            <w:r>
              <w:t>2003</w:t>
            </w:r>
          </w:p>
        </w:tc>
      </w:tr>
      <w:tr w:rsidR="00000000">
        <w:tblPrEx>
          <w:tblCellMar>
            <w:top w:w="0" w:type="dxa"/>
            <w:bottom w:w="0" w:type="dxa"/>
          </w:tblCellMar>
        </w:tblPrEx>
        <w:tc>
          <w:tcPr>
            <w:tcW w:w="1080" w:type="dxa"/>
            <w:tcBorders>
              <w:bottom w:val="nil"/>
            </w:tcBorders>
          </w:tcPr>
          <w:p w:rsidR="00000000" w:rsidRDefault="00000000">
            <w:pPr>
              <w:spacing w:line="240" w:lineRule="auto"/>
            </w:pPr>
            <w:r>
              <w:t>1</w:t>
            </w:r>
          </w:p>
        </w:tc>
        <w:tc>
          <w:tcPr>
            <w:tcW w:w="3882" w:type="dxa"/>
            <w:tcBorders>
              <w:bottom w:val="nil"/>
            </w:tcBorders>
          </w:tcPr>
          <w:p w:rsidR="00000000" w:rsidRDefault="00000000">
            <w:pPr>
              <w:spacing w:line="240" w:lineRule="auto"/>
            </w:pPr>
            <w:proofErr w:type="spellStart"/>
            <w:r>
              <w:t>ВВП</w:t>
            </w:r>
            <w:proofErr w:type="spellEnd"/>
            <w:r>
              <w:t xml:space="preserve"> в рыночных ценах</w:t>
            </w:r>
          </w:p>
        </w:tc>
        <w:tc>
          <w:tcPr>
            <w:tcW w:w="1559" w:type="dxa"/>
            <w:tcBorders>
              <w:bottom w:val="nil"/>
            </w:tcBorders>
          </w:tcPr>
          <w:p w:rsidR="00000000" w:rsidRDefault="00000000">
            <w:pPr>
              <w:tabs>
                <w:tab w:val="clear" w:pos="1134"/>
              </w:tabs>
              <w:spacing w:line="240" w:lineRule="auto"/>
              <w:ind w:right="254"/>
              <w:jc w:val="right"/>
            </w:pPr>
            <w:r>
              <w:t>233 841</w:t>
            </w:r>
          </w:p>
        </w:tc>
        <w:tc>
          <w:tcPr>
            <w:tcW w:w="1417" w:type="dxa"/>
            <w:tcBorders>
              <w:bottom w:val="nil"/>
            </w:tcBorders>
          </w:tcPr>
          <w:p w:rsidR="00000000" w:rsidRDefault="00000000">
            <w:pPr>
              <w:tabs>
                <w:tab w:val="clear" w:pos="1134"/>
              </w:tabs>
              <w:spacing w:line="240" w:lineRule="auto"/>
              <w:ind w:right="201"/>
              <w:jc w:val="right"/>
            </w:pPr>
            <w:r>
              <w:t>243 970</w:t>
            </w:r>
          </w:p>
        </w:tc>
        <w:tc>
          <w:tcPr>
            <w:tcW w:w="1418" w:type="dxa"/>
            <w:tcBorders>
              <w:bottom w:val="nil"/>
            </w:tcBorders>
          </w:tcPr>
          <w:p w:rsidR="00000000" w:rsidRDefault="00000000">
            <w:pPr>
              <w:tabs>
                <w:tab w:val="clear" w:pos="1134"/>
              </w:tabs>
              <w:spacing w:line="240" w:lineRule="auto"/>
              <w:ind w:right="163"/>
              <w:jc w:val="right"/>
            </w:pPr>
            <w:r>
              <w:t>251 486</w:t>
            </w:r>
          </w:p>
        </w:tc>
      </w:tr>
      <w:tr w:rsidR="00000000">
        <w:tblPrEx>
          <w:tblCellMar>
            <w:top w:w="0" w:type="dxa"/>
            <w:bottom w:w="0" w:type="dxa"/>
          </w:tblCellMar>
        </w:tblPrEx>
        <w:tc>
          <w:tcPr>
            <w:tcW w:w="1080" w:type="dxa"/>
            <w:tcBorders>
              <w:top w:val="nil"/>
              <w:bottom w:val="nil"/>
            </w:tcBorders>
          </w:tcPr>
          <w:p w:rsidR="00000000" w:rsidRDefault="00000000">
            <w:pPr>
              <w:spacing w:line="240" w:lineRule="auto"/>
            </w:pPr>
            <w:r>
              <w:t>2</w:t>
            </w:r>
          </w:p>
        </w:tc>
        <w:tc>
          <w:tcPr>
            <w:tcW w:w="3882" w:type="dxa"/>
            <w:tcBorders>
              <w:top w:val="nil"/>
              <w:bottom w:val="nil"/>
            </w:tcBorders>
          </w:tcPr>
          <w:p w:rsidR="00000000" w:rsidRDefault="00000000">
            <w:pPr>
              <w:pStyle w:val="Header"/>
              <w:spacing w:line="240" w:lineRule="auto"/>
            </w:pPr>
            <w:r>
              <w:t>Чистый первичный доход из-за рубежа</w:t>
            </w:r>
          </w:p>
        </w:tc>
        <w:tc>
          <w:tcPr>
            <w:tcW w:w="1559" w:type="dxa"/>
            <w:tcBorders>
              <w:top w:val="nil"/>
              <w:bottom w:val="nil"/>
            </w:tcBorders>
          </w:tcPr>
          <w:p w:rsidR="00000000" w:rsidRDefault="00000000">
            <w:pPr>
              <w:tabs>
                <w:tab w:val="clear" w:pos="1134"/>
              </w:tabs>
              <w:spacing w:line="240" w:lineRule="auto"/>
              <w:ind w:right="254"/>
              <w:jc w:val="right"/>
            </w:pPr>
            <w:r>
              <w:t>-2 770</w:t>
            </w:r>
          </w:p>
        </w:tc>
        <w:tc>
          <w:tcPr>
            <w:tcW w:w="1417" w:type="dxa"/>
            <w:tcBorders>
              <w:top w:val="nil"/>
              <w:bottom w:val="nil"/>
            </w:tcBorders>
          </w:tcPr>
          <w:p w:rsidR="00000000" w:rsidRDefault="00000000">
            <w:pPr>
              <w:tabs>
                <w:tab w:val="clear" w:pos="1134"/>
              </w:tabs>
              <w:spacing w:line="240" w:lineRule="auto"/>
              <w:ind w:right="201"/>
              <w:jc w:val="right"/>
              <w:rPr>
                <w:lang w:val="en-US"/>
              </w:rPr>
            </w:pPr>
            <w:r>
              <w:t>-</w:t>
            </w:r>
            <w:r>
              <w:rPr>
                <w:lang w:val="en-US"/>
              </w:rPr>
              <w:t>1 928</w:t>
            </w:r>
          </w:p>
        </w:tc>
        <w:tc>
          <w:tcPr>
            <w:tcW w:w="1418" w:type="dxa"/>
            <w:tcBorders>
              <w:top w:val="nil"/>
              <w:bottom w:val="nil"/>
            </w:tcBorders>
          </w:tcPr>
          <w:p w:rsidR="00000000" w:rsidRDefault="00000000">
            <w:pPr>
              <w:tabs>
                <w:tab w:val="clear" w:pos="1134"/>
              </w:tabs>
              <w:spacing w:line="240" w:lineRule="auto"/>
              <w:ind w:right="163"/>
              <w:jc w:val="right"/>
              <w:rPr>
                <w:lang w:val="en-US"/>
              </w:rPr>
            </w:pPr>
            <w:r>
              <w:rPr>
                <w:lang w:val="en-US"/>
              </w:rPr>
              <w:t>-1 756</w:t>
            </w:r>
          </w:p>
        </w:tc>
      </w:tr>
      <w:tr w:rsidR="00000000">
        <w:tblPrEx>
          <w:tblCellMar>
            <w:top w:w="0" w:type="dxa"/>
            <w:bottom w:w="0" w:type="dxa"/>
          </w:tblCellMar>
        </w:tblPrEx>
        <w:tc>
          <w:tcPr>
            <w:tcW w:w="1080" w:type="dxa"/>
            <w:tcBorders>
              <w:top w:val="nil"/>
              <w:bottom w:val="nil"/>
            </w:tcBorders>
          </w:tcPr>
          <w:p w:rsidR="00000000" w:rsidRDefault="00000000">
            <w:pPr>
              <w:spacing w:line="240" w:lineRule="auto"/>
              <w:rPr>
                <w:lang w:val="en-US"/>
              </w:rPr>
            </w:pPr>
            <w:r>
              <w:rPr>
                <w:lang w:val="en-US"/>
              </w:rPr>
              <w:t>3=1+2</w:t>
            </w:r>
          </w:p>
        </w:tc>
        <w:tc>
          <w:tcPr>
            <w:tcW w:w="3882" w:type="dxa"/>
            <w:tcBorders>
              <w:top w:val="nil"/>
              <w:bottom w:val="nil"/>
            </w:tcBorders>
          </w:tcPr>
          <w:p w:rsidR="00000000" w:rsidRDefault="00000000">
            <w:pPr>
              <w:spacing w:line="240" w:lineRule="auto"/>
            </w:pPr>
            <w:r>
              <w:t>Валовой внутренний доход</w:t>
            </w:r>
          </w:p>
        </w:tc>
        <w:tc>
          <w:tcPr>
            <w:tcW w:w="1559" w:type="dxa"/>
            <w:tcBorders>
              <w:top w:val="nil"/>
              <w:bottom w:val="nil"/>
            </w:tcBorders>
          </w:tcPr>
          <w:p w:rsidR="00000000" w:rsidRDefault="00000000">
            <w:pPr>
              <w:tabs>
                <w:tab w:val="clear" w:pos="1134"/>
              </w:tabs>
              <w:spacing w:line="240" w:lineRule="auto"/>
              <w:ind w:right="254"/>
              <w:jc w:val="right"/>
              <w:rPr>
                <w:lang w:val="en-US"/>
              </w:rPr>
            </w:pPr>
            <w:r>
              <w:rPr>
                <w:lang w:val="en-US"/>
              </w:rPr>
              <w:t>231 071</w:t>
            </w:r>
          </w:p>
        </w:tc>
        <w:tc>
          <w:tcPr>
            <w:tcW w:w="1417" w:type="dxa"/>
            <w:tcBorders>
              <w:top w:val="nil"/>
              <w:bottom w:val="nil"/>
            </w:tcBorders>
          </w:tcPr>
          <w:p w:rsidR="00000000" w:rsidRDefault="00000000">
            <w:pPr>
              <w:tabs>
                <w:tab w:val="clear" w:pos="1134"/>
              </w:tabs>
              <w:spacing w:line="240" w:lineRule="auto"/>
              <w:ind w:right="201"/>
              <w:jc w:val="right"/>
              <w:rPr>
                <w:lang w:val="en-US"/>
              </w:rPr>
            </w:pPr>
            <w:r>
              <w:rPr>
                <w:lang w:val="en-US"/>
              </w:rPr>
              <w:t>242 043</w:t>
            </w:r>
          </w:p>
        </w:tc>
        <w:tc>
          <w:tcPr>
            <w:tcW w:w="1418" w:type="dxa"/>
            <w:tcBorders>
              <w:top w:val="nil"/>
              <w:bottom w:val="nil"/>
            </w:tcBorders>
          </w:tcPr>
          <w:p w:rsidR="00000000" w:rsidRDefault="00000000">
            <w:pPr>
              <w:tabs>
                <w:tab w:val="clear" w:pos="1134"/>
              </w:tabs>
              <w:spacing w:line="240" w:lineRule="auto"/>
              <w:ind w:right="163"/>
              <w:jc w:val="right"/>
              <w:rPr>
                <w:lang w:val="en-US"/>
              </w:rPr>
            </w:pPr>
            <w:r>
              <w:rPr>
                <w:lang w:val="en-US"/>
              </w:rPr>
              <w:t>249 731</w:t>
            </w:r>
          </w:p>
        </w:tc>
      </w:tr>
      <w:tr w:rsidR="00000000">
        <w:tblPrEx>
          <w:tblCellMar>
            <w:top w:w="0" w:type="dxa"/>
            <w:bottom w:w="0" w:type="dxa"/>
          </w:tblCellMar>
        </w:tblPrEx>
        <w:tc>
          <w:tcPr>
            <w:tcW w:w="1080" w:type="dxa"/>
            <w:tcBorders>
              <w:top w:val="nil"/>
              <w:bottom w:val="nil"/>
            </w:tcBorders>
          </w:tcPr>
          <w:p w:rsidR="00000000" w:rsidRDefault="00000000">
            <w:pPr>
              <w:spacing w:line="240" w:lineRule="auto"/>
              <w:rPr>
                <w:lang w:val="en-US"/>
              </w:rPr>
            </w:pPr>
            <w:r>
              <w:rPr>
                <w:lang w:val="en-US"/>
              </w:rPr>
              <w:t>4</w:t>
            </w:r>
          </w:p>
        </w:tc>
        <w:tc>
          <w:tcPr>
            <w:tcW w:w="3882" w:type="dxa"/>
            <w:tcBorders>
              <w:top w:val="nil"/>
              <w:bottom w:val="nil"/>
            </w:tcBorders>
          </w:tcPr>
          <w:p w:rsidR="00000000" w:rsidRDefault="00000000">
            <w:pPr>
              <w:spacing w:line="240" w:lineRule="auto"/>
            </w:pPr>
            <w:r>
              <w:t>Чистые текущие трансферты из-за рубежа</w:t>
            </w:r>
          </w:p>
        </w:tc>
        <w:tc>
          <w:tcPr>
            <w:tcW w:w="1559" w:type="dxa"/>
            <w:tcBorders>
              <w:top w:val="nil"/>
              <w:bottom w:val="nil"/>
            </w:tcBorders>
          </w:tcPr>
          <w:p w:rsidR="00000000" w:rsidRDefault="00000000">
            <w:pPr>
              <w:tabs>
                <w:tab w:val="clear" w:pos="1134"/>
              </w:tabs>
              <w:spacing w:line="240" w:lineRule="auto"/>
              <w:ind w:right="254"/>
              <w:jc w:val="right"/>
              <w:rPr>
                <w:lang w:val="en-US"/>
              </w:rPr>
            </w:pPr>
            <w:r>
              <w:rPr>
                <w:lang w:val="en-US"/>
              </w:rPr>
              <w:t>18 743</w:t>
            </w:r>
          </w:p>
        </w:tc>
        <w:tc>
          <w:tcPr>
            <w:tcW w:w="1417" w:type="dxa"/>
            <w:tcBorders>
              <w:top w:val="nil"/>
              <w:bottom w:val="nil"/>
            </w:tcBorders>
          </w:tcPr>
          <w:p w:rsidR="00000000" w:rsidRDefault="00000000">
            <w:pPr>
              <w:tabs>
                <w:tab w:val="clear" w:pos="1134"/>
              </w:tabs>
              <w:spacing w:line="240" w:lineRule="auto"/>
              <w:ind w:right="201"/>
              <w:jc w:val="right"/>
              <w:rPr>
                <w:lang w:val="en-US"/>
              </w:rPr>
            </w:pPr>
            <w:r>
              <w:rPr>
                <w:lang w:val="en-US"/>
              </w:rPr>
              <w:t>27 867</w:t>
            </w:r>
          </w:p>
        </w:tc>
        <w:tc>
          <w:tcPr>
            <w:tcW w:w="1418" w:type="dxa"/>
            <w:tcBorders>
              <w:top w:val="nil"/>
              <w:bottom w:val="nil"/>
            </w:tcBorders>
          </w:tcPr>
          <w:p w:rsidR="00000000" w:rsidRDefault="00000000">
            <w:pPr>
              <w:tabs>
                <w:tab w:val="clear" w:pos="1134"/>
              </w:tabs>
              <w:spacing w:line="240" w:lineRule="auto"/>
              <w:ind w:right="163"/>
              <w:jc w:val="right"/>
              <w:rPr>
                <w:lang w:val="en-US"/>
              </w:rPr>
            </w:pPr>
            <w:r>
              <w:rPr>
                <w:lang w:val="en-US"/>
              </w:rPr>
              <w:t>36 114</w:t>
            </w:r>
          </w:p>
        </w:tc>
      </w:tr>
      <w:tr w:rsidR="00000000">
        <w:tblPrEx>
          <w:tblCellMar>
            <w:top w:w="0" w:type="dxa"/>
            <w:bottom w:w="0" w:type="dxa"/>
          </w:tblCellMar>
        </w:tblPrEx>
        <w:tc>
          <w:tcPr>
            <w:tcW w:w="1080" w:type="dxa"/>
            <w:tcBorders>
              <w:top w:val="nil"/>
              <w:bottom w:val="nil"/>
            </w:tcBorders>
          </w:tcPr>
          <w:p w:rsidR="00000000" w:rsidRDefault="00000000">
            <w:pPr>
              <w:spacing w:line="240" w:lineRule="auto"/>
              <w:rPr>
                <w:lang w:val="en-US"/>
              </w:rPr>
            </w:pPr>
            <w:r>
              <w:rPr>
                <w:lang w:val="en-US"/>
              </w:rPr>
              <w:t>5=3+4</w:t>
            </w:r>
          </w:p>
        </w:tc>
        <w:tc>
          <w:tcPr>
            <w:tcW w:w="3882" w:type="dxa"/>
            <w:tcBorders>
              <w:top w:val="nil"/>
              <w:bottom w:val="nil"/>
            </w:tcBorders>
          </w:tcPr>
          <w:p w:rsidR="00000000" w:rsidRDefault="00000000">
            <w:pPr>
              <w:spacing w:line="240" w:lineRule="auto"/>
            </w:pPr>
            <w:r>
              <w:t>Валовой внутренний располагаемый доход</w:t>
            </w:r>
          </w:p>
        </w:tc>
        <w:tc>
          <w:tcPr>
            <w:tcW w:w="1559" w:type="dxa"/>
            <w:tcBorders>
              <w:top w:val="nil"/>
              <w:bottom w:val="nil"/>
            </w:tcBorders>
          </w:tcPr>
          <w:p w:rsidR="00000000" w:rsidRDefault="00000000">
            <w:pPr>
              <w:tabs>
                <w:tab w:val="clear" w:pos="1134"/>
              </w:tabs>
              <w:spacing w:line="240" w:lineRule="auto"/>
              <w:ind w:right="254"/>
              <w:jc w:val="right"/>
              <w:rPr>
                <w:lang w:val="en-US"/>
              </w:rPr>
            </w:pPr>
            <w:r>
              <w:rPr>
                <w:lang w:val="en-US"/>
              </w:rPr>
              <w:t>249 814</w:t>
            </w:r>
          </w:p>
        </w:tc>
        <w:tc>
          <w:tcPr>
            <w:tcW w:w="1417" w:type="dxa"/>
            <w:tcBorders>
              <w:top w:val="nil"/>
              <w:bottom w:val="nil"/>
            </w:tcBorders>
          </w:tcPr>
          <w:p w:rsidR="00000000" w:rsidRDefault="00000000">
            <w:pPr>
              <w:tabs>
                <w:tab w:val="clear" w:pos="1134"/>
              </w:tabs>
              <w:spacing w:line="240" w:lineRule="auto"/>
              <w:ind w:right="201"/>
              <w:jc w:val="right"/>
              <w:rPr>
                <w:lang w:val="en-US"/>
              </w:rPr>
            </w:pPr>
            <w:r>
              <w:rPr>
                <w:lang w:val="en-US"/>
              </w:rPr>
              <w:t>269 909</w:t>
            </w:r>
          </w:p>
        </w:tc>
        <w:tc>
          <w:tcPr>
            <w:tcW w:w="1418" w:type="dxa"/>
            <w:tcBorders>
              <w:top w:val="nil"/>
              <w:bottom w:val="nil"/>
            </w:tcBorders>
          </w:tcPr>
          <w:p w:rsidR="00000000" w:rsidRDefault="00000000">
            <w:pPr>
              <w:tabs>
                <w:tab w:val="clear" w:pos="1134"/>
              </w:tabs>
              <w:spacing w:line="240" w:lineRule="auto"/>
              <w:ind w:right="163"/>
              <w:jc w:val="right"/>
              <w:rPr>
                <w:lang w:val="en-US"/>
              </w:rPr>
            </w:pPr>
            <w:r>
              <w:rPr>
                <w:lang w:val="en-US"/>
              </w:rPr>
              <w:t>285 845</w:t>
            </w:r>
          </w:p>
        </w:tc>
      </w:tr>
      <w:tr w:rsidR="00000000">
        <w:tblPrEx>
          <w:tblCellMar>
            <w:top w:w="0" w:type="dxa"/>
            <w:bottom w:w="0" w:type="dxa"/>
          </w:tblCellMar>
        </w:tblPrEx>
        <w:tc>
          <w:tcPr>
            <w:tcW w:w="1080" w:type="dxa"/>
            <w:tcBorders>
              <w:top w:val="nil"/>
              <w:bottom w:val="nil"/>
            </w:tcBorders>
          </w:tcPr>
          <w:p w:rsidR="00000000" w:rsidRDefault="00000000">
            <w:pPr>
              <w:spacing w:line="240" w:lineRule="auto"/>
              <w:rPr>
                <w:lang w:val="en-US"/>
              </w:rPr>
            </w:pPr>
            <w:r>
              <w:rPr>
                <w:lang w:val="en-US"/>
              </w:rPr>
              <w:t>6</w:t>
            </w:r>
          </w:p>
        </w:tc>
        <w:tc>
          <w:tcPr>
            <w:tcW w:w="3882" w:type="dxa"/>
            <w:tcBorders>
              <w:top w:val="nil"/>
              <w:bottom w:val="nil"/>
            </w:tcBorders>
          </w:tcPr>
          <w:p w:rsidR="00000000" w:rsidRDefault="00000000">
            <w:pPr>
              <w:spacing w:line="240" w:lineRule="auto"/>
            </w:pPr>
            <w:r>
              <w:t>Конечное потребление</w:t>
            </w:r>
          </w:p>
        </w:tc>
        <w:tc>
          <w:tcPr>
            <w:tcW w:w="1559" w:type="dxa"/>
            <w:tcBorders>
              <w:top w:val="nil"/>
              <w:bottom w:val="nil"/>
            </w:tcBorders>
          </w:tcPr>
          <w:p w:rsidR="00000000" w:rsidRDefault="00000000">
            <w:pPr>
              <w:tabs>
                <w:tab w:val="clear" w:pos="1134"/>
              </w:tabs>
              <w:spacing w:line="240" w:lineRule="auto"/>
              <w:ind w:right="254"/>
              <w:jc w:val="right"/>
              <w:rPr>
                <w:lang w:val="en-US"/>
              </w:rPr>
            </w:pPr>
            <w:r>
              <w:rPr>
                <w:lang w:val="en-US"/>
              </w:rPr>
              <w:t>221 771</w:t>
            </w:r>
          </w:p>
        </w:tc>
        <w:tc>
          <w:tcPr>
            <w:tcW w:w="1417" w:type="dxa"/>
            <w:tcBorders>
              <w:top w:val="nil"/>
              <w:bottom w:val="nil"/>
            </w:tcBorders>
          </w:tcPr>
          <w:p w:rsidR="00000000" w:rsidRDefault="00000000">
            <w:pPr>
              <w:tabs>
                <w:tab w:val="clear" w:pos="1134"/>
              </w:tabs>
              <w:spacing w:line="240" w:lineRule="auto"/>
              <w:ind w:right="201"/>
              <w:jc w:val="right"/>
              <w:rPr>
                <w:lang w:val="en-US"/>
              </w:rPr>
            </w:pPr>
            <w:r>
              <w:rPr>
                <w:lang w:val="en-US"/>
              </w:rPr>
              <w:t>242 795</w:t>
            </w:r>
          </w:p>
        </w:tc>
        <w:tc>
          <w:tcPr>
            <w:tcW w:w="1418" w:type="dxa"/>
            <w:tcBorders>
              <w:top w:val="nil"/>
              <w:bottom w:val="nil"/>
            </w:tcBorders>
          </w:tcPr>
          <w:p w:rsidR="00000000" w:rsidRDefault="00000000">
            <w:pPr>
              <w:tabs>
                <w:tab w:val="clear" w:pos="1134"/>
              </w:tabs>
              <w:spacing w:line="240" w:lineRule="auto"/>
              <w:ind w:right="163"/>
              <w:jc w:val="right"/>
              <w:rPr>
                <w:lang w:val="en-US"/>
              </w:rPr>
            </w:pPr>
            <w:r>
              <w:rPr>
                <w:lang w:val="en-US"/>
              </w:rPr>
              <w:t>243 853</w:t>
            </w:r>
          </w:p>
        </w:tc>
      </w:tr>
      <w:tr w:rsidR="00000000">
        <w:tblPrEx>
          <w:tblCellMar>
            <w:top w:w="0" w:type="dxa"/>
            <w:bottom w:w="0" w:type="dxa"/>
          </w:tblCellMar>
        </w:tblPrEx>
        <w:tc>
          <w:tcPr>
            <w:tcW w:w="1080" w:type="dxa"/>
            <w:tcBorders>
              <w:top w:val="nil"/>
              <w:bottom w:val="nil"/>
            </w:tcBorders>
          </w:tcPr>
          <w:p w:rsidR="00000000" w:rsidRDefault="00000000">
            <w:pPr>
              <w:spacing w:line="240" w:lineRule="auto"/>
              <w:rPr>
                <w:lang w:val="en-US"/>
              </w:rPr>
            </w:pPr>
            <w:r>
              <w:rPr>
                <w:lang w:val="en-US"/>
              </w:rPr>
              <w:t>7=5-6</w:t>
            </w:r>
          </w:p>
        </w:tc>
        <w:tc>
          <w:tcPr>
            <w:tcW w:w="3882" w:type="dxa"/>
            <w:tcBorders>
              <w:top w:val="nil"/>
              <w:bottom w:val="nil"/>
            </w:tcBorders>
          </w:tcPr>
          <w:p w:rsidR="00000000" w:rsidRDefault="00000000">
            <w:pPr>
              <w:spacing w:line="240" w:lineRule="auto"/>
            </w:pPr>
            <w:r>
              <w:t>Валовые национальные накопления</w:t>
            </w:r>
          </w:p>
        </w:tc>
        <w:tc>
          <w:tcPr>
            <w:tcW w:w="1559" w:type="dxa"/>
            <w:tcBorders>
              <w:top w:val="nil"/>
              <w:bottom w:val="nil"/>
            </w:tcBorders>
          </w:tcPr>
          <w:p w:rsidR="00000000" w:rsidRDefault="00000000">
            <w:pPr>
              <w:tabs>
                <w:tab w:val="clear" w:pos="1134"/>
              </w:tabs>
              <w:spacing w:line="240" w:lineRule="auto"/>
              <w:ind w:right="254"/>
              <w:jc w:val="right"/>
              <w:rPr>
                <w:lang w:val="en-US"/>
              </w:rPr>
            </w:pPr>
            <w:r>
              <w:rPr>
                <w:lang w:val="en-US"/>
              </w:rPr>
              <w:t>28 043</w:t>
            </w:r>
          </w:p>
        </w:tc>
        <w:tc>
          <w:tcPr>
            <w:tcW w:w="1417" w:type="dxa"/>
            <w:tcBorders>
              <w:top w:val="nil"/>
              <w:bottom w:val="nil"/>
            </w:tcBorders>
          </w:tcPr>
          <w:p w:rsidR="00000000" w:rsidRDefault="00000000">
            <w:pPr>
              <w:tabs>
                <w:tab w:val="clear" w:pos="1134"/>
              </w:tabs>
              <w:spacing w:line="240" w:lineRule="auto"/>
              <w:ind w:right="201"/>
              <w:jc w:val="right"/>
              <w:rPr>
                <w:lang w:val="en-US"/>
              </w:rPr>
            </w:pPr>
            <w:r>
              <w:rPr>
                <w:lang w:val="en-US"/>
              </w:rPr>
              <w:t>27 114</w:t>
            </w:r>
          </w:p>
        </w:tc>
        <w:tc>
          <w:tcPr>
            <w:tcW w:w="1418" w:type="dxa"/>
            <w:tcBorders>
              <w:top w:val="nil"/>
              <w:bottom w:val="nil"/>
            </w:tcBorders>
          </w:tcPr>
          <w:p w:rsidR="00000000" w:rsidRDefault="00000000">
            <w:pPr>
              <w:tabs>
                <w:tab w:val="clear" w:pos="1134"/>
              </w:tabs>
              <w:spacing w:line="240" w:lineRule="auto"/>
              <w:ind w:right="163"/>
              <w:jc w:val="right"/>
              <w:rPr>
                <w:lang w:val="en-US"/>
              </w:rPr>
            </w:pPr>
            <w:r>
              <w:rPr>
                <w:lang w:val="en-US"/>
              </w:rPr>
              <w:t>41 992</w:t>
            </w:r>
          </w:p>
        </w:tc>
      </w:tr>
      <w:tr w:rsidR="00000000">
        <w:tblPrEx>
          <w:tblCellMar>
            <w:top w:w="0" w:type="dxa"/>
            <w:bottom w:w="0" w:type="dxa"/>
          </w:tblCellMar>
        </w:tblPrEx>
        <w:tc>
          <w:tcPr>
            <w:tcW w:w="1080" w:type="dxa"/>
            <w:tcBorders>
              <w:top w:val="nil"/>
              <w:bottom w:val="nil"/>
            </w:tcBorders>
          </w:tcPr>
          <w:p w:rsidR="00000000" w:rsidRDefault="00000000">
            <w:pPr>
              <w:spacing w:line="240" w:lineRule="auto"/>
              <w:rPr>
                <w:lang w:val="en-US"/>
              </w:rPr>
            </w:pPr>
            <w:r>
              <w:rPr>
                <w:lang w:val="en-US"/>
              </w:rPr>
              <w:t>8=1-6</w:t>
            </w:r>
          </w:p>
        </w:tc>
        <w:tc>
          <w:tcPr>
            <w:tcW w:w="3882" w:type="dxa"/>
            <w:tcBorders>
              <w:top w:val="nil"/>
              <w:bottom w:val="nil"/>
            </w:tcBorders>
          </w:tcPr>
          <w:p w:rsidR="00000000" w:rsidRDefault="00000000">
            <w:pPr>
              <w:spacing w:line="240" w:lineRule="auto"/>
            </w:pPr>
            <w:r>
              <w:t>Валовые внутренние накопления</w:t>
            </w:r>
          </w:p>
        </w:tc>
        <w:tc>
          <w:tcPr>
            <w:tcW w:w="1559" w:type="dxa"/>
            <w:tcBorders>
              <w:top w:val="nil"/>
              <w:bottom w:val="nil"/>
            </w:tcBorders>
          </w:tcPr>
          <w:p w:rsidR="00000000" w:rsidRDefault="00000000">
            <w:pPr>
              <w:tabs>
                <w:tab w:val="clear" w:pos="1134"/>
              </w:tabs>
              <w:spacing w:line="240" w:lineRule="auto"/>
              <w:ind w:right="254"/>
              <w:jc w:val="right"/>
              <w:rPr>
                <w:lang w:val="en-US"/>
              </w:rPr>
            </w:pPr>
            <w:r>
              <w:rPr>
                <w:lang w:val="en-US"/>
              </w:rPr>
              <w:t>12 070</w:t>
            </w:r>
          </w:p>
        </w:tc>
        <w:tc>
          <w:tcPr>
            <w:tcW w:w="1417" w:type="dxa"/>
            <w:tcBorders>
              <w:top w:val="nil"/>
              <w:bottom w:val="nil"/>
            </w:tcBorders>
          </w:tcPr>
          <w:p w:rsidR="00000000" w:rsidRDefault="00000000">
            <w:pPr>
              <w:tabs>
                <w:tab w:val="clear" w:pos="1134"/>
              </w:tabs>
              <w:spacing w:line="240" w:lineRule="auto"/>
              <w:ind w:right="201"/>
              <w:jc w:val="right"/>
              <w:rPr>
                <w:lang w:val="en-US"/>
              </w:rPr>
            </w:pPr>
            <w:r>
              <w:rPr>
                <w:lang w:val="en-US"/>
              </w:rPr>
              <w:t>1 175</w:t>
            </w:r>
          </w:p>
        </w:tc>
        <w:tc>
          <w:tcPr>
            <w:tcW w:w="1418" w:type="dxa"/>
            <w:tcBorders>
              <w:top w:val="nil"/>
              <w:bottom w:val="nil"/>
            </w:tcBorders>
          </w:tcPr>
          <w:p w:rsidR="00000000" w:rsidRDefault="00000000">
            <w:pPr>
              <w:tabs>
                <w:tab w:val="clear" w:pos="1134"/>
              </w:tabs>
              <w:spacing w:line="240" w:lineRule="auto"/>
              <w:ind w:right="163"/>
              <w:jc w:val="right"/>
              <w:rPr>
                <w:lang w:val="en-US"/>
              </w:rPr>
            </w:pPr>
            <w:r>
              <w:rPr>
                <w:lang w:val="en-US"/>
              </w:rPr>
              <w:t>7 633</w:t>
            </w:r>
          </w:p>
        </w:tc>
      </w:tr>
      <w:tr w:rsidR="00000000">
        <w:tblPrEx>
          <w:tblCellMar>
            <w:top w:w="0" w:type="dxa"/>
            <w:bottom w:w="0" w:type="dxa"/>
          </w:tblCellMar>
        </w:tblPrEx>
        <w:tc>
          <w:tcPr>
            <w:tcW w:w="1080" w:type="dxa"/>
            <w:tcBorders>
              <w:top w:val="nil"/>
              <w:bottom w:val="nil"/>
            </w:tcBorders>
          </w:tcPr>
          <w:p w:rsidR="00000000" w:rsidRDefault="00000000">
            <w:pPr>
              <w:spacing w:line="240" w:lineRule="auto"/>
              <w:rPr>
                <w:lang w:val="en-US"/>
              </w:rPr>
            </w:pPr>
            <w:r>
              <w:rPr>
                <w:lang w:val="en-US"/>
              </w:rPr>
              <w:t>9</w:t>
            </w:r>
          </w:p>
        </w:tc>
        <w:tc>
          <w:tcPr>
            <w:tcW w:w="3882" w:type="dxa"/>
            <w:tcBorders>
              <w:top w:val="nil"/>
              <w:bottom w:val="nil"/>
            </w:tcBorders>
          </w:tcPr>
          <w:p w:rsidR="00000000" w:rsidRDefault="00000000">
            <w:pPr>
              <w:spacing w:line="240" w:lineRule="auto"/>
            </w:pPr>
            <w:r>
              <w:t>Валовые капиталовложения</w:t>
            </w:r>
          </w:p>
        </w:tc>
        <w:tc>
          <w:tcPr>
            <w:tcW w:w="1559" w:type="dxa"/>
            <w:tcBorders>
              <w:top w:val="nil"/>
              <w:bottom w:val="nil"/>
            </w:tcBorders>
          </w:tcPr>
          <w:p w:rsidR="00000000" w:rsidRDefault="00000000">
            <w:pPr>
              <w:tabs>
                <w:tab w:val="clear" w:pos="1134"/>
              </w:tabs>
              <w:spacing w:line="240" w:lineRule="auto"/>
              <w:ind w:right="254"/>
              <w:jc w:val="right"/>
              <w:rPr>
                <w:lang w:val="en-US"/>
              </w:rPr>
            </w:pPr>
            <w:r>
              <w:rPr>
                <w:lang w:val="en-US"/>
              </w:rPr>
              <w:t>44 618</w:t>
            </w:r>
          </w:p>
        </w:tc>
        <w:tc>
          <w:tcPr>
            <w:tcW w:w="1417" w:type="dxa"/>
            <w:tcBorders>
              <w:top w:val="nil"/>
              <w:bottom w:val="nil"/>
            </w:tcBorders>
          </w:tcPr>
          <w:p w:rsidR="00000000" w:rsidRDefault="00000000">
            <w:pPr>
              <w:tabs>
                <w:tab w:val="clear" w:pos="1134"/>
              </w:tabs>
              <w:spacing w:line="240" w:lineRule="auto"/>
              <w:ind w:right="201"/>
              <w:jc w:val="right"/>
              <w:rPr>
                <w:lang w:val="en-US"/>
              </w:rPr>
            </w:pPr>
            <w:r>
              <w:rPr>
                <w:lang w:val="en-US"/>
              </w:rPr>
              <w:t>50 275</w:t>
            </w:r>
          </w:p>
        </w:tc>
        <w:tc>
          <w:tcPr>
            <w:tcW w:w="1418" w:type="dxa"/>
            <w:tcBorders>
              <w:top w:val="nil"/>
              <w:bottom w:val="nil"/>
            </w:tcBorders>
          </w:tcPr>
          <w:p w:rsidR="00000000" w:rsidRDefault="00000000">
            <w:pPr>
              <w:tabs>
                <w:tab w:val="clear" w:pos="1134"/>
              </w:tabs>
              <w:spacing w:line="240" w:lineRule="auto"/>
              <w:ind w:right="163"/>
              <w:jc w:val="right"/>
              <w:rPr>
                <w:lang w:val="en-US"/>
              </w:rPr>
            </w:pPr>
            <w:r>
              <w:rPr>
                <w:lang w:val="en-US"/>
              </w:rPr>
              <w:t>50 261</w:t>
            </w:r>
          </w:p>
        </w:tc>
      </w:tr>
      <w:tr w:rsidR="00000000">
        <w:tblPrEx>
          <w:tblCellMar>
            <w:top w:w="0" w:type="dxa"/>
            <w:bottom w:w="0" w:type="dxa"/>
          </w:tblCellMar>
        </w:tblPrEx>
        <w:tc>
          <w:tcPr>
            <w:tcW w:w="1080" w:type="dxa"/>
            <w:tcBorders>
              <w:top w:val="nil"/>
            </w:tcBorders>
          </w:tcPr>
          <w:p w:rsidR="00000000" w:rsidRDefault="00000000">
            <w:pPr>
              <w:spacing w:line="240" w:lineRule="auto"/>
              <w:rPr>
                <w:lang w:val="en-US"/>
              </w:rPr>
            </w:pPr>
            <w:r>
              <w:rPr>
                <w:lang w:val="en-US"/>
              </w:rPr>
              <w:t>10=7-9</w:t>
            </w:r>
          </w:p>
        </w:tc>
        <w:tc>
          <w:tcPr>
            <w:tcW w:w="3882" w:type="dxa"/>
            <w:tcBorders>
              <w:top w:val="nil"/>
            </w:tcBorders>
          </w:tcPr>
          <w:p w:rsidR="00000000" w:rsidRDefault="00000000">
            <w:pPr>
              <w:spacing w:line="240" w:lineRule="auto"/>
            </w:pPr>
            <w:r>
              <w:t>Чистые доходы (+), чистые расходы (-)</w:t>
            </w:r>
          </w:p>
        </w:tc>
        <w:tc>
          <w:tcPr>
            <w:tcW w:w="1559" w:type="dxa"/>
            <w:tcBorders>
              <w:top w:val="nil"/>
            </w:tcBorders>
          </w:tcPr>
          <w:p w:rsidR="00000000" w:rsidRDefault="00000000">
            <w:pPr>
              <w:tabs>
                <w:tab w:val="clear" w:pos="1134"/>
              </w:tabs>
              <w:spacing w:line="240" w:lineRule="auto"/>
              <w:ind w:right="254"/>
              <w:jc w:val="right"/>
              <w:rPr>
                <w:lang w:val="en-US"/>
              </w:rPr>
            </w:pPr>
            <w:r>
              <w:rPr>
                <w:lang w:val="en-US"/>
              </w:rPr>
              <w:t>-16 575</w:t>
            </w:r>
          </w:p>
        </w:tc>
        <w:tc>
          <w:tcPr>
            <w:tcW w:w="1417" w:type="dxa"/>
            <w:tcBorders>
              <w:top w:val="nil"/>
            </w:tcBorders>
          </w:tcPr>
          <w:p w:rsidR="00000000" w:rsidRDefault="00000000">
            <w:pPr>
              <w:tabs>
                <w:tab w:val="clear" w:pos="1134"/>
              </w:tabs>
              <w:spacing w:line="240" w:lineRule="auto"/>
              <w:ind w:right="201"/>
              <w:jc w:val="right"/>
              <w:rPr>
                <w:lang w:val="en-US"/>
              </w:rPr>
            </w:pPr>
            <w:r>
              <w:rPr>
                <w:lang w:val="en-US"/>
              </w:rPr>
              <w:t>-23 161</w:t>
            </w:r>
          </w:p>
        </w:tc>
        <w:tc>
          <w:tcPr>
            <w:tcW w:w="1418" w:type="dxa"/>
            <w:tcBorders>
              <w:top w:val="nil"/>
            </w:tcBorders>
          </w:tcPr>
          <w:p w:rsidR="00000000" w:rsidRDefault="00000000">
            <w:pPr>
              <w:tabs>
                <w:tab w:val="clear" w:pos="1134"/>
              </w:tabs>
              <w:spacing w:line="240" w:lineRule="auto"/>
              <w:ind w:right="163"/>
              <w:jc w:val="right"/>
              <w:rPr>
                <w:lang w:val="en-US"/>
              </w:rPr>
            </w:pPr>
            <w:r>
              <w:rPr>
                <w:lang w:val="en-US"/>
              </w:rPr>
              <w:t>-8 269</w:t>
            </w:r>
          </w:p>
        </w:tc>
      </w:tr>
    </w:tbl>
    <w:p w:rsidR="00000000" w:rsidRDefault="00000000">
      <w:pPr>
        <w:rPr>
          <w:sz w:val="16"/>
        </w:rPr>
      </w:pPr>
    </w:p>
    <w:p w:rsidR="00000000" w:rsidRDefault="00000000">
      <w:r>
        <w:rPr>
          <w:b/>
          <w:bCs/>
          <w:vertAlign w:val="superscript"/>
          <w:lang w:val="en-US"/>
        </w:rPr>
        <w:t>a</w:t>
      </w:r>
      <w:r>
        <w:tab/>
        <w:t xml:space="preserve">Данные исправлены в результате проверки данных платежного баланса (Бюллетень </w:t>
      </w:r>
      <w:r>
        <w:rPr>
          <w:lang w:val="en-US"/>
        </w:rPr>
        <w:t>IV</w:t>
      </w:r>
      <w:r>
        <w:t xml:space="preserve"> 2004 Национального банка бывшей югославской Республики Македонии).</w:t>
      </w:r>
    </w:p>
    <w:p w:rsidR="00000000" w:rsidRDefault="00000000">
      <w:pPr>
        <w:pStyle w:val="Heading2"/>
        <w:spacing w:line="240" w:lineRule="auto"/>
        <w:jc w:val="center"/>
        <w:rPr>
          <w:b/>
          <w:bCs/>
          <w:u w:val="none"/>
        </w:rPr>
      </w:pPr>
      <w:r>
        <w:rPr>
          <w:b/>
          <w:bCs/>
          <w:u w:val="none"/>
        </w:rPr>
        <w:t xml:space="preserve">Реальные темпы роста </w:t>
      </w:r>
      <w:proofErr w:type="spellStart"/>
      <w:r>
        <w:rPr>
          <w:b/>
          <w:bCs/>
          <w:u w:val="none"/>
        </w:rPr>
        <w:t>ВВП</w:t>
      </w:r>
      <w:proofErr w:type="spellEnd"/>
    </w:p>
    <w:p w:rsidR="00000000" w:rsidRDefault="00000000">
      <w:pPr>
        <w:pStyle w:val="Heading2"/>
        <w:spacing w:line="240" w:lineRule="auto"/>
        <w:jc w:val="center"/>
        <w:rPr>
          <w:b/>
          <w:bCs/>
          <w:u w:val="none"/>
        </w:rPr>
      </w:pPr>
    </w:p>
    <w:p w:rsidR="00000000" w:rsidRDefault="00000000">
      <w:pPr>
        <w:spacing w:line="24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4321"/>
        <w:gridCol w:w="3617"/>
      </w:tblGrid>
      <w:tr w:rsidR="00000000">
        <w:tblPrEx>
          <w:tblCellMar>
            <w:top w:w="0" w:type="dxa"/>
            <w:bottom w:w="0" w:type="dxa"/>
          </w:tblCellMar>
        </w:tblPrEx>
        <w:tc>
          <w:tcPr>
            <w:tcW w:w="1418" w:type="dxa"/>
            <w:tcBorders>
              <w:bottom w:val="single" w:sz="4" w:space="0" w:color="auto"/>
            </w:tcBorders>
          </w:tcPr>
          <w:p w:rsidR="00000000" w:rsidRDefault="00000000">
            <w:r>
              <w:t>Год</w:t>
            </w:r>
          </w:p>
        </w:tc>
        <w:tc>
          <w:tcPr>
            <w:tcW w:w="4321" w:type="dxa"/>
            <w:tcBorders>
              <w:bottom w:val="single" w:sz="4" w:space="0" w:color="auto"/>
            </w:tcBorders>
          </w:tcPr>
          <w:p w:rsidR="00000000" w:rsidRDefault="00000000">
            <w:pPr>
              <w:jc w:val="center"/>
            </w:pPr>
            <w:r>
              <w:t xml:space="preserve">Реальный рост </w:t>
            </w:r>
            <w:proofErr w:type="spellStart"/>
            <w:r>
              <w:t>ВВП</w:t>
            </w:r>
            <w:proofErr w:type="spellEnd"/>
            <w:r>
              <w:t xml:space="preserve"> по сравнению с тем же периодом за предыдущий </w:t>
            </w:r>
            <w:proofErr w:type="spellStart"/>
            <w:r>
              <w:t>год</w:t>
            </w:r>
            <w:r>
              <w:rPr>
                <w:b/>
                <w:bCs/>
                <w:vertAlign w:val="superscript"/>
              </w:rPr>
              <w:t>7</w:t>
            </w:r>
            <w:proofErr w:type="spellEnd"/>
          </w:p>
        </w:tc>
        <w:tc>
          <w:tcPr>
            <w:tcW w:w="3617" w:type="dxa"/>
            <w:tcBorders>
              <w:bottom w:val="single" w:sz="4" w:space="0" w:color="auto"/>
            </w:tcBorders>
          </w:tcPr>
          <w:p w:rsidR="00000000" w:rsidRDefault="00000000">
            <w:pPr>
              <w:jc w:val="center"/>
            </w:pPr>
            <w:proofErr w:type="spellStart"/>
            <w:r>
              <w:t>ВВП</w:t>
            </w:r>
            <w:proofErr w:type="spellEnd"/>
            <w:r>
              <w:t xml:space="preserve"> по текущим ценам</w:t>
            </w:r>
            <w:r>
              <w:br/>
              <w:t xml:space="preserve">в млн. </w:t>
            </w:r>
            <w:proofErr w:type="spellStart"/>
            <w:r>
              <w:t>денаров</w:t>
            </w:r>
            <w:proofErr w:type="spellEnd"/>
          </w:p>
        </w:tc>
      </w:tr>
      <w:tr w:rsidR="00000000">
        <w:tblPrEx>
          <w:tblCellMar>
            <w:top w:w="0" w:type="dxa"/>
            <w:bottom w:w="0" w:type="dxa"/>
          </w:tblCellMar>
        </w:tblPrEx>
        <w:tc>
          <w:tcPr>
            <w:tcW w:w="1418" w:type="dxa"/>
            <w:tcBorders>
              <w:bottom w:val="nil"/>
            </w:tcBorders>
          </w:tcPr>
          <w:p w:rsidR="00000000" w:rsidRDefault="00000000">
            <w:r>
              <w:rPr>
                <w:lang w:val="en-US"/>
              </w:rPr>
              <w:t>2003</w:t>
            </w:r>
            <w:r>
              <w:t xml:space="preserve"> </w:t>
            </w:r>
          </w:p>
        </w:tc>
        <w:tc>
          <w:tcPr>
            <w:tcW w:w="4321" w:type="dxa"/>
            <w:tcBorders>
              <w:bottom w:val="nil"/>
            </w:tcBorders>
          </w:tcPr>
          <w:p w:rsidR="00000000" w:rsidRDefault="00000000">
            <w:pPr>
              <w:jc w:val="center"/>
              <w:rPr>
                <w:lang w:val="en-US"/>
              </w:rPr>
            </w:pPr>
            <w:r>
              <w:rPr>
                <w:lang w:val="en-US"/>
              </w:rPr>
              <w:t>2</w:t>
            </w:r>
            <w:r>
              <w:t>,</w:t>
            </w:r>
            <w:r>
              <w:rPr>
                <w:lang w:val="en-US"/>
              </w:rPr>
              <w:t>8</w:t>
            </w:r>
          </w:p>
        </w:tc>
        <w:tc>
          <w:tcPr>
            <w:tcW w:w="3617" w:type="dxa"/>
            <w:tcBorders>
              <w:bottom w:val="nil"/>
            </w:tcBorders>
          </w:tcPr>
          <w:p w:rsidR="00000000" w:rsidRDefault="00000000">
            <w:pPr>
              <w:jc w:val="center"/>
              <w:rPr>
                <w:lang w:val="en-US"/>
              </w:rPr>
            </w:pPr>
            <w:r>
              <w:rPr>
                <w:lang w:val="en-US"/>
              </w:rPr>
              <w:t>251 486</w:t>
            </w:r>
          </w:p>
        </w:tc>
      </w:tr>
      <w:tr w:rsidR="00000000">
        <w:tblPrEx>
          <w:tblCellMar>
            <w:top w:w="0" w:type="dxa"/>
            <w:bottom w:w="0" w:type="dxa"/>
          </w:tblCellMar>
        </w:tblPrEx>
        <w:tc>
          <w:tcPr>
            <w:tcW w:w="1418" w:type="dxa"/>
            <w:tcBorders>
              <w:top w:val="nil"/>
            </w:tcBorders>
          </w:tcPr>
          <w:p w:rsidR="00000000" w:rsidRDefault="00000000">
            <w:r>
              <w:rPr>
                <w:lang w:val="en-US"/>
              </w:rPr>
              <w:t>2004</w:t>
            </w:r>
          </w:p>
        </w:tc>
        <w:tc>
          <w:tcPr>
            <w:tcW w:w="4321" w:type="dxa"/>
            <w:tcBorders>
              <w:top w:val="nil"/>
            </w:tcBorders>
          </w:tcPr>
          <w:p w:rsidR="00000000" w:rsidRDefault="00000000">
            <w:pPr>
              <w:jc w:val="center"/>
              <w:rPr>
                <w:lang w:val="en-US"/>
              </w:rPr>
            </w:pPr>
            <w:r>
              <w:rPr>
                <w:lang w:val="en-US"/>
              </w:rPr>
              <w:t>2</w:t>
            </w:r>
            <w:r>
              <w:t>,</w:t>
            </w:r>
            <w:r>
              <w:rPr>
                <w:lang w:val="en-US"/>
              </w:rPr>
              <w:t>9</w:t>
            </w:r>
          </w:p>
        </w:tc>
        <w:tc>
          <w:tcPr>
            <w:tcW w:w="3617" w:type="dxa"/>
            <w:tcBorders>
              <w:top w:val="nil"/>
            </w:tcBorders>
          </w:tcPr>
          <w:p w:rsidR="00000000" w:rsidRDefault="00000000">
            <w:pPr>
              <w:jc w:val="center"/>
              <w:rPr>
                <w:lang w:val="en-US"/>
              </w:rPr>
            </w:pPr>
            <w:r>
              <w:rPr>
                <w:lang w:val="en-US"/>
              </w:rPr>
              <w:t>264 599</w:t>
            </w:r>
          </w:p>
        </w:tc>
      </w:tr>
    </w:tbl>
    <w:p w:rsidR="00000000" w:rsidRDefault="00000000">
      <w:pPr>
        <w:pStyle w:val="FootnoteText"/>
        <w:spacing w:line="288" w:lineRule="auto"/>
      </w:pPr>
    </w:p>
    <w:p w:rsidR="00000000" w:rsidRDefault="00000000">
      <w:pPr>
        <w:pStyle w:val="FootnoteText"/>
        <w:spacing w:line="288" w:lineRule="auto"/>
      </w:pPr>
      <w:r>
        <w:rPr>
          <w:lang w:val="en-US"/>
        </w:rPr>
        <w:tab/>
      </w:r>
      <w:r>
        <w:t>Данные за 2004 год являются предположительными.</w:t>
      </w:r>
    </w:p>
    <w:p w:rsidR="00000000" w:rsidRDefault="00000000">
      <w:pPr>
        <w:pStyle w:val="FootnoteText"/>
        <w:spacing w:line="288" w:lineRule="auto"/>
      </w:pPr>
    </w:p>
    <w:p w:rsidR="00000000" w:rsidRDefault="00000000">
      <w:r>
        <w:t>435.</w:t>
      </w:r>
      <w:r>
        <w:tab/>
        <w:t>Учитывая важность проблемы питания населения и уделяемое ей внимание, Государственное статистическое управление осуществляет контроль за положением в данной области и публикует официальные данные о количестве продуктов, потребляемых домашними хозяйствами.</w:t>
      </w:r>
    </w:p>
    <w:p w:rsidR="00000000" w:rsidRDefault="00000000"/>
    <w:p w:rsidR="00000000" w:rsidRDefault="00000000">
      <w:r>
        <w:t>436.</w:t>
      </w:r>
      <w:r>
        <w:tab/>
        <w:t>В нижеприведенных таблицах представлены соответствующие тенденции.  В первой части без дополнительных подробностей приводятся данные за период до 1997 года, которые используются для иллюстрации более долгосрочных тенденций, а во второй части - данные за период 2002-2003 годов, дополненные соответствующими комментариями.</w:t>
      </w:r>
    </w:p>
    <w:p w:rsidR="00000000" w:rsidRDefault="00000000"/>
    <w:p w:rsidR="00000000" w:rsidRDefault="00000000">
      <w:pPr>
        <w:pStyle w:val="Heading2"/>
        <w:jc w:val="center"/>
        <w:rPr>
          <w:b/>
          <w:bCs/>
          <w:u w:val="none"/>
        </w:rPr>
      </w:pPr>
      <w:r>
        <w:rPr>
          <w:b/>
          <w:bCs/>
          <w:u w:val="none"/>
        </w:rPr>
        <w:t>Количество продуктов, потребленных домашними хозяйствами (в кг)</w:t>
      </w:r>
    </w:p>
    <w:p w:rsidR="00000000" w:rsidRDefault="00000000">
      <w:pPr>
        <w:pStyle w:val="Heading2"/>
        <w:jc w:val="center"/>
        <w:rPr>
          <w:b/>
          <w:bCs/>
          <w:u w:val="none"/>
          <w:vertAlign w:val="superscript"/>
        </w:rPr>
      </w:pPr>
      <w:r>
        <w:rPr>
          <w:b/>
          <w:bCs/>
          <w:u w:val="none"/>
        </w:rPr>
        <w:t>(средний показатель на каждого члена домашнего хозяйства)</w:t>
      </w:r>
      <w:r>
        <w:rPr>
          <w:b/>
          <w:bCs/>
          <w:u w:val="none"/>
          <w:vertAlign w:val="superscript"/>
        </w:rPr>
        <w:t>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275"/>
        <w:gridCol w:w="1418"/>
        <w:gridCol w:w="1417"/>
        <w:gridCol w:w="1418"/>
      </w:tblGrid>
      <w:tr w:rsidR="00000000">
        <w:tblPrEx>
          <w:tblCellMar>
            <w:top w:w="0" w:type="dxa"/>
            <w:bottom w:w="0" w:type="dxa"/>
          </w:tblCellMar>
        </w:tblPrEx>
        <w:tc>
          <w:tcPr>
            <w:tcW w:w="3828" w:type="dxa"/>
            <w:tcBorders>
              <w:bottom w:val="single" w:sz="4" w:space="0" w:color="auto"/>
            </w:tcBorders>
          </w:tcPr>
          <w:p w:rsidR="00000000" w:rsidRDefault="00000000">
            <w:pPr>
              <w:jc w:val="both"/>
            </w:pPr>
          </w:p>
        </w:tc>
        <w:tc>
          <w:tcPr>
            <w:tcW w:w="1275" w:type="dxa"/>
            <w:tcBorders>
              <w:bottom w:val="single" w:sz="4" w:space="0" w:color="auto"/>
            </w:tcBorders>
          </w:tcPr>
          <w:p w:rsidR="00000000" w:rsidRDefault="00000000">
            <w:pPr>
              <w:jc w:val="center"/>
            </w:pPr>
            <w:r>
              <w:t>1992</w:t>
            </w:r>
          </w:p>
        </w:tc>
        <w:tc>
          <w:tcPr>
            <w:tcW w:w="1418" w:type="dxa"/>
            <w:tcBorders>
              <w:bottom w:val="single" w:sz="4" w:space="0" w:color="auto"/>
            </w:tcBorders>
          </w:tcPr>
          <w:p w:rsidR="00000000" w:rsidRDefault="00000000">
            <w:pPr>
              <w:jc w:val="center"/>
            </w:pPr>
            <w:r>
              <w:t>1994</w:t>
            </w:r>
          </w:p>
        </w:tc>
        <w:tc>
          <w:tcPr>
            <w:tcW w:w="1417" w:type="dxa"/>
            <w:tcBorders>
              <w:bottom w:val="single" w:sz="4" w:space="0" w:color="auto"/>
            </w:tcBorders>
          </w:tcPr>
          <w:p w:rsidR="00000000" w:rsidRDefault="00000000">
            <w:pPr>
              <w:jc w:val="center"/>
            </w:pPr>
            <w:r>
              <w:t>1996</w:t>
            </w:r>
          </w:p>
        </w:tc>
        <w:tc>
          <w:tcPr>
            <w:tcW w:w="1418" w:type="dxa"/>
            <w:tcBorders>
              <w:bottom w:val="single" w:sz="4" w:space="0" w:color="auto"/>
            </w:tcBorders>
          </w:tcPr>
          <w:p w:rsidR="00000000" w:rsidRDefault="00000000">
            <w:pPr>
              <w:jc w:val="center"/>
            </w:pPr>
            <w:r>
              <w:t>1997</w:t>
            </w:r>
          </w:p>
        </w:tc>
      </w:tr>
      <w:tr w:rsidR="00000000">
        <w:tblPrEx>
          <w:tblCellMar>
            <w:top w:w="0" w:type="dxa"/>
            <w:bottom w:w="0" w:type="dxa"/>
          </w:tblCellMar>
        </w:tblPrEx>
        <w:tc>
          <w:tcPr>
            <w:tcW w:w="3828" w:type="dxa"/>
            <w:tcBorders>
              <w:bottom w:val="nil"/>
            </w:tcBorders>
          </w:tcPr>
          <w:p w:rsidR="00000000" w:rsidRDefault="00000000">
            <w:pPr>
              <w:pStyle w:val="FootnoteText"/>
              <w:spacing w:line="288" w:lineRule="auto"/>
            </w:pPr>
            <w:r>
              <w:t>Пшеница и пшеничные изделия</w:t>
            </w:r>
          </w:p>
        </w:tc>
        <w:tc>
          <w:tcPr>
            <w:tcW w:w="1275" w:type="dxa"/>
            <w:tcBorders>
              <w:bottom w:val="nil"/>
            </w:tcBorders>
          </w:tcPr>
          <w:p w:rsidR="00000000" w:rsidRDefault="00000000">
            <w:pPr>
              <w:tabs>
                <w:tab w:val="clear" w:pos="1134"/>
                <w:tab w:val="left" w:pos="768"/>
              </w:tabs>
              <w:ind w:right="235"/>
              <w:jc w:val="right"/>
            </w:pPr>
            <w:r>
              <w:t>187,3</w:t>
            </w:r>
          </w:p>
        </w:tc>
        <w:tc>
          <w:tcPr>
            <w:tcW w:w="1418" w:type="dxa"/>
            <w:tcBorders>
              <w:bottom w:val="nil"/>
            </w:tcBorders>
          </w:tcPr>
          <w:p w:rsidR="00000000" w:rsidRDefault="00000000">
            <w:pPr>
              <w:tabs>
                <w:tab w:val="clear" w:pos="1134"/>
                <w:tab w:val="left" w:pos="768"/>
              </w:tabs>
              <w:ind w:right="235"/>
              <w:jc w:val="right"/>
            </w:pPr>
            <w:r>
              <w:t>166,0</w:t>
            </w:r>
          </w:p>
        </w:tc>
        <w:tc>
          <w:tcPr>
            <w:tcW w:w="1417" w:type="dxa"/>
            <w:tcBorders>
              <w:bottom w:val="nil"/>
            </w:tcBorders>
          </w:tcPr>
          <w:p w:rsidR="00000000" w:rsidRDefault="00000000">
            <w:pPr>
              <w:tabs>
                <w:tab w:val="clear" w:pos="1134"/>
                <w:tab w:val="left" w:pos="768"/>
              </w:tabs>
              <w:ind w:right="235"/>
              <w:jc w:val="right"/>
            </w:pPr>
            <w:r>
              <w:t>146,3</w:t>
            </w:r>
          </w:p>
        </w:tc>
        <w:tc>
          <w:tcPr>
            <w:tcW w:w="1418" w:type="dxa"/>
            <w:tcBorders>
              <w:bottom w:val="nil"/>
            </w:tcBorders>
          </w:tcPr>
          <w:p w:rsidR="00000000" w:rsidRDefault="00000000">
            <w:pPr>
              <w:tabs>
                <w:tab w:val="clear" w:pos="1134"/>
                <w:tab w:val="left" w:pos="768"/>
              </w:tabs>
              <w:ind w:right="235"/>
              <w:jc w:val="right"/>
            </w:pPr>
            <w:r>
              <w:t>141,4</w:t>
            </w:r>
          </w:p>
        </w:tc>
      </w:tr>
      <w:tr w:rsidR="00000000">
        <w:tblPrEx>
          <w:tblCellMar>
            <w:top w:w="0" w:type="dxa"/>
            <w:bottom w:w="0" w:type="dxa"/>
          </w:tblCellMar>
        </w:tblPrEx>
        <w:tc>
          <w:tcPr>
            <w:tcW w:w="3828" w:type="dxa"/>
            <w:tcBorders>
              <w:top w:val="nil"/>
              <w:bottom w:val="nil"/>
            </w:tcBorders>
          </w:tcPr>
          <w:p w:rsidR="00000000" w:rsidRDefault="00000000">
            <w:pPr>
              <w:pStyle w:val="FootnoteText"/>
              <w:spacing w:line="288" w:lineRule="auto"/>
            </w:pPr>
            <w:r>
              <w:t>Овощи и овощные продукты</w:t>
            </w:r>
          </w:p>
        </w:tc>
        <w:tc>
          <w:tcPr>
            <w:tcW w:w="1275" w:type="dxa"/>
            <w:tcBorders>
              <w:top w:val="nil"/>
              <w:bottom w:val="nil"/>
            </w:tcBorders>
          </w:tcPr>
          <w:p w:rsidR="00000000" w:rsidRDefault="00000000">
            <w:pPr>
              <w:tabs>
                <w:tab w:val="clear" w:pos="1134"/>
                <w:tab w:val="left" w:pos="768"/>
              </w:tabs>
              <w:ind w:right="235"/>
              <w:jc w:val="right"/>
            </w:pPr>
            <w:r>
              <w:t>58,7</w:t>
            </w:r>
          </w:p>
        </w:tc>
        <w:tc>
          <w:tcPr>
            <w:tcW w:w="1418" w:type="dxa"/>
            <w:tcBorders>
              <w:top w:val="nil"/>
              <w:bottom w:val="nil"/>
            </w:tcBorders>
          </w:tcPr>
          <w:p w:rsidR="00000000" w:rsidRDefault="00000000">
            <w:pPr>
              <w:tabs>
                <w:tab w:val="clear" w:pos="1134"/>
                <w:tab w:val="left" w:pos="768"/>
              </w:tabs>
              <w:ind w:right="235"/>
              <w:jc w:val="right"/>
            </w:pPr>
            <w:r>
              <w:t>63,4</w:t>
            </w:r>
          </w:p>
        </w:tc>
        <w:tc>
          <w:tcPr>
            <w:tcW w:w="1417" w:type="dxa"/>
            <w:tcBorders>
              <w:top w:val="nil"/>
              <w:bottom w:val="nil"/>
            </w:tcBorders>
          </w:tcPr>
          <w:p w:rsidR="00000000" w:rsidRDefault="00000000">
            <w:pPr>
              <w:tabs>
                <w:tab w:val="clear" w:pos="1134"/>
                <w:tab w:val="left" w:pos="768"/>
              </w:tabs>
              <w:ind w:right="235"/>
              <w:jc w:val="right"/>
            </w:pPr>
            <w:r>
              <w:t>77,8</w:t>
            </w:r>
          </w:p>
        </w:tc>
        <w:tc>
          <w:tcPr>
            <w:tcW w:w="1418" w:type="dxa"/>
            <w:tcBorders>
              <w:top w:val="nil"/>
              <w:bottom w:val="nil"/>
            </w:tcBorders>
          </w:tcPr>
          <w:p w:rsidR="00000000" w:rsidRDefault="00000000">
            <w:pPr>
              <w:tabs>
                <w:tab w:val="clear" w:pos="1134"/>
                <w:tab w:val="left" w:pos="768"/>
              </w:tabs>
              <w:ind w:right="235"/>
              <w:jc w:val="right"/>
            </w:pPr>
            <w:r>
              <w:t>74,5</w:t>
            </w:r>
          </w:p>
        </w:tc>
      </w:tr>
      <w:tr w:rsidR="00000000">
        <w:tblPrEx>
          <w:tblCellMar>
            <w:top w:w="0" w:type="dxa"/>
            <w:bottom w:w="0" w:type="dxa"/>
          </w:tblCellMar>
        </w:tblPrEx>
        <w:tc>
          <w:tcPr>
            <w:tcW w:w="3828" w:type="dxa"/>
            <w:tcBorders>
              <w:top w:val="nil"/>
              <w:bottom w:val="nil"/>
            </w:tcBorders>
          </w:tcPr>
          <w:p w:rsidR="00000000" w:rsidRDefault="00000000">
            <w:pPr>
              <w:jc w:val="both"/>
            </w:pPr>
            <w:r>
              <w:t>Картофель</w:t>
            </w:r>
          </w:p>
        </w:tc>
        <w:tc>
          <w:tcPr>
            <w:tcW w:w="1275" w:type="dxa"/>
            <w:tcBorders>
              <w:top w:val="nil"/>
              <w:bottom w:val="nil"/>
            </w:tcBorders>
          </w:tcPr>
          <w:p w:rsidR="00000000" w:rsidRDefault="00000000">
            <w:pPr>
              <w:tabs>
                <w:tab w:val="clear" w:pos="1134"/>
                <w:tab w:val="left" w:pos="768"/>
              </w:tabs>
              <w:ind w:right="235"/>
              <w:jc w:val="right"/>
            </w:pPr>
            <w:r>
              <w:t>22,6</w:t>
            </w:r>
          </w:p>
        </w:tc>
        <w:tc>
          <w:tcPr>
            <w:tcW w:w="1418" w:type="dxa"/>
            <w:tcBorders>
              <w:top w:val="nil"/>
              <w:bottom w:val="nil"/>
            </w:tcBorders>
          </w:tcPr>
          <w:p w:rsidR="00000000" w:rsidRDefault="00000000">
            <w:pPr>
              <w:tabs>
                <w:tab w:val="clear" w:pos="1134"/>
                <w:tab w:val="left" w:pos="768"/>
              </w:tabs>
              <w:ind w:right="235"/>
              <w:jc w:val="right"/>
            </w:pPr>
            <w:r>
              <w:t>23,1</w:t>
            </w:r>
          </w:p>
        </w:tc>
        <w:tc>
          <w:tcPr>
            <w:tcW w:w="1417" w:type="dxa"/>
            <w:tcBorders>
              <w:top w:val="nil"/>
              <w:bottom w:val="nil"/>
            </w:tcBorders>
          </w:tcPr>
          <w:p w:rsidR="00000000" w:rsidRDefault="00000000">
            <w:pPr>
              <w:tabs>
                <w:tab w:val="clear" w:pos="1134"/>
                <w:tab w:val="left" w:pos="768"/>
              </w:tabs>
              <w:ind w:right="235"/>
              <w:jc w:val="right"/>
            </w:pPr>
            <w:r>
              <w:t>27,7</w:t>
            </w:r>
          </w:p>
        </w:tc>
        <w:tc>
          <w:tcPr>
            <w:tcW w:w="1418" w:type="dxa"/>
            <w:tcBorders>
              <w:top w:val="nil"/>
              <w:bottom w:val="nil"/>
            </w:tcBorders>
          </w:tcPr>
          <w:p w:rsidR="00000000" w:rsidRDefault="00000000">
            <w:pPr>
              <w:tabs>
                <w:tab w:val="clear" w:pos="1134"/>
                <w:tab w:val="left" w:pos="768"/>
              </w:tabs>
              <w:ind w:right="235"/>
              <w:jc w:val="right"/>
            </w:pPr>
            <w:r>
              <w:t>28,9</w:t>
            </w:r>
          </w:p>
        </w:tc>
      </w:tr>
      <w:tr w:rsidR="00000000">
        <w:tblPrEx>
          <w:tblCellMar>
            <w:top w:w="0" w:type="dxa"/>
            <w:bottom w:w="0" w:type="dxa"/>
          </w:tblCellMar>
        </w:tblPrEx>
        <w:tc>
          <w:tcPr>
            <w:tcW w:w="3828" w:type="dxa"/>
            <w:tcBorders>
              <w:top w:val="nil"/>
              <w:bottom w:val="nil"/>
            </w:tcBorders>
          </w:tcPr>
          <w:p w:rsidR="00000000" w:rsidRDefault="00000000">
            <w:pPr>
              <w:jc w:val="both"/>
            </w:pPr>
            <w:r>
              <w:t>Фрукты (свежие и обработанные)</w:t>
            </w:r>
          </w:p>
        </w:tc>
        <w:tc>
          <w:tcPr>
            <w:tcW w:w="1275" w:type="dxa"/>
            <w:tcBorders>
              <w:top w:val="nil"/>
              <w:bottom w:val="nil"/>
            </w:tcBorders>
          </w:tcPr>
          <w:p w:rsidR="00000000" w:rsidRDefault="00000000">
            <w:pPr>
              <w:tabs>
                <w:tab w:val="clear" w:pos="1134"/>
                <w:tab w:val="left" w:pos="768"/>
              </w:tabs>
              <w:ind w:right="235"/>
              <w:jc w:val="right"/>
            </w:pPr>
            <w:r>
              <w:t>44,6</w:t>
            </w:r>
          </w:p>
        </w:tc>
        <w:tc>
          <w:tcPr>
            <w:tcW w:w="1418" w:type="dxa"/>
            <w:tcBorders>
              <w:top w:val="nil"/>
              <w:bottom w:val="nil"/>
            </w:tcBorders>
          </w:tcPr>
          <w:p w:rsidR="00000000" w:rsidRDefault="00000000">
            <w:pPr>
              <w:tabs>
                <w:tab w:val="clear" w:pos="1134"/>
                <w:tab w:val="left" w:pos="768"/>
              </w:tabs>
              <w:ind w:right="235"/>
              <w:jc w:val="right"/>
            </w:pPr>
            <w:r>
              <w:t>60,4</w:t>
            </w:r>
          </w:p>
        </w:tc>
        <w:tc>
          <w:tcPr>
            <w:tcW w:w="1417" w:type="dxa"/>
            <w:tcBorders>
              <w:top w:val="nil"/>
              <w:bottom w:val="nil"/>
            </w:tcBorders>
          </w:tcPr>
          <w:p w:rsidR="00000000" w:rsidRDefault="00000000">
            <w:pPr>
              <w:tabs>
                <w:tab w:val="clear" w:pos="1134"/>
                <w:tab w:val="left" w:pos="768"/>
              </w:tabs>
              <w:ind w:right="235"/>
              <w:jc w:val="right"/>
            </w:pPr>
            <w:r>
              <w:t>57,9</w:t>
            </w:r>
          </w:p>
        </w:tc>
        <w:tc>
          <w:tcPr>
            <w:tcW w:w="1418" w:type="dxa"/>
            <w:tcBorders>
              <w:top w:val="nil"/>
              <w:bottom w:val="nil"/>
            </w:tcBorders>
          </w:tcPr>
          <w:p w:rsidR="00000000" w:rsidRDefault="00000000">
            <w:pPr>
              <w:tabs>
                <w:tab w:val="clear" w:pos="1134"/>
                <w:tab w:val="left" w:pos="768"/>
              </w:tabs>
              <w:ind w:right="235"/>
              <w:jc w:val="right"/>
            </w:pPr>
            <w:r>
              <w:t>47,8</w:t>
            </w:r>
          </w:p>
        </w:tc>
      </w:tr>
      <w:tr w:rsidR="00000000">
        <w:tblPrEx>
          <w:tblCellMar>
            <w:top w:w="0" w:type="dxa"/>
            <w:bottom w:w="0" w:type="dxa"/>
          </w:tblCellMar>
        </w:tblPrEx>
        <w:tc>
          <w:tcPr>
            <w:tcW w:w="3828" w:type="dxa"/>
            <w:tcBorders>
              <w:top w:val="nil"/>
              <w:bottom w:val="nil"/>
            </w:tcBorders>
          </w:tcPr>
          <w:p w:rsidR="00000000" w:rsidRDefault="00000000">
            <w:pPr>
              <w:jc w:val="both"/>
            </w:pPr>
            <w:r>
              <w:t>Мясо (свежее)</w:t>
            </w:r>
          </w:p>
        </w:tc>
        <w:tc>
          <w:tcPr>
            <w:tcW w:w="1275" w:type="dxa"/>
            <w:tcBorders>
              <w:top w:val="nil"/>
              <w:bottom w:val="nil"/>
            </w:tcBorders>
          </w:tcPr>
          <w:p w:rsidR="00000000" w:rsidRDefault="00000000">
            <w:pPr>
              <w:tabs>
                <w:tab w:val="clear" w:pos="1134"/>
                <w:tab w:val="left" w:pos="768"/>
              </w:tabs>
              <w:ind w:right="235"/>
              <w:jc w:val="right"/>
            </w:pPr>
            <w:r>
              <w:t>20,4</w:t>
            </w:r>
          </w:p>
        </w:tc>
        <w:tc>
          <w:tcPr>
            <w:tcW w:w="1418" w:type="dxa"/>
            <w:tcBorders>
              <w:top w:val="nil"/>
              <w:bottom w:val="nil"/>
            </w:tcBorders>
          </w:tcPr>
          <w:p w:rsidR="00000000" w:rsidRDefault="00000000">
            <w:pPr>
              <w:tabs>
                <w:tab w:val="clear" w:pos="1134"/>
                <w:tab w:val="left" w:pos="768"/>
              </w:tabs>
              <w:ind w:right="235"/>
              <w:jc w:val="right"/>
            </w:pPr>
            <w:r>
              <w:t>27,5</w:t>
            </w:r>
          </w:p>
        </w:tc>
        <w:tc>
          <w:tcPr>
            <w:tcW w:w="1417" w:type="dxa"/>
            <w:tcBorders>
              <w:top w:val="nil"/>
              <w:bottom w:val="nil"/>
            </w:tcBorders>
          </w:tcPr>
          <w:p w:rsidR="00000000" w:rsidRDefault="00000000">
            <w:pPr>
              <w:tabs>
                <w:tab w:val="clear" w:pos="1134"/>
                <w:tab w:val="left" w:pos="768"/>
              </w:tabs>
              <w:ind w:right="235"/>
              <w:jc w:val="right"/>
            </w:pPr>
            <w:r>
              <w:t>22,1</w:t>
            </w:r>
          </w:p>
        </w:tc>
        <w:tc>
          <w:tcPr>
            <w:tcW w:w="1418" w:type="dxa"/>
            <w:tcBorders>
              <w:top w:val="nil"/>
              <w:bottom w:val="nil"/>
            </w:tcBorders>
          </w:tcPr>
          <w:p w:rsidR="00000000" w:rsidRDefault="00000000">
            <w:pPr>
              <w:tabs>
                <w:tab w:val="clear" w:pos="1134"/>
                <w:tab w:val="left" w:pos="768"/>
              </w:tabs>
              <w:ind w:right="235"/>
              <w:jc w:val="right"/>
            </w:pPr>
            <w:r>
              <w:t>21,8</w:t>
            </w:r>
          </w:p>
        </w:tc>
      </w:tr>
      <w:tr w:rsidR="00000000">
        <w:tblPrEx>
          <w:tblCellMar>
            <w:top w:w="0" w:type="dxa"/>
            <w:bottom w:w="0" w:type="dxa"/>
          </w:tblCellMar>
        </w:tblPrEx>
        <w:tc>
          <w:tcPr>
            <w:tcW w:w="3828" w:type="dxa"/>
            <w:tcBorders>
              <w:top w:val="nil"/>
              <w:bottom w:val="nil"/>
            </w:tcBorders>
          </w:tcPr>
          <w:p w:rsidR="00000000" w:rsidRDefault="00000000">
            <w:pPr>
              <w:jc w:val="both"/>
            </w:pPr>
            <w:r>
              <w:t>Мясо (обработанное)</w:t>
            </w:r>
          </w:p>
        </w:tc>
        <w:tc>
          <w:tcPr>
            <w:tcW w:w="1275" w:type="dxa"/>
            <w:tcBorders>
              <w:top w:val="nil"/>
              <w:bottom w:val="nil"/>
            </w:tcBorders>
          </w:tcPr>
          <w:p w:rsidR="00000000" w:rsidRDefault="00000000">
            <w:pPr>
              <w:tabs>
                <w:tab w:val="clear" w:pos="1134"/>
                <w:tab w:val="left" w:pos="768"/>
              </w:tabs>
              <w:ind w:right="235"/>
              <w:jc w:val="right"/>
            </w:pPr>
            <w:r>
              <w:t>3,2</w:t>
            </w:r>
          </w:p>
        </w:tc>
        <w:tc>
          <w:tcPr>
            <w:tcW w:w="1418" w:type="dxa"/>
            <w:tcBorders>
              <w:top w:val="nil"/>
              <w:bottom w:val="nil"/>
            </w:tcBorders>
          </w:tcPr>
          <w:p w:rsidR="00000000" w:rsidRDefault="00000000">
            <w:pPr>
              <w:tabs>
                <w:tab w:val="clear" w:pos="1134"/>
                <w:tab w:val="left" w:pos="768"/>
              </w:tabs>
              <w:ind w:right="235"/>
              <w:jc w:val="right"/>
            </w:pPr>
            <w:r>
              <w:t>3,6</w:t>
            </w:r>
          </w:p>
        </w:tc>
        <w:tc>
          <w:tcPr>
            <w:tcW w:w="1417" w:type="dxa"/>
            <w:tcBorders>
              <w:top w:val="nil"/>
              <w:bottom w:val="nil"/>
            </w:tcBorders>
          </w:tcPr>
          <w:p w:rsidR="00000000" w:rsidRDefault="00000000">
            <w:pPr>
              <w:tabs>
                <w:tab w:val="clear" w:pos="1134"/>
                <w:tab w:val="left" w:pos="768"/>
              </w:tabs>
              <w:ind w:right="235"/>
              <w:jc w:val="right"/>
            </w:pPr>
            <w:r>
              <w:t>4,4</w:t>
            </w:r>
          </w:p>
        </w:tc>
        <w:tc>
          <w:tcPr>
            <w:tcW w:w="1418" w:type="dxa"/>
            <w:tcBorders>
              <w:top w:val="nil"/>
              <w:bottom w:val="nil"/>
            </w:tcBorders>
          </w:tcPr>
          <w:p w:rsidR="00000000" w:rsidRDefault="00000000">
            <w:pPr>
              <w:tabs>
                <w:tab w:val="clear" w:pos="1134"/>
                <w:tab w:val="left" w:pos="768"/>
              </w:tabs>
              <w:ind w:right="235"/>
              <w:jc w:val="right"/>
            </w:pPr>
            <w:r>
              <w:t>3,5</w:t>
            </w:r>
          </w:p>
        </w:tc>
      </w:tr>
      <w:tr w:rsidR="00000000">
        <w:tblPrEx>
          <w:tblCellMar>
            <w:top w:w="0" w:type="dxa"/>
            <w:bottom w:w="0" w:type="dxa"/>
          </w:tblCellMar>
        </w:tblPrEx>
        <w:tc>
          <w:tcPr>
            <w:tcW w:w="3828" w:type="dxa"/>
            <w:tcBorders>
              <w:top w:val="nil"/>
              <w:bottom w:val="nil"/>
            </w:tcBorders>
          </w:tcPr>
          <w:p w:rsidR="00000000" w:rsidRDefault="00000000">
            <w:pPr>
              <w:jc w:val="both"/>
            </w:pPr>
            <w:r>
              <w:t>Рыба</w:t>
            </w:r>
          </w:p>
        </w:tc>
        <w:tc>
          <w:tcPr>
            <w:tcW w:w="1275" w:type="dxa"/>
            <w:tcBorders>
              <w:top w:val="nil"/>
              <w:bottom w:val="nil"/>
            </w:tcBorders>
          </w:tcPr>
          <w:p w:rsidR="00000000" w:rsidRDefault="00000000">
            <w:pPr>
              <w:tabs>
                <w:tab w:val="clear" w:pos="1134"/>
                <w:tab w:val="left" w:pos="768"/>
              </w:tabs>
              <w:ind w:right="235"/>
              <w:jc w:val="right"/>
            </w:pPr>
            <w:r>
              <w:t>2,9</w:t>
            </w:r>
          </w:p>
        </w:tc>
        <w:tc>
          <w:tcPr>
            <w:tcW w:w="1418" w:type="dxa"/>
            <w:tcBorders>
              <w:top w:val="nil"/>
              <w:bottom w:val="nil"/>
            </w:tcBorders>
          </w:tcPr>
          <w:p w:rsidR="00000000" w:rsidRDefault="00000000">
            <w:pPr>
              <w:tabs>
                <w:tab w:val="clear" w:pos="1134"/>
                <w:tab w:val="left" w:pos="768"/>
              </w:tabs>
              <w:ind w:right="235"/>
              <w:jc w:val="right"/>
            </w:pPr>
            <w:r>
              <w:t>4,0</w:t>
            </w:r>
          </w:p>
        </w:tc>
        <w:tc>
          <w:tcPr>
            <w:tcW w:w="1417" w:type="dxa"/>
            <w:tcBorders>
              <w:top w:val="nil"/>
              <w:bottom w:val="nil"/>
            </w:tcBorders>
          </w:tcPr>
          <w:p w:rsidR="00000000" w:rsidRDefault="00000000">
            <w:pPr>
              <w:tabs>
                <w:tab w:val="clear" w:pos="1134"/>
                <w:tab w:val="left" w:pos="768"/>
              </w:tabs>
              <w:ind w:right="235"/>
              <w:jc w:val="right"/>
            </w:pPr>
            <w:r>
              <w:t>3,8</w:t>
            </w:r>
          </w:p>
        </w:tc>
        <w:tc>
          <w:tcPr>
            <w:tcW w:w="1418" w:type="dxa"/>
            <w:tcBorders>
              <w:top w:val="nil"/>
              <w:bottom w:val="nil"/>
            </w:tcBorders>
          </w:tcPr>
          <w:p w:rsidR="00000000" w:rsidRDefault="00000000">
            <w:pPr>
              <w:tabs>
                <w:tab w:val="clear" w:pos="1134"/>
                <w:tab w:val="left" w:pos="768"/>
              </w:tabs>
              <w:ind w:right="235"/>
              <w:jc w:val="right"/>
            </w:pPr>
            <w:r>
              <w:t>3,8</w:t>
            </w:r>
          </w:p>
        </w:tc>
      </w:tr>
      <w:tr w:rsidR="00000000">
        <w:tblPrEx>
          <w:tblCellMar>
            <w:top w:w="0" w:type="dxa"/>
            <w:bottom w:w="0" w:type="dxa"/>
          </w:tblCellMar>
        </w:tblPrEx>
        <w:tc>
          <w:tcPr>
            <w:tcW w:w="3828" w:type="dxa"/>
            <w:tcBorders>
              <w:top w:val="nil"/>
              <w:bottom w:val="nil"/>
            </w:tcBorders>
          </w:tcPr>
          <w:p w:rsidR="00000000" w:rsidRDefault="00000000">
            <w:pPr>
              <w:jc w:val="both"/>
            </w:pPr>
            <w:r>
              <w:t>Жиры</w:t>
            </w:r>
          </w:p>
        </w:tc>
        <w:tc>
          <w:tcPr>
            <w:tcW w:w="1275" w:type="dxa"/>
            <w:tcBorders>
              <w:top w:val="nil"/>
              <w:bottom w:val="nil"/>
            </w:tcBorders>
          </w:tcPr>
          <w:p w:rsidR="00000000" w:rsidRDefault="00000000">
            <w:pPr>
              <w:tabs>
                <w:tab w:val="clear" w:pos="1134"/>
                <w:tab w:val="left" w:pos="768"/>
              </w:tabs>
              <w:ind w:right="235"/>
              <w:jc w:val="right"/>
            </w:pPr>
            <w:r>
              <w:t>14,4</w:t>
            </w:r>
          </w:p>
        </w:tc>
        <w:tc>
          <w:tcPr>
            <w:tcW w:w="1418" w:type="dxa"/>
            <w:tcBorders>
              <w:top w:val="nil"/>
              <w:bottom w:val="nil"/>
            </w:tcBorders>
          </w:tcPr>
          <w:p w:rsidR="00000000" w:rsidRDefault="00000000">
            <w:pPr>
              <w:tabs>
                <w:tab w:val="clear" w:pos="1134"/>
                <w:tab w:val="left" w:pos="768"/>
              </w:tabs>
              <w:ind w:right="235"/>
              <w:jc w:val="right"/>
            </w:pPr>
            <w:r>
              <w:t>16,5</w:t>
            </w:r>
          </w:p>
        </w:tc>
        <w:tc>
          <w:tcPr>
            <w:tcW w:w="1417" w:type="dxa"/>
            <w:tcBorders>
              <w:top w:val="nil"/>
              <w:bottom w:val="nil"/>
            </w:tcBorders>
          </w:tcPr>
          <w:p w:rsidR="00000000" w:rsidRDefault="00000000">
            <w:pPr>
              <w:tabs>
                <w:tab w:val="clear" w:pos="1134"/>
                <w:tab w:val="left" w:pos="768"/>
              </w:tabs>
              <w:ind w:right="235"/>
              <w:jc w:val="right"/>
            </w:pPr>
            <w:r>
              <w:t>16,4</w:t>
            </w:r>
          </w:p>
        </w:tc>
        <w:tc>
          <w:tcPr>
            <w:tcW w:w="1418" w:type="dxa"/>
            <w:tcBorders>
              <w:top w:val="nil"/>
              <w:bottom w:val="nil"/>
            </w:tcBorders>
          </w:tcPr>
          <w:p w:rsidR="00000000" w:rsidRDefault="00000000">
            <w:pPr>
              <w:tabs>
                <w:tab w:val="clear" w:pos="1134"/>
                <w:tab w:val="left" w:pos="768"/>
              </w:tabs>
              <w:ind w:right="235"/>
              <w:jc w:val="right"/>
            </w:pPr>
            <w:r>
              <w:t>15,9</w:t>
            </w:r>
          </w:p>
        </w:tc>
      </w:tr>
      <w:tr w:rsidR="00000000">
        <w:tblPrEx>
          <w:tblCellMar>
            <w:top w:w="0" w:type="dxa"/>
            <w:bottom w:w="0" w:type="dxa"/>
          </w:tblCellMar>
        </w:tblPrEx>
        <w:tc>
          <w:tcPr>
            <w:tcW w:w="3828" w:type="dxa"/>
            <w:tcBorders>
              <w:top w:val="nil"/>
              <w:bottom w:val="nil"/>
            </w:tcBorders>
          </w:tcPr>
          <w:p w:rsidR="00000000" w:rsidRDefault="00000000">
            <w:pPr>
              <w:jc w:val="both"/>
            </w:pPr>
            <w:r>
              <w:t>Молоко и молочные продукты</w:t>
            </w:r>
          </w:p>
        </w:tc>
        <w:tc>
          <w:tcPr>
            <w:tcW w:w="1275" w:type="dxa"/>
            <w:tcBorders>
              <w:top w:val="nil"/>
              <w:bottom w:val="nil"/>
            </w:tcBorders>
          </w:tcPr>
          <w:p w:rsidR="00000000" w:rsidRDefault="00000000">
            <w:pPr>
              <w:tabs>
                <w:tab w:val="clear" w:pos="1134"/>
                <w:tab w:val="left" w:pos="768"/>
              </w:tabs>
              <w:ind w:right="235"/>
              <w:jc w:val="right"/>
            </w:pPr>
            <w:r>
              <w:t>76,0</w:t>
            </w:r>
          </w:p>
        </w:tc>
        <w:tc>
          <w:tcPr>
            <w:tcW w:w="1418" w:type="dxa"/>
            <w:tcBorders>
              <w:top w:val="nil"/>
              <w:bottom w:val="nil"/>
            </w:tcBorders>
          </w:tcPr>
          <w:p w:rsidR="00000000" w:rsidRDefault="00000000">
            <w:pPr>
              <w:tabs>
                <w:tab w:val="clear" w:pos="1134"/>
                <w:tab w:val="left" w:pos="768"/>
              </w:tabs>
              <w:ind w:right="235"/>
              <w:jc w:val="right"/>
            </w:pPr>
            <w:r>
              <w:t>87,3</w:t>
            </w:r>
          </w:p>
        </w:tc>
        <w:tc>
          <w:tcPr>
            <w:tcW w:w="1417" w:type="dxa"/>
            <w:tcBorders>
              <w:top w:val="nil"/>
              <w:bottom w:val="nil"/>
            </w:tcBorders>
          </w:tcPr>
          <w:p w:rsidR="00000000" w:rsidRDefault="00000000">
            <w:pPr>
              <w:tabs>
                <w:tab w:val="clear" w:pos="1134"/>
                <w:tab w:val="left" w:pos="768"/>
              </w:tabs>
              <w:ind w:right="235"/>
              <w:jc w:val="right"/>
            </w:pPr>
            <w:r>
              <w:t>77,2</w:t>
            </w:r>
          </w:p>
        </w:tc>
        <w:tc>
          <w:tcPr>
            <w:tcW w:w="1418" w:type="dxa"/>
            <w:tcBorders>
              <w:top w:val="nil"/>
              <w:bottom w:val="nil"/>
            </w:tcBorders>
          </w:tcPr>
          <w:p w:rsidR="00000000" w:rsidRDefault="00000000">
            <w:pPr>
              <w:tabs>
                <w:tab w:val="clear" w:pos="1134"/>
                <w:tab w:val="left" w:pos="768"/>
              </w:tabs>
              <w:ind w:right="235"/>
              <w:jc w:val="right"/>
            </w:pPr>
            <w:r>
              <w:t>83,6</w:t>
            </w:r>
          </w:p>
        </w:tc>
      </w:tr>
      <w:tr w:rsidR="00000000">
        <w:tblPrEx>
          <w:tblCellMar>
            <w:top w:w="0" w:type="dxa"/>
            <w:bottom w:w="0" w:type="dxa"/>
          </w:tblCellMar>
        </w:tblPrEx>
        <w:tc>
          <w:tcPr>
            <w:tcW w:w="3828" w:type="dxa"/>
            <w:tcBorders>
              <w:top w:val="nil"/>
              <w:bottom w:val="nil"/>
            </w:tcBorders>
          </w:tcPr>
          <w:p w:rsidR="00000000" w:rsidRDefault="00000000">
            <w:pPr>
              <w:jc w:val="both"/>
            </w:pPr>
            <w:r>
              <w:t>Яйца (в штуках)</w:t>
            </w:r>
          </w:p>
        </w:tc>
        <w:tc>
          <w:tcPr>
            <w:tcW w:w="1275" w:type="dxa"/>
            <w:tcBorders>
              <w:top w:val="nil"/>
              <w:bottom w:val="nil"/>
            </w:tcBorders>
          </w:tcPr>
          <w:p w:rsidR="00000000" w:rsidRDefault="00000000">
            <w:pPr>
              <w:tabs>
                <w:tab w:val="clear" w:pos="1134"/>
                <w:tab w:val="left" w:pos="768"/>
              </w:tabs>
              <w:ind w:right="235"/>
              <w:jc w:val="right"/>
            </w:pPr>
            <w:r>
              <w:t>149,5</w:t>
            </w:r>
          </w:p>
        </w:tc>
        <w:tc>
          <w:tcPr>
            <w:tcW w:w="1418" w:type="dxa"/>
            <w:tcBorders>
              <w:top w:val="nil"/>
              <w:bottom w:val="nil"/>
            </w:tcBorders>
          </w:tcPr>
          <w:p w:rsidR="00000000" w:rsidRDefault="00000000">
            <w:pPr>
              <w:tabs>
                <w:tab w:val="clear" w:pos="1134"/>
                <w:tab w:val="left" w:pos="768"/>
              </w:tabs>
              <w:ind w:right="235"/>
              <w:jc w:val="right"/>
            </w:pPr>
            <w:r>
              <w:t>161,6</w:t>
            </w:r>
          </w:p>
        </w:tc>
        <w:tc>
          <w:tcPr>
            <w:tcW w:w="1417" w:type="dxa"/>
            <w:tcBorders>
              <w:top w:val="nil"/>
              <w:bottom w:val="nil"/>
            </w:tcBorders>
          </w:tcPr>
          <w:p w:rsidR="00000000" w:rsidRDefault="00000000">
            <w:pPr>
              <w:tabs>
                <w:tab w:val="clear" w:pos="1134"/>
                <w:tab w:val="left" w:pos="768"/>
              </w:tabs>
              <w:ind w:right="235"/>
              <w:jc w:val="right"/>
            </w:pPr>
            <w:r>
              <w:t>160,6</w:t>
            </w:r>
          </w:p>
        </w:tc>
        <w:tc>
          <w:tcPr>
            <w:tcW w:w="1418" w:type="dxa"/>
            <w:tcBorders>
              <w:top w:val="nil"/>
              <w:bottom w:val="nil"/>
            </w:tcBorders>
          </w:tcPr>
          <w:p w:rsidR="00000000" w:rsidRDefault="00000000">
            <w:pPr>
              <w:tabs>
                <w:tab w:val="clear" w:pos="1134"/>
                <w:tab w:val="left" w:pos="768"/>
              </w:tabs>
              <w:ind w:right="235"/>
              <w:jc w:val="right"/>
            </w:pPr>
            <w:r>
              <w:t>171,7</w:t>
            </w:r>
          </w:p>
        </w:tc>
      </w:tr>
      <w:tr w:rsidR="00000000">
        <w:tblPrEx>
          <w:tblCellMar>
            <w:top w:w="0" w:type="dxa"/>
            <w:bottom w:w="0" w:type="dxa"/>
          </w:tblCellMar>
        </w:tblPrEx>
        <w:tc>
          <w:tcPr>
            <w:tcW w:w="3828" w:type="dxa"/>
            <w:tcBorders>
              <w:top w:val="nil"/>
              <w:bottom w:val="nil"/>
            </w:tcBorders>
          </w:tcPr>
          <w:p w:rsidR="00000000" w:rsidRDefault="00000000">
            <w:pPr>
              <w:jc w:val="both"/>
              <w:rPr>
                <w:lang w:val="en-US"/>
              </w:rPr>
            </w:pPr>
            <w:r>
              <w:t>Сахар</w:t>
            </w:r>
          </w:p>
        </w:tc>
        <w:tc>
          <w:tcPr>
            <w:tcW w:w="1275" w:type="dxa"/>
            <w:tcBorders>
              <w:top w:val="nil"/>
              <w:bottom w:val="nil"/>
            </w:tcBorders>
          </w:tcPr>
          <w:p w:rsidR="00000000" w:rsidRDefault="00000000">
            <w:pPr>
              <w:tabs>
                <w:tab w:val="clear" w:pos="1134"/>
                <w:tab w:val="left" w:pos="768"/>
              </w:tabs>
              <w:ind w:right="235"/>
              <w:jc w:val="right"/>
              <w:rPr>
                <w:lang w:val="en-US"/>
              </w:rPr>
            </w:pPr>
            <w:r>
              <w:rPr>
                <w:lang w:val="en-US"/>
              </w:rPr>
              <w:t>11,4</w:t>
            </w:r>
          </w:p>
        </w:tc>
        <w:tc>
          <w:tcPr>
            <w:tcW w:w="1418" w:type="dxa"/>
            <w:tcBorders>
              <w:top w:val="nil"/>
              <w:bottom w:val="nil"/>
            </w:tcBorders>
          </w:tcPr>
          <w:p w:rsidR="00000000" w:rsidRDefault="00000000">
            <w:pPr>
              <w:tabs>
                <w:tab w:val="clear" w:pos="1134"/>
                <w:tab w:val="left" w:pos="768"/>
              </w:tabs>
              <w:ind w:right="235"/>
              <w:jc w:val="right"/>
              <w:rPr>
                <w:lang w:val="en-US"/>
              </w:rPr>
            </w:pPr>
            <w:r>
              <w:rPr>
                <w:lang w:val="en-US"/>
              </w:rPr>
              <w:t>12,1</w:t>
            </w:r>
          </w:p>
        </w:tc>
        <w:tc>
          <w:tcPr>
            <w:tcW w:w="1417" w:type="dxa"/>
            <w:tcBorders>
              <w:top w:val="nil"/>
              <w:bottom w:val="nil"/>
            </w:tcBorders>
          </w:tcPr>
          <w:p w:rsidR="00000000" w:rsidRDefault="00000000">
            <w:pPr>
              <w:tabs>
                <w:tab w:val="clear" w:pos="1134"/>
                <w:tab w:val="left" w:pos="768"/>
              </w:tabs>
              <w:ind w:right="235"/>
              <w:jc w:val="right"/>
              <w:rPr>
                <w:lang w:val="en-US"/>
              </w:rPr>
            </w:pPr>
            <w:r>
              <w:rPr>
                <w:lang w:val="en-US"/>
              </w:rPr>
              <w:t>13,8</w:t>
            </w:r>
          </w:p>
        </w:tc>
        <w:tc>
          <w:tcPr>
            <w:tcW w:w="1418" w:type="dxa"/>
            <w:tcBorders>
              <w:top w:val="nil"/>
              <w:bottom w:val="nil"/>
            </w:tcBorders>
          </w:tcPr>
          <w:p w:rsidR="00000000" w:rsidRDefault="00000000">
            <w:pPr>
              <w:tabs>
                <w:tab w:val="clear" w:pos="1134"/>
                <w:tab w:val="left" w:pos="768"/>
              </w:tabs>
              <w:ind w:right="235"/>
              <w:jc w:val="right"/>
              <w:rPr>
                <w:lang w:val="en-US"/>
              </w:rPr>
            </w:pPr>
            <w:r>
              <w:rPr>
                <w:lang w:val="en-US"/>
              </w:rPr>
              <w:t>11,5</w:t>
            </w:r>
          </w:p>
        </w:tc>
      </w:tr>
      <w:tr w:rsidR="00000000">
        <w:tblPrEx>
          <w:tblCellMar>
            <w:top w:w="0" w:type="dxa"/>
            <w:bottom w:w="0" w:type="dxa"/>
          </w:tblCellMar>
        </w:tblPrEx>
        <w:tc>
          <w:tcPr>
            <w:tcW w:w="3828" w:type="dxa"/>
            <w:tcBorders>
              <w:top w:val="nil"/>
            </w:tcBorders>
          </w:tcPr>
          <w:p w:rsidR="00000000" w:rsidRDefault="00000000">
            <w:pPr>
              <w:jc w:val="both"/>
              <w:rPr>
                <w:lang w:val="en-US"/>
              </w:rPr>
            </w:pPr>
            <w:r>
              <w:t>Кофе</w:t>
            </w:r>
          </w:p>
        </w:tc>
        <w:tc>
          <w:tcPr>
            <w:tcW w:w="1275" w:type="dxa"/>
            <w:tcBorders>
              <w:top w:val="nil"/>
            </w:tcBorders>
          </w:tcPr>
          <w:p w:rsidR="00000000" w:rsidRDefault="00000000">
            <w:pPr>
              <w:tabs>
                <w:tab w:val="clear" w:pos="1134"/>
                <w:tab w:val="left" w:pos="768"/>
              </w:tabs>
              <w:ind w:right="235"/>
              <w:jc w:val="right"/>
              <w:rPr>
                <w:lang w:val="en-US"/>
              </w:rPr>
            </w:pPr>
            <w:r>
              <w:rPr>
                <w:lang w:val="en-US"/>
              </w:rPr>
              <w:t>1,8</w:t>
            </w:r>
          </w:p>
        </w:tc>
        <w:tc>
          <w:tcPr>
            <w:tcW w:w="1418" w:type="dxa"/>
            <w:tcBorders>
              <w:top w:val="nil"/>
            </w:tcBorders>
          </w:tcPr>
          <w:p w:rsidR="00000000" w:rsidRDefault="00000000">
            <w:pPr>
              <w:tabs>
                <w:tab w:val="clear" w:pos="1134"/>
                <w:tab w:val="left" w:pos="768"/>
              </w:tabs>
              <w:ind w:right="235"/>
              <w:jc w:val="right"/>
              <w:rPr>
                <w:lang w:val="en-US"/>
              </w:rPr>
            </w:pPr>
            <w:r>
              <w:rPr>
                <w:lang w:val="en-US"/>
              </w:rPr>
              <w:t>2,0</w:t>
            </w:r>
          </w:p>
        </w:tc>
        <w:tc>
          <w:tcPr>
            <w:tcW w:w="1417" w:type="dxa"/>
            <w:tcBorders>
              <w:top w:val="nil"/>
            </w:tcBorders>
          </w:tcPr>
          <w:p w:rsidR="00000000" w:rsidRDefault="00000000">
            <w:pPr>
              <w:tabs>
                <w:tab w:val="clear" w:pos="1134"/>
                <w:tab w:val="left" w:pos="768"/>
              </w:tabs>
              <w:ind w:right="235"/>
              <w:jc w:val="right"/>
              <w:rPr>
                <w:lang w:val="en-US"/>
              </w:rPr>
            </w:pPr>
            <w:r>
              <w:rPr>
                <w:lang w:val="en-US"/>
              </w:rPr>
              <w:t>2,2</w:t>
            </w:r>
          </w:p>
        </w:tc>
        <w:tc>
          <w:tcPr>
            <w:tcW w:w="1418" w:type="dxa"/>
            <w:tcBorders>
              <w:top w:val="nil"/>
            </w:tcBorders>
          </w:tcPr>
          <w:p w:rsidR="00000000" w:rsidRDefault="00000000">
            <w:pPr>
              <w:tabs>
                <w:tab w:val="clear" w:pos="1134"/>
                <w:tab w:val="left" w:pos="768"/>
              </w:tabs>
              <w:ind w:right="235"/>
              <w:jc w:val="right"/>
              <w:rPr>
                <w:lang w:val="en-US"/>
              </w:rPr>
            </w:pPr>
            <w:r>
              <w:rPr>
                <w:lang w:val="en-US"/>
              </w:rPr>
              <w:t>1,9</w:t>
            </w:r>
          </w:p>
        </w:tc>
      </w:tr>
    </w:tbl>
    <w:p w:rsidR="00000000" w:rsidRDefault="00000000">
      <w:pPr>
        <w:pStyle w:val="Heading2"/>
        <w:keepNext w:val="0"/>
        <w:jc w:val="center"/>
        <w:rPr>
          <w:b/>
          <w:bCs/>
          <w:u w:val="none"/>
        </w:rPr>
      </w:pPr>
    </w:p>
    <w:p w:rsidR="00000000" w:rsidRDefault="00000000">
      <w:pPr>
        <w:pStyle w:val="Heading2"/>
        <w:jc w:val="center"/>
        <w:rPr>
          <w:b/>
          <w:bCs/>
          <w:u w:val="none"/>
        </w:rPr>
      </w:pPr>
      <w:r>
        <w:rPr>
          <w:b/>
          <w:bCs/>
          <w:u w:val="none"/>
        </w:rPr>
        <w:t xml:space="preserve">Структура расходов домашних </w:t>
      </w:r>
      <w:proofErr w:type="spellStart"/>
      <w:r>
        <w:rPr>
          <w:b/>
          <w:bCs/>
          <w:u w:val="none"/>
        </w:rPr>
        <w:t>хозяйств</w:t>
      </w:r>
      <w:r>
        <w:rPr>
          <w:b/>
          <w:bCs/>
          <w:u w:val="none"/>
          <w:vertAlign w:val="superscript"/>
        </w:rPr>
        <w:t>9</w:t>
      </w:r>
      <w:proofErr w:type="spellEnd"/>
    </w:p>
    <w:p w:rsidR="00000000" w:rsidRDefault="00000000">
      <w:pPr>
        <w:keepN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2835"/>
        <w:gridCol w:w="2835"/>
      </w:tblGrid>
      <w:tr w:rsidR="00000000">
        <w:tblPrEx>
          <w:tblCellMar>
            <w:top w:w="0" w:type="dxa"/>
            <w:bottom w:w="0" w:type="dxa"/>
          </w:tblCellMar>
        </w:tblPrEx>
        <w:tc>
          <w:tcPr>
            <w:tcW w:w="3686" w:type="dxa"/>
            <w:tcBorders>
              <w:bottom w:val="single" w:sz="4" w:space="0" w:color="auto"/>
            </w:tcBorders>
          </w:tcPr>
          <w:p w:rsidR="00000000" w:rsidRDefault="00000000">
            <w:pPr>
              <w:pStyle w:val="Header"/>
            </w:pPr>
          </w:p>
        </w:tc>
        <w:tc>
          <w:tcPr>
            <w:tcW w:w="2835" w:type="dxa"/>
            <w:tcBorders>
              <w:bottom w:val="single" w:sz="4" w:space="0" w:color="auto"/>
            </w:tcBorders>
          </w:tcPr>
          <w:p w:rsidR="00000000" w:rsidRDefault="00000000">
            <w:pPr>
              <w:jc w:val="center"/>
            </w:pPr>
            <w:r>
              <w:t>1996</w:t>
            </w:r>
          </w:p>
        </w:tc>
        <w:tc>
          <w:tcPr>
            <w:tcW w:w="2835" w:type="dxa"/>
            <w:tcBorders>
              <w:bottom w:val="single" w:sz="4" w:space="0" w:color="auto"/>
            </w:tcBorders>
          </w:tcPr>
          <w:p w:rsidR="00000000" w:rsidRDefault="00000000">
            <w:pPr>
              <w:jc w:val="center"/>
            </w:pPr>
            <w:r>
              <w:t>1997</w:t>
            </w:r>
          </w:p>
        </w:tc>
      </w:tr>
      <w:tr w:rsidR="00000000">
        <w:tblPrEx>
          <w:tblCellMar>
            <w:top w:w="0" w:type="dxa"/>
            <w:bottom w:w="0" w:type="dxa"/>
          </w:tblCellMar>
        </w:tblPrEx>
        <w:tc>
          <w:tcPr>
            <w:tcW w:w="3686" w:type="dxa"/>
            <w:tcBorders>
              <w:bottom w:val="nil"/>
            </w:tcBorders>
          </w:tcPr>
          <w:p w:rsidR="00000000" w:rsidRDefault="00000000">
            <w:pPr>
              <w:pStyle w:val="Header"/>
            </w:pPr>
            <w:r>
              <w:t>Израсходованные средства</w:t>
            </w:r>
          </w:p>
        </w:tc>
        <w:tc>
          <w:tcPr>
            <w:tcW w:w="2835" w:type="dxa"/>
            <w:tcBorders>
              <w:bottom w:val="nil"/>
            </w:tcBorders>
          </w:tcPr>
          <w:p w:rsidR="00000000" w:rsidRDefault="00000000">
            <w:pPr>
              <w:ind w:right="1026"/>
              <w:jc w:val="right"/>
            </w:pPr>
            <w:r>
              <w:t>100,0</w:t>
            </w:r>
          </w:p>
        </w:tc>
        <w:tc>
          <w:tcPr>
            <w:tcW w:w="2835" w:type="dxa"/>
            <w:tcBorders>
              <w:bottom w:val="nil"/>
            </w:tcBorders>
          </w:tcPr>
          <w:p w:rsidR="00000000" w:rsidRDefault="00000000">
            <w:pPr>
              <w:pStyle w:val="Header"/>
              <w:ind w:right="1026"/>
              <w:jc w:val="right"/>
            </w:pPr>
            <w:r>
              <w:t>100,0</w:t>
            </w:r>
          </w:p>
        </w:tc>
      </w:tr>
      <w:tr w:rsidR="00000000">
        <w:tblPrEx>
          <w:tblCellMar>
            <w:top w:w="0" w:type="dxa"/>
            <w:bottom w:w="0" w:type="dxa"/>
          </w:tblCellMar>
        </w:tblPrEx>
        <w:tc>
          <w:tcPr>
            <w:tcW w:w="3686" w:type="dxa"/>
            <w:tcBorders>
              <w:top w:val="nil"/>
              <w:bottom w:val="nil"/>
            </w:tcBorders>
          </w:tcPr>
          <w:p w:rsidR="00000000" w:rsidRDefault="00000000">
            <w:r>
              <w:t>Личное потребление</w:t>
            </w:r>
          </w:p>
        </w:tc>
        <w:tc>
          <w:tcPr>
            <w:tcW w:w="2835" w:type="dxa"/>
            <w:tcBorders>
              <w:top w:val="nil"/>
              <w:bottom w:val="nil"/>
            </w:tcBorders>
          </w:tcPr>
          <w:p w:rsidR="00000000" w:rsidRDefault="00000000">
            <w:pPr>
              <w:ind w:right="1026"/>
              <w:jc w:val="right"/>
            </w:pPr>
            <w:r>
              <w:t>86,8</w:t>
            </w:r>
          </w:p>
        </w:tc>
        <w:tc>
          <w:tcPr>
            <w:tcW w:w="2835" w:type="dxa"/>
            <w:tcBorders>
              <w:top w:val="nil"/>
              <w:bottom w:val="nil"/>
            </w:tcBorders>
          </w:tcPr>
          <w:p w:rsidR="00000000" w:rsidRDefault="00000000">
            <w:pPr>
              <w:ind w:right="1026"/>
              <w:jc w:val="right"/>
            </w:pPr>
            <w:r>
              <w:t>85,1</w:t>
            </w:r>
          </w:p>
        </w:tc>
      </w:tr>
      <w:tr w:rsidR="00000000">
        <w:tblPrEx>
          <w:tblCellMar>
            <w:top w:w="0" w:type="dxa"/>
            <w:bottom w:w="0" w:type="dxa"/>
          </w:tblCellMar>
        </w:tblPrEx>
        <w:tc>
          <w:tcPr>
            <w:tcW w:w="3686" w:type="dxa"/>
            <w:tcBorders>
              <w:top w:val="nil"/>
              <w:bottom w:val="nil"/>
            </w:tcBorders>
          </w:tcPr>
          <w:p w:rsidR="00000000" w:rsidRDefault="00000000">
            <w:r>
              <w:t>Продукты питания</w:t>
            </w:r>
          </w:p>
        </w:tc>
        <w:tc>
          <w:tcPr>
            <w:tcW w:w="2835" w:type="dxa"/>
            <w:tcBorders>
              <w:top w:val="nil"/>
              <w:bottom w:val="nil"/>
            </w:tcBorders>
          </w:tcPr>
          <w:p w:rsidR="00000000" w:rsidRDefault="00000000">
            <w:pPr>
              <w:ind w:right="1026"/>
              <w:jc w:val="right"/>
            </w:pPr>
            <w:r>
              <w:t>43,4</w:t>
            </w:r>
          </w:p>
        </w:tc>
        <w:tc>
          <w:tcPr>
            <w:tcW w:w="2835" w:type="dxa"/>
            <w:tcBorders>
              <w:top w:val="nil"/>
              <w:bottom w:val="nil"/>
            </w:tcBorders>
          </w:tcPr>
          <w:p w:rsidR="00000000" w:rsidRDefault="00000000">
            <w:pPr>
              <w:ind w:right="1026"/>
              <w:jc w:val="right"/>
            </w:pPr>
            <w:r>
              <w:t>42,8</w:t>
            </w:r>
          </w:p>
        </w:tc>
      </w:tr>
      <w:tr w:rsidR="00000000">
        <w:tblPrEx>
          <w:tblCellMar>
            <w:top w:w="0" w:type="dxa"/>
            <w:bottom w:w="0" w:type="dxa"/>
          </w:tblCellMar>
        </w:tblPrEx>
        <w:tc>
          <w:tcPr>
            <w:tcW w:w="3686" w:type="dxa"/>
            <w:tcBorders>
              <w:top w:val="nil"/>
              <w:bottom w:val="nil"/>
            </w:tcBorders>
          </w:tcPr>
          <w:p w:rsidR="00000000" w:rsidRDefault="00000000">
            <w:r>
              <w:t>Напитки</w:t>
            </w:r>
          </w:p>
        </w:tc>
        <w:tc>
          <w:tcPr>
            <w:tcW w:w="2835" w:type="dxa"/>
            <w:tcBorders>
              <w:top w:val="nil"/>
              <w:bottom w:val="nil"/>
            </w:tcBorders>
          </w:tcPr>
          <w:p w:rsidR="00000000" w:rsidRDefault="00000000">
            <w:pPr>
              <w:ind w:right="1026"/>
              <w:jc w:val="right"/>
            </w:pPr>
            <w:r>
              <w:t>3,9</w:t>
            </w:r>
          </w:p>
        </w:tc>
        <w:tc>
          <w:tcPr>
            <w:tcW w:w="2835" w:type="dxa"/>
            <w:tcBorders>
              <w:top w:val="nil"/>
              <w:bottom w:val="nil"/>
            </w:tcBorders>
          </w:tcPr>
          <w:p w:rsidR="00000000" w:rsidRDefault="00000000">
            <w:pPr>
              <w:ind w:right="1026"/>
              <w:jc w:val="right"/>
            </w:pPr>
            <w:r>
              <w:t>3,9</w:t>
            </w:r>
          </w:p>
        </w:tc>
      </w:tr>
      <w:tr w:rsidR="00000000">
        <w:tblPrEx>
          <w:tblCellMar>
            <w:top w:w="0" w:type="dxa"/>
            <w:bottom w:w="0" w:type="dxa"/>
          </w:tblCellMar>
        </w:tblPrEx>
        <w:tc>
          <w:tcPr>
            <w:tcW w:w="3686" w:type="dxa"/>
            <w:tcBorders>
              <w:top w:val="nil"/>
              <w:bottom w:val="nil"/>
            </w:tcBorders>
          </w:tcPr>
          <w:p w:rsidR="00000000" w:rsidRDefault="00000000">
            <w:r>
              <w:t>Табачные изделия</w:t>
            </w:r>
          </w:p>
        </w:tc>
        <w:tc>
          <w:tcPr>
            <w:tcW w:w="2835" w:type="dxa"/>
            <w:tcBorders>
              <w:top w:val="nil"/>
              <w:bottom w:val="nil"/>
            </w:tcBorders>
          </w:tcPr>
          <w:p w:rsidR="00000000" w:rsidRDefault="00000000">
            <w:pPr>
              <w:ind w:right="1026"/>
              <w:jc w:val="right"/>
            </w:pPr>
            <w:r>
              <w:t>3,1</w:t>
            </w:r>
          </w:p>
        </w:tc>
        <w:tc>
          <w:tcPr>
            <w:tcW w:w="2835" w:type="dxa"/>
            <w:tcBorders>
              <w:top w:val="nil"/>
              <w:bottom w:val="nil"/>
            </w:tcBorders>
          </w:tcPr>
          <w:p w:rsidR="00000000" w:rsidRDefault="00000000">
            <w:pPr>
              <w:ind w:right="1026"/>
              <w:jc w:val="right"/>
            </w:pPr>
            <w:r>
              <w:t>2,9</w:t>
            </w:r>
          </w:p>
        </w:tc>
      </w:tr>
      <w:tr w:rsidR="00000000">
        <w:tblPrEx>
          <w:tblCellMar>
            <w:top w:w="0" w:type="dxa"/>
            <w:bottom w:w="0" w:type="dxa"/>
          </w:tblCellMar>
        </w:tblPrEx>
        <w:tc>
          <w:tcPr>
            <w:tcW w:w="3686" w:type="dxa"/>
            <w:tcBorders>
              <w:top w:val="nil"/>
            </w:tcBorders>
          </w:tcPr>
          <w:p w:rsidR="00000000" w:rsidRDefault="00000000">
            <w:r>
              <w:t>Прочие товары и услуги</w:t>
            </w:r>
          </w:p>
        </w:tc>
        <w:tc>
          <w:tcPr>
            <w:tcW w:w="2835" w:type="dxa"/>
            <w:tcBorders>
              <w:top w:val="nil"/>
            </w:tcBorders>
          </w:tcPr>
          <w:p w:rsidR="00000000" w:rsidRDefault="00000000">
            <w:pPr>
              <w:ind w:right="1026"/>
              <w:jc w:val="right"/>
            </w:pPr>
            <w:r>
              <w:t>36,4</w:t>
            </w:r>
          </w:p>
        </w:tc>
        <w:tc>
          <w:tcPr>
            <w:tcW w:w="2835" w:type="dxa"/>
            <w:tcBorders>
              <w:top w:val="nil"/>
            </w:tcBorders>
          </w:tcPr>
          <w:p w:rsidR="00000000" w:rsidRDefault="00000000">
            <w:pPr>
              <w:pStyle w:val="Header"/>
              <w:ind w:right="1026"/>
              <w:jc w:val="right"/>
            </w:pPr>
            <w:r>
              <w:t>35,5</w:t>
            </w:r>
          </w:p>
        </w:tc>
      </w:tr>
    </w:tbl>
    <w:p w:rsidR="00000000" w:rsidRDefault="00000000"/>
    <w:p w:rsidR="00000000" w:rsidRDefault="00000000">
      <w:pPr>
        <w:jc w:val="center"/>
        <w:rPr>
          <w:b/>
          <w:bCs/>
        </w:rPr>
      </w:pPr>
      <w:r>
        <w:rPr>
          <w:b/>
          <w:bCs/>
        </w:rPr>
        <w:t>Товары длительного пользования в домашних хозяйствах</w:t>
      </w:r>
    </w:p>
    <w:p w:rsidR="00000000" w:rsidRDefault="00000000">
      <w:pPr>
        <w:jc w:val="center"/>
        <w:rPr>
          <w:b/>
          <w:bCs/>
        </w:rPr>
      </w:pPr>
    </w:p>
    <w:tbl>
      <w:tblPr>
        <w:tblW w:w="0" w:type="auto"/>
        <w:tblInd w:w="113"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113" w:type="dxa"/>
          <w:bottom w:w="28" w:type="dxa"/>
          <w:right w:w="113" w:type="dxa"/>
        </w:tblCellMar>
        <w:tblLook w:val="0000" w:firstRow="0" w:lastRow="0" w:firstColumn="0" w:lastColumn="0" w:noHBand="0" w:noVBand="0"/>
      </w:tblPr>
      <w:tblGrid>
        <w:gridCol w:w="5103"/>
        <w:gridCol w:w="1416"/>
        <w:gridCol w:w="1416"/>
        <w:gridCol w:w="1416"/>
      </w:tblGrid>
      <w:tr w:rsidR="00000000">
        <w:trPr>
          <w:cantSplit/>
          <w:tblHeader/>
        </w:trPr>
        <w:tc>
          <w:tcPr>
            <w:tcW w:w="5103" w:type="dxa"/>
            <w:tcBorders>
              <w:bottom w:val="single" w:sz="4" w:space="0" w:color="auto"/>
            </w:tcBorders>
          </w:tcPr>
          <w:p w:rsidR="00000000" w:rsidRDefault="00000000">
            <w:pPr>
              <w:jc w:val="center"/>
            </w:pPr>
          </w:p>
        </w:tc>
        <w:tc>
          <w:tcPr>
            <w:tcW w:w="1416" w:type="dxa"/>
            <w:tcBorders>
              <w:bottom w:val="single" w:sz="4" w:space="0" w:color="auto"/>
            </w:tcBorders>
          </w:tcPr>
          <w:p w:rsidR="00000000" w:rsidRDefault="00000000">
            <w:pPr>
              <w:jc w:val="center"/>
            </w:pPr>
            <w:r>
              <w:t>1994</w:t>
            </w:r>
          </w:p>
        </w:tc>
        <w:tc>
          <w:tcPr>
            <w:tcW w:w="1416" w:type="dxa"/>
            <w:tcBorders>
              <w:bottom w:val="single" w:sz="4" w:space="0" w:color="auto"/>
            </w:tcBorders>
          </w:tcPr>
          <w:p w:rsidR="00000000" w:rsidRDefault="00000000">
            <w:pPr>
              <w:jc w:val="center"/>
            </w:pPr>
            <w:r>
              <w:t>1995</w:t>
            </w:r>
          </w:p>
        </w:tc>
        <w:tc>
          <w:tcPr>
            <w:tcW w:w="1416" w:type="dxa"/>
            <w:tcBorders>
              <w:bottom w:val="single" w:sz="4" w:space="0" w:color="auto"/>
            </w:tcBorders>
          </w:tcPr>
          <w:p w:rsidR="00000000" w:rsidRDefault="00000000">
            <w:pPr>
              <w:jc w:val="center"/>
            </w:pPr>
            <w:r>
              <w:t>1996</w:t>
            </w:r>
          </w:p>
        </w:tc>
      </w:tr>
      <w:tr w:rsidR="00000000">
        <w:trPr>
          <w:cantSplit/>
        </w:trPr>
        <w:tc>
          <w:tcPr>
            <w:tcW w:w="5103" w:type="dxa"/>
            <w:tcBorders>
              <w:top w:val="single" w:sz="4" w:space="0" w:color="auto"/>
              <w:bottom w:val="nil"/>
            </w:tcBorders>
          </w:tcPr>
          <w:p w:rsidR="00000000" w:rsidRDefault="00000000">
            <w:r>
              <w:t>Число обследованных домашних хозяйств</w:t>
            </w:r>
          </w:p>
        </w:tc>
        <w:tc>
          <w:tcPr>
            <w:tcW w:w="1416" w:type="dxa"/>
            <w:tcBorders>
              <w:top w:val="single" w:sz="4" w:space="0" w:color="auto"/>
              <w:bottom w:val="nil"/>
            </w:tcBorders>
          </w:tcPr>
          <w:p w:rsidR="00000000" w:rsidRDefault="00000000">
            <w:pPr>
              <w:tabs>
                <w:tab w:val="clear" w:pos="1134"/>
                <w:tab w:val="clear" w:pos="1701"/>
                <w:tab w:val="clear" w:pos="2268"/>
                <w:tab w:val="clear" w:pos="6237"/>
                <w:tab w:val="decimal" w:pos="567"/>
              </w:tabs>
              <w:jc w:val="both"/>
            </w:pPr>
            <w:r>
              <w:t>677,0</w:t>
            </w:r>
          </w:p>
        </w:tc>
        <w:tc>
          <w:tcPr>
            <w:tcW w:w="1416" w:type="dxa"/>
            <w:tcBorders>
              <w:top w:val="single" w:sz="4" w:space="0" w:color="auto"/>
              <w:bottom w:val="nil"/>
            </w:tcBorders>
          </w:tcPr>
          <w:p w:rsidR="00000000" w:rsidRDefault="00000000">
            <w:pPr>
              <w:tabs>
                <w:tab w:val="clear" w:pos="1134"/>
                <w:tab w:val="clear" w:pos="1701"/>
                <w:tab w:val="clear" w:pos="2268"/>
                <w:tab w:val="clear" w:pos="6237"/>
                <w:tab w:val="decimal" w:pos="567"/>
              </w:tabs>
              <w:jc w:val="both"/>
            </w:pPr>
            <w:r>
              <w:t>680,0</w:t>
            </w:r>
          </w:p>
        </w:tc>
        <w:tc>
          <w:tcPr>
            <w:tcW w:w="1416" w:type="dxa"/>
            <w:tcBorders>
              <w:top w:val="single" w:sz="4" w:space="0" w:color="auto"/>
              <w:bottom w:val="nil"/>
            </w:tcBorders>
          </w:tcPr>
          <w:p w:rsidR="00000000" w:rsidRDefault="00000000">
            <w:pPr>
              <w:tabs>
                <w:tab w:val="clear" w:pos="1134"/>
                <w:tab w:val="clear" w:pos="1701"/>
                <w:tab w:val="clear" w:pos="2268"/>
                <w:tab w:val="clear" w:pos="6237"/>
                <w:tab w:val="decimal" w:pos="567"/>
              </w:tabs>
              <w:jc w:val="both"/>
            </w:pPr>
            <w:r>
              <w:t>1 040,0</w:t>
            </w:r>
          </w:p>
        </w:tc>
      </w:tr>
      <w:tr w:rsidR="00000000">
        <w:trPr>
          <w:cantSplit/>
        </w:trPr>
        <w:tc>
          <w:tcPr>
            <w:tcW w:w="5103" w:type="dxa"/>
            <w:tcBorders>
              <w:top w:val="nil"/>
            </w:tcBorders>
          </w:tcPr>
          <w:p w:rsidR="00000000" w:rsidRDefault="00000000">
            <w:r>
              <w:t>Расчетное число домашних хозяйств</w:t>
            </w:r>
          </w:p>
        </w:tc>
        <w:tc>
          <w:tcPr>
            <w:tcW w:w="1416" w:type="dxa"/>
            <w:tcBorders>
              <w:top w:val="nil"/>
            </w:tcBorders>
          </w:tcPr>
          <w:p w:rsidR="00000000" w:rsidRDefault="00000000">
            <w:pPr>
              <w:tabs>
                <w:tab w:val="clear" w:pos="1134"/>
                <w:tab w:val="clear" w:pos="1701"/>
                <w:tab w:val="clear" w:pos="2268"/>
                <w:tab w:val="clear" w:pos="6237"/>
                <w:tab w:val="decimal" w:pos="567"/>
              </w:tabs>
              <w:jc w:val="both"/>
            </w:pPr>
            <w:r>
              <w:t>100,0</w:t>
            </w:r>
          </w:p>
        </w:tc>
        <w:tc>
          <w:tcPr>
            <w:tcW w:w="1416" w:type="dxa"/>
            <w:tcBorders>
              <w:top w:val="nil"/>
            </w:tcBorders>
          </w:tcPr>
          <w:p w:rsidR="00000000" w:rsidRDefault="00000000">
            <w:pPr>
              <w:tabs>
                <w:tab w:val="clear" w:pos="1134"/>
                <w:tab w:val="clear" w:pos="1701"/>
                <w:tab w:val="clear" w:pos="2268"/>
                <w:tab w:val="clear" w:pos="6237"/>
                <w:tab w:val="decimal" w:pos="567"/>
              </w:tabs>
              <w:jc w:val="both"/>
            </w:pPr>
            <w:r>
              <w:t>100,0</w:t>
            </w:r>
          </w:p>
        </w:tc>
        <w:tc>
          <w:tcPr>
            <w:tcW w:w="1416" w:type="dxa"/>
            <w:tcBorders>
              <w:top w:val="nil"/>
            </w:tcBorders>
          </w:tcPr>
          <w:p w:rsidR="00000000" w:rsidRDefault="00000000">
            <w:pPr>
              <w:tabs>
                <w:tab w:val="clear" w:pos="1134"/>
                <w:tab w:val="clear" w:pos="1701"/>
                <w:tab w:val="clear" w:pos="2268"/>
                <w:tab w:val="clear" w:pos="6237"/>
                <w:tab w:val="decimal" w:pos="567"/>
              </w:tabs>
              <w:jc w:val="both"/>
            </w:pPr>
            <w:r>
              <w:t>100,0</w:t>
            </w:r>
          </w:p>
        </w:tc>
      </w:tr>
      <w:tr w:rsidR="00000000">
        <w:trPr>
          <w:cantSplit/>
        </w:trPr>
        <w:tc>
          <w:tcPr>
            <w:tcW w:w="5103" w:type="dxa"/>
          </w:tcPr>
          <w:p w:rsidR="00000000" w:rsidRDefault="00000000">
            <w:r>
              <w:t>Домашние хозяйства, имеющие товары длительного пользования</w:t>
            </w:r>
          </w:p>
        </w:tc>
        <w:tc>
          <w:tcPr>
            <w:tcW w:w="1416" w:type="dxa"/>
          </w:tcPr>
          <w:p w:rsidR="00000000" w:rsidRDefault="00000000">
            <w:pPr>
              <w:tabs>
                <w:tab w:val="clear" w:pos="1134"/>
                <w:tab w:val="clear" w:pos="1701"/>
                <w:tab w:val="clear" w:pos="2268"/>
                <w:tab w:val="clear" w:pos="6237"/>
                <w:tab w:val="decimal" w:pos="567"/>
              </w:tabs>
              <w:jc w:val="both"/>
            </w:pPr>
            <w:r>
              <w:t>99,8</w:t>
            </w:r>
          </w:p>
        </w:tc>
        <w:tc>
          <w:tcPr>
            <w:tcW w:w="1416" w:type="dxa"/>
          </w:tcPr>
          <w:p w:rsidR="00000000" w:rsidRDefault="00000000">
            <w:pPr>
              <w:tabs>
                <w:tab w:val="clear" w:pos="1134"/>
                <w:tab w:val="clear" w:pos="1701"/>
                <w:tab w:val="clear" w:pos="2268"/>
                <w:tab w:val="clear" w:pos="6237"/>
                <w:tab w:val="decimal" w:pos="567"/>
              </w:tabs>
              <w:jc w:val="both"/>
            </w:pPr>
            <w:r>
              <w:t>100,0</w:t>
            </w:r>
          </w:p>
        </w:tc>
        <w:tc>
          <w:tcPr>
            <w:tcW w:w="1416" w:type="dxa"/>
          </w:tcPr>
          <w:p w:rsidR="00000000" w:rsidRDefault="00000000">
            <w:pPr>
              <w:tabs>
                <w:tab w:val="clear" w:pos="1134"/>
                <w:tab w:val="clear" w:pos="1701"/>
                <w:tab w:val="clear" w:pos="2268"/>
                <w:tab w:val="clear" w:pos="6237"/>
                <w:tab w:val="decimal" w:pos="567"/>
              </w:tabs>
              <w:jc w:val="both"/>
            </w:pPr>
            <w:r>
              <w:t>99,9</w:t>
            </w:r>
          </w:p>
        </w:tc>
      </w:tr>
      <w:tr w:rsidR="00000000">
        <w:trPr>
          <w:cantSplit/>
        </w:trPr>
        <w:tc>
          <w:tcPr>
            <w:tcW w:w="5103" w:type="dxa"/>
          </w:tcPr>
          <w:p w:rsidR="00000000" w:rsidRDefault="00000000">
            <w:pPr>
              <w:tabs>
                <w:tab w:val="left" w:pos="284"/>
              </w:tabs>
              <w:ind w:left="284"/>
            </w:pPr>
            <w:r>
              <w:t>Твердотопливная печь</w:t>
            </w:r>
          </w:p>
        </w:tc>
        <w:tc>
          <w:tcPr>
            <w:tcW w:w="1416" w:type="dxa"/>
          </w:tcPr>
          <w:p w:rsidR="00000000" w:rsidRDefault="00000000">
            <w:pPr>
              <w:tabs>
                <w:tab w:val="clear" w:pos="1134"/>
                <w:tab w:val="clear" w:pos="1701"/>
                <w:tab w:val="clear" w:pos="2268"/>
                <w:tab w:val="clear" w:pos="6237"/>
                <w:tab w:val="decimal" w:pos="567"/>
              </w:tabs>
              <w:jc w:val="both"/>
            </w:pPr>
            <w:r>
              <w:t>69,5</w:t>
            </w:r>
          </w:p>
        </w:tc>
        <w:tc>
          <w:tcPr>
            <w:tcW w:w="1416" w:type="dxa"/>
          </w:tcPr>
          <w:p w:rsidR="00000000" w:rsidRDefault="00000000">
            <w:pPr>
              <w:tabs>
                <w:tab w:val="clear" w:pos="1134"/>
                <w:tab w:val="clear" w:pos="1701"/>
                <w:tab w:val="clear" w:pos="2268"/>
                <w:tab w:val="clear" w:pos="6237"/>
                <w:tab w:val="decimal" w:pos="567"/>
              </w:tabs>
              <w:jc w:val="both"/>
            </w:pPr>
            <w:r>
              <w:t>71,6</w:t>
            </w:r>
          </w:p>
        </w:tc>
        <w:tc>
          <w:tcPr>
            <w:tcW w:w="1416" w:type="dxa"/>
          </w:tcPr>
          <w:p w:rsidR="00000000" w:rsidRDefault="00000000">
            <w:pPr>
              <w:tabs>
                <w:tab w:val="clear" w:pos="1134"/>
                <w:tab w:val="clear" w:pos="1701"/>
                <w:tab w:val="clear" w:pos="2268"/>
                <w:tab w:val="clear" w:pos="6237"/>
                <w:tab w:val="decimal" w:pos="567"/>
              </w:tabs>
              <w:jc w:val="both"/>
            </w:pPr>
            <w:r>
              <w:t>73,0</w:t>
            </w:r>
          </w:p>
        </w:tc>
      </w:tr>
      <w:tr w:rsidR="00000000">
        <w:trPr>
          <w:cantSplit/>
        </w:trPr>
        <w:tc>
          <w:tcPr>
            <w:tcW w:w="5103" w:type="dxa"/>
          </w:tcPr>
          <w:p w:rsidR="00000000" w:rsidRDefault="00000000">
            <w:pPr>
              <w:tabs>
                <w:tab w:val="left" w:pos="284"/>
              </w:tabs>
              <w:ind w:left="284"/>
            </w:pPr>
            <w:r>
              <w:t>Электрическая печь</w:t>
            </w:r>
          </w:p>
        </w:tc>
        <w:tc>
          <w:tcPr>
            <w:tcW w:w="1416" w:type="dxa"/>
          </w:tcPr>
          <w:p w:rsidR="00000000" w:rsidRDefault="00000000">
            <w:pPr>
              <w:tabs>
                <w:tab w:val="clear" w:pos="1134"/>
                <w:tab w:val="clear" w:pos="1701"/>
                <w:tab w:val="clear" w:pos="2268"/>
                <w:tab w:val="clear" w:pos="6237"/>
                <w:tab w:val="decimal" w:pos="567"/>
              </w:tabs>
              <w:jc w:val="both"/>
            </w:pPr>
            <w:r>
              <w:t>86,1</w:t>
            </w:r>
          </w:p>
        </w:tc>
        <w:tc>
          <w:tcPr>
            <w:tcW w:w="1416" w:type="dxa"/>
          </w:tcPr>
          <w:p w:rsidR="00000000" w:rsidRDefault="00000000">
            <w:pPr>
              <w:tabs>
                <w:tab w:val="clear" w:pos="1134"/>
                <w:tab w:val="clear" w:pos="1701"/>
                <w:tab w:val="clear" w:pos="2268"/>
                <w:tab w:val="clear" w:pos="6237"/>
                <w:tab w:val="decimal" w:pos="567"/>
              </w:tabs>
              <w:jc w:val="both"/>
            </w:pPr>
            <w:r>
              <w:t>89,5</w:t>
            </w:r>
          </w:p>
        </w:tc>
        <w:tc>
          <w:tcPr>
            <w:tcW w:w="1416" w:type="dxa"/>
          </w:tcPr>
          <w:p w:rsidR="00000000" w:rsidRDefault="00000000">
            <w:pPr>
              <w:tabs>
                <w:tab w:val="clear" w:pos="1134"/>
                <w:tab w:val="clear" w:pos="1701"/>
                <w:tab w:val="clear" w:pos="2268"/>
                <w:tab w:val="clear" w:pos="6237"/>
                <w:tab w:val="decimal" w:pos="567"/>
              </w:tabs>
              <w:jc w:val="both"/>
            </w:pPr>
            <w:r>
              <w:t>89,5</w:t>
            </w:r>
          </w:p>
        </w:tc>
      </w:tr>
      <w:tr w:rsidR="00000000">
        <w:trPr>
          <w:cantSplit/>
        </w:trPr>
        <w:tc>
          <w:tcPr>
            <w:tcW w:w="5103" w:type="dxa"/>
          </w:tcPr>
          <w:p w:rsidR="00000000" w:rsidRDefault="00000000">
            <w:pPr>
              <w:tabs>
                <w:tab w:val="left" w:pos="284"/>
              </w:tabs>
              <w:ind w:left="284"/>
            </w:pPr>
            <w:r>
              <w:t>Газовая печь</w:t>
            </w:r>
          </w:p>
        </w:tc>
        <w:tc>
          <w:tcPr>
            <w:tcW w:w="1416" w:type="dxa"/>
          </w:tcPr>
          <w:p w:rsidR="00000000" w:rsidRDefault="00000000">
            <w:pPr>
              <w:tabs>
                <w:tab w:val="clear" w:pos="1134"/>
                <w:tab w:val="clear" w:pos="1701"/>
                <w:tab w:val="clear" w:pos="2268"/>
                <w:tab w:val="clear" w:pos="6237"/>
                <w:tab w:val="decimal" w:pos="567"/>
              </w:tabs>
              <w:jc w:val="both"/>
            </w:pPr>
            <w:r>
              <w:t>1,3</w:t>
            </w:r>
          </w:p>
        </w:tc>
        <w:tc>
          <w:tcPr>
            <w:tcW w:w="1416" w:type="dxa"/>
          </w:tcPr>
          <w:p w:rsidR="00000000" w:rsidRDefault="00000000">
            <w:pPr>
              <w:tabs>
                <w:tab w:val="clear" w:pos="1134"/>
                <w:tab w:val="clear" w:pos="1701"/>
                <w:tab w:val="clear" w:pos="2268"/>
                <w:tab w:val="clear" w:pos="6237"/>
                <w:tab w:val="decimal" w:pos="567"/>
              </w:tabs>
              <w:jc w:val="both"/>
            </w:pPr>
            <w:r>
              <w:t>1,5</w:t>
            </w:r>
          </w:p>
        </w:tc>
        <w:tc>
          <w:tcPr>
            <w:tcW w:w="1416" w:type="dxa"/>
          </w:tcPr>
          <w:p w:rsidR="00000000" w:rsidRDefault="00000000">
            <w:pPr>
              <w:tabs>
                <w:tab w:val="clear" w:pos="1134"/>
                <w:tab w:val="clear" w:pos="1701"/>
                <w:tab w:val="clear" w:pos="2268"/>
                <w:tab w:val="clear" w:pos="6237"/>
                <w:tab w:val="decimal" w:pos="567"/>
              </w:tabs>
              <w:jc w:val="both"/>
            </w:pPr>
            <w:r>
              <w:t>4,8</w:t>
            </w:r>
          </w:p>
        </w:tc>
      </w:tr>
      <w:tr w:rsidR="00000000">
        <w:trPr>
          <w:cantSplit/>
        </w:trPr>
        <w:tc>
          <w:tcPr>
            <w:tcW w:w="5103" w:type="dxa"/>
          </w:tcPr>
          <w:p w:rsidR="00000000" w:rsidRDefault="00000000">
            <w:pPr>
              <w:tabs>
                <w:tab w:val="left" w:pos="284"/>
              </w:tabs>
              <w:ind w:left="284"/>
            </w:pPr>
            <w:r>
              <w:t>Печь на комбинированном топливе</w:t>
            </w:r>
          </w:p>
        </w:tc>
        <w:tc>
          <w:tcPr>
            <w:tcW w:w="1416" w:type="dxa"/>
          </w:tcPr>
          <w:p w:rsidR="00000000" w:rsidRDefault="00000000">
            <w:pPr>
              <w:tabs>
                <w:tab w:val="clear" w:pos="1134"/>
                <w:tab w:val="clear" w:pos="1701"/>
                <w:tab w:val="clear" w:pos="2268"/>
                <w:tab w:val="clear" w:pos="6237"/>
                <w:tab w:val="decimal" w:pos="567"/>
              </w:tabs>
              <w:jc w:val="both"/>
            </w:pPr>
            <w:r>
              <w:t>5,6</w:t>
            </w:r>
          </w:p>
        </w:tc>
        <w:tc>
          <w:tcPr>
            <w:tcW w:w="1416" w:type="dxa"/>
          </w:tcPr>
          <w:p w:rsidR="00000000" w:rsidRDefault="00000000">
            <w:pPr>
              <w:tabs>
                <w:tab w:val="clear" w:pos="1134"/>
                <w:tab w:val="clear" w:pos="1701"/>
                <w:tab w:val="clear" w:pos="2268"/>
                <w:tab w:val="clear" w:pos="6237"/>
                <w:tab w:val="decimal" w:pos="567"/>
              </w:tabs>
              <w:jc w:val="both"/>
            </w:pPr>
            <w:r>
              <w:t>3,4</w:t>
            </w:r>
          </w:p>
        </w:tc>
        <w:tc>
          <w:tcPr>
            <w:tcW w:w="1416" w:type="dxa"/>
          </w:tcPr>
          <w:p w:rsidR="00000000" w:rsidRDefault="00000000">
            <w:pPr>
              <w:tabs>
                <w:tab w:val="clear" w:pos="1134"/>
                <w:tab w:val="clear" w:pos="1701"/>
                <w:tab w:val="clear" w:pos="2268"/>
                <w:tab w:val="clear" w:pos="6237"/>
                <w:tab w:val="decimal" w:pos="567"/>
              </w:tabs>
              <w:jc w:val="both"/>
            </w:pPr>
            <w:r>
              <w:t>4,8</w:t>
            </w:r>
          </w:p>
        </w:tc>
      </w:tr>
      <w:tr w:rsidR="00000000">
        <w:trPr>
          <w:cantSplit/>
        </w:trPr>
        <w:tc>
          <w:tcPr>
            <w:tcW w:w="5103" w:type="dxa"/>
          </w:tcPr>
          <w:p w:rsidR="00000000" w:rsidRDefault="00000000">
            <w:pPr>
              <w:tabs>
                <w:tab w:val="left" w:pos="284"/>
              </w:tabs>
              <w:ind w:left="284"/>
            </w:pPr>
            <w:r>
              <w:t>Мазутная печь</w:t>
            </w:r>
          </w:p>
        </w:tc>
        <w:tc>
          <w:tcPr>
            <w:tcW w:w="1416" w:type="dxa"/>
          </w:tcPr>
          <w:p w:rsidR="00000000" w:rsidRDefault="00000000">
            <w:pPr>
              <w:tabs>
                <w:tab w:val="clear" w:pos="1134"/>
                <w:tab w:val="clear" w:pos="1701"/>
                <w:tab w:val="clear" w:pos="2268"/>
                <w:tab w:val="clear" w:pos="6237"/>
                <w:tab w:val="decimal" w:pos="567"/>
              </w:tabs>
              <w:jc w:val="both"/>
            </w:pPr>
            <w:r>
              <w:t>5,0</w:t>
            </w:r>
          </w:p>
        </w:tc>
        <w:tc>
          <w:tcPr>
            <w:tcW w:w="1416" w:type="dxa"/>
          </w:tcPr>
          <w:p w:rsidR="00000000" w:rsidRDefault="00000000">
            <w:pPr>
              <w:tabs>
                <w:tab w:val="clear" w:pos="1134"/>
                <w:tab w:val="clear" w:pos="1701"/>
                <w:tab w:val="clear" w:pos="2268"/>
                <w:tab w:val="clear" w:pos="6237"/>
                <w:tab w:val="decimal" w:pos="567"/>
              </w:tabs>
              <w:jc w:val="both"/>
            </w:pPr>
            <w:r>
              <w:t>4,3</w:t>
            </w:r>
          </w:p>
        </w:tc>
        <w:tc>
          <w:tcPr>
            <w:tcW w:w="1416" w:type="dxa"/>
          </w:tcPr>
          <w:p w:rsidR="00000000" w:rsidRDefault="00000000">
            <w:pPr>
              <w:tabs>
                <w:tab w:val="clear" w:pos="1134"/>
                <w:tab w:val="clear" w:pos="1701"/>
                <w:tab w:val="clear" w:pos="2268"/>
                <w:tab w:val="clear" w:pos="6237"/>
                <w:tab w:val="decimal" w:pos="567"/>
              </w:tabs>
              <w:jc w:val="both"/>
            </w:pPr>
            <w:r>
              <w:t>5,0</w:t>
            </w:r>
          </w:p>
        </w:tc>
      </w:tr>
      <w:tr w:rsidR="00000000">
        <w:trPr>
          <w:cantSplit/>
        </w:trPr>
        <w:tc>
          <w:tcPr>
            <w:tcW w:w="5103" w:type="dxa"/>
          </w:tcPr>
          <w:p w:rsidR="00000000" w:rsidRDefault="00000000">
            <w:pPr>
              <w:tabs>
                <w:tab w:val="left" w:pos="284"/>
              </w:tabs>
              <w:ind w:left="284"/>
            </w:pPr>
            <w:r>
              <w:t>Бойлер</w:t>
            </w:r>
          </w:p>
        </w:tc>
        <w:tc>
          <w:tcPr>
            <w:tcW w:w="1416" w:type="dxa"/>
          </w:tcPr>
          <w:p w:rsidR="00000000" w:rsidRDefault="00000000">
            <w:pPr>
              <w:tabs>
                <w:tab w:val="clear" w:pos="1134"/>
                <w:tab w:val="clear" w:pos="1701"/>
                <w:tab w:val="clear" w:pos="2268"/>
                <w:tab w:val="clear" w:pos="6237"/>
                <w:tab w:val="decimal" w:pos="567"/>
              </w:tabs>
              <w:jc w:val="both"/>
            </w:pPr>
          </w:p>
        </w:tc>
        <w:tc>
          <w:tcPr>
            <w:tcW w:w="1416" w:type="dxa"/>
          </w:tcPr>
          <w:p w:rsidR="00000000" w:rsidRDefault="00000000">
            <w:pPr>
              <w:tabs>
                <w:tab w:val="clear" w:pos="1134"/>
                <w:tab w:val="clear" w:pos="1701"/>
                <w:tab w:val="clear" w:pos="2268"/>
                <w:tab w:val="clear" w:pos="6237"/>
                <w:tab w:val="decimal" w:pos="567"/>
              </w:tabs>
              <w:jc w:val="both"/>
            </w:pPr>
            <w:r>
              <w:t>75,0</w:t>
            </w:r>
          </w:p>
        </w:tc>
        <w:tc>
          <w:tcPr>
            <w:tcW w:w="1416" w:type="dxa"/>
          </w:tcPr>
          <w:p w:rsidR="00000000" w:rsidRDefault="00000000">
            <w:pPr>
              <w:tabs>
                <w:tab w:val="clear" w:pos="1134"/>
                <w:tab w:val="clear" w:pos="1701"/>
                <w:tab w:val="clear" w:pos="2268"/>
                <w:tab w:val="clear" w:pos="6237"/>
                <w:tab w:val="decimal" w:pos="567"/>
              </w:tabs>
              <w:jc w:val="both"/>
            </w:pPr>
            <w:r>
              <w:t>75,1</w:t>
            </w:r>
          </w:p>
        </w:tc>
      </w:tr>
      <w:tr w:rsidR="00000000">
        <w:trPr>
          <w:cantSplit/>
        </w:trPr>
        <w:tc>
          <w:tcPr>
            <w:tcW w:w="5103" w:type="dxa"/>
          </w:tcPr>
          <w:p w:rsidR="00000000" w:rsidRDefault="00000000">
            <w:pPr>
              <w:tabs>
                <w:tab w:val="left" w:pos="284"/>
              </w:tabs>
              <w:ind w:left="284"/>
            </w:pPr>
            <w:r>
              <w:t>Холодильник</w:t>
            </w:r>
          </w:p>
        </w:tc>
        <w:tc>
          <w:tcPr>
            <w:tcW w:w="1416" w:type="dxa"/>
          </w:tcPr>
          <w:p w:rsidR="00000000" w:rsidRDefault="00000000">
            <w:pPr>
              <w:tabs>
                <w:tab w:val="clear" w:pos="1134"/>
                <w:tab w:val="clear" w:pos="1701"/>
                <w:tab w:val="clear" w:pos="2268"/>
                <w:tab w:val="clear" w:pos="6237"/>
                <w:tab w:val="decimal" w:pos="567"/>
              </w:tabs>
              <w:jc w:val="both"/>
            </w:pPr>
            <w:r>
              <w:t>91,3</w:t>
            </w:r>
          </w:p>
        </w:tc>
        <w:tc>
          <w:tcPr>
            <w:tcW w:w="1416" w:type="dxa"/>
          </w:tcPr>
          <w:p w:rsidR="00000000" w:rsidRDefault="00000000">
            <w:pPr>
              <w:tabs>
                <w:tab w:val="clear" w:pos="1134"/>
                <w:tab w:val="clear" w:pos="1701"/>
                <w:tab w:val="clear" w:pos="2268"/>
                <w:tab w:val="clear" w:pos="6237"/>
                <w:tab w:val="decimal" w:pos="567"/>
              </w:tabs>
              <w:jc w:val="both"/>
            </w:pPr>
            <w:r>
              <w:t>93,8</w:t>
            </w:r>
          </w:p>
        </w:tc>
        <w:tc>
          <w:tcPr>
            <w:tcW w:w="1416" w:type="dxa"/>
          </w:tcPr>
          <w:p w:rsidR="00000000" w:rsidRDefault="00000000">
            <w:pPr>
              <w:tabs>
                <w:tab w:val="clear" w:pos="1134"/>
                <w:tab w:val="clear" w:pos="1701"/>
                <w:tab w:val="clear" w:pos="2268"/>
                <w:tab w:val="clear" w:pos="6237"/>
                <w:tab w:val="decimal" w:pos="567"/>
              </w:tabs>
              <w:jc w:val="both"/>
            </w:pPr>
            <w:r>
              <w:t>91,1</w:t>
            </w:r>
          </w:p>
        </w:tc>
      </w:tr>
      <w:tr w:rsidR="00000000">
        <w:trPr>
          <w:cantSplit/>
        </w:trPr>
        <w:tc>
          <w:tcPr>
            <w:tcW w:w="5103" w:type="dxa"/>
          </w:tcPr>
          <w:p w:rsidR="00000000" w:rsidRDefault="00000000">
            <w:pPr>
              <w:tabs>
                <w:tab w:val="left" w:pos="284"/>
              </w:tabs>
              <w:ind w:left="284"/>
            </w:pPr>
            <w:r>
              <w:t>Морозильник</w:t>
            </w:r>
          </w:p>
        </w:tc>
        <w:tc>
          <w:tcPr>
            <w:tcW w:w="1416" w:type="dxa"/>
          </w:tcPr>
          <w:p w:rsidR="00000000" w:rsidRDefault="00000000">
            <w:pPr>
              <w:tabs>
                <w:tab w:val="clear" w:pos="1134"/>
                <w:tab w:val="clear" w:pos="1701"/>
                <w:tab w:val="clear" w:pos="2268"/>
                <w:tab w:val="clear" w:pos="6237"/>
                <w:tab w:val="decimal" w:pos="567"/>
              </w:tabs>
              <w:jc w:val="both"/>
            </w:pPr>
            <w:r>
              <w:t>74,9</w:t>
            </w:r>
          </w:p>
        </w:tc>
        <w:tc>
          <w:tcPr>
            <w:tcW w:w="1416" w:type="dxa"/>
          </w:tcPr>
          <w:p w:rsidR="00000000" w:rsidRDefault="00000000">
            <w:pPr>
              <w:tabs>
                <w:tab w:val="clear" w:pos="1134"/>
                <w:tab w:val="clear" w:pos="1701"/>
                <w:tab w:val="clear" w:pos="2268"/>
                <w:tab w:val="clear" w:pos="6237"/>
                <w:tab w:val="decimal" w:pos="567"/>
              </w:tabs>
              <w:jc w:val="both"/>
            </w:pPr>
            <w:r>
              <w:t>75,9</w:t>
            </w:r>
          </w:p>
        </w:tc>
        <w:tc>
          <w:tcPr>
            <w:tcW w:w="1416" w:type="dxa"/>
          </w:tcPr>
          <w:p w:rsidR="00000000" w:rsidRDefault="00000000">
            <w:pPr>
              <w:tabs>
                <w:tab w:val="clear" w:pos="1134"/>
                <w:tab w:val="clear" w:pos="1701"/>
                <w:tab w:val="clear" w:pos="2268"/>
                <w:tab w:val="clear" w:pos="6237"/>
                <w:tab w:val="decimal" w:pos="567"/>
              </w:tabs>
              <w:jc w:val="both"/>
            </w:pPr>
            <w:r>
              <w:t>75,3</w:t>
            </w:r>
          </w:p>
        </w:tc>
      </w:tr>
      <w:tr w:rsidR="00000000">
        <w:trPr>
          <w:cantSplit/>
        </w:trPr>
        <w:tc>
          <w:tcPr>
            <w:tcW w:w="5103" w:type="dxa"/>
          </w:tcPr>
          <w:p w:rsidR="00000000" w:rsidRDefault="00000000">
            <w:pPr>
              <w:tabs>
                <w:tab w:val="left" w:pos="284"/>
              </w:tabs>
              <w:ind w:left="284"/>
            </w:pPr>
            <w:r>
              <w:t>Пылесос</w:t>
            </w:r>
          </w:p>
        </w:tc>
        <w:tc>
          <w:tcPr>
            <w:tcW w:w="1416" w:type="dxa"/>
          </w:tcPr>
          <w:p w:rsidR="00000000" w:rsidRDefault="00000000">
            <w:pPr>
              <w:tabs>
                <w:tab w:val="clear" w:pos="1134"/>
                <w:tab w:val="clear" w:pos="1701"/>
                <w:tab w:val="clear" w:pos="2268"/>
                <w:tab w:val="clear" w:pos="6237"/>
                <w:tab w:val="decimal" w:pos="567"/>
              </w:tabs>
              <w:jc w:val="both"/>
            </w:pPr>
            <w:r>
              <w:t>71,5</w:t>
            </w:r>
          </w:p>
        </w:tc>
        <w:tc>
          <w:tcPr>
            <w:tcW w:w="1416" w:type="dxa"/>
          </w:tcPr>
          <w:p w:rsidR="00000000" w:rsidRDefault="00000000">
            <w:pPr>
              <w:tabs>
                <w:tab w:val="clear" w:pos="1134"/>
                <w:tab w:val="clear" w:pos="1701"/>
                <w:tab w:val="clear" w:pos="2268"/>
                <w:tab w:val="clear" w:pos="6237"/>
                <w:tab w:val="decimal" w:pos="567"/>
              </w:tabs>
              <w:jc w:val="both"/>
            </w:pPr>
            <w:r>
              <w:t>71,2</w:t>
            </w:r>
          </w:p>
        </w:tc>
        <w:tc>
          <w:tcPr>
            <w:tcW w:w="1416" w:type="dxa"/>
          </w:tcPr>
          <w:p w:rsidR="00000000" w:rsidRDefault="00000000">
            <w:pPr>
              <w:tabs>
                <w:tab w:val="clear" w:pos="1134"/>
                <w:tab w:val="clear" w:pos="1701"/>
                <w:tab w:val="clear" w:pos="2268"/>
                <w:tab w:val="clear" w:pos="6237"/>
                <w:tab w:val="decimal" w:pos="567"/>
              </w:tabs>
              <w:jc w:val="both"/>
            </w:pPr>
            <w:r>
              <w:t>68,9</w:t>
            </w:r>
          </w:p>
        </w:tc>
      </w:tr>
      <w:tr w:rsidR="00000000">
        <w:trPr>
          <w:cantSplit/>
        </w:trPr>
        <w:tc>
          <w:tcPr>
            <w:tcW w:w="5103" w:type="dxa"/>
          </w:tcPr>
          <w:p w:rsidR="00000000" w:rsidRDefault="00000000">
            <w:pPr>
              <w:tabs>
                <w:tab w:val="left" w:pos="284"/>
              </w:tabs>
              <w:ind w:left="284"/>
            </w:pPr>
            <w:r>
              <w:t>Радиоприемник</w:t>
            </w:r>
          </w:p>
        </w:tc>
        <w:tc>
          <w:tcPr>
            <w:tcW w:w="1416" w:type="dxa"/>
          </w:tcPr>
          <w:p w:rsidR="00000000" w:rsidRDefault="00000000">
            <w:pPr>
              <w:tabs>
                <w:tab w:val="clear" w:pos="1134"/>
                <w:tab w:val="clear" w:pos="1701"/>
                <w:tab w:val="clear" w:pos="2268"/>
                <w:tab w:val="clear" w:pos="6237"/>
                <w:tab w:val="decimal" w:pos="567"/>
              </w:tabs>
              <w:jc w:val="both"/>
            </w:pPr>
            <w:r>
              <w:t>48,8</w:t>
            </w:r>
          </w:p>
        </w:tc>
        <w:tc>
          <w:tcPr>
            <w:tcW w:w="1416" w:type="dxa"/>
          </w:tcPr>
          <w:p w:rsidR="00000000" w:rsidRDefault="00000000">
            <w:pPr>
              <w:tabs>
                <w:tab w:val="clear" w:pos="1134"/>
                <w:tab w:val="clear" w:pos="1701"/>
                <w:tab w:val="clear" w:pos="2268"/>
                <w:tab w:val="clear" w:pos="6237"/>
                <w:tab w:val="decimal" w:pos="567"/>
              </w:tabs>
              <w:jc w:val="both"/>
            </w:pPr>
            <w:r>
              <w:t>44,5</w:t>
            </w:r>
          </w:p>
        </w:tc>
        <w:tc>
          <w:tcPr>
            <w:tcW w:w="1416" w:type="dxa"/>
          </w:tcPr>
          <w:p w:rsidR="00000000" w:rsidRDefault="00000000">
            <w:pPr>
              <w:tabs>
                <w:tab w:val="clear" w:pos="1134"/>
                <w:tab w:val="clear" w:pos="1701"/>
                <w:tab w:val="clear" w:pos="2268"/>
                <w:tab w:val="clear" w:pos="6237"/>
                <w:tab w:val="decimal" w:pos="567"/>
              </w:tabs>
              <w:jc w:val="both"/>
            </w:pPr>
            <w:r>
              <w:t>50,4</w:t>
            </w:r>
          </w:p>
        </w:tc>
      </w:tr>
      <w:tr w:rsidR="00000000">
        <w:trPr>
          <w:cantSplit/>
        </w:trPr>
        <w:tc>
          <w:tcPr>
            <w:tcW w:w="5103" w:type="dxa"/>
          </w:tcPr>
          <w:p w:rsidR="00000000" w:rsidRDefault="00000000">
            <w:pPr>
              <w:tabs>
                <w:tab w:val="left" w:pos="284"/>
              </w:tabs>
              <w:ind w:left="284"/>
            </w:pPr>
            <w:r>
              <w:t>Проигрыватель компакт-дисков</w:t>
            </w:r>
          </w:p>
        </w:tc>
        <w:tc>
          <w:tcPr>
            <w:tcW w:w="1416" w:type="dxa"/>
          </w:tcPr>
          <w:p w:rsidR="00000000" w:rsidRDefault="00000000">
            <w:pPr>
              <w:tabs>
                <w:tab w:val="clear" w:pos="1134"/>
                <w:tab w:val="clear" w:pos="1701"/>
                <w:tab w:val="clear" w:pos="2268"/>
                <w:tab w:val="clear" w:pos="6237"/>
                <w:tab w:val="decimal" w:pos="567"/>
              </w:tabs>
              <w:jc w:val="both"/>
            </w:pPr>
          </w:p>
        </w:tc>
        <w:tc>
          <w:tcPr>
            <w:tcW w:w="1416" w:type="dxa"/>
          </w:tcPr>
          <w:p w:rsidR="00000000" w:rsidRDefault="00000000">
            <w:pPr>
              <w:tabs>
                <w:tab w:val="clear" w:pos="1134"/>
                <w:tab w:val="clear" w:pos="1701"/>
                <w:tab w:val="clear" w:pos="2268"/>
                <w:tab w:val="clear" w:pos="6237"/>
                <w:tab w:val="decimal" w:pos="567"/>
              </w:tabs>
              <w:jc w:val="both"/>
            </w:pPr>
          </w:p>
        </w:tc>
        <w:tc>
          <w:tcPr>
            <w:tcW w:w="1416" w:type="dxa"/>
          </w:tcPr>
          <w:p w:rsidR="00000000" w:rsidRDefault="00000000">
            <w:pPr>
              <w:tabs>
                <w:tab w:val="clear" w:pos="1134"/>
                <w:tab w:val="clear" w:pos="1701"/>
                <w:tab w:val="clear" w:pos="2268"/>
                <w:tab w:val="clear" w:pos="6237"/>
                <w:tab w:val="decimal" w:pos="567"/>
              </w:tabs>
              <w:jc w:val="both"/>
            </w:pPr>
            <w:r>
              <w:t>8,4</w:t>
            </w:r>
          </w:p>
        </w:tc>
      </w:tr>
      <w:tr w:rsidR="00000000">
        <w:trPr>
          <w:cantSplit/>
        </w:trPr>
        <w:tc>
          <w:tcPr>
            <w:tcW w:w="5103" w:type="dxa"/>
          </w:tcPr>
          <w:p w:rsidR="00000000" w:rsidRDefault="00000000">
            <w:pPr>
              <w:tabs>
                <w:tab w:val="left" w:pos="284"/>
              </w:tabs>
              <w:ind w:left="284"/>
            </w:pPr>
            <w:r>
              <w:t>Кассетный проигрыватель</w:t>
            </w:r>
          </w:p>
        </w:tc>
        <w:tc>
          <w:tcPr>
            <w:tcW w:w="1416" w:type="dxa"/>
          </w:tcPr>
          <w:p w:rsidR="00000000" w:rsidRDefault="00000000">
            <w:pPr>
              <w:tabs>
                <w:tab w:val="clear" w:pos="1134"/>
                <w:tab w:val="clear" w:pos="1701"/>
                <w:tab w:val="clear" w:pos="2268"/>
                <w:tab w:val="clear" w:pos="6237"/>
                <w:tab w:val="decimal" w:pos="567"/>
              </w:tabs>
              <w:jc w:val="both"/>
            </w:pPr>
            <w:r>
              <w:t>40,2</w:t>
            </w:r>
          </w:p>
        </w:tc>
        <w:tc>
          <w:tcPr>
            <w:tcW w:w="1416" w:type="dxa"/>
          </w:tcPr>
          <w:p w:rsidR="00000000" w:rsidRDefault="00000000">
            <w:pPr>
              <w:tabs>
                <w:tab w:val="clear" w:pos="1134"/>
                <w:tab w:val="clear" w:pos="1701"/>
                <w:tab w:val="clear" w:pos="2268"/>
                <w:tab w:val="clear" w:pos="6237"/>
                <w:tab w:val="decimal" w:pos="567"/>
              </w:tabs>
              <w:jc w:val="both"/>
            </w:pPr>
            <w:r>
              <w:t>48,2</w:t>
            </w:r>
          </w:p>
        </w:tc>
        <w:tc>
          <w:tcPr>
            <w:tcW w:w="1416" w:type="dxa"/>
          </w:tcPr>
          <w:p w:rsidR="00000000" w:rsidRDefault="00000000">
            <w:pPr>
              <w:tabs>
                <w:tab w:val="clear" w:pos="1134"/>
                <w:tab w:val="clear" w:pos="1701"/>
                <w:tab w:val="clear" w:pos="2268"/>
                <w:tab w:val="clear" w:pos="6237"/>
                <w:tab w:val="decimal" w:pos="567"/>
              </w:tabs>
              <w:jc w:val="both"/>
            </w:pPr>
            <w:r>
              <w:t>46,6</w:t>
            </w:r>
          </w:p>
        </w:tc>
      </w:tr>
      <w:tr w:rsidR="00000000">
        <w:trPr>
          <w:cantSplit/>
        </w:trPr>
        <w:tc>
          <w:tcPr>
            <w:tcW w:w="5103" w:type="dxa"/>
          </w:tcPr>
          <w:p w:rsidR="00000000" w:rsidRDefault="00000000">
            <w:pPr>
              <w:tabs>
                <w:tab w:val="left" w:pos="284"/>
              </w:tabs>
              <w:ind w:left="284"/>
            </w:pPr>
            <w:r>
              <w:t>Музыкальная стереосистема</w:t>
            </w:r>
          </w:p>
        </w:tc>
        <w:tc>
          <w:tcPr>
            <w:tcW w:w="1416" w:type="dxa"/>
          </w:tcPr>
          <w:p w:rsidR="00000000" w:rsidRDefault="00000000">
            <w:pPr>
              <w:tabs>
                <w:tab w:val="clear" w:pos="1134"/>
                <w:tab w:val="clear" w:pos="1701"/>
                <w:tab w:val="clear" w:pos="2268"/>
                <w:tab w:val="clear" w:pos="6237"/>
                <w:tab w:val="decimal" w:pos="567"/>
              </w:tabs>
              <w:jc w:val="both"/>
            </w:pPr>
            <w:r>
              <w:t>10,2</w:t>
            </w:r>
          </w:p>
        </w:tc>
        <w:tc>
          <w:tcPr>
            <w:tcW w:w="1416" w:type="dxa"/>
          </w:tcPr>
          <w:p w:rsidR="00000000" w:rsidRDefault="00000000">
            <w:pPr>
              <w:tabs>
                <w:tab w:val="clear" w:pos="1134"/>
                <w:tab w:val="clear" w:pos="1701"/>
                <w:tab w:val="clear" w:pos="2268"/>
                <w:tab w:val="clear" w:pos="6237"/>
                <w:tab w:val="decimal" w:pos="567"/>
              </w:tabs>
              <w:jc w:val="both"/>
            </w:pPr>
            <w:r>
              <w:t>11,0</w:t>
            </w:r>
          </w:p>
        </w:tc>
        <w:tc>
          <w:tcPr>
            <w:tcW w:w="1416" w:type="dxa"/>
          </w:tcPr>
          <w:p w:rsidR="00000000" w:rsidRDefault="00000000">
            <w:pPr>
              <w:tabs>
                <w:tab w:val="clear" w:pos="1134"/>
                <w:tab w:val="clear" w:pos="1701"/>
                <w:tab w:val="clear" w:pos="2268"/>
                <w:tab w:val="clear" w:pos="6237"/>
                <w:tab w:val="decimal" w:pos="567"/>
              </w:tabs>
              <w:jc w:val="both"/>
            </w:pPr>
            <w:r>
              <w:t>12,5</w:t>
            </w:r>
          </w:p>
        </w:tc>
      </w:tr>
      <w:tr w:rsidR="00000000">
        <w:trPr>
          <w:cantSplit/>
        </w:trPr>
        <w:tc>
          <w:tcPr>
            <w:tcW w:w="5103" w:type="dxa"/>
          </w:tcPr>
          <w:p w:rsidR="00000000" w:rsidRDefault="00000000">
            <w:pPr>
              <w:tabs>
                <w:tab w:val="left" w:pos="284"/>
              </w:tabs>
              <w:ind w:left="284"/>
            </w:pPr>
            <w:r>
              <w:t>Цветной телевизор</w:t>
            </w:r>
          </w:p>
        </w:tc>
        <w:tc>
          <w:tcPr>
            <w:tcW w:w="1416" w:type="dxa"/>
          </w:tcPr>
          <w:p w:rsidR="00000000" w:rsidRDefault="00000000">
            <w:pPr>
              <w:tabs>
                <w:tab w:val="clear" w:pos="1134"/>
                <w:tab w:val="clear" w:pos="1701"/>
                <w:tab w:val="clear" w:pos="2268"/>
                <w:tab w:val="clear" w:pos="6237"/>
                <w:tab w:val="decimal" w:pos="567"/>
              </w:tabs>
              <w:jc w:val="both"/>
            </w:pPr>
            <w:r>
              <w:t>75,6</w:t>
            </w:r>
          </w:p>
        </w:tc>
        <w:tc>
          <w:tcPr>
            <w:tcW w:w="1416" w:type="dxa"/>
          </w:tcPr>
          <w:p w:rsidR="00000000" w:rsidRDefault="00000000">
            <w:pPr>
              <w:tabs>
                <w:tab w:val="clear" w:pos="1134"/>
                <w:tab w:val="clear" w:pos="1701"/>
                <w:tab w:val="clear" w:pos="2268"/>
                <w:tab w:val="clear" w:pos="6237"/>
                <w:tab w:val="decimal" w:pos="567"/>
              </w:tabs>
              <w:jc w:val="both"/>
            </w:pPr>
            <w:r>
              <w:t>76,0</w:t>
            </w:r>
          </w:p>
        </w:tc>
        <w:tc>
          <w:tcPr>
            <w:tcW w:w="1416" w:type="dxa"/>
          </w:tcPr>
          <w:p w:rsidR="00000000" w:rsidRDefault="00000000">
            <w:pPr>
              <w:tabs>
                <w:tab w:val="clear" w:pos="1134"/>
                <w:tab w:val="clear" w:pos="1701"/>
                <w:tab w:val="clear" w:pos="2268"/>
                <w:tab w:val="clear" w:pos="6237"/>
                <w:tab w:val="decimal" w:pos="567"/>
              </w:tabs>
              <w:jc w:val="both"/>
            </w:pPr>
            <w:r>
              <w:t>77,1</w:t>
            </w:r>
          </w:p>
        </w:tc>
      </w:tr>
      <w:tr w:rsidR="00000000">
        <w:trPr>
          <w:cantSplit/>
        </w:trPr>
        <w:tc>
          <w:tcPr>
            <w:tcW w:w="5103" w:type="dxa"/>
          </w:tcPr>
          <w:p w:rsidR="00000000" w:rsidRDefault="00000000">
            <w:pPr>
              <w:tabs>
                <w:tab w:val="left" w:pos="284"/>
              </w:tabs>
              <w:ind w:left="284"/>
            </w:pPr>
            <w:r>
              <w:t>Стиральная машина</w:t>
            </w:r>
          </w:p>
        </w:tc>
        <w:tc>
          <w:tcPr>
            <w:tcW w:w="1416" w:type="dxa"/>
          </w:tcPr>
          <w:p w:rsidR="00000000" w:rsidRDefault="00000000">
            <w:pPr>
              <w:tabs>
                <w:tab w:val="clear" w:pos="1134"/>
                <w:tab w:val="clear" w:pos="1701"/>
                <w:tab w:val="clear" w:pos="2268"/>
                <w:tab w:val="clear" w:pos="6237"/>
                <w:tab w:val="decimal" w:pos="567"/>
              </w:tabs>
              <w:jc w:val="both"/>
            </w:pPr>
            <w:r>
              <w:t>65,8</w:t>
            </w:r>
          </w:p>
        </w:tc>
        <w:tc>
          <w:tcPr>
            <w:tcW w:w="1416" w:type="dxa"/>
          </w:tcPr>
          <w:p w:rsidR="00000000" w:rsidRDefault="00000000">
            <w:pPr>
              <w:tabs>
                <w:tab w:val="clear" w:pos="1134"/>
                <w:tab w:val="clear" w:pos="1701"/>
                <w:tab w:val="clear" w:pos="2268"/>
                <w:tab w:val="clear" w:pos="6237"/>
                <w:tab w:val="decimal" w:pos="567"/>
              </w:tabs>
              <w:jc w:val="both"/>
            </w:pPr>
            <w:r>
              <w:t>65,6</w:t>
            </w:r>
          </w:p>
        </w:tc>
        <w:tc>
          <w:tcPr>
            <w:tcW w:w="1416" w:type="dxa"/>
          </w:tcPr>
          <w:p w:rsidR="00000000" w:rsidRDefault="00000000">
            <w:pPr>
              <w:tabs>
                <w:tab w:val="clear" w:pos="1134"/>
                <w:tab w:val="clear" w:pos="1701"/>
                <w:tab w:val="clear" w:pos="2268"/>
                <w:tab w:val="clear" w:pos="6237"/>
                <w:tab w:val="decimal" w:pos="567"/>
              </w:tabs>
              <w:jc w:val="both"/>
            </w:pPr>
            <w:r>
              <w:t>66,5</w:t>
            </w:r>
          </w:p>
        </w:tc>
      </w:tr>
      <w:tr w:rsidR="00000000">
        <w:trPr>
          <w:cantSplit/>
        </w:trPr>
        <w:tc>
          <w:tcPr>
            <w:tcW w:w="5103" w:type="dxa"/>
          </w:tcPr>
          <w:p w:rsidR="00000000" w:rsidRDefault="00000000">
            <w:pPr>
              <w:tabs>
                <w:tab w:val="left" w:pos="284"/>
              </w:tabs>
              <w:ind w:left="284"/>
            </w:pPr>
            <w:r>
              <w:t>Посудомоечная машина</w:t>
            </w:r>
          </w:p>
        </w:tc>
        <w:tc>
          <w:tcPr>
            <w:tcW w:w="1416" w:type="dxa"/>
          </w:tcPr>
          <w:p w:rsidR="00000000" w:rsidRDefault="00000000">
            <w:pPr>
              <w:tabs>
                <w:tab w:val="clear" w:pos="1134"/>
                <w:tab w:val="clear" w:pos="1701"/>
                <w:tab w:val="clear" w:pos="2268"/>
                <w:tab w:val="clear" w:pos="6237"/>
                <w:tab w:val="decimal" w:pos="567"/>
              </w:tabs>
              <w:jc w:val="both"/>
            </w:pPr>
            <w:r>
              <w:t>3,7</w:t>
            </w:r>
          </w:p>
        </w:tc>
        <w:tc>
          <w:tcPr>
            <w:tcW w:w="1416" w:type="dxa"/>
          </w:tcPr>
          <w:p w:rsidR="00000000" w:rsidRDefault="00000000">
            <w:pPr>
              <w:tabs>
                <w:tab w:val="clear" w:pos="1134"/>
                <w:tab w:val="clear" w:pos="1701"/>
                <w:tab w:val="clear" w:pos="2268"/>
                <w:tab w:val="clear" w:pos="6237"/>
                <w:tab w:val="decimal" w:pos="567"/>
              </w:tabs>
              <w:jc w:val="both"/>
            </w:pPr>
            <w:r>
              <w:t>3,1</w:t>
            </w:r>
          </w:p>
        </w:tc>
        <w:tc>
          <w:tcPr>
            <w:tcW w:w="1416" w:type="dxa"/>
          </w:tcPr>
          <w:p w:rsidR="00000000" w:rsidRDefault="00000000">
            <w:pPr>
              <w:tabs>
                <w:tab w:val="clear" w:pos="1134"/>
                <w:tab w:val="clear" w:pos="1701"/>
                <w:tab w:val="clear" w:pos="2268"/>
                <w:tab w:val="clear" w:pos="6237"/>
                <w:tab w:val="decimal" w:pos="567"/>
              </w:tabs>
              <w:jc w:val="both"/>
            </w:pPr>
            <w:r>
              <w:t>2,9</w:t>
            </w:r>
          </w:p>
        </w:tc>
      </w:tr>
      <w:tr w:rsidR="00000000">
        <w:trPr>
          <w:cantSplit/>
        </w:trPr>
        <w:tc>
          <w:tcPr>
            <w:tcW w:w="5103" w:type="dxa"/>
          </w:tcPr>
          <w:p w:rsidR="00000000" w:rsidRDefault="00000000">
            <w:pPr>
              <w:tabs>
                <w:tab w:val="left" w:pos="284"/>
              </w:tabs>
              <w:ind w:left="284"/>
            </w:pPr>
            <w:r>
              <w:t>Видеокамера</w:t>
            </w:r>
          </w:p>
        </w:tc>
        <w:tc>
          <w:tcPr>
            <w:tcW w:w="1416" w:type="dxa"/>
          </w:tcPr>
          <w:p w:rsidR="00000000" w:rsidRDefault="00000000">
            <w:pPr>
              <w:tabs>
                <w:tab w:val="clear" w:pos="1134"/>
                <w:tab w:val="clear" w:pos="1701"/>
                <w:tab w:val="clear" w:pos="2268"/>
                <w:tab w:val="clear" w:pos="6237"/>
                <w:tab w:val="decimal" w:pos="567"/>
              </w:tabs>
              <w:jc w:val="both"/>
            </w:pPr>
            <w:r>
              <w:t>2,7</w:t>
            </w:r>
          </w:p>
        </w:tc>
        <w:tc>
          <w:tcPr>
            <w:tcW w:w="1416" w:type="dxa"/>
          </w:tcPr>
          <w:p w:rsidR="00000000" w:rsidRDefault="00000000">
            <w:pPr>
              <w:tabs>
                <w:tab w:val="clear" w:pos="1134"/>
                <w:tab w:val="clear" w:pos="1701"/>
                <w:tab w:val="clear" w:pos="2268"/>
                <w:tab w:val="clear" w:pos="6237"/>
                <w:tab w:val="decimal" w:pos="567"/>
              </w:tabs>
              <w:jc w:val="both"/>
            </w:pPr>
            <w:r>
              <w:t>2,6</w:t>
            </w:r>
          </w:p>
        </w:tc>
        <w:tc>
          <w:tcPr>
            <w:tcW w:w="1416" w:type="dxa"/>
          </w:tcPr>
          <w:p w:rsidR="00000000" w:rsidRDefault="00000000">
            <w:pPr>
              <w:tabs>
                <w:tab w:val="clear" w:pos="1134"/>
                <w:tab w:val="clear" w:pos="1701"/>
                <w:tab w:val="clear" w:pos="2268"/>
                <w:tab w:val="clear" w:pos="6237"/>
                <w:tab w:val="decimal" w:pos="567"/>
              </w:tabs>
              <w:jc w:val="both"/>
            </w:pPr>
            <w:r>
              <w:t>2,7</w:t>
            </w:r>
          </w:p>
        </w:tc>
      </w:tr>
      <w:tr w:rsidR="00000000">
        <w:trPr>
          <w:cantSplit/>
        </w:trPr>
        <w:tc>
          <w:tcPr>
            <w:tcW w:w="5103" w:type="dxa"/>
          </w:tcPr>
          <w:p w:rsidR="00000000" w:rsidRDefault="00000000">
            <w:pPr>
              <w:tabs>
                <w:tab w:val="left" w:pos="284"/>
              </w:tabs>
              <w:ind w:left="284"/>
            </w:pPr>
            <w:r>
              <w:t>Персональный компьютер</w:t>
            </w:r>
          </w:p>
        </w:tc>
        <w:tc>
          <w:tcPr>
            <w:tcW w:w="1416" w:type="dxa"/>
          </w:tcPr>
          <w:p w:rsidR="00000000" w:rsidRDefault="00000000">
            <w:pPr>
              <w:tabs>
                <w:tab w:val="clear" w:pos="1134"/>
                <w:tab w:val="clear" w:pos="1701"/>
                <w:tab w:val="clear" w:pos="2268"/>
                <w:tab w:val="clear" w:pos="6237"/>
                <w:tab w:val="decimal" w:pos="567"/>
              </w:tabs>
              <w:jc w:val="both"/>
            </w:pPr>
          </w:p>
        </w:tc>
        <w:tc>
          <w:tcPr>
            <w:tcW w:w="1416" w:type="dxa"/>
          </w:tcPr>
          <w:p w:rsidR="00000000" w:rsidRDefault="00000000">
            <w:pPr>
              <w:tabs>
                <w:tab w:val="clear" w:pos="1134"/>
                <w:tab w:val="clear" w:pos="1701"/>
                <w:tab w:val="clear" w:pos="2268"/>
                <w:tab w:val="clear" w:pos="6237"/>
                <w:tab w:val="decimal" w:pos="567"/>
              </w:tabs>
              <w:jc w:val="both"/>
            </w:pPr>
          </w:p>
        </w:tc>
        <w:tc>
          <w:tcPr>
            <w:tcW w:w="1416" w:type="dxa"/>
          </w:tcPr>
          <w:p w:rsidR="00000000" w:rsidRDefault="00000000">
            <w:pPr>
              <w:tabs>
                <w:tab w:val="clear" w:pos="1134"/>
                <w:tab w:val="clear" w:pos="1701"/>
                <w:tab w:val="clear" w:pos="2268"/>
                <w:tab w:val="clear" w:pos="6237"/>
                <w:tab w:val="decimal" w:pos="567"/>
              </w:tabs>
              <w:jc w:val="both"/>
            </w:pPr>
            <w:r>
              <w:t>2,8</w:t>
            </w:r>
          </w:p>
        </w:tc>
      </w:tr>
      <w:tr w:rsidR="00000000">
        <w:trPr>
          <w:cantSplit/>
        </w:trPr>
        <w:tc>
          <w:tcPr>
            <w:tcW w:w="5103" w:type="dxa"/>
          </w:tcPr>
          <w:p w:rsidR="00000000" w:rsidRDefault="00000000">
            <w:pPr>
              <w:tabs>
                <w:tab w:val="left" w:pos="284"/>
              </w:tabs>
              <w:ind w:left="284"/>
            </w:pPr>
            <w:r>
              <w:t>Легковой автомобиль</w:t>
            </w:r>
          </w:p>
        </w:tc>
        <w:tc>
          <w:tcPr>
            <w:tcW w:w="1416" w:type="dxa"/>
          </w:tcPr>
          <w:p w:rsidR="00000000" w:rsidRDefault="00000000">
            <w:pPr>
              <w:tabs>
                <w:tab w:val="clear" w:pos="1134"/>
                <w:tab w:val="clear" w:pos="1701"/>
                <w:tab w:val="clear" w:pos="2268"/>
                <w:tab w:val="clear" w:pos="6237"/>
                <w:tab w:val="decimal" w:pos="567"/>
              </w:tabs>
              <w:jc w:val="both"/>
            </w:pPr>
            <w:r>
              <w:t>42,1</w:t>
            </w:r>
          </w:p>
        </w:tc>
        <w:tc>
          <w:tcPr>
            <w:tcW w:w="1416" w:type="dxa"/>
          </w:tcPr>
          <w:p w:rsidR="00000000" w:rsidRDefault="00000000">
            <w:pPr>
              <w:tabs>
                <w:tab w:val="clear" w:pos="1134"/>
                <w:tab w:val="clear" w:pos="1701"/>
                <w:tab w:val="clear" w:pos="2268"/>
                <w:tab w:val="clear" w:pos="6237"/>
                <w:tab w:val="decimal" w:pos="567"/>
              </w:tabs>
              <w:jc w:val="both"/>
            </w:pPr>
            <w:r>
              <w:t>46,4</w:t>
            </w:r>
          </w:p>
        </w:tc>
        <w:tc>
          <w:tcPr>
            <w:tcW w:w="1416" w:type="dxa"/>
          </w:tcPr>
          <w:p w:rsidR="00000000" w:rsidRDefault="00000000">
            <w:pPr>
              <w:tabs>
                <w:tab w:val="clear" w:pos="1134"/>
                <w:tab w:val="clear" w:pos="1701"/>
                <w:tab w:val="clear" w:pos="2268"/>
                <w:tab w:val="clear" w:pos="6237"/>
                <w:tab w:val="decimal" w:pos="567"/>
              </w:tabs>
              <w:jc w:val="both"/>
            </w:pPr>
            <w:r>
              <w:t>46,3</w:t>
            </w:r>
          </w:p>
        </w:tc>
      </w:tr>
      <w:tr w:rsidR="00000000">
        <w:trPr>
          <w:cantSplit/>
        </w:trPr>
        <w:tc>
          <w:tcPr>
            <w:tcW w:w="5103" w:type="dxa"/>
          </w:tcPr>
          <w:p w:rsidR="00000000" w:rsidRDefault="00000000">
            <w:pPr>
              <w:tabs>
                <w:tab w:val="left" w:pos="284"/>
              </w:tabs>
              <w:ind w:left="284"/>
            </w:pPr>
            <w:r>
              <w:t>Жилой прицеп</w:t>
            </w:r>
          </w:p>
        </w:tc>
        <w:tc>
          <w:tcPr>
            <w:tcW w:w="1416" w:type="dxa"/>
          </w:tcPr>
          <w:p w:rsidR="00000000" w:rsidRDefault="00000000">
            <w:pPr>
              <w:tabs>
                <w:tab w:val="clear" w:pos="1134"/>
                <w:tab w:val="clear" w:pos="1701"/>
                <w:tab w:val="clear" w:pos="2268"/>
                <w:tab w:val="clear" w:pos="6237"/>
                <w:tab w:val="decimal" w:pos="567"/>
              </w:tabs>
              <w:jc w:val="both"/>
            </w:pPr>
            <w:r>
              <w:t>1,6</w:t>
            </w:r>
          </w:p>
        </w:tc>
        <w:tc>
          <w:tcPr>
            <w:tcW w:w="1416" w:type="dxa"/>
          </w:tcPr>
          <w:p w:rsidR="00000000" w:rsidRDefault="00000000">
            <w:pPr>
              <w:tabs>
                <w:tab w:val="clear" w:pos="1134"/>
                <w:tab w:val="clear" w:pos="1701"/>
                <w:tab w:val="clear" w:pos="2268"/>
                <w:tab w:val="clear" w:pos="6237"/>
                <w:tab w:val="decimal" w:pos="567"/>
              </w:tabs>
              <w:jc w:val="both"/>
            </w:pPr>
            <w:r>
              <w:t>1,9</w:t>
            </w:r>
          </w:p>
        </w:tc>
        <w:tc>
          <w:tcPr>
            <w:tcW w:w="1416" w:type="dxa"/>
          </w:tcPr>
          <w:p w:rsidR="00000000" w:rsidRDefault="00000000">
            <w:pPr>
              <w:tabs>
                <w:tab w:val="clear" w:pos="1134"/>
                <w:tab w:val="clear" w:pos="1701"/>
                <w:tab w:val="clear" w:pos="2268"/>
                <w:tab w:val="clear" w:pos="6237"/>
                <w:tab w:val="decimal" w:pos="567"/>
              </w:tabs>
              <w:jc w:val="both"/>
            </w:pPr>
            <w:r>
              <w:t>2,0</w:t>
            </w:r>
          </w:p>
        </w:tc>
      </w:tr>
      <w:tr w:rsidR="00000000">
        <w:trPr>
          <w:cantSplit/>
        </w:trPr>
        <w:tc>
          <w:tcPr>
            <w:tcW w:w="5103" w:type="dxa"/>
          </w:tcPr>
          <w:p w:rsidR="00000000" w:rsidRDefault="00000000">
            <w:pPr>
              <w:tabs>
                <w:tab w:val="left" w:pos="284"/>
              </w:tabs>
              <w:ind w:left="284"/>
            </w:pPr>
            <w:r>
              <w:t>Лодка</w:t>
            </w:r>
          </w:p>
        </w:tc>
        <w:tc>
          <w:tcPr>
            <w:tcW w:w="1416" w:type="dxa"/>
          </w:tcPr>
          <w:p w:rsidR="00000000" w:rsidRDefault="00000000">
            <w:pPr>
              <w:tabs>
                <w:tab w:val="clear" w:pos="1134"/>
                <w:tab w:val="clear" w:pos="1701"/>
                <w:tab w:val="clear" w:pos="2268"/>
                <w:tab w:val="clear" w:pos="6237"/>
                <w:tab w:val="decimal" w:pos="567"/>
              </w:tabs>
              <w:jc w:val="both"/>
            </w:pPr>
            <w:r>
              <w:t>1,0</w:t>
            </w:r>
          </w:p>
        </w:tc>
        <w:tc>
          <w:tcPr>
            <w:tcW w:w="1416" w:type="dxa"/>
          </w:tcPr>
          <w:p w:rsidR="00000000" w:rsidRDefault="00000000">
            <w:pPr>
              <w:tabs>
                <w:tab w:val="clear" w:pos="1134"/>
                <w:tab w:val="clear" w:pos="1701"/>
                <w:tab w:val="clear" w:pos="2268"/>
                <w:tab w:val="clear" w:pos="6237"/>
                <w:tab w:val="decimal" w:pos="567"/>
              </w:tabs>
              <w:jc w:val="both"/>
            </w:pPr>
            <w:r>
              <w:t>1,2</w:t>
            </w:r>
          </w:p>
        </w:tc>
        <w:tc>
          <w:tcPr>
            <w:tcW w:w="1416" w:type="dxa"/>
          </w:tcPr>
          <w:p w:rsidR="00000000" w:rsidRDefault="00000000">
            <w:pPr>
              <w:tabs>
                <w:tab w:val="clear" w:pos="1134"/>
                <w:tab w:val="clear" w:pos="1701"/>
                <w:tab w:val="clear" w:pos="2268"/>
                <w:tab w:val="clear" w:pos="6237"/>
                <w:tab w:val="decimal" w:pos="567"/>
              </w:tabs>
              <w:jc w:val="both"/>
            </w:pPr>
            <w:r>
              <w:t>1,0</w:t>
            </w:r>
          </w:p>
        </w:tc>
      </w:tr>
      <w:tr w:rsidR="00000000">
        <w:trPr>
          <w:cantSplit/>
        </w:trPr>
        <w:tc>
          <w:tcPr>
            <w:tcW w:w="5103" w:type="dxa"/>
          </w:tcPr>
          <w:p w:rsidR="00000000" w:rsidRDefault="00000000">
            <w:r>
              <w:t>Домашние хозяйства, не имеющие товаров длительного пользования</w:t>
            </w:r>
          </w:p>
        </w:tc>
        <w:tc>
          <w:tcPr>
            <w:tcW w:w="1416" w:type="dxa"/>
          </w:tcPr>
          <w:p w:rsidR="00000000" w:rsidRDefault="00000000">
            <w:pPr>
              <w:tabs>
                <w:tab w:val="clear" w:pos="1134"/>
                <w:tab w:val="clear" w:pos="1701"/>
                <w:tab w:val="clear" w:pos="2268"/>
                <w:tab w:val="clear" w:pos="6237"/>
                <w:tab w:val="decimal" w:pos="567"/>
              </w:tabs>
              <w:jc w:val="both"/>
            </w:pPr>
            <w:r>
              <w:t>0,2</w:t>
            </w:r>
          </w:p>
        </w:tc>
        <w:tc>
          <w:tcPr>
            <w:tcW w:w="1416" w:type="dxa"/>
          </w:tcPr>
          <w:p w:rsidR="00000000" w:rsidRDefault="00000000">
            <w:pPr>
              <w:tabs>
                <w:tab w:val="clear" w:pos="1134"/>
                <w:tab w:val="clear" w:pos="1701"/>
                <w:tab w:val="clear" w:pos="2268"/>
                <w:tab w:val="clear" w:pos="6237"/>
                <w:tab w:val="decimal" w:pos="567"/>
              </w:tabs>
              <w:jc w:val="both"/>
            </w:pPr>
            <w:r>
              <w:t>0,0</w:t>
            </w:r>
          </w:p>
        </w:tc>
        <w:tc>
          <w:tcPr>
            <w:tcW w:w="1416" w:type="dxa"/>
          </w:tcPr>
          <w:p w:rsidR="00000000" w:rsidRDefault="00000000">
            <w:pPr>
              <w:tabs>
                <w:tab w:val="clear" w:pos="1134"/>
                <w:tab w:val="clear" w:pos="1701"/>
                <w:tab w:val="clear" w:pos="2268"/>
                <w:tab w:val="clear" w:pos="6237"/>
                <w:tab w:val="decimal" w:pos="567"/>
              </w:tabs>
              <w:jc w:val="both"/>
            </w:pPr>
            <w:r>
              <w:t>0,1</w:t>
            </w:r>
          </w:p>
        </w:tc>
      </w:tr>
    </w:tbl>
    <w:p w:rsidR="00000000" w:rsidRDefault="00000000">
      <w:pPr>
        <w:rPr>
          <w:bCs/>
        </w:rPr>
      </w:pPr>
    </w:p>
    <w:p w:rsidR="00000000" w:rsidRDefault="00000000">
      <w:pPr>
        <w:keepNext/>
        <w:rPr>
          <w:bCs/>
        </w:rPr>
      </w:pPr>
      <w:r>
        <w:rPr>
          <w:b/>
        </w:rPr>
        <w:tab/>
      </w:r>
      <w:r>
        <w:rPr>
          <w:bCs/>
        </w:rPr>
        <w:t>Данные за 2002 и 2003 годы.</w:t>
      </w:r>
    </w:p>
    <w:p w:rsidR="00000000" w:rsidRDefault="00000000">
      <w:pPr>
        <w:keepNext/>
        <w:rPr>
          <w:b/>
        </w:rPr>
      </w:pPr>
    </w:p>
    <w:p w:rsidR="00000000" w:rsidRDefault="00000000">
      <w:r>
        <w:t>437.</w:t>
      </w:r>
      <w:r>
        <w:tab/>
        <w:t>По данным Обследования потребления домашних хозяйств, в рацион питания домашнего хозяйства по</w:t>
      </w:r>
      <w:r>
        <w:noBreakHyphen/>
        <w:t>прежнему входят такие низкокалорийные продукты, как хлеб, мука, макаронные изделия и рис.  В</w:t>
      </w:r>
      <w:r>
        <w:rPr>
          <w:lang w:val="en-US"/>
        </w:rPr>
        <w:t> </w:t>
      </w:r>
      <w:r>
        <w:t>2003</w:t>
      </w:r>
      <w:r>
        <w:rPr>
          <w:lang w:val="en-US"/>
        </w:rPr>
        <w:t> </w:t>
      </w:r>
      <w:r>
        <w:t>году по сравнению с 2002</w:t>
      </w:r>
      <w:r>
        <w:rPr>
          <w:lang w:val="en-US"/>
        </w:rPr>
        <w:t> </w:t>
      </w:r>
      <w:r>
        <w:t xml:space="preserve">годом потребление пшеницы и пшеничных изделий возросло на 0,9%, а потребление свежих и обработанных фруктов </w:t>
      </w:r>
      <w:r>
        <w:noBreakHyphen/>
        <w:t xml:space="preserve"> на 18,3%.  С другой стороны, было зарегистрировано сокращение потребления продуктов повышенной калорийности, особенно свежего и обработанного мяса </w:t>
      </w:r>
      <w:r>
        <w:noBreakHyphen/>
        <w:t xml:space="preserve"> на 2,4%, рыбы </w:t>
      </w:r>
      <w:r>
        <w:noBreakHyphen/>
        <w:t xml:space="preserve"> на 10,7% и жиров </w:t>
      </w:r>
      <w:r>
        <w:noBreakHyphen/>
        <w:t xml:space="preserve"> на 2,4%.</w:t>
      </w:r>
    </w:p>
    <w:p w:rsidR="00000000" w:rsidRDefault="00000000"/>
    <w:p w:rsidR="00000000" w:rsidRDefault="00000000">
      <w:pPr>
        <w:keepNext/>
        <w:jc w:val="center"/>
        <w:rPr>
          <w:b/>
          <w:bCs/>
        </w:rPr>
      </w:pPr>
      <w:r>
        <w:rPr>
          <w:b/>
          <w:bCs/>
        </w:rPr>
        <w:t>Товары широкого потребления в домашних хозяйствах</w:t>
      </w:r>
      <w:r>
        <w:rPr>
          <w:b/>
          <w:bCs/>
        </w:rPr>
        <w:br/>
        <w:t>(средний показатель на каждого члена домашнего хозяйства)</w:t>
      </w:r>
    </w:p>
    <w:p w:rsidR="00000000" w:rsidRDefault="00000000">
      <w:pPr>
        <w:keepNext/>
        <w:jc w:val="center"/>
        <w:rPr>
          <w:szCs w:val="16"/>
        </w:rPr>
      </w:pPr>
    </w:p>
    <w:tbl>
      <w:tblPr>
        <w:tblW w:w="0" w:type="auto"/>
        <w:tblInd w:w="113"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113" w:type="dxa"/>
          <w:bottom w:w="28" w:type="dxa"/>
          <w:right w:w="113" w:type="dxa"/>
        </w:tblCellMar>
        <w:tblLook w:val="0000" w:firstRow="0" w:lastRow="0" w:firstColumn="0" w:lastColumn="0" w:noHBand="0" w:noVBand="0"/>
      </w:tblPr>
      <w:tblGrid>
        <w:gridCol w:w="5670"/>
        <w:gridCol w:w="1833"/>
        <w:gridCol w:w="1834"/>
      </w:tblGrid>
      <w:tr w:rsidR="00000000">
        <w:trPr>
          <w:cantSplit/>
        </w:trPr>
        <w:tc>
          <w:tcPr>
            <w:tcW w:w="5670" w:type="dxa"/>
            <w:tcBorders>
              <w:top w:val="single" w:sz="4" w:space="0" w:color="auto"/>
              <w:bottom w:val="single" w:sz="4" w:space="0" w:color="auto"/>
            </w:tcBorders>
          </w:tcPr>
          <w:p w:rsidR="00000000" w:rsidRDefault="00000000">
            <w:pPr>
              <w:keepNext/>
              <w:spacing w:line="240" w:lineRule="auto"/>
              <w:jc w:val="center"/>
              <w:rPr>
                <w:szCs w:val="16"/>
              </w:rPr>
            </w:pPr>
          </w:p>
        </w:tc>
        <w:tc>
          <w:tcPr>
            <w:tcW w:w="1833" w:type="dxa"/>
            <w:tcBorders>
              <w:top w:val="single" w:sz="4" w:space="0" w:color="auto"/>
              <w:bottom w:val="single" w:sz="4" w:space="0" w:color="auto"/>
            </w:tcBorders>
            <w:noWrap/>
          </w:tcPr>
          <w:p w:rsidR="00000000" w:rsidRDefault="00000000">
            <w:pPr>
              <w:spacing w:line="240" w:lineRule="auto"/>
              <w:jc w:val="center"/>
              <w:rPr>
                <w:szCs w:val="16"/>
              </w:rPr>
            </w:pPr>
            <w:r>
              <w:rPr>
                <w:szCs w:val="16"/>
              </w:rPr>
              <w:t>2002</w:t>
            </w:r>
          </w:p>
        </w:tc>
        <w:tc>
          <w:tcPr>
            <w:tcW w:w="1834" w:type="dxa"/>
            <w:tcBorders>
              <w:top w:val="single" w:sz="4" w:space="0" w:color="auto"/>
              <w:bottom w:val="single" w:sz="4" w:space="0" w:color="auto"/>
            </w:tcBorders>
            <w:noWrap/>
          </w:tcPr>
          <w:p w:rsidR="00000000" w:rsidRDefault="00000000">
            <w:pPr>
              <w:spacing w:line="240" w:lineRule="auto"/>
              <w:jc w:val="center"/>
              <w:rPr>
                <w:szCs w:val="16"/>
              </w:rPr>
            </w:pPr>
            <w:r>
              <w:rPr>
                <w:szCs w:val="16"/>
              </w:rPr>
              <w:t>2003</w:t>
            </w:r>
          </w:p>
        </w:tc>
      </w:tr>
      <w:tr w:rsidR="00000000">
        <w:trPr>
          <w:cantSplit/>
        </w:trPr>
        <w:tc>
          <w:tcPr>
            <w:tcW w:w="5670" w:type="dxa"/>
            <w:tcBorders>
              <w:top w:val="single" w:sz="4" w:space="0" w:color="auto"/>
              <w:bottom w:val="nil"/>
            </w:tcBorders>
          </w:tcPr>
          <w:p w:rsidR="00000000" w:rsidRDefault="00000000">
            <w:pPr>
              <w:spacing w:line="240" w:lineRule="auto"/>
              <w:rPr>
                <w:rFonts w:eastAsia="Arial Unicode MS"/>
                <w:szCs w:val="16"/>
              </w:rPr>
            </w:pPr>
            <w:r>
              <w:rPr>
                <w:szCs w:val="16"/>
              </w:rPr>
              <w:t>Пшеница и пшеничные изделия (кг)</w:t>
            </w:r>
          </w:p>
        </w:tc>
        <w:tc>
          <w:tcPr>
            <w:tcW w:w="1833" w:type="dxa"/>
            <w:tcBorders>
              <w:top w:val="single" w:sz="4" w:space="0" w:color="auto"/>
              <w:bottom w:val="nil"/>
            </w:tcBorders>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156,3</w:t>
            </w:r>
          </w:p>
        </w:tc>
        <w:tc>
          <w:tcPr>
            <w:tcW w:w="1834" w:type="dxa"/>
            <w:tcBorders>
              <w:top w:val="single" w:sz="4" w:space="0" w:color="auto"/>
              <w:bottom w:val="nil"/>
            </w:tcBorders>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157,8</w:t>
            </w:r>
          </w:p>
        </w:tc>
      </w:tr>
      <w:tr w:rsidR="00000000">
        <w:trPr>
          <w:cantSplit/>
        </w:trPr>
        <w:tc>
          <w:tcPr>
            <w:tcW w:w="5670" w:type="dxa"/>
            <w:tcBorders>
              <w:top w:val="nil"/>
            </w:tcBorders>
          </w:tcPr>
          <w:p w:rsidR="00000000" w:rsidRDefault="00000000">
            <w:pPr>
              <w:spacing w:line="240" w:lineRule="auto"/>
              <w:rPr>
                <w:rFonts w:eastAsia="Arial Unicode MS"/>
                <w:szCs w:val="16"/>
              </w:rPr>
            </w:pPr>
            <w:r>
              <w:rPr>
                <w:szCs w:val="16"/>
              </w:rPr>
              <w:t>Овощи, свежие и обработанные (кг)</w:t>
            </w:r>
          </w:p>
        </w:tc>
        <w:tc>
          <w:tcPr>
            <w:tcW w:w="1833" w:type="dxa"/>
            <w:tcBorders>
              <w:top w:val="nil"/>
            </w:tcBorders>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134,2</w:t>
            </w:r>
          </w:p>
        </w:tc>
        <w:tc>
          <w:tcPr>
            <w:tcW w:w="1834" w:type="dxa"/>
            <w:tcBorders>
              <w:top w:val="nil"/>
            </w:tcBorders>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130,5</w:t>
            </w:r>
          </w:p>
        </w:tc>
      </w:tr>
      <w:tr w:rsidR="00000000">
        <w:trPr>
          <w:cantSplit/>
        </w:trPr>
        <w:tc>
          <w:tcPr>
            <w:tcW w:w="5670" w:type="dxa"/>
          </w:tcPr>
          <w:p w:rsidR="00000000" w:rsidRDefault="00000000">
            <w:pPr>
              <w:spacing w:line="240" w:lineRule="auto"/>
              <w:rPr>
                <w:rFonts w:eastAsia="Arial Unicode MS"/>
                <w:szCs w:val="16"/>
              </w:rPr>
            </w:pPr>
            <w:r>
              <w:rPr>
                <w:szCs w:val="16"/>
              </w:rPr>
              <w:t>Фрукты, свежие и обработанные (кг)</w:t>
            </w:r>
          </w:p>
        </w:tc>
        <w:tc>
          <w:tcPr>
            <w:tcW w:w="1833"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77,2</w:t>
            </w:r>
          </w:p>
        </w:tc>
        <w:tc>
          <w:tcPr>
            <w:tcW w:w="1834"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91,3</w:t>
            </w:r>
          </w:p>
        </w:tc>
      </w:tr>
      <w:tr w:rsidR="00000000">
        <w:trPr>
          <w:cantSplit/>
        </w:trPr>
        <w:tc>
          <w:tcPr>
            <w:tcW w:w="5670" w:type="dxa"/>
          </w:tcPr>
          <w:p w:rsidR="00000000" w:rsidRDefault="00000000">
            <w:pPr>
              <w:spacing w:line="240" w:lineRule="auto"/>
              <w:rPr>
                <w:rFonts w:eastAsia="Arial Unicode MS"/>
                <w:szCs w:val="16"/>
              </w:rPr>
            </w:pPr>
            <w:r>
              <w:rPr>
                <w:szCs w:val="16"/>
              </w:rPr>
              <w:t>Мясо, свежее (кг)</w:t>
            </w:r>
          </w:p>
        </w:tc>
        <w:tc>
          <w:tcPr>
            <w:tcW w:w="1833"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29,4</w:t>
            </w:r>
          </w:p>
        </w:tc>
        <w:tc>
          <w:tcPr>
            <w:tcW w:w="1834"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28,9</w:t>
            </w:r>
          </w:p>
        </w:tc>
      </w:tr>
      <w:tr w:rsidR="00000000">
        <w:trPr>
          <w:cantSplit/>
        </w:trPr>
        <w:tc>
          <w:tcPr>
            <w:tcW w:w="5670" w:type="dxa"/>
          </w:tcPr>
          <w:p w:rsidR="00000000" w:rsidRDefault="00000000">
            <w:pPr>
              <w:spacing w:line="240" w:lineRule="auto"/>
              <w:rPr>
                <w:rFonts w:eastAsia="Arial Unicode MS"/>
                <w:szCs w:val="16"/>
              </w:rPr>
            </w:pPr>
            <w:r>
              <w:rPr>
                <w:szCs w:val="16"/>
              </w:rPr>
              <w:t>Мясо, обработанное (кг)</w:t>
            </w:r>
          </w:p>
        </w:tc>
        <w:tc>
          <w:tcPr>
            <w:tcW w:w="1833"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10,9</w:t>
            </w:r>
          </w:p>
        </w:tc>
        <w:tc>
          <w:tcPr>
            <w:tcW w:w="1834"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10,5</w:t>
            </w:r>
          </w:p>
        </w:tc>
      </w:tr>
      <w:tr w:rsidR="00000000">
        <w:trPr>
          <w:cantSplit/>
        </w:trPr>
        <w:tc>
          <w:tcPr>
            <w:tcW w:w="5670" w:type="dxa"/>
          </w:tcPr>
          <w:p w:rsidR="00000000" w:rsidRDefault="00000000">
            <w:pPr>
              <w:spacing w:line="240" w:lineRule="auto"/>
              <w:rPr>
                <w:rFonts w:eastAsia="Arial Unicode MS"/>
                <w:szCs w:val="16"/>
                <w:lang w:val="en-US"/>
              </w:rPr>
            </w:pPr>
            <w:r>
              <w:rPr>
                <w:szCs w:val="16"/>
              </w:rPr>
              <w:t>Рыба</w:t>
            </w:r>
            <w:r>
              <w:rPr>
                <w:szCs w:val="16"/>
                <w:lang w:val="en-US"/>
              </w:rPr>
              <w:t xml:space="preserve"> (кг)</w:t>
            </w:r>
          </w:p>
        </w:tc>
        <w:tc>
          <w:tcPr>
            <w:tcW w:w="1833"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6,1</w:t>
            </w:r>
          </w:p>
        </w:tc>
        <w:tc>
          <w:tcPr>
            <w:tcW w:w="1834"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5,5</w:t>
            </w:r>
          </w:p>
        </w:tc>
      </w:tr>
      <w:tr w:rsidR="00000000">
        <w:trPr>
          <w:cantSplit/>
        </w:trPr>
        <w:tc>
          <w:tcPr>
            <w:tcW w:w="5670" w:type="dxa"/>
          </w:tcPr>
          <w:p w:rsidR="00000000" w:rsidRDefault="00000000">
            <w:pPr>
              <w:spacing w:line="240" w:lineRule="auto"/>
              <w:rPr>
                <w:rFonts w:eastAsia="Arial Unicode MS"/>
                <w:szCs w:val="16"/>
              </w:rPr>
            </w:pPr>
            <w:r>
              <w:rPr>
                <w:szCs w:val="16"/>
              </w:rPr>
              <w:t>Жиры (кг)</w:t>
            </w:r>
          </w:p>
        </w:tc>
        <w:tc>
          <w:tcPr>
            <w:tcW w:w="1833"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rPr>
            </w:pPr>
            <w:r>
              <w:rPr>
                <w:szCs w:val="16"/>
              </w:rPr>
              <w:t>23,3</w:t>
            </w:r>
          </w:p>
        </w:tc>
        <w:tc>
          <w:tcPr>
            <w:tcW w:w="1834"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rPr>
            </w:pPr>
            <w:r>
              <w:rPr>
                <w:szCs w:val="16"/>
              </w:rPr>
              <w:t>22,7</w:t>
            </w:r>
          </w:p>
        </w:tc>
      </w:tr>
      <w:tr w:rsidR="00000000">
        <w:trPr>
          <w:cantSplit/>
        </w:trPr>
        <w:tc>
          <w:tcPr>
            <w:tcW w:w="5670" w:type="dxa"/>
          </w:tcPr>
          <w:p w:rsidR="00000000" w:rsidRDefault="00000000">
            <w:pPr>
              <w:spacing w:line="240" w:lineRule="auto"/>
              <w:rPr>
                <w:rFonts w:eastAsia="Arial Unicode MS"/>
                <w:szCs w:val="16"/>
              </w:rPr>
            </w:pPr>
            <w:r>
              <w:rPr>
                <w:szCs w:val="16"/>
              </w:rPr>
              <w:t>Молоко (л)</w:t>
            </w:r>
          </w:p>
        </w:tc>
        <w:tc>
          <w:tcPr>
            <w:tcW w:w="1833"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61,3</w:t>
            </w:r>
          </w:p>
        </w:tc>
        <w:tc>
          <w:tcPr>
            <w:tcW w:w="1834"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57,8</w:t>
            </w:r>
          </w:p>
        </w:tc>
      </w:tr>
      <w:tr w:rsidR="00000000">
        <w:trPr>
          <w:cantSplit/>
        </w:trPr>
        <w:tc>
          <w:tcPr>
            <w:tcW w:w="5670" w:type="dxa"/>
          </w:tcPr>
          <w:p w:rsidR="00000000" w:rsidRDefault="00000000">
            <w:pPr>
              <w:spacing w:line="240" w:lineRule="auto"/>
              <w:rPr>
                <w:rFonts w:eastAsia="Arial Unicode MS"/>
                <w:szCs w:val="16"/>
              </w:rPr>
            </w:pPr>
            <w:r>
              <w:rPr>
                <w:szCs w:val="16"/>
              </w:rPr>
              <w:t>Молочные продукты (кг)</w:t>
            </w:r>
          </w:p>
        </w:tc>
        <w:tc>
          <w:tcPr>
            <w:tcW w:w="1833"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28,4</w:t>
            </w:r>
          </w:p>
        </w:tc>
        <w:tc>
          <w:tcPr>
            <w:tcW w:w="1834"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28,4</w:t>
            </w:r>
          </w:p>
        </w:tc>
      </w:tr>
      <w:tr w:rsidR="00000000">
        <w:trPr>
          <w:cantSplit/>
        </w:trPr>
        <w:tc>
          <w:tcPr>
            <w:tcW w:w="5670" w:type="dxa"/>
          </w:tcPr>
          <w:p w:rsidR="00000000" w:rsidRDefault="00000000">
            <w:pPr>
              <w:spacing w:line="240" w:lineRule="auto"/>
              <w:rPr>
                <w:rFonts w:eastAsia="Arial Unicode MS"/>
                <w:szCs w:val="16"/>
                <w:lang w:val="en-US"/>
              </w:rPr>
            </w:pPr>
            <w:r>
              <w:rPr>
                <w:szCs w:val="16"/>
              </w:rPr>
              <w:t>Яйца (шт.)</w:t>
            </w:r>
          </w:p>
        </w:tc>
        <w:tc>
          <w:tcPr>
            <w:tcW w:w="1833"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218,0</w:t>
            </w:r>
          </w:p>
        </w:tc>
        <w:tc>
          <w:tcPr>
            <w:tcW w:w="1834"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216,0</w:t>
            </w:r>
          </w:p>
        </w:tc>
      </w:tr>
      <w:tr w:rsidR="00000000">
        <w:trPr>
          <w:cantSplit/>
        </w:trPr>
        <w:tc>
          <w:tcPr>
            <w:tcW w:w="5670" w:type="dxa"/>
          </w:tcPr>
          <w:p w:rsidR="00000000" w:rsidRDefault="00000000">
            <w:pPr>
              <w:spacing w:line="240" w:lineRule="auto"/>
              <w:rPr>
                <w:rFonts w:eastAsia="Arial Unicode MS"/>
                <w:szCs w:val="16"/>
                <w:lang w:val="en-US"/>
              </w:rPr>
            </w:pPr>
            <w:r>
              <w:rPr>
                <w:szCs w:val="16"/>
              </w:rPr>
              <w:t xml:space="preserve">Сахар </w:t>
            </w:r>
            <w:r>
              <w:rPr>
                <w:szCs w:val="16"/>
                <w:lang w:val="en-US"/>
              </w:rPr>
              <w:t>(кг)</w:t>
            </w:r>
          </w:p>
        </w:tc>
        <w:tc>
          <w:tcPr>
            <w:tcW w:w="1833"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19,8</w:t>
            </w:r>
          </w:p>
        </w:tc>
        <w:tc>
          <w:tcPr>
            <w:tcW w:w="1834"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20,9</w:t>
            </w:r>
          </w:p>
        </w:tc>
      </w:tr>
      <w:tr w:rsidR="00000000">
        <w:trPr>
          <w:cantSplit/>
        </w:trPr>
        <w:tc>
          <w:tcPr>
            <w:tcW w:w="5670" w:type="dxa"/>
          </w:tcPr>
          <w:p w:rsidR="00000000" w:rsidRDefault="00000000">
            <w:pPr>
              <w:spacing w:line="240" w:lineRule="auto"/>
              <w:rPr>
                <w:rFonts w:eastAsia="Arial Unicode MS"/>
                <w:szCs w:val="16"/>
                <w:lang w:val="en-US"/>
              </w:rPr>
            </w:pPr>
            <w:r>
              <w:rPr>
                <w:szCs w:val="16"/>
              </w:rPr>
              <w:t>Кофе</w:t>
            </w:r>
            <w:r>
              <w:rPr>
                <w:szCs w:val="16"/>
                <w:lang w:val="en-US"/>
              </w:rPr>
              <w:t xml:space="preserve"> (кг)</w:t>
            </w:r>
          </w:p>
        </w:tc>
        <w:tc>
          <w:tcPr>
            <w:tcW w:w="1833"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2,9</w:t>
            </w:r>
          </w:p>
        </w:tc>
        <w:tc>
          <w:tcPr>
            <w:tcW w:w="1834"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2,8</w:t>
            </w:r>
          </w:p>
        </w:tc>
      </w:tr>
      <w:tr w:rsidR="00000000">
        <w:trPr>
          <w:cantSplit/>
        </w:trPr>
        <w:tc>
          <w:tcPr>
            <w:tcW w:w="5670" w:type="dxa"/>
          </w:tcPr>
          <w:p w:rsidR="00000000" w:rsidRDefault="00000000">
            <w:pPr>
              <w:spacing w:line="240" w:lineRule="auto"/>
              <w:rPr>
                <w:rFonts w:eastAsia="Arial Unicode MS"/>
                <w:szCs w:val="16"/>
              </w:rPr>
            </w:pPr>
            <w:r>
              <w:rPr>
                <w:szCs w:val="16"/>
              </w:rPr>
              <w:t>Вино (л)</w:t>
            </w:r>
          </w:p>
        </w:tc>
        <w:tc>
          <w:tcPr>
            <w:tcW w:w="1833"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rPr>
            </w:pPr>
            <w:r>
              <w:rPr>
                <w:szCs w:val="16"/>
              </w:rPr>
              <w:t>4,4</w:t>
            </w:r>
          </w:p>
        </w:tc>
        <w:tc>
          <w:tcPr>
            <w:tcW w:w="1834"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rPr>
            </w:pPr>
            <w:r>
              <w:rPr>
                <w:szCs w:val="16"/>
              </w:rPr>
              <w:t>3,9</w:t>
            </w:r>
          </w:p>
        </w:tc>
      </w:tr>
      <w:tr w:rsidR="00000000">
        <w:trPr>
          <w:cantSplit/>
        </w:trPr>
        <w:tc>
          <w:tcPr>
            <w:tcW w:w="5670" w:type="dxa"/>
          </w:tcPr>
          <w:p w:rsidR="00000000" w:rsidRDefault="00000000">
            <w:pPr>
              <w:spacing w:line="240" w:lineRule="auto"/>
              <w:rPr>
                <w:rFonts w:eastAsia="Arial Unicode MS"/>
                <w:szCs w:val="16"/>
              </w:rPr>
            </w:pPr>
            <w:r>
              <w:rPr>
                <w:szCs w:val="16"/>
              </w:rPr>
              <w:t>Пиво (л)</w:t>
            </w:r>
          </w:p>
        </w:tc>
        <w:tc>
          <w:tcPr>
            <w:tcW w:w="1833"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rPr>
            </w:pPr>
            <w:r>
              <w:rPr>
                <w:szCs w:val="16"/>
              </w:rPr>
              <w:t>14,1</w:t>
            </w:r>
          </w:p>
        </w:tc>
        <w:tc>
          <w:tcPr>
            <w:tcW w:w="1834"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rPr>
            </w:pPr>
            <w:r>
              <w:rPr>
                <w:szCs w:val="16"/>
              </w:rPr>
              <w:t>14,2</w:t>
            </w:r>
          </w:p>
        </w:tc>
      </w:tr>
      <w:tr w:rsidR="00000000">
        <w:trPr>
          <w:cantSplit/>
        </w:trPr>
        <w:tc>
          <w:tcPr>
            <w:tcW w:w="5670" w:type="dxa"/>
          </w:tcPr>
          <w:p w:rsidR="00000000" w:rsidRDefault="00000000">
            <w:pPr>
              <w:spacing w:line="240" w:lineRule="auto"/>
              <w:rPr>
                <w:rFonts w:eastAsia="Arial Unicode MS"/>
                <w:szCs w:val="16"/>
              </w:rPr>
            </w:pPr>
            <w:r>
              <w:rPr>
                <w:szCs w:val="16"/>
              </w:rPr>
              <w:t>Алкогольные напитки (л)</w:t>
            </w:r>
          </w:p>
        </w:tc>
        <w:tc>
          <w:tcPr>
            <w:tcW w:w="1833"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rPr>
            </w:pPr>
            <w:r>
              <w:rPr>
                <w:szCs w:val="16"/>
              </w:rPr>
              <w:t>1,9</w:t>
            </w:r>
          </w:p>
        </w:tc>
        <w:tc>
          <w:tcPr>
            <w:tcW w:w="1834" w:type="dxa"/>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rPr>
            </w:pPr>
            <w:r>
              <w:rPr>
                <w:szCs w:val="16"/>
              </w:rPr>
              <w:t>1,9</w:t>
            </w:r>
          </w:p>
        </w:tc>
      </w:tr>
      <w:tr w:rsidR="00000000">
        <w:trPr>
          <w:cantSplit/>
        </w:trPr>
        <w:tc>
          <w:tcPr>
            <w:tcW w:w="5670" w:type="dxa"/>
            <w:tcBorders>
              <w:bottom w:val="nil"/>
            </w:tcBorders>
          </w:tcPr>
          <w:p w:rsidR="00000000" w:rsidRDefault="00000000">
            <w:pPr>
              <w:spacing w:line="240" w:lineRule="auto"/>
              <w:rPr>
                <w:rFonts w:eastAsia="Arial Unicode MS"/>
                <w:szCs w:val="16"/>
              </w:rPr>
            </w:pPr>
            <w:r>
              <w:rPr>
                <w:szCs w:val="16"/>
              </w:rPr>
              <w:t>Дрова (м</w:t>
            </w:r>
            <w:r>
              <w:rPr>
                <w:szCs w:val="16"/>
                <w:vertAlign w:val="superscript"/>
              </w:rPr>
              <w:t>3</w:t>
            </w:r>
            <w:r>
              <w:rPr>
                <w:szCs w:val="16"/>
              </w:rPr>
              <w:t>)</w:t>
            </w:r>
          </w:p>
        </w:tc>
        <w:tc>
          <w:tcPr>
            <w:tcW w:w="1833" w:type="dxa"/>
            <w:tcBorders>
              <w:bottom w:val="nil"/>
            </w:tcBorders>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rPr>
            </w:pPr>
            <w:r>
              <w:rPr>
                <w:szCs w:val="16"/>
              </w:rPr>
              <w:t>1,5</w:t>
            </w:r>
          </w:p>
        </w:tc>
        <w:tc>
          <w:tcPr>
            <w:tcW w:w="1834" w:type="dxa"/>
            <w:tcBorders>
              <w:bottom w:val="nil"/>
            </w:tcBorders>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rPr>
            </w:pPr>
            <w:r>
              <w:rPr>
                <w:szCs w:val="16"/>
              </w:rPr>
              <w:t>1,2</w:t>
            </w:r>
          </w:p>
        </w:tc>
      </w:tr>
      <w:tr w:rsidR="00000000">
        <w:trPr>
          <w:cantSplit/>
        </w:trPr>
        <w:tc>
          <w:tcPr>
            <w:tcW w:w="5670" w:type="dxa"/>
            <w:tcBorders>
              <w:top w:val="nil"/>
              <w:bottom w:val="single" w:sz="4" w:space="0" w:color="auto"/>
            </w:tcBorders>
          </w:tcPr>
          <w:p w:rsidR="00000000" w:rsidRDefault="00000000">
            <w:pPr>
              <w:spacing w:line="240" w:lineRule="auto"/>
              <w:rPr>
                <w:rFonts w:eastAsia="Arial Unicode MS"/>
                <w:szCs w:val="16"/>
              </w:rPr>
            </w:pPr>
            <w:r>
              <w:rPr>
                <w:szCs w:val="16"/>
              </w:rPr>
              <w:t>Электричество (кВт/ч)</w:t>
            </w:r>
          </w:p>
        </w:tc>
        <w:tc>
          <w:tcPr>
            <w:tcW w:w="1833" w:type="dxa"/>
            <w:tcBorders>
              <w:top w:val="nil"/>
              <w:bottom w:val="single" w:sz="4" w:space="0" w:color="auto"/>
            </w:tcBorders>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1 765,0</w:t>
            </w:r>
          </w:p>
        </w:tc>
        <w:tc>
          <w:tcPr>
            <w:tcW w:w="1834" w:type="dxa"/>
            <w:tcBorders>
              <w:top w:val="nil"/>
              <w:bottom w:val="single" w:sz="4" w:space="0" w:color="auto"/>
            </w:tcBorders>
            <w:noWrap/>
          </w:tcPr>
          <w:p w:rsidR="00000000" w:rsidRDefault="00000000">
            <w:pPr>
              <w:tabs>
                <w:tab w:val="clear" w:pos="567"/>
                <w:tab w:val="clear" w:pos="1134"/>
                <w:tab w:val="clear" w:pos="1701"/>
                <w:tab w:val="clear" w:pos="2268"/>
                <w:tab w:val="clear" w:pos="6237"/>
                <w:tab w:val="decimal" w:pos="851"/>
              </w:tabs>
              <w:spacing w:line="240" w:lineRule="auto"/>
              <w:rPr>
                <w:rFonts w:eastAsia="Arial Unicode MS"/>
                <w:szCs w:val="16"/>
                <w:lang w:val="en-US"/>
              </w:rPr>
            </w:pPr>
            <w:r>
              <w:rPr>
                <w:szCs w:val="16"/>
                <w:lang w:val="en-US"/>
              </w:rPr>
              <w:t>1 787,0</w:t>
            </w:r>
          </w:p>
        </w:tc>
      </w:tr>
    </w:tbl>
    <w:p w:rsidR="00000000" w:rsidRDefault="00000000">
      <w:pPr>
        <w:keepNext/>
        <w:jc w:val="center"/>
        <w:rPr>
          <w:b/>
          <w:bCs/>
          <w:iCs/>
        </w:rPr>
      </w:pPr>
      <w:r>
        <w:rPr>
          <w:b/>
          <w:bCs/>
          <w:iCs/>
        </w:rPr>
        <w:t>Расходы на личное потребление (по домашним хозяйствам)</w:t>
      </w:r>
    </w:p>
    <w:p w:rsidR="00000000" w:rsidRDefault="00000000">
      <w:pPr>
        <w:keepNext/>
        <w:jc w:val="center"/>
      </w:pPr>
    </w:p>
    <w:tbl>
      <w:tblPr>
        <w:tblW w:w="0" w:type="auto"/>
        <w:tblInd w:w="113" w:type="dxa"/>
        <w:tblLayout w:type="fixed"/>
        <w:tblCellMar>
          <w:top w:w="28" w:type="dxa"/>
          <w:left w:w="113" w:type="dxa"/>
          <w:bottom w:w="28" w:type="dxa"/>
          <w:right w:w="113" w:type="dxa"/>
        </w:tblCellMar>
        <w:tblLook w:val="0000" w:firstRow="0" w:lastRow="0" w:firstColumn="0" w:lastColumn="0" w:noHBand="0" w:noVBand="0"/>
      </w:tblPr>
      <w:tblGrid>
        <w:gridCol w:w="5670"/>
        <w:gridCol w:w="1833"/>
        <w:gridCol w:w="1834"/>
      </w:tblGrid>
      <w:tr w:rsidR="00000000">
        <w:trPr>
          <w:cantSplit/>
        </w:trPr>
        <w:tc>
          <w:tcPr>
            <w:tcW w:w="5670" w:type="dxa"/>
            <w:tcBorders>
              <w:top w:val="single" w:sz="4" w:space="0" w:color="auto"/>
              <w:left w:val="single" w:sz="4" w:space="0" w:color="auto"/>
              <w:bottom w:val="single" w:sz="4" w:space="0" w:color="auto"/>
              <w:right w:val="single" w:sz="4" w:space="0" w:color="auto"/>
            </w:tcBorders>
            <w:noWrap/>
          </w:tcPr>
          <w:p w:rsidR="00000000" w:rsidRDefault="00000000">
            <w:pPr>
              <w:keepNext/>
              <w:jc w:val="center"/>
              <w:rPr>
                <w:rFonts w:eastAsia="Arial Unicode MS"/>
                <w:iCs/>
              </w:rPr>
            </w:pPr>
          </w:p>
        </w:tc>
        <w:tc>
          <w:tcPr>
            <w:tcW w:w="1833" w:type="dxa"/>
            <w:tcBorders>
              <w:top w:val="single" w:sz="4" w:space="0" w:color="auto"/>
              <w:left w:val="nil"/>
              <w:bottom w:val="single" w:sz="4" w:space="0" w:color="auto"/>
              <w:right w:val="single" w:sz="4" w:space="0" w:color="auto"/>
            </w:tcBorders>
            <w:noWrap/>
          </w:tcPr>
          <w:p w:rsidR="00000000" w:rsidRDefault="00000000">
            <w:pPr>
              <w:keepNext/>
              <w:jc w:val="center"/>
              <w:rPr>
                <w:rFonts w:eastAsia="Arial Unicode MS"/>
                <w:iCs/>
              </w:rPr>
            </w:pPr>
            <w:r>
              <w:rPr>
                <w:iCs/>
              </w:rPr>
              <w:t>2002 (в %)</w:t>
            </w:r>
          </w:p>
        </w:tc>
        <w:tc>
          <w:tcPr>
            <w:tcW w:w="1834" w:type="dxa"/>
            <w:tcBorders>
              <w:top w:val="single" w:sz="4" w:space="0" w:color="auto"/>
              <w:left w:val="nil"/>
              <w:bottom w:val="single" w:sz="4" w:space="0" w:color="auto"/>
              <w:right w:val="single" w:sz="4" w:space="0" w:color="auto"/>
            </w:tcBorders>
            <w:noWrap/>
          </w:tcPr>
          <w:p w:rsidR="00000000" w:rsidRDefault="00000000">
            <w:pPr>
              <w:keepNext/>
              <w:jc w:val="center"/>
              <w:rPr>
                <w:rFonts w:eastAsia="Arial Unicode MS"/>
                <w:iCs/>
              </w:rPr>
            </w:pPr>
            <w:r>
              <w:rPr>
                <w:iCs/>
              </w:rPr>
              <w:t>2003 (в %)</w:t>
            </w:r>
          </w:p>
        </w:tc>
      </w:tr>
      <w:tr w:rsidR="00000000">
        <w:trPr>
          <w:cantSplit/>
        </w:trPr>
        <w:tc>
          <w:tcPr>
            <w:tcW w:w="5670" w:type="dxa"/>
            <w:tcBorders>
              <w:top w:val="single" w:sz="4" w:space="0" w:color="auto"/>
              <w:left w:val="single" w:sz="4" w:space="0" w:color="auto"/>
              <w:right w:val="single" w:sz="4" w:space="0" w:color="auto"/>
            </w:tcBorders>
            <w:noWrap/>
          </w:tcPr>
          <w:p w:rsidR="00000000" w:rsidRDefault="00000000">
            <w:pPr>
              <w:rPr>
                <w:rFonts w:eastAsia="Arial Unicode MS"/>
                <w:iCs/>
              </w:rPr>
            </w:pPr>
            <w:r>
              <w:rPr>
                <w:iCs/>
              </w:rPr>
              <w:t>Общий объем личного потребления</w:t>
            </w:r>
          </w:p>
        </w:tc>
        <w:tc>
          <w:tcPr>
            <w:tcW w:w="1833" w:type="dxa"/>
            <w:tcBorders>
              <w:top w:val="single" w:sz="4" w:space="0" w:color="auto"/>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100,0</w:t>
            </w:r>
          </w:p>
        </w:tc>
        <w:tc>
          <w:tcPr>
            <w:tcW w:w="1834" w:type="dxa"/>
            <w:tcBorders>
              <w:top w:val="single" w:sz="4" w:space="0" w:color="auto"/>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100,0</w:t>
            </w:r>
          </w:p>
        </w:tc>
      </w:tr>
      <w:tr w:rsidR="00000000">
        <w:trPr>
          <w:cantSplit/>
        </w:trPr>
        <w:tc>
          <w:tcPr>
            <w:tcW w:w="5670" w:type="dxa"/>
            <w:tcBorders>
              <w:top w:val="nil"/>
              <w:left w:val="single" w:sz="4" w:space="0" w:color="auto"/>
              <w:right w:val="single" w:sz="4" w:space="0" w:color="auto"/>
            </w:tcBorders>
            <w:noWrap/>
          </w:tcPr>
          <w:p w:rsidR="00000000" w:rsidRDefault="00000000">
            <w:pPr>
              <w:rPr>
                <w:rFonts w:eastAsia="Arial Unicode MS"/>
                <w:iCs/>
              </w:rPr>
            </w:pPr>
            <w:r>
              <w:rPr>
                <w:iCs/>
              </w:rPr>
              <w:t>Продовольствие и безалкогольные напитки</w:t>
            </w:r>
          </w:p>
        </w:tc>
        <w:tc>
          <w:tcPr>
            <w:tcW w:w="1833"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42,5</w:t>
            </w:r>
          </w:p>
        </w:tc>
        <w:tc>
          <w:tcPr>
            <w:tcW w:w="183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42,0</w:t>
            </w:r>
          </w:p>
        </w:tc>
      </w:tr>
      <w:tr w:rsidR="00000000">
        <w:trPr>
          <w:cantSplit/>
        </w:trPr>
        <w:tc>
          <w:tcPr>
            <w:tcW w:w="5670" w:type="dxa"/>
            <w:tcBorders>
              <w:top w:val="nil"/>
              <w:left w:val="single" w:sz="4" w:space="0" w:color="auto"/>
              <w:right w:val="single" w:sz="4" w:space="0" w:color="auto"/>
            </w:tcBorders>
            <w:noWrap/>
          </w:tcPr>
          <w:p w:rsidR="00000000" w:rsidRDefault="00000000">
            <w:pPr>
              <w:rPr>
                <w:rFonts w:eastAsia="Arial Unicode MS"/>
                <w:iCs/>
              </w:rPr>
            </w:pPr>
            <w:r>
              <w:rPr>
                <w:iCs/>
              </w:rPr>
              <w:t>Алкогольные напитки и табачные изделия</w:t>
            </w:r>
          </w:p>
        </w:tc>
        <w:tc>
          <w:tcPr>
            <w:tcW w:w="1833"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4,9</w:t>
            </w:r>
          </w:p>
        </w:tc>
        <w:tc>
          <w:tcPr>
            <w:tcW w:w="183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5,0</w:t>
            </w:r>
          </w:p>
        </w:tc>
      </w:tr>
      <w:tr w:rsidR="00000000">
        <w:trPr>
          <w:cantSplit/>
        </w:trPr>
        <w:tc>
          <w:tcPr>
            <w:tcW w:w="5670" w:type="dxa"/>
            <w:tcBorders>
              <w:top w:val="nil"/>
              <w:left w:val="single" w:sz="4" w:space="0" w:color="auto"/>
              <w:right w:val="single" w:sz="4" w:space="0" w:color="auto"/>
            </w:tcBorders>
            <w:noWrap/>
          </w:tcPr>
          <w:p w:rsidR="00000000" w:rsidRDefault="00000000">
            <w:pPr>
              <w:rPr>
                <w:rFonts w:eastAsia="Arial Unicode MS"/>
                <w:iCs/>
              </w:rPr>
            </w:pPr>
            <w:r>
              <w:rPr>
                <w:iCs/>
              </w:rPr>
              <w:t>Одежда и обувь</w:t>
            </w:r>
          </w:p>
        </w:tc>
        <w:tc>
          <w:tcPr>
            <w:tcW w:w="1833"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8,5</w:t>
            </w:r>
          </w:p>
        </w:tc>
        <w:tc>
          <w:tcPr>
            <w:tcW w:w="183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8,5</w:t>
            </w:r>
          </w:p>
        </w:tc>
      </w:tr>
      <w:tr w:rsidR="00000000">
        <w:trPr>
          <w:cantSplit/>
        </w:trPr>
        <w:tc>
          <w:tcPr>
            <w:tcW w:w="5670" w:type="dxa"/>
            <w:tcBorders>
              <w:top w:val="nil"/>
              <w:left w:val="single" w:sz="4" w:space="0" w:color="auto"/>
              <w:right w:val="single" w:sz="4" w:space="0" w:color="auto"/>
            </w:tcBorders>
            <w:noWrap/>
          </w:tcPr>
          <w:p w:rsidR="00000000" w:rsidRDefault="00000000">
            <w:pPr>
              <w:rPr>
                <w:rFonts w:eastAsia="Arial Unicode MS"/>
                <w:iCs/>
              </w:rPr>
            </w:pPr>
            <w:r>
              <w:rPr>
                <w:iCs/>
              </w:rPr>
              <w:t>Жилье, водоснабжение, электричество и различные виды топлива</w:t>
            </w:r>
          </w:p>
        </w:tc>
        <w:tc>
          <w:tcPr>
            <w:tcW w:w="1833"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11,3</w:t>
            </w:r>
          </w:p>
        </w:tc>
        <w:tc>
          <w:tcPr>
            <w:tcW w:w="183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12,1</w:t>
            </w:r>
          </w:p>
        </w:tc>
      </w:tr>
      <w:tr w:rsidR="00000000">
        <w:trPr>
          <w:cantSplit/>
        </w:trPr>
        <w:tc>
          <w:tcPr>
            <w:tcW w:w="5670" w:type="dxa"/>
            <w:tcBorders>
              <w:top w:val="nil"/>
              <w:left w:val="single" w:sz="4" w:space="0" w:color="auto"/>
              <w:right w:val="single" w:sz="4" w:space="0" w:color="auto"/>
            </w:tcBorders>
            <w:noWrap/>
          </w:tcPr>
          <w:p w:rsidR="00000000" w:rsidRDefault="00000000">
            <w:pPr>
              <w:rPr>
                <w:rFonts w:eastAsia="Arial Unicode MS"/>
                <w:iCs/>
              </w:rPr>
            </w:pPr>
            <w:r>
              <w:rPr>
                <w:iCs/>
              </w:rPr>
              <w:t>Предметы домашнего обихода, мебель и ремонт жилья</w:t>
            </w:r>
          </w:p>
        </w:tc>
        <w:tc>
          <w:tcPr>
            <w:tcW w:w="1833"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5,5</w:t>
            </w:r>
          </w:p>
        </w:tc>
        <w:tc>
          <w:tcPr>
            <w:tcW w:w="183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5,1</w:t>
            </w:r>
          </w:p>
        </w:tc>
      </w:tr>
      <w:tr w:rsidR="00000000">
        <w:trPr>
          <w:cantSplit/>
        </w:trPr>
        <w:tc>
          <w:tcPr>
            <w:tcW w:w="5670" w:type="dxa"/>
            <w:tcBorders>
              <w:top w:val="nil"/>
              <w:left w:val="single" w:sz="4" w:space="0" w:color="auto"/>
              <w:right w:val="single" w:sz="4" w:space="0" w:color="auto"/>
            </w:tcBorders>
            <w:noWrap/>
          </w:tcPr>
          <w:p w:rsidR="00000000" w:rsidRDefault="00000000">
            <w:pPr>
              <w:rPr>
                <w:rFonts w:eastAsia="Arial Unicode MS"/>
                <w:iCs/>
              </w:rPr>
            </w:pPr>
            <w:r>
              <w:rPr>
                <w:iCs/>
              </w:rPr>
              <w:t>Медицинские услуги</w:t>
            </w:r>
          </w:p>
        </w:tc>
        <w:tc>
          <w:tcPr>
            <w:tcW w:w="1833"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3,4</w:t>
            </w:r>
          </w:p>
        </w:tc>
        <w:tc>
          <w:tcPr>
            <w:tcW w:w="183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3,6</w:t>
            </w:r>
          </w:p>
        </w:tc>
      </w:tr>
      <w:tr w:rsidR="00000000">
        <w:trPr>
          <w:cantSplit/>
        </w:trPr>
        <w:tc>
          <w:tcPr>
            <w:tcW w:w="5670" w:type="dxa"/>
            <w:tcBorders>
              <w:top w:val="nil"/>
              <w:left w:val="single" w:sz="4" w:space="0" w:color="auto"/>
              <w:right w:val="single" w:sz="4" w:space="0" w:color="auto"/>
            </w:tcBorders>
            <w:noWrap/>
          </w:tcPr>
          <w:p w:rsidR="00000000" w:rsidRDefault="00000000">
            <w:pPr>
              <w:rPr>
                <w:rFonts w:eastAsia="Arial Unicode MS"/>
                <w:iCs/>
              </w:rPr>
            </w:pPr>
            <w:r>
              <w:rPr>
                <w:iCs/>
              </w:rPr>
              <w:t>Транспорт</w:t>
            </w:r>
          </w:p>
        </w:tc>
        <w:tc>
          <w:tcPr>
            <w:tcW w:w="1833"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7,0</w:t>
            </w:r>
          </w:p>
        </w:tc>
        <w:tc>
          <w:tcPr>
            <w:tcW w:w="183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6,5</w:t>
            </w:r>
          </w:p>
        </w:tc>
      </w:tr>
      <w:tr w:rsidR="00000000">
        <w:trPr>
          <w:cantSplit/>
        </w:trPr>
        <w:tc>
          <w:tcPr>
            <w:tcW w:w="5670" w:type="dxa"/>
            <w:tcBorders>
              <w:top w:val="nil"/>
              <w:left w:val="single" w:sz="4" w:space="0" w:color="auto"/>
              <w:right w:val="single" w:sz="4" w:space="0" w:color="auto"/>
            </w:tcBorders>
            <w:noWrap/>
          </w:tcPr>
          <w:p w:rsidR="00000000" w:rsidRDefault="00000000">
            <w:pPr>
              <w:rPr>
                <w:rFonts w:eastAsia="Arial Unicode MS"/>
                <w:iCs/>
              </w:rPr>
            </w:pPr>
            <w:r>
              <w:rPr>
                <w:iCs/>
              </w:rPr>
              <w:t>Телефон и услуги связи</w:t>
            </w:r>
          </w:p>
        </w:tc>
        <w:tc>
          <w:tcPr>
            <w:tcW w:w="1833"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4,4</w:t>
            </w:r>
          </w:p>
        </w:tc>
        <w:tc>
          <w:tcPr>
            <w:tcW w:w="183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4,9</w:t>
            </w:r>
          </w:p>
        </w:tc>
      </w:tr>
      <w:tr w:rsidR="00000000">
        <w:trPr>
          <w:cantSplit/>
        </w:trPr>
        <w:tc>
          <w:tcPr>
            <w:tcW w:w="5670" w:type="dxa"/>
            <w:tcBorders>
              <w:top w:val="nil"/>
              <w:left w:val="single" w:sz="4" w:space="0" w:color="auto"/>
              <w:right w:val="single" w:sz="4" w:space="0" w:color="auto"/>
            </w:tcBorders>
            <w:noWrap/>
          </w:tcPr>
          <w:p w:rsidR="00000000" w:rsidRDefault="00000000">
            <w:pPr>
              <w:rPr>
                <w:rFonts w:eastAsia="Arial Unicode MS"/>
                <w:iCs/>
              </w:rPr>
            </w:pPr>
            <w:r>
              <w:rPr>
                <w:iCs/>
              </w:rPr>
              <w:t>Досуг, культура и развлечения</w:t>
            </w:r>
          </w:p>
        </w:tc>
        <w:tc>
          <w:tcPr>
            <w:tcW w:w="1833"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3,9</w:t>
            </w:r>
          </w:p>
        </w:tc>
        <w:tc>
          <w:tcPr>
            <w:tcW w:w="183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3,6</w:t>
            </w:r>
          </w:p>
        </w:tc>
      </w:tr>
      <w:tr w:rsidR="00000000">
        <w:trPr>
          <w:cantSplit/>
        </w:trPr>
        <w:tc>
          <w:tcPr>
            <w:tcW w:w="5670" w:type="dxa"/>
            <w:tcBorders>
              <w:top w:val="nil"/>
              <w:left w:val="single" w:sz="4" w:space="0" w:color="auto"/>
              <w:right w:val="single" w:sz="4" w:space="0" w:color="auto"/>
            </w:tcBorders>
            <w:noWrap/>
          </w:tcPr>
          <w:p w:rsidR="00000000" w:rsidRDefault="00000000">
            <w:pPr>
              <w:rPr>
                <w:rFonts w:eastAsia="Arial Unicode MS"/>
                <w:iCs/>
              </w:rPr>
            </w:pPr>
            <w:r>
              <w:rPr>
                <w:iCs/>
              </w:rPr>
              <w:t>Образование</w:t>
            </w:r>
          </w:p>
        </w:tc>
        <w:tc>
          <w:tcPr>
            <w:tcW w:w="1833"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0,5</w:t>
            </w:r>
          </w:p>
        </w:tc>
        <w:tc>
          <w:tcPr>
            <w:tcW w:w="183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0,7</w:t>
            </w:r>
          </w:p>
        </w:tc>
      </w:tr>
      <w:tr w:rsidR="00000000">
        <w:trPr>
          <w:cantSplit/>
        </w:trPr>
        <w:tc>
          <w:tcPr>
            <w:tcW w:w="5670" w:type="dxa"/>
            <w:tcBorders>
              <w:top w:val="nil"/>
              <w:left w:val="single" w:sz="4" w:space="0" w:color="auto"/>
              <w:right w:val="single" w:sz="4" w:space="0" w:color="auto"/>
            </w:tcBorders>
            <w:noWrap/>
          </w:tcPr>
          <w:p w:rsidR="00000000" w:rsidRDefault="00000000">
            <w:pPr>
              <w:rPr>
                <w:rFonts w:eastAsia="Arial Unicode MS"/>
                <w:iCs/>
              </w:rPr>
            </w:pPr>
            <w:r>
              <w:rPr>
                <w:iCs/>
              </w:rPr>
              <w:t>Гостиницы и рестораны</w:t>
            </w:r>
          </w:p>
        </w:tc>
        <w:tc>
          <w:tcPr>
            <w:tcW w:w="1833"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4,4</w:t>
            </w:r>
          </w:p>
        </w:tc>
        <w:tc>
          <w:tcPr>
            <w:tcW w:w="183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3,9</w:t>
            </w:r>
          </w:p>
        </w:tc>
      </w:tr>
      <w:tr w:rsidR="00000000">
        <w:trPr>
          <w:cantSplit/>
        </w:trPr>
        <w:tc>
          <w:tcPr>
            <w:tcW w:w="5670" w:type="dxa"/>
            <w:tcBorders>
              <w:top w:val="nil"/>
              <w:left w:val="single" w:sz="4" w:space="0" w:color="auto"/>
              <w:bottom w:val="single" w:sz="4" w:space="0" w:color="auto"/>
              <w:right w:val="single" w:sz="4" w:space="0" w:color="auto"/>
            </w:tcBorders>
            <w:noWrap/>
          </w:tcPr>
          <w:p w:rsidR="00000000" w:rsidRDefault="00000000">
            <w:pPr>
              <w:rPr>
                <w:rFonts w:eastAsia="Arial Unicode MS"/>
                <w:iCs/>
              </w:rPr>
            </w:pPr>
            <w:r>
              <w:rPr>
                <w:iCs/>
              </w:rPr>
              <w:t>Прочие товары и услуги</w:t>
            </w:r>
          </w:p>
        </w:tc>
        <w:tc>
          <w:tcPr>
            <w:tcW w:w="1833" w:type="dxa"/>
            <w:tcBorders>
              <w:top w:val="nil"/>
              <w:left w:val="nil"/>
              <w:bottom w:val="single" w:sz="4" w:space="0" w:color="auto"/>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3,8</w:t>
            </w:r>
          </w:p>
        </w:tc>
        <w:tc>
          <w:tcPr>
            <w:tcW w:w="1834" w:type="dxa"/>
            <w:tcBorders>
              <w:top w:val="nil"/>
              <w:left w:val="nil"/>
              <w:bottom w:val="single" w:sz="4" w:space="0" w:color="auto"/>
              <w:right w:val="single" w:sz="4" w:space="0" w:color="auto"/>
            </w:tcBorders>
            <w:noWrap/>
          </w:tcPr>
          <w:p w:rsidR="00000000" w:rsidRDefault="00000000">
            <w:pPr>
              <w:tabs>
                <w:tab w:val="clear" w:pos="567"/>
                <w:tab w:val="clear" w:pos="1134"/>
                <w:tab w:val="clear" w:pos="1701"/>
                <w:tab w:val="clear" w:pos="2268"/>
                <w:tab w:val="clear" w:pos="6237"/>
                <w:tab w:val="decimal" w:pos="851"/>
              </w:tabs>
              <w:rPr>
                <w:szCs w:val="16"/>
                <w:lang w:val="en-US"/>
              </w:rPr>
            </w:pPr>
            <w:r>
              <w:rPr>
                <w:szCs w:val="16"/>
                <w:lang w:val="en-US"/>
              </w:rPr>
              <w:t>3,9</w:t>
            </w:r>
          </w:p>
        </w:tc>
      </w:tr>
    </w:tbl>
    <w:p w:rsidR="00000000" w:rsidRDefault="00000000"/>
    <w:p w:rsidR="00000000" w:rsidRDefault="00000000">
      <w:r>
        <w:t>438.</w:t>
      </w:r>
      <w:r>
        <w:tab/>
        <w:t>Анализ личного потребления в домашних хозяйствах показывает, что бóльшая часть расходуемых средств, около 42%, тратится на продовольствие.  Доля расходов на жилье и оплату водоснабжения, топлива и электричества возросла на 12,1%.  3,6% было затрачено на медицинское обслуживание и лекарственные средства, а на почтовые и телефонные услуги было израсходовано 4,9%.  В результате снижения уровня жизни сократились расходы на досуг, культурную деятельность и ресторанное обслуживание.</w:t>
      </w:r>
    </w:p>
    <w:p w:rsidR="00000000" w:rsidRDefault="00000000"/>
    <w:p w:rsidR="00000000" w:rsidRDefault="00000000">
      <w:pPr>
        <w:keepNext/>
        <w:jc w:val="center"/>
        <w:rPr>
          <w:b/>
          <w:bCs/>
        </w:rPr>
      </w:pPr>
      <w:r>
        <w:rPr>
          <w:b/>
          <w:bCs/>
        </w:rPr>
        <w:t>Индекс стоимости жизни по классификации КИПЦ</w:t>
      </w:r>
      <w:r>
        <w:rPr>
          <w:b/>
          <w:bCs/>
          <w:vertAlign w:val="superscript"/>
        </w:rPr>
        <w:t>а</w:t>
      </w:r>
    </w:p>
    <w:p w:rsidR="00000000" w:rsidRDefault="00000000">
      <w:pPr>
        <w:keepNext/>
        <w:jc w:val="center"/>
        <w:rPr>
          <w:b/>
          <w:bCs/>
        </w:rPr>
      </w:pPr>
    </w:p>
    <w:p w:rsidR="00000000" w:rsidRDefault="00000000">
      <w:pPr>
        <w:keepNext/>
        <w:jc w:val="right"/>
      </w:pPr>
      <w:r>
        <w:t xml:space="preserve">Предыдущий год = </w:t>
      </w:r>
      <w:proofErr w:type="spellStart"/>
      <w:r>
        <w:t>100%</w:t>
      </w:r>
      <w:proofErr w:type="spellEnd"/>
    </w:p>
    <w:tbl>
      <w:tblPr>
        <w:tblW w:w="0" w:type="auto"/>
        <w:tblInd w:w="113" w:type="dxa"/>
        <w:tblLayout w:type="fixed"/>
        <w:tblCellMar>
          <w:top w:w="28" w:type="dxa"/>
          <w:left w:w="113" w:type="dxa"/>
          <w:bottom w:w="28" w:type="dxa"/>
          <w:right w:w="113" w:type="dxa"/>
        </w:tblCellMar>
        <w:tblLook w:val="0000" w:firstRow="0" w:lastRow="0" w:firstColumn="0" w:lastColumn="0" w:noHBand="0" w:noVBand="0"/>
      </w:tblPr>
      <w:tblGrid>
        <w:gridCol w:w="5103"/>
        <w:gridCol w:w="2124"/>
        <w:gridCol w:w="2124"/>
      </w:tblGrid>
      <w:tr w:rsidR="00000000">
        <w:trPr>
          <w:cantSplit/>
          <w:tblHeader/>
        </w:trPr>
        <w:tc>
          <w:tcPr>
            <w:tcW w:w="5103" w:type="dxa"/>
            <w:tcBorders>
              <w:top w:val="single" w:sz="4" w:space="0" w:color="auto"/>
              <w:left w:val="single" w:sz="4" w:space="0" w:color="auto"/>
              <w:bottom w:val="single" w:sz="4" w:space="0" w:color="auto"/>
              <w:right w:val="single" w:sz="4" w:space="0" w:color="auto"/>
            </w:tcBorders>
            <w:noWrap/>
          </w:tcPr>
          <w:p w:rsidR="00000000" w:rsidRDefault="00000000">
            <w:pPr>
              <w:keepNext/>
              <w:rPr>
                <w:rFonts w:eastAsia="Arial Unicode MS"/>
                <w:iCs/>
              </w:rPr>
            </w:pPr>
          </w:p>
        </w:tc>
        <w:tc>
          <w:tcPr>
            <w:tcW w:w="2124" w:type="dxa"/>
            <w:tcBorders>
              <w:top w:val="single" w:sz="4" w:space="0" w:color="auto"/>
              <w:left w:val="nil"/>
              <w:bottom w:val="single" w:sz="4" w:space="0" w:color="auto"/>
              <w:right w:val="single" w:sz="4" w:space="0" w:color="auto"/>
            </w:tcBorders>
            <w:noWrap/>
          </w:tcPr>
          <w:p w:rsidR="00000000" w:rsidRDefault="00000000">
            <w:pPr>
              <w:keepNext/>
              <w:jc w:val="center"/>
              <w:rPr>
                <w:rFonts w:eastAsia="Arial Unicode MS"/>
                <w:iCs/>
              </w:rPr>
            </w:pPr>
            <w:r>
              <w:rPr>
                <w:iCs/>
              </w:rPr>
              <w:t>2003</w:t>
            </w:r>
          </w:p>
        </w:tc>
        <w:tc>
          <w:tcPr>
            <w:tcW w:w="2124" w:type="dxa"/>
            <w:tcBorders>
              <w:top w:val="single" w:sz="4" w:space="0" w:color="auto"/>
              <w:left w:val="nil"/>
              <w:bottom w:val="single" w:sz="4" w:space="0" w:color="auto"/>
              <w:right w:val="single" w:sz="4" w:space="0" w:color="auto"/>
            </w:tcBorders>
            <w:noWrap/>
          </w:tcPr>
          <w:p w:rsidR="00000000" w:rsidRDefault="00000000">
            <w:pPr>
              <w:keepNext/>
              <w:jc w:val="center"/>
              <w:rPr>
                <w:rFonts w:eastAsia="Arial Unicode MS"/>
                <w:iCs/>
              </w:rPr>
            </w:pPr>
            <w:r>
              <w:rPr>
                <w:iCs/>
              </w:rPr>
              <w:t>2004</w:t>
            </w:r>
          </w:p>
        </w:tc>
      </w:tr>
      <w:tr w:rsidR="00000000">
        <w:trPr>
          <w:cantSplit/>
        </w:trPr>
        <w:tc>
          <w:tcPr>
            <w:tcW w:w="5103" w:type="dxa"/>
            <w:tcBorders>
              <w:top w:val="single" w:sz="4" w:space="0" w:color="auto"/>
              <w:left w:val="single" w:sz="4" w:space="0" w:color="auto"/>
              <w:right w:val="single" w:sz="4" w:space="0" w:color="auto"/>
            </w:tcBorders>
            <w:noWrap/>
          </w:tcPr>
          <w:p w:rsidR="00000000" w:rsidRDefault="00000000">
            <w:pPr>
              <w:rPr>
                <w:rFonts w:eastAsia="Arial Unicode MS"/>
                <w:iCs/>
              </w:rPr>
            </w:pPr>
            <w:r>
              <w:rPr>
                <w:iCs/>
              </w:rPr>
              <w:t>Общий показатель</w:t>
            </w:r>
          </w:p>
        </w:tc>
        <w:tc>
          <w:tcPr>
            <w:tcW w:w="2124" w:type="dxa"/>
            <w:tcBorders>
              <w:top w:val="single" w:sz="4" w:space="0" w:color="auto"/>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101,2</w:t>
            </w:r>
          </w:p>
        </w:tc>
        <w:tc>
          <w:tcPr>
            <w:tcW w:w="2124" w:type="dxa"/>
            <w:tcBorders>
              <w:top w:val="single" w:sz="4" w:space="0" w:color="auto"/>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99,6</w:t>
            </w:r>
          </w:p>
        </w:tc>
      </w:tr>
      <w:tr w:rsidR="00000000">
        <w:trPr>
          <w:cantSplit/>
        </w:trPr>
        <w:tc>
          <w:tcPr>
            <w:tcW w:w="5103" w:type="dxa"/>
            <w:tcBorders>
              <w:top w:val="nil"/>
              <w:left w:val="single" w:sz="4" w:space="0" w:color="auto"/>
              <w:right w:val="single" w:sz="4" w:space="0" w:color="auto"/>
            </w:tcBorders>
            <w:noWrap/>
          </w:tcPr>
          <w:p w:rsidR="00000000" w:rsidRDefault="00000000">
            <w:pPr>
              <w:rPr>
                <w:rFonts w:eastAsia="Arial Unicode MS"/>
                <w:iCs/>
              </w:rPr>
            </w:pPr>
            <w:r>
              <w:rPr>
                <w:iCs/>
              </w:rPr>
              <w:t>Продовольствие и безалкогольные напитки</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98,8</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97,2</w:t>
            </w:r>
          </w:p>
        </w:tc>
      </w:tr>
      <w:tr w:rsidR="00000000">
        <w:trPr>
          <w:cantSplit/>
        </w:trPr>
        <w:tc>
          <w:tcPr>
            <w:tcW w:w="5103" w:type="dxa"/>
            <w:tcBorders>
              <w:top w:val="nil"/>
              <w:left w:val="single" w:sz="4" w:space="0" w:color="auto"/>
              <w:right w:val="single" w:sz="4" w:space="0" w:color="auto"/>
            </w:tcBorders>
            <w:noWrap/>
          </w:tcPr>
          <w:p w:rsidR="00000000" w:rsidRDefault="00000000">
            <w:pPr>
              <w:rPr>
                <w:rFonts w:eastAsia="Arial Unicode MS"/>
                <w:iCs/>
              </w:rPr>
            </w:pPr>
            <w:r>
              <w:rPr>
                <w:iCs/>
              </w:rPr>
              <w:t>Алкогольные напитки и табачные изделия</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102,9</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99,3</w:t>
            </w:r>
          </w:p>
        </w:tc>
      </w:tr>
      <w:tr w:rsidR="00000000">
        <w:trPr>
          <w:cantSplit/>
        </w:trPr>
        <w:tc>
          <w:tcPr>
            <w:tcW w:w="5103" w:type="dxa"/>
            <w:tcBorders>
              <w:top w:val="nil"/>
              <w:left w:val="single" w:sz="4" w:space="0" w:color="auto"/>
              <w:right w:val="single" w:sz="4" w:space="0" w:color="auto"/>
            </w:tcBorders>
            <w:noWrap/>
          </w:tcPr>
          <w:p w:rsidR="00000000" w:rsidRDefault="00000000">
            <w:pPr>
              <w:rPr>
                <w:rFonts w:eastAsia="Arial Unicode MS"/>
                <w:iCs/>
              </w:rPr>
            </w:pPr>
            <w:r>
              <w:rPr>
                <w:iCs/>
              </w:rPr>
              <w:t>Одежда и обувь</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102,2</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100,8</w:t>
            </w:r>
          </w:p>
        </w:tc>
      </w:tr>
      <w:tr w:rsidR="00000000">
        <w:trPr>
          <w:cantSplit/>
        </w:trPr>
        <w:tc>
          <w:tcPr>
            <w:tcW w:w="5103" w:type="dxa"/>
            <w:tcBorders>
              <w:top w:val="nil"/>
              <w:left w:val="single" w:sz="4" w:space="0" w:color="auto"/>
              <w:bottom w:val="single" w:sz="4" w:space="0" w:color="auto"/>
              <w:right w:val="single" w:sz="4" w:space="0" w:color="auto"/>
            </w:tcBorders>
            <w:noWrap/>
          </w:tcPr>
          <w:p w:rsidR="00000000" w:rsidRDefault="00000000">
            <w:pPr>
              <w:rPr>
                <w:rFonts w:eastAsia="Arial Unicode MS"/>
                <w:iCs/>
              </w:rPr>
            </w:pPr>
            <w:r>
              <w:rPr>
                <w:iCs/>
              </w:rPr>
              <w:t>Жилье, водоснабжение, электричество и различные виды топлива</w:t>
            </w:r>
          </w:p>
        </w:tc>
        <w:tc>
          <w:tcPr>
            <w:tcW w:w="2124" w:type="dxa"/>
            <w:tcBorders>
              <w:top w:val="nil"/>
              <w:left w:val="nil"/>
              <w:bottom w:val="single" w:sz="4" w:space="0" w:color="auto"/>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104,4</w:t>
            </w:r>
          </w:p>
        </w:tc>
        <w:tc>
          <w:tcPr>
            <w:tcW w:w="2124" w:type="dxa"/>
            <w:tcBorders>
              <w:top w:val="nil"/>
              <w:left w:val="nil"/>
              <w:bottom w:val="single" w:sz="4" w:space="0" w:color="auto"/>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101,9</w:t>
            </w:r>
          </w:p>
        </w:tc>
      </w:tr>
      <w:tr w:rsidR="00000000">
        <w:trPr>
          <w:cantSplit/>
        </w:trPr>
        <w:tc>
          <w:tcPr>
            <w:tcW w:w="5103" w:type="dxa"/>
            <w:tcBorders>
              <w:top w:val="single" w:sz="4" w:space="0" w:color="auto"/>
              <w:left w:val="single" w:sz="4" w:space="0" w:color="auto"/>
              <w:right w:val="single" w:sz="4" w:space="0" w:color="auto"/>
            </w:tcBorders>
            <w:noWrap/>
          </w:tcPr>
          <w:p w:rsidR="00000000" w:rsidRDefault="00000000">
            <w:pPr>
              <w:rPr>
                <w:rFonts w:eastAsia="Arial Unicode MS"/>
                <w:iCs/>
              </w:rPr>
            </w:pPr>
            <w:r>
              <w:rPr>
                <w:iCs/>
              </w:rPr>
              <w:t>Предметы домашнего обихода, мебель, бытовое оборудование</w:t>
            </w:r>
          </w:p>
        </w:tc>
        <w:tc>
          <w:tcPr>
            <w:tcW w:w="2124" w:type="dxa"/>
            <w:tcBorders>
              <w:top w:val="single" w:sz="4" w:space="0" w:color="auto"/>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104,0</w:t>
            </w:r>
          </w:p>
        </w:tc>
        <w:tc>
          <w:tcPr>
            <w:tcW w:w="2124" w:type="dxa"/>
            <w:tcBorders>
              <w:top w:val="single" w:sz="4" w:space="0" w:color="auto"/>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103,4</w:t>
            </w:r>
          </w:p>
        </w:tc>
      </w:tr>
      <w:tr w:rsidR="00000000">
        <w:trPr>
          <w:cantSplit/>
        </w:trPr>
        <w:tc>
          <w:tcPr>
            <w:tcW w:w="5103" w:type="dxa"/>
            <w:tcBorders>
              <w:top w:val="nil"/>
              <w:left w:val="single" w:sz="4" w:space="0" w:color="auto"/>
              <w:right w:val="single" w:sz="4" w:space="0" w:color="auto"/>
            </w:tcBorders>
            <w:noWrap/>
          </w:tcPr>
          <w:p w:rsidR="00000000" w:rsidRDefault="00000000">
            <w:pPr>
              <w:rPr>
                <w:rFonts w:eastAsia="Arial Unicode MS"/>
                <w:iCs/>
              </w:rPr>
            </w:pPr>
            <w:r>
              <w:rPr>
                <w:iCs/>
              </w:rPr>
              <w:t xml:space="preserve">Медицинские услуги </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104,8</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99,5</w:t>
            </w:r>
          </w:p>
        </w:tc>
      </w:tr>
      <w:tr w:rsidR="00000000">
        <w:trPr>
          <w:cantSplit/>
        </w:trPr>
        <w:tc>
          <w:tcPr>
            <w:tcW w:w="5103" w:type="dxa"/>
            <w:tcBorders>
              <w:top w:val="nil"/>
              <w:left w:val="single" w:sz="4" w:space="0" w:color="auto"/>
              <w:right w:val="single" w:sz="4" w:space="0" w:color="auto"/>
            </w:tcBorders>
            <w:noWrap/>
          </w:tcPr>
          <w:p w:rsidR="00000000" w:rsidRDefault="00000000">
            <w:pPr>
              <w:rPr>
                <w:rFonts w:eastAsia="Arial Unicode MS"/>
                <w:iCs/>
              </w:rPr>
            </w:pPr>
            <w:r>
              <w:rPr>
                <w:iCs/>
              </w:rPr>
              <w:t>Транспорт</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102,7</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103,1</w:t>
            </w:r>
          </w:p>
        </w:tc>
      </w:tr>
      <w:tr w:rsidR="00000000">
        <w:trPr>
          <w:cantSplit/>
        </w:trPr>
        <w:tc>
          <w:tcPr>
            <w:tcW w:w="5103" w:type="dxa"/>
            <w:tcBorders>
              <w:top w:val="nil"/>
              <w:left w:val="single" w:sz="4" w:space="0" w:color="auto"/>
              <w:right w:val="single" w:sz="4" w:space="0" w:color="auto"/>
            </w:tcBorders>
            <w:noWrap/>
          </w:tcPr>
          <w:p w:rsidR="00000000" w:rsidRDefault="00000000">
            <w:pPr>
              <w:rPr>
                <w:rFonts w:eastAsia="Arial Unicode MS"/>
                <w:iCs/>
              </w:rPr>
            </w:pPr>
            <w:r>
              <w:rPr>
                <w:iCs/>
              </w:rPr>
              <w:t>Услуги связи</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109,1</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106,1</w:t>
            </w:r>
          </w:p>
        </w:tc>
      </w:tr>
      <w:tr w:rsidR="00000000">
        <w:trPr>
          <w:cantSplit/>
        </w:trPr>
        <w:tc>
          <w:tcPr>
            <w:tcW w:w="5103" w:type="dxa"/>
            <w:tcBorders>
              <w:top w:val="nil"/>
              <w:left w:val="single" w:sz="4" w:space="0" w:color="auto"/>
              <w:right w:val="single" w:sz="4" w:space="0" w:color="auto"/>
            </w:tcBorders>
            <w:noWrap/>
          </w:tcPr>
          <w:p w:rsidR="00000000" w:rsidRDefault="00000000">
            <w:pPr>
              <w:rPr>
                <w:rFonts w:eastAsia="Arial Unicode MS"/>
                <w:iCs/>
              </w:rPr>
            </w:pPr>
            <w:r>
              <w:rPr>
                <w:iCs/>
              </w:rPr>
              <w:t>Досуг и культура</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101,8</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98,8</w:t>
            </w:r>
          </w:p>
        </w:tc>
      </w:tr>
      <w:tr w:rsidR="00000000">
        <w:trPr>
          <w:cantSplit/>
        </w:trPr>
        <w:tc>
          <w:tcPr>
            <w:tcW w:w="5103" w:type="dxa"/>
            <w:tcBorders>
              <w:top w:val="nil"/>
              <w:left w:val="single" w:sz="4" w:space="0" w:color="auto"/>
              <w:right w:val="single" w:sz="4" w:space="0" w:color="auto"/>
            </w:tcBorders>
            <w:noWrap/>
          </w:tcPr>
          <w:p w:rsidR="00000000" w:rsidRDefault="00000000">
            <w:pPr>
              <w:rPr>
                <w:rFonts w:eastAsia="Arial Unicode MS"/>
                <w:iCs/>
              </w:rPr>
            </w:pPr>
            <w:r>
              <w:rPr>
                <w:iCs/>
              </w:rPr>
              <w:t>Образование</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100,5</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98,4</w:t>
            </w:r>
          </w:p>
        </w:tc>
      </w:tr>
      <w:tr w:rsidR="00000000">
        <w:trPr>
          <w:cantSplit/>
        </w:trPr>
        <w:tc>
          <w:tcPr>
            <w:tcW w:w="5103" w:type="dxa"/>
            <w:tcBorders>
              <w:top w:val="nil"/>
              <w:left w:val="single" w:sz="4" w:space="0" w:color="auto"/>
              <w:right w:val="single" w:sz="4" w:space="0" w:color="auto"/>
            </w:tcBorders>
            <w:noWrap/>
          </w:tcPr>
          <w:p w:rsidR="00000000" w:rsidRDefault="00000000">
            <w:pPr>
              <w:rPr>
                <w:rFonts w:eastAsia="Arial Unicode MS"/>
                <w:iCs/>
              </w:rPr>
            </w:pPr>
            <w:r>
              <w:rPr>
                <w:iCs/>
              </w:rPr>
              <w:t>Гостиницы и рестораны</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105,2</w:t>
            </w:r>
          </w:p>
        </w:tc>
        <w:tc>
          <w:tcPr>
            <w:tcW w:w="2124" w:type="dxa"/>
            <w:tcBorders>
              <w:top w:val="nil"/>
              <w:left w:val="nil"/>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111,1</w:t>
            </w:r>
          </w:p>
        </w:tc>
      </w:tr>
      <w:tr w:rsidR="00000000">
        <w:trPr>
          <w:cantSplit/>
        </w:trPr>
        <w:tc>
          <w:tcPr>
            <w:tcW w:w="5103" w:type="dxa"/>
            <w:tcBorders>
              <w:top w:val="nil"/>
              <w:left w:val="single" w:sz="4" w:space="0" w:color="auto"/>
              <w:bottom w:val="single" w:sz="4" w:space="0" w:color="auto"/>
              <w:right w:val="single" w:sz="4" w:space="0" w:color="auto"/>
            </w:tcBorders>
            <w:noWrap/>
          </w:tcPr>
          <w:p w:rsidR="00000000" w:rsidRDefault="00000000">
            <w:pPr>
              <w:rPr>
                <w:rFonts w:eastAsia="Arial Unicode MS"/>
                <w:iCs/>
              </w:rPr>
            </w:pPr>
            <w:r>
              <w:rPr>
                <w:iCs/>
              </w:rPr>
              <w:t>Прочие товары и услуги</w:t>
            </w:r>
          </w:p>
        </w:tc>
        <w:tc>
          <w:tcPr>
            <w:tcW w:w="2124" w:type="dxa"/>
            <w:tcBorders>
              <w:top w:val="nil"/>
              <w:left w:val="nil"/>
              <w:bottom w:val="single" w:sz="4" w:space="0" w:color="auto"/>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101,4</w:t>
            </w:r>
          </w:p>
        </w:tc>
        <w:tc>
          <w:tcPr>
            <w:tcW w:w="2124" w:type="dxa"/>
            <w:tcBorders>
              <w:top w:val="nil"/>
              <w:left w:val="nil"/>
              <w:bottom w:val="single" w:sz="4" w:space="0" w:color="auto"/>
              <w:right w:val="single" w:sz="4" w:space="0" w:color="auto"/>
            </w:tcBorders>
            <w:noWrap/>
          </w:tcPr>
          <w:p w:rsidR="00000000" w:rsidRDefault="00000000">
            <w:pPr>
              <w:tabs>
                <w:tab w:val="clear" w:pos="567"/>
                <w:tab w:val="clear" w:pos="1134"/>
                <w:tab w:val="clear" w:pos="1701"/>
                <w:tab w:val="clear" w:pos="2268"/>
                <w:tab w:val="clear" w:pos="6237"/>
                <w:tab w:val="decimal" w:pos="851"/>
              </w:tabs>
              <w:rPr>
                <w:rFonts w:eastAsia="Arial Unicode MS"/>
                <w:iCs/>
              </w:rPr>
            </w:pPr>
            <w:r>
              <w:rPr>
                <w:iCs/>
              </w:rPr>
              <w:t>100,9</w:t>
            </w:r>
          </w:p>
        </w:tc>
      </w:tr>
    </w:tbl>
    <w:p w:rsidR="00000000" w:rsidRDefault="00000000">
      <w:pPr>
        <w:rPr>
          <w:iCs/>
        </w:rPr>
      </w:pPr>
      <w:r>
        <w:rPr>
          <w:b/>
          <w:bCs/>
          <w:iCs/>
          <w:vertAlign w:val="superscript"/>
        </w:rPr>
        <w:br/>
      </w:r>
      <w:r>
        <w:rPr>
          <w:b/>
          <w:bCs/>
          <w:iCs/>
          <w:vertAlign w:val="superscript"/>
          <w:lang w:val="en-US"/>
        </w:rPr>
        <w:t>a</w:t>
      </w:r>
      <w:r>
        <w:rPr>
          <w:iCs/>
        </w:rPr>
        <w:tab/>
        <w:t>Классификация индивидуального потребления по целям (стандарт ЕС).</w:t>
      </w:r>
    </w:p>
    <w:p w:rsidR="00000000" w:rsidRDefault="00000000">
      <w:pPr>
        <w:rPr>
          <w:iCs/>
        </w:rPr>
      </w:pPr>
    </w:p>
    <w:p w:rsidR="00000000" w:rsidRDefault="00000000">
      <w:r>
        <w:t>439.</w:t>
      </w:r>
      <w:r>
        <w:tab/>
        <w:t>По данным Государственного статистического управления, в 2004 году тенденции в динамике индекса стоимости жизни различались по группам.  Так, в группе гостиничного и ресторанного обслуживания был отмечен рост на 11,1%, в области услуг связи </w:t>
      </w:r>
      <w:r>
        <w:noBreakHyphen/>
        <w:t xml:space="preserve"> на 6,1%, в отношении предметов домашнего обихода, мебели и ремонта жилья </w:t>
      </w:r>
      <w:r>
        <w:noBreakHyphen/>
        <w:t xml:space="preserve"> на 3,4%, в группе транспортных средств и услуг </w:t>
      </w:r>
      <w:r>
        <w:noBreakHyphen/>
        <w:t xml:space="preserve"> на 3,1%.  По сравнению с 2003 годом в 2004 году произошло снижение по группам образования (на 1,6%) и медицинского обслуживания (на </w:t>
      </w:r>
      <w:proofErr w:type="spellStart"/>
      <w:r>
        <w:t>0,5%</w:t>
      </w:r>
      <w:proofErr w:type="spellEnd"/>
      <w:r>
        <w:t>).</w:t>
      </w:r>
    </w:p>
    <w:p w:rsidR="00000000" w:rsidRDefault="00000000"/>
    <w:p w:rsidR="00000000" w:rsidRDefault="00000000">
      <w:r>
        <w:t>440.</w:t>
      </w:r>
      <w:r>
        <w:tab/>
        <w:t>Снабжение домашних хозяйств товарами длительного пользования свидетельствует об увеличении количества домашних хозяйств, где в дополнение к основным товарам длительного пользования появились компьютеры и такие бытовые электроприборы, как стиральные машины и кондиционеры, а также мобильные телефоны.</w:t>
      </w:r>
    </w:p>
    <w:p w:rsidR="00000000" w:rsidRDefault="00000000"/>
    <w:p w:rsidR="00000000" w:rsidRDefault="00000000">
      <w:pPr>
        <w:jc w:val="center"/>
        <w:rPr>
          <w:b/>
          <w:bCs/>
        </w:rPr>
      </w:pPr>
      <w:r>
        <w:rPr>
          <w:b/>
          <w:bCs/>
        </w:rPr>
        <w:t>Потребительские товары длительного пользования в домашних хозяйствах</w:t>
      </w:r>
    </w:p>
    <w:p w:rsidR="00000000" w:rsidRDefault="00000000">
      <w:pPr>
        <w:jc w:val="center"/>
        <w:rPr>
          <w:b/>
          <w:bCs/>
        </w:rPr>
      </w:pPr>
    </w:p>
    <w:tbl>
      <w:tblPr>
        <w:tblW w:w="0" w:type="auto"/>
        <w:tblInd w:w="113"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113" w:type="dxa"/>
          <w:bottom w:w="28" w:type="dxa"/>
          <w:right w:w="113" w:type="dxa"/>
        </w:tblCellMar>
        <w:tblLook w:val="0000" w:firstRow="0" w:lastRow="0" w:firstColumn="0" w:lastColumn="0" w:noHBand="0" w:noVBand="0"/>
      </w:tblPr>
      <w:tblGrid>
        <w:gridCol w:w="5110"/>
        <w:gridCol w:w="2120"/>
        <w:gridCol w:w="2121"/>
      </w:tblGrid>
      <w:tr w:rsidR="00000000">
        <w:trPr>
          <w:cantSplit/>
          <w:tblHeader/>
        </w:trPr>
        <w:tc>
          <w:tcPr>
            <w:tcW w:w="5110" w:type="dxa"/>
            <w:tcBorders>
              <w:bottom w:val="single" w:sz="4" w:space="0" w:color="auto"/>
            </w:tcBorders>
          </w:tcPr>
          <w:p w:rsidR="00000000" w:rsidRDefault="00000000"/>
        </w:tc>
        <w:tc>
          <w:tcPr>
            <w:tcW w:w="2120" w:type="dxa"/>
            <w:tcBorders>
              <w:bottom w:val="single" w:sz="4" w:space="0" w:color="auto"/>
            </w:tcBorders>
          </w:tcPr>
          <w:p w:rsidR="00000000" w:rsidRDefault="00000000">
            <w:pPr>
              <w:jc w:val="center"/>
            </w:pPr>
            <w:r>
              <w:t>2002</w:t>
            </w:r>
          </w:p>
        </w:tc>
        <w:tc>
          <w:tcPr>
            <w:tcW w:w="2121" w:type="dxa"/>
            <w:tcBorders>
              <w:bottom w:val="single" w:sz="4" w:space="0" w:color="auto"/>
            </w:tcBorders>
          </w:tcPr>
          <w:p w:rsidR="00000000" w:rsidRDefault="00000000">
            <w:pPr>
              <w:jc w:val="center"/>
            </w:pPr>
            <w:r>
              <w:t>2003</w:t>
            </w:r>
          </w:p>
        </w:tc>
      </w:tr>
      <w:tr w:rsidR="00000000">
        <w:trPr>
          <w:cantSplit/>
        </w:trPr>
        <w:tc>
          <w:tcPr>
            <w:tcW w:w="5110" w:type="dxa"/>
            <w:tcBorders>
              <w:top w:val="single" w:sz="4" w:space="0" w:color="auto"/>
              <w:bottom w:val="nil"/>
            </w:tcBorders>
          </w:tcPr>
          <w:p w:rsidR="00000000" w:rsidRDefault="00000000">
            <w:r>
              <w:t>Число обследованных домашних хозяйств</w:t>
            </w:r>
          </w:p>
        </w:tc>
        <w:tc>
          <w:tcPr>
            <w:tcW w:w="2120" w:type="dxa"/>
            <w:tcBorders>
              <w:top w:val="single" w:sz="4" w:space="0" w:color="auto"/>
              <w:bottom w:val="nil"/>
            </w:tcBorders>
          </w:tcPr>
          <w:p w:rsidR="00000000" w:rsidRDefault="00000000">
            <w:pPr>
              <w:tabs>
                <w:tab w:val="clear" w:pos="567"/>
                <w:tab w:val="clear" w:pos="1701"/>
                <w:tab w:val="clear" w:pos="2268"/>
                <w:tab w:val="clear" w:pos="6237"/>
                <w:tab w:val="decimal" w:pos="1134"/>
              </w:tabs>
              <w:rPr>
                <w:lang w:val="en-US"/>
              </w:rPr>
            </w:pPr>
            <w:r>
              <w:rPr>
                <w:lang w:val="en-US"/>
              </w:rPr>
              <w:t>4 091</w:t>
            </w:r>
          </w:p>
        </w:tc>
        <w:tc>
          <w:tcPr>
            <w:tcW w:w="2121" w:type="dxa"/>
            <w:tcBorders>
              <w:top w:val="single" w:sz="4" w:space="0" w:color="auto"/>
              <w:bottom w:val="nil"/>
            </w:tcBorders>
          </w:tcPr>
          <w:p w:rsidR="00000000" w:rsidRDefault="00000000">
            <w:pPr>
              <w:tabs>
                <w:tab w:val="clear" w:pos="567"/>
                <w:tab w:val="clear" w:pos="1701"/>
                <w:tab w:val="clear" w:pos="2268"/>
                <w:tab w:val="clear" w:pos="6237"/>
                <w:tab w:val="decimal" w:pos="1134"/>
              </w:tabs>
              <w:rPr>
                <w:lang w:val="en-US"/>
              </w:rPr>
            </w:pPr>
            <w:r>
              <w:rPr>
                <w:lang w:val="en-US"/>
              </w:rPr>
              <w:t>4 242</w:t>
            </w:r>
          </w:p>
        </w:tc>
      </w:tr>
      <w:tr w:rsidR="00000000">
        <w:trPr>
          <w:cantSplit/>
        </w:trPr>
        <w:tc>
          <w:tcPr>
            <w:tcW w:w="5110" w:type="dxa"/>
            <w:tcBorders>
              <w:top w:val="nil"/>
            </w:tcBorders>
          </w:tcPr>
          <w:p w:rsidR="00000000" w:rsidRDefault="00000000">
            <w:r>
              <w:t>Расчетное число домашних хозяйств</w:t>
            </w:r>
          </w:p>
        </w:tc>
        <w:tc>
          <w:tcPr>
            <w:tcW w:w="2120" w:type="dxa"/>
            <w:tcBorders>
              <w:top w:val="nil"/>
            </w:tcBorders>
          </w:tcPr>
          <w:p w:rsidR="00000000" w:rsidRDefault="00000000">
            <w:pPr>
              <w:tabs>
                <w:tab w:val="clear" w:pos="567"/>
                <w:tab w:val="clear" w:pos="1701"/>
                <w:tab w:val="clear" w:pos="2268"/>
                <w:tab w:val="clear" w:pos="6237"/>
                <w:tab w:val="decimal" w:pos="1134"/>
              </w:tabs>
              <w:rPr>
                <w:lang w:val="en-US"/>
              </w:rPr>
            </w:pPr>
            <w:r>
              <w:rPr>
                <w:lang w:val="en-US"/>
              </w:rPr>
              <w:t>499 568</w:t>
            </w:r>
          </w:p>
        </w:tc>
        <w:tc>
          <w:tcPr>
            <w:tcW w:w="2121" w:type="dxa"/>
            <w:tcBorders>
              <w:top w:val="nil"/>
            </w:tcBorders>
          </w:tcPr>
          <w:p w:rsidR="00000000" w:rsidRDefault="00000000">
            <w:pPr>
              <w:tabs>
                <w:tab w:val="clear" w:pos="567"/>
                <w:tab w:val="clear" w:pos="1701"/>
                <w:tab w:val="clear" w:pos="2268"/>
                <w:tab w:val="clear" w:pos="6237"/>
                <w:tab w:val="decimal" w:pos="1134"/>
              </w:tabs>
              <w:rPr>
                <w:lang w:val="en-US"/>
              </w:rPr>
            </w:pPr>
            <w:r>
              <w:rPr>
                <w:lang w:val="en-US"/>
              </w:rPr>
              <w:t>502 607</w:t>
            </w:r>
          </w:p>
        </w:tc>
      </w:tr>
      <w:tr w:rsidR="00000000">
        <w:trPr>
          <w:cantSplit/>
        </w:trPr>
        <w:tc>
          <w:tcPr>
            <w:tcW w:w="5110" w:type="dxa"/>
          </w:tcPr>
          <w:p w:rsidR="00000000" w:rsidRDefault="00000000">
            <w:r>
              <w:t>Домашние хозяйства, имеющие товары длительного пользования</w:t>
            </w:r>
          </w:p>
        </w:tc>
        <w:tc>
          <w:tcPr>
            <w:tcW w:w="2120" w:type="dxa"/>
          </w:tcPr>
          <w:p w:rsidR="00000000" w:rsidRDefault="00000000">
            <w:pPr>
              <w:tabs>
                <w:tab w:val="clear" w:pos="567"/>
                <w:tab w:val="clear" w:pos="1701"/>
                <w:tab w:val="clear" w:pos="2268"/>
                <w:tab w:val="clear" w:pos="6237"/>
                <w:tab w:val="decimal" w:pos="1134"/>
              </w:tabs>
              <w:rPr>
                <w:lang w:val="en-US"/>
              </w:rPr>
            </w:pPr>
            <w:r>
              <w:rPr>
                <w:lang w:val="en-US"/>
              </w:rPr>
              <w:t>499 568</w:t>
            </w:r>
          </w:p>
        </w:tc>
        <w:tc>
          <w:tcPr>
            <w:tcW w:w="2121" w:type="dxa"/>
          </w:tcPr>
          <w:p w:rsidR="00000000" w:rsidRDefault="00000000">
            <w:pPr>
              <w:tabs>
                <w:tab w:val="clear" w:pos="567"/>
                <w:tab w:val="clear" w:pos="1701"/>
                <w:tab w:val="clear" w:pos="2268"/>
                <w:tab w:val="clear" w:pos="6237"/>
                <w:tab w:val="decimal" w:pos="1134"/>
              </w:tabs>
              <w:rPr>
                <w:lang w:val="en-US"/>
              </w:rPr>
            </w:pPr>
            <w:r>
              <w:rPr>
                <w:lang w:val="en-US"/>
              </w:rPr>
              <w:t>502 607</w:t>
            </w:r>
          </w:p>
        </w:tc>
      </w:tr>
      <w:tr w:rsidR="00000000">
        <w:trPr>
          <w:cantSplit/>
        </w:trPr>
        <w:tc>
          <w:tcPr>
            <w:tcW w:w="5110" w:type="dxa"/>
          </w:tcPr>
          <w:p w:rsidR="00000000" w:rsidRDefault="00000000">
            <w:pPr>
              <w:rPr>
                <w:lang w:val="en-US"/>
              </w:rPr>
            </w:pPr>
          </w:p>
        </w:tc>
        <w:tc>
          <w:tcPr>
            <w:tcW w:w="2120" w:type="dxa"/>
          </w:tcPr>
          <w:p w:rsidR="00000000" w:rsidRDefault="00000000">
            <w:pPr>
              <w:tabs>
                <w:tab w:val="clear" w:pos="567"/>
                <w:tab w:val="clear" w:pos="1701"/>
                <w:tab w:val="clear" w:pos="2268"/>
                <w:tab w:val="clear" w:pos="6237"/>
                <w:tab w:val="decimal" w:pos="1134"/>
              </w:tabs>
            </w:pPr>
            <w:r>
              <w:t>100,0</w:t>
            </w:r>
          </w:p>
        </w:tc>
        <w:tc>
          <w:tcPr>
            <w:tcW w:w="2121" w:type="dxa"/>
          </w:tcPr>
          <w:p w:rsidR="00000000" w:rsidRDefault="00000000">
            <w:pPr>
              <w:tabs>
                <w:tab w:val="clear" w:pos="567"/>
                <w:tab w:val="clear" w:pos="1701"/>
                <w:tab w:val="clear" w:pos="2268"/>
                <w:tab w:val="clear" w:pos="6237"/>
                <w:tab w:val="decimal" w:pos="1134"/>
              </w:tabs>
            </w:pPr>
            <w:r>
              <w:t>100,0</w:t>
            </w:r>
          </w:p>
        </w:tc>
      </w:tr>
      <w:tr w:rsidR="00000000">
        <w:trPr>
          <w:cantSplit/>
        </w:trPr>
        <w:tc>
          <w:tcPr>
            <w:tcW w:w="5110" w:type="dxa"/>
          </w:tcPr>
          <w:p w:rsidR="00000000" w:rsidRDefault="00000000">
            <w:pPr>
              <w:tabs>
                <w:tab w:val="left" w:pos="284"/>
              </w:tabs>
              <w:ind w:left="284"/>
            </w:pPr>
            <w:r>
              <w:t>Электроплита</w:t>
            </w:r>
          </w:p>
        </w:tc>
        <w:tc>
          <w:tcPr>
            <w:tcW w:w="2120" w:type="dxa"/>
          </w:tcPr>
          <w:p w:rsidR="00000000" w:rsidRDefault="00000000">
            <w:pPr>
              <w:tabs>
                <w:tab w:val="clear" w:pos="567"/>
                <w:tab w:val="clear" w:pos="1701"/>
                <w:tab w:val="clear" w:pos="2268"/>
                <w:tab w:val="clear" w:pos="6237"/>
                <w:tab w:val="decimal" w:pos="1134"/>
              </w:tabs>
              <w:rPr>
                <w:rFonts w:eastAsia="Arial Unicode MS"/>
                <w:iCs/>
                <w:szCs w:val="16"/>
              </w:rPr>
            </w:pPr>
            <w:r>
              <w:rPr>
                <w:iCs/>
                <w:szCs w:val="16"/>
              </w:rPr>
              <w:t>91,5</w:t>
            </w:r>
          </w:p>
        </w:tc>
        <w:tc>
          <w:tcPr>
            <w:tcW w:w="2121" w:type="dxa"/>
          </w:tcPr>
          <w:p w:rsidR="00000000" w:rsidRDefault="00000000">
            <w:pPr>
              <w:tabs>
                <w:tab w:val="clear" w:pos="567"/>
                <w:tab w:val="clear" w:pos="1701"/>
                <w:tab w:val="clear" w:pos="2268"/>
                <w:tab w:val="clear" w:pos="6237"/>
                <w:tab w:val="decimal" w:pos="1134"/>
              </w:tabs>
              <w:rPr>
                <w:rFonts w:eastAsia="Arial Unicode MS"/>
                <w:iCs/>
                <w:szCs w:val="16"/>
              </w:rPr>
            </w:pPr>
            <w:r>
              <w:rPr>
                <w:iCs/>
                <w:szCs w:val="16"/>
              </w:rPr>
              <w:t>93,2</w:t>
            </w:r>
          </w:p>
        </w:tc>
      </w:tr>
      <w:tr w:rsidR="00000000">
        <w:trPr>
          <w:cantSplit/>
        </w:trPr>
        <w:tc>
          <w:tcPr>
            <w:tcW w:w="5110" w:type="dxa"/>
          </w:tcPr>
          <w:p w:rsidR="00000000" w:rsidRDefault="00000000">
            <w:pPr>
              <w:tabs>
                <w:tab w:val="left" w:pos="284"/>
              </w:tabs>
              <w:ind w:left="284"/>
            </w:pPr>
            <w:r>
              <w:t>Твердотопливный отопительный прибор</w:t>
            </w:r>
          </w:p>
        </w:tc>
        <w:tc>
          <w:tcPr>
            <w:tcW w:w="2120" w:type="dxa"/>
          </w:tcPr>
          <w:p w:rsidR="00000000" w:rsidRDefault="00000000">
            <w:pPr>
              <w:tabs>
                <w:tab w:val="clear" w:pos="567"/>
                <w:tab w:val="clear" w:pos="1701"/>
                <w:tab w:val="clear" w:pos="2268"/>
                <w:tab w:val="clear" w:pos="6237"/>
                <w:tab w:val="decimal" w:pos="1134"/>
              </w:tabs>
            </w:pPr>
            <w:r>
              <w:t>17,3</w:t>
            </w:r>
          </w:p>
        </w:tc>
        <w:tc>
          <w:tcPr>
            <w:tcW w:w="2121" w:type="dxa"/>
          </w:tcPr>
          <w:p w:rsidR="00000000" w:rsidRDefault="00000000">
            <w:pPr>
              <w:tabs>
                <w:tab w:val="clear" w:pos="567"/>
                <w:tab w:val="clear" w:pos="1701"/>
                <w:tab w:val="clear" w:pos="2268"/>
                <w:tab w:val="clear" w:pos="6237"/>
                <w:tab w:val="decimal" w:pos="1134"/>
              </w:tabs>
            </w:pPr>
            <w:r>
              <w:t>16,9</w:t>
            </w:r>
          </w:p>
        </w:tc>
      </w:tr>
      <w:tr w:rsidR="00000000">
        <w:trPr>
          <w:cantSplit/>
        </w:trPr>
        <w:tc>
          <w:tcPr>
            <w:tcW w:w="5110" w:type="dxa"/>
          </w:tcPr>
          <w:p w:rsidR="00000000" w:rsidRDefault="00000000">
            <w:pPr>
              <w:tabs>
                <w:tab w:val="left" w:pos="284"/>
              </w:tabs>
              <w:ind w:left="284"/>
            </w:pPr>
            <w:r>
              <w:t>Электроотопительный прибор</w:t>
            </w:r>
          </w:p>
        </w:tc>
        <w:tc>
          <w:tcPr>
            <w:tcW w:w="2120" w:type="dxa"/>
          </w:tcPr>
          <w:p w:rsidR="00000000" w:rsidRDefault="00000000">
            <w:pPr>
              <w:tabs>
                <w:tab w:val="clear" w:pos="567"/>
                <w:tab w:val="clear" w:pos="1701"/>
                <w:tab w:val="clear" w:pos="2268"/>
                <w:tab w:val="clear" w:pos="6237"/>
                <w:tab w:val="decimal" w:pos="1134"/>
              </w:tabs>
            </w:pPr>
            <w:r>
              <w:t>36,5</w:t>
            </w:r>
          </w:p>
        </w:tc>
        <w:tc>
          <w:tcPr>
            <w:tcW w:w="2121" w:type="dxa"/>
          </w:tcPr>
          <w:p w:rsidR="00000000" w:rsidRDefault="00000000">
            <w:pPr>
              <w:tabs>
                <w:tab w:val="clear" w:pos="567"/>
                <w:tab w:val="clear" w:pos="1701"/>
                <w:tab w:val="clear" w:pos="2268"/>
                <w:tab w:val="clear" w:pos="6237"/>
                <w:tab w:val="decimal" w:pos="1134"/>
              </w:tabs>
            </w:pPr>
            <w:r>
              <w:t>34,7</w:t>
            </w:r>
          </w:p>
        </w:tc>
      </w:tr>
      <w:tr w:rsidR="00000000">
        <w:trPr>
          <w:cantSplit/>
        </w:trPr>
        <w:tc>
          <w:tcPr>
            <w:tcW w:w="5110" w:type="dxa"/>
          </w:tcPr>
          <w:p w:rsidR="00000000" w:rsidRDefault="00000000">
            <w:pPr>
              <w:tabs>
                <w:tab w:val="left" w:pos="284"/>
              </w:tabs>
              <w:ind w:left="284"/>
            </w:pPr>
            <w:r>
              <w:t>Бойлер</w:t>
            </w:r>
          </w:p>
        </w:tc>
        <w:tc>
          <w:tcPr>
            <w:tcW w:w="2120" w:type="dxa"/>
          </w:tcPr>
          <w:p w:rsidR="00000000" w:rsidRDefault="00000000">
            <w:pPr>
              <w:tabs>
                <w:tab w:val="clear" w:pos="567"/>
                <w:tab w:val="clear" w:pos="1701"/>
                <w:tab w:val="clear" w:pos="2268"/>
                <w:tab w:val="clear" w:pos="6237"/>
                <w:tab w:val="decimal" w:pos="1134"/>
              </w:tabs>
            </w:pPr>
            <w:r>
              <w:t>81,8</w:t>
            </w:r>
          </w:p>
        </w:tc>
        <w:tc>
          <w:tcPr>
            <w:tcW w:w="2121" w:type="dxa"/>
          </w:tcPr>
          <w:p w:rsidR="00000000" w:rsidRDefault="00000000">
            <w:pPr>
              <w:tabs>
                <w:tab w:val="clear" w:pos="567"/>
                <w:tab w:val="clear" w:pos="1701"/>
                <w:tab w:val="clear" w:pos="2268"/>
                <w:tab w:val="clear" w:pos="6237"/>
                <w:tab w:val="decimal" w:pos="1134"/>
              </w:tabs>
            </w:pPr>
            <w:r>
              <w:t>87,2</w:t>
            </w:r>
          </w:p>
        </w:tc>
      </w:tr>
      <w:tr w:rsidR="00000000">
        <w:trPr>
          <w:cantSplit/>
        </w:trPr>
        <w:tc>
          <w:tcPr>
            <w:tcW w:w="5110" w:type="dxa"/>
          </w:tcPr>
          <w:p w:rsidR="00000000" w:rsidRDefault="00000000">
            <w:pPr>
              <w:tabs>
                <w:tab w:val="left" w:pos="284"/>
              </w:tabs>
              <w:ind w:left="284"/>
            </w:pPr>
            <w:r>
              <w:t>Холодильник</w:t>
            </w:r>
          </w:p>
        </w:tc>
        <w:tc>
          <w:tcPr>
            <w:tcW w:w="2120" w:type="dxa"/>
          </w:tcPr>
          <w:p w:rsidR="00000000" w:rsidRDefault="00000000">
            <w:pPr>
              <w:tabs>
                <w:tab w:val="clear" w:pos="567"/>
                <w:tab w:val="clear" w:pos="1701"/>
                <w:tab w:val="clear" w:pos="2268"/>
                <w:tab w:val="clear" w:pos="6237"/>
                <w:tab w:val="decimal" w:pos="1134"/>
              </w:tabs>
            </w:pPr>
            <w:r>
              <w:t>94,2</w:t>
            </w:r>
          </w:p>
        </w:tc>
        <w:tc>
          <w:tcPr>
            <w:tcW w:w="2121" w:type="dxa"/>
          </w:tcPr>
          <w:p w:rsidR="00000000" w:rsidRDefault="00000000">
            <w:pPr>
              <w:tabs>
                <w:tab w:val="clear" w:pos="567"/>
                <w:tab w:val="clear" w:pos="1701"/>
                <w:tab w:val="clear" w:pos="2268"/>
                <w:tab w:val="clear" w:pos="6237"/>
                <w:tab w:val="decimal" w:pos="1134"/>
              </w:tabs>
            </w:pPr>
            <w:r>
              <w:t>96,1</w:t>
            </w:r>
          </w:p>
        </w:tc>
      </w:tr>
      <w:tr w:rsidR="00000000">
        <w:trPr>
          <w:cantSplit/>
        </w:trPr>
        <w:tc>
          <w:tcPr>
            <w:tcW w:w="5110" w:type="dxa"/>
          </w:tcPr>
          <w:p w:rsidR="00000000" w:rsidRDefault="00000000">
            <w:pPr>
              <w:tabs>
                <w:tab w:val="left" w:pos="284"/>
              </w:tabs>
              <w:ind w:left="284"/>
            </w:pPr>
            <w:r>
              <w:t>Морозильник</w:t>
            </w:r>
          </w:p>
        </w:tc>
        <w:tc>
          <w:tcPr>
            <w:tcW w:w="2120" w:type="dxa"/>
          </w:tcPr>
          <w:p w:rsidR="00000000" w:rsidRDefault="00000000">
            <w:pPr>
              <w:tabs>
                <w:tab w:val="clear" w:pos="567"/>
                <w:tab w:val="clear" w:pos="1701"/>
                <w:tab w:val="clear" w:pos="2268"/>
                <w:tab w:val="clear" w:pos="6237"/>
                <w:tab w:val="decimal" w:pos="1134"/>
              </w:tabs>
            </w:pPr>
            <w:r>
              <w:t>77,6</w:t>
            </w:r>
          </w:p>
        </w:tc>
        <w:tc>
          <w:tcPr>
            <w:tcW w:w="2121" w:type="dxa"/>
          </w:tcPr>
          <w:p w:rsidR="00000000" w:rsidRDefault="00000000">
            <w:pPr>
              <w:tabs>
                <w:tab w:val="clear" w:pos="567"/>
                <w:tab w:val="clear" w:pos="1701"/>
                <w:tab w:val="clear" w:pos="2268"/>
                <w:tab w:val="clear" w:pos="6237"/>
                <w:tab w:val="decimal" w:pos="1134"/>
              </w:tabs>
            </w:pPr>
            <w:r>
              <w:t>81,2</w:t>
            </w:r>
          </w:p>
        </w:tc>
      </w:tr>
      <w:tr w:rsidR="00000000">
        <w:trPr>
          <w:cantSplit/>
        </w:trPr>
        <w:tc>
          <w:tcPr>
            <w:tcW w:w="5110" w:type="dxa"/>
          </w:tcPr>
          <w:p w:rsidR="00000000" w:rsidRDefault="00000000">
            <w:pPr>
              <w:tabs>
                <w:tab w:val="left" w:pos="284"/>
              </w:tabs>
              <w:ind w:left="284"/>
            </w:pPr>
            <w:r>
              <w:t>Стиральная машина</w:t>
            </w:r>
          </w:p>
        </w:tc>
        <w:tc>
          <w:tcPr>
            <w:tcW w:w="2120" w:type="dxa"/>
          </w:tcPr>
          <w:p w:rsidR="00000000" w:rsidRDefault="00000000">
            <w:pPr>
              <w:tabs>
                <w:tab w:val="clear" w:pos="567"/>
                <w:tab w:val="clear" w:pos="1701"/>
                <w:tab w:val="clear" w:pos="2268"/>
                <w:tab w:val="clear" w:pos="6237"/>
                <w:tab w:val="decimal" w:pos="1134"/>
              </w:tabs>
            </w:pPr>
            <w:r>
              <w:t>74,3</w:t>
            </w:r>
          </w:p>
        </w:tc>
        <w:tc>
          <w:tcPr>
            <w:tcW w:w="2121" w:type="dxa"/>
          </w:tcPr>
          <w:p w:rsidR="00000000" w:rsidRDefault="00000000">
            <w:pPr>
              <w:tabs>
                <w:tab w:val="clear" w:pos="567"/>
                <w:tab w:val="clear" w:pos="1701"/>
                <w:tab w:val="clear" w:pos="2268"/>
                <w:tab w:val="clear" w:pos="6237"/>
                <w:tab w:val="decimal" w:pos="1134"/>
              </w:tabs>
            </w:pPr>
            <w:r>
              <w:t>78,2</w:t>
            </w:r>
          </w:p>
        </w:tc>
      </w:tr>
      <w:tr w:rsidR="00000000">
        <w:trPr>
          <w:cantSplit/>
        </w:trPr>
        <w:tc>
          <w:tcPr>
            <w:tcW w:w="5110" w:type="dxa"/>
          </w:tcPr>
          <w:p w:rsidR="00000000" w:rsidRDefault="00000000">
            <w:pPr>
              <w:tabs>
                <w:tab w:val="left" w:pos="284"/>
              </w:tabs>
              <w:ind w:left="284"/>
            </w:pPr>
            <w:r>
              <w:t>Посудомоечная машина</w:t>
            </w:r>
          </w:p>
        </w:tc>
        <w:tc>
          <w:tcPr>
            <w:tcW w:w="2120" w:type="dxa"/>
          </w:tcPr>
          <w:p w:rsidR="00000000" w:rsidRDefault="00000000">
            <w:pPr>
              <w:tabs>
                <w:tab w:val="clear" w:pos="567"/>
                <w:tab w:val="clear" w:pos="1701"/>
                <w:tab w:val="clear" w:pos="2268"/>
                <w:tab w:val="clear" w:pos="6237"/>
                <w:tab w:val="decimal" w:pos="1134"/>
              </w:tabs>
            </w:pPr>
            <w:r>
              <w:t>3,1</w:t>
            </w:r>
          </w:p>
        </w:tc>
        <w:tc>
          <w:tcPr>
            <w:tcW w:w="2121" w:type="dxa"/>
          </w:tcPr>
          <w:p w:rsidR="00000000" w:rsidRDefault="00000000">
            <w:pPr>
              <w:tabs>
                <w:tab w:val="clear" w:pos="567"/>
                <w:tab w:val="clear" w:pos="1701"/>
                <w:tab w:val="clear" w:pos="2268"/>
                <w:tab w:val="clear" w:pos="6237"/>
                <w:tab w:val="decimal" w:pos="1134"/>
              </w:tabs>
            </w:pPr>
            <w:r>
              <w:t>3,9</w:t>
            </w:r>
          </w:p>
        </w:tc>
      </w:tr>
      <w:tr w:rsidR="00000000">
        <w:trPr>
          <w:cantSplit/>
        </w:trPr>
        <w:tc>
          <w:tcPr>
            <w:tcW w:w="5110" w:type="dxa"/>
          </w:tcPr>
          <w:p w:rsidR="00000000" w:rsidRDefault="00000000">
            <w:pPr>
              <w:tabs>
                <w:tab w:val="left" w:pos="284"/>
              </w:tabs>
              <w:ind w:left="284"/>
            </w:pPr>
            <w:r>
              <w:t>Пылесос</w:t>
            </w:r>
          </w:p>
        </w:tc>
        <w:tc>
          <w:tcPr>
            <w:tcW w:w="2120" w:type="dxa"/>
          </w:tcPr>
          <w:p w:rsidR="00000000" w:rsidRDefault="00000000">
            <w:pPr>
              <w:tabs>
                <w:tab w:val="clear" w:pos="567"/>
                <w:tab w:val="clear" w:pos="1701"/>
                <w:tab w:val="clear" w:pos="2268"/>
                <w:tab w:val="clear" w:pos="6237"/>
                <w:tab w:val="decimal" w:pos="1134"/>
              </w:tabs>
            </w:pPr>
            <w:r>
              <w:t>78,2</w:t>
            </w:r>
          </w:p>
        </w:tc>
        <w:tc>
          <w:tcPr>
            <w:tcW w:w="2121" w:type="dxa"/>
          </w:tcPr>
          <w:p w:rsidR="00000000" w:rsidRDefault="00000000">
            <w:pPr>
              <w:tabs>
                <w:tab w:val="clear" w:pos="567"/>
                <w:tab w:val="clear" w:pos="1701"/>
                <w:tab w:val="clear" w:pos="2268"/>
                <w:tab w:val="clear" w:pos="6237"/>
                <w:tab w:val="decimal" w:pos="1134"/>
              </w:tabs>
            </w:pPr>
            <w:r>
              <w:t>81,6</w:t>
            </w:r>
          </w:p>
        </w:tc>
      </w:tr>
      <w:tr w:rsidR="00000000">
        <w:trPr>
          <w:cantSplit/>
        </w:trPr>
        <w:tc>
          <w:tcPr>
            <w:tcW w:w="5110" w:type="dxa"/>
          </w:tcPr>
          <w:p w:rsidR="00000000" w:rsidRDefault="00000000">
            <w:pPr>
              <w:tabs>
                <w:tab w:val="left" w:pos="284"/>
              </w:tabs>
              <w:ind w:left="284"/>
            </w:pPr>
            <w:r>
              <w:t>Радиоприемник</w:t>
            </w:r>
          </w:p>
        </w:tc>
        <w:tc>
          <w:tcPr>
            <w:tcW w:w="2120" w:type="dxa"/>
          </w:tcPr>
          <w:p w:rsidR="00000000" w:rsidRDefault="00000000">
            <w:pPr>
              <w:tabs>
                <w:tab w:val="clear" w:pos="567"/>
                <w:tab w:val="clear" w:pos="1701"/>
                <w:tab w:val="clear" w:pos="2268"/>
                <w:tab w:val="clear" w:pos="6237"/>
                <w:tab w:val="decimal" w:pos="1134"/>
              </w:tabs>
            </w:pPr>
            <w:r>
              <w:t>40,5</w:t>
            </w:r>
          </w:p>
        </w:tc>
        <w:tc>
          <w:tcPr>
            <w:tcW w:w="2121" w:type="dxa"/>
          </w:tcPr>
          <w:p w:rsidR="00000000" w:rsidRDefault="00000000">
            <w:pPr>
              <w:tabs>
                <w:tab w:val="clear" w:pos="567"/>
                <w:tab w:val="clear" w:pos="1701"/>
                <w:tab w:val="clear" w:pos="2268"/>
                <w:tab w:val="clear" w:pos="6237"/>
                <w:tab w:val="decimal" w:pos="1134"/>
              </w:tabs>
            </w:pPr>
            <w:r>
              <w:t>35,4</w:t>
            </w:r>
          </w:p>
        </w:tc>
      </w:tr>
      <w:tr w:rsidR="00000000">
        <w:trPr>
          <w:cantSplit/>
        </w:trPr>
        <w:tc>
          <w:tcPr>
            <w:tcW w:w="5110" w:type="dxa"/>
          </w:tcPr>
          <w:p w:rsidR="00000000" w:rsidRDefault="00000000">
            <w:pPr>
              <w:tabs>
                <w:tab w:val="left" w:pos="284"/>
              </w:tabs>
              <w:ind w:left="284"/>
            </w:pPr>
            <w:r>
              <w:t>Кассетный проигрыватель</w:t>
            </w:r>
          </w:p>
        </w:tc>
        <w:tc>
          <w:tcPr>
            <w:tcW w:w="2120" w:type="dxa"/>
          </w:tcPr>
          <w:p w:rsidR="00000000" w:rsidRDefault="00000000">
            <w:pPr>
              <w:tabs>
                <w:tab w:val="clear" w:pos="567"/>
                <w:tab w:val="clear" w:pos="1701"/>
                <w:tab w:val="clear" w:pos="2268"/>
                <w:tab w:val="clear" w:pos="6237"/>
                <w:tab w:val="decimal" w:pos="1134"/>
              </w:tabs>
            </w:pPr>
            <w:r>
              <w:t>50,2</w:t>
            </w:r>
          </w:p>
        </w:tc>
        <w:tc>
          <w:tcPr>
            <w:tcW w:w="2121" w:type="dxa"/>
          </w:tcPr>
          <w:p w:rsidR="00000000" w:rsidRDefault="00000000">
            <w:pPr>
              <w:tabs>
                <w:tab w:val="clear" w:pos="567"/>
                <w:tab w:val="clear" w:pos="1701"/>
                <w:tab w:val="clear" w:pos="2268"/>
                <w:tab w:val="clear" w:pos="6237"/>
                <w:tab w:val="decimal" w:pos="1134"/>
              </w:tabs>
            </w:pPr>
            <w:r>
              <w:t>49,8</w:t>
            </w:r>
          </w:p>
        </w:tc>
      </w:tr>
      <w:tr w:rsidR="00000000">
        <w:trPr>
          <w:cantSplit/>
        </w:trPr>
        <w:tc>
          <w:tcPr>
            <w:tcW w:w="5110" w:type="dxa"/>
          </w:tcPr>
          <w:p w:rsidR="00000000" w:rsidRDefault="00000000">
            <w:pPr>
              <w:tabs>
                <w:tab w:val="left" w:pos="284"/>
              </w:tabs>
              <w:ind w:left="284"/>
            </w:pPr>
            <w:r>
              <w:t>Персональный компьютер</w:t>
            </w:r>
          </w:p>
        </w:tc>
        <w:tc>
          <w:tcPr>
            <w:tcW w:w="2120" w:type="dxa"/>
          </w:tcPr>
          <w:p w:rsidR="00000000" w:rsidRDefault="00000000">
            <w:pPr>
              <w:tabs>
                <w:tab w:val="clear" w:pos="567"/>
                <w:tab w:val="clear" w:pos="1701"/>
                <w:tab w:val="clear" w:pos="2268"/>
                <w:tab w:val="clear" w:pos="6237"/>
                <w:tab w:val="decimal" w:pos="1134"/>
              </w:tabs>
            </w:pPr>
            <w:r>
              <w:t>8,5</w:t>
            </w:r>
          </w:p>
        </w:tc>
        <w:tc>
          <w:tcPr>
            <w:tcW w:w="2121" w:type="dxa"/>
          </w:tcPr>
          <w:p w:rsidR="00000000" w:rsidRDefault="00000000">
            <w:pPr>
              <w:tabs>
                <w:tab w:val="clear" w:pos="567"/>
                <w:tab w:val="clear" w:pos="1701"/>
                <w:tab w:val="clear" w:pos="2268"/>
                <w:tab w:val="clear" w:pos="6237"/>
                <w:tab w:val="decimal" w:pos="1134"/>
              </w:tabs>
            </w:pPr>
            <w:r>
              <w:t>9,6</w:t>
            </w:r>
          </w:p>
        </w:tc>
      </w:tr>
      <w:tr w:rsidR="00000000">
        <w:trPr>
          <w:cantSplit/>
        </w:trPr>
        <w:tc>
          <w:tcPr>
            <w:tcW w:w="5110" w:type="dxa"/>
          </w:tcPr>
          <w:p w:rsidR="00000000" w:rsidRDefault="00000000">
            <w:pPr>
              <w:tabs>
                <w:tab w:val="left" w:pos="284"/>
              </w:tabs>
              <w:ind w:left="284"/>
            </w:pPr>
            <w:r>
              <w:t>Цветной телевизор</w:t>
            </w:r>
          </w:p>
        </w:tc>
        <w:tc>
          <w:tcPr>
            <w:tcW w:w="2120" w:type="dxa"/>
          </w:tcPr>
          <w:p w:rsidR="00000000" w:rsidRDefault="00000000">
            <w:pPr>
              <w:tabs>
                <w:tab w:val="clear" w:pos="567"/>
                <w:tab w:val="clear" w:pos="1701"/>
                <w:tab w:val="clear" w:pos="2268"/>
                <w:tab w:val="clear" w:pos="6237"/>
                <w:tab w:val="decimal" w:pos="1134"/>
              </w:tabs>
            </w:pPr>
            <w:r>
              <w:t>90,7</w:t>
            </w:r>
          </w:p>
        </w:tc>
        <w:tc>
          <w:tcPr>
            <w:tcW w:w="2121" w:type="dxa"/>
          </w:tcPr>
          <w:p w:rsidR="00000000" w:rsidRDefault="00000000">
            <w:pPr>
              <w:tabs>
                <w:tab w:val="clear" w:pos="567"/>
                <w:tab w:val="clear" w:pos="1701"/>
                <w:tab w:val="clear" w:pos="2268"/>
                <w:tab w:val="clear" w:pos="6237"/>
                <w:tab w:val="decimal" w:pos="1134"/>
              </w:tabs>
            </w:pPr>
            <w:r>
              <w:t>94,3</w:t>
            </w:r>
          </w:p>
        </w:tc>
      </w:tr>
      <w:tr w:rsidR="00000000">
        <w:trPr>
          <w:cantSplit/>
        </w:trPr>
        <w:tc>
          <w:tcPr>
            <w:tcW w:w="5110" w:type="dxa"/>
          </w:tcPr>
          <w:p w:rsidR="00000000" w:rsidRDefault="00000000">
            <w:pPr>
              <w:tabs>
                <w:tab w:val="left" w:pos="284"/>
              </w:tabs>
              <w:ind w:left="284"/>
            </w:pPr>
            <w:r>
              <w:t>Телефон</w:t>
            </w:r>
          </w:p>
        </w:tc>
        <w:tc>
          <w:tcPr>
            <w:tcW w:w="2120" w:type="dxa"/>
          </w:tcPr>
          <w:p w:rsidR="00000000" w:rsidRDefault="00000000">
            <w:pPr>
              <w:tabs>
                <w:tab w:val="clear" w:pos="567"/>
                <w:tab w:val="clear" w:pos="1701"/>
                <w:tab w:val="clear" w:pos="2268"/>
                <w:tab w:val="clear" w:pos="6237"/>
                <w:tab w:val="decimal" w:pos="1134"/>
              </w:tabs>
            </w:pPr>
            <w:r>
              <w:t>83,2</w:t>
            </w:r>
          </w:p>
        </w:tc>
        <w:tc>
          <w:tcPr>
            <w:tcW w:w="2121" w:type="dxa"/>
          </w:tcPr>
          <w:p w:rsidR="00000000" w:rsidRDefault="00000000">
            <w:pPr>
              <w:tabs>
                <w:tab w:val="clear" w:pos="567"/>
                <w:tab w:val="clear" w:pos="1701"/>
                <w:tab w:val="clear" w:pos="2268"/>
                <w:tab w:val="clear" w:pos="6237"/>
                <w:tab w:val="decimal" w:pos="1134"/>
              </w:tabs>
            </w:pPr>
            <w:r>
              <w:t>88,0</w:t>
            </w:r>
          </w:p>
        </w:tc>
      </w:tr>
      <w:tr w:rsidR="00000000">
        <w:trPr>
          <w:cantSplit/>
        </w:trPr>
        <w:tc>
          <w:tcPr>
            <w:tcW w:w="5110" w:type="dxa"/>
          </w:tcPr>
          <w:p w:rsidR="00000000" w:rsidRDefault="00000000">
            <w:pPr>
              <w:tabs>
                <w:tab w:val="left" w:pos="284"/>
              </w:tabs>
              <w:ind w:left="284"/>
            </w:pPr>
            <w:r>
              <w:t>Мобильный телефон</w:t>
            </w:r>
          </w:p>
        </w:tc>
        <w:tc>
          <w:tcPr>
            <w:tcW w:w="2120" w:type="dxa"/>
          </w:tcPr>
          <w:p w:rsidR="00000000" w:rsidRDefault="00000000">
            <w:pPr>
              <w:tabs>
                <w:tab w:val="clear" w:pos="567"/>
                <w:tab w:val="clear" w:pos="1701"/>
                <w:tab w:val="clear" w:pos="2268"/>
                <w:tab w:val="clear" w:pos="6237"/>
                <w:tab w:val="decimal" w:pos="1134"/>
              </w:tabs>
            </w:pPr>
            <w:r>
              <w:t>19,9</w:t>
            </w:r>
          </w:p>
        </w:tc>
        <w:tc>
          <w:tcPr>
            <w:tcW w:w="2121" w:type="dxa"/>
          </w:tcPr>
          <w:p w:rsidR="00000000" w:rsidRDefault="00000000">
            <w:pPr>
              <w:tabs>
                <w:tab w:val="clear" w:pos="567"/>
                <w:tab w:val="clear" w:pos="1701"/>
                <w:tab w:val="clear" w:pos="2268"/>
                <w:tab w:val="clear" w:pos="6237"/>
                <w:tab w:val="decimal" w:pos="1134"/>
              </w:tabs>
            </w:pPr>
            <w:r>
              <w:t>31,3</w:t>
            </w:r>
          </w:p>
        </w:tc>
      </w:tr>
      <w:tr w:rsidR="00000000">
        <w:trPr>
          <w:cantSplit/>
        </w:trPr>
        <w:tc>
          <w:tcPr>
            <w:tcW w:w="5110" w:type="dxa"/>
          </w:tcPr>
          <w:p w:rsidR="00000000" w:rsidRDefault="00000000">
            <w:pPr>
              <w:tabs>
                <w:tab w:val="left" w:pos="284"/>
              </w:tabs>
              <w:ind w:left="284"/>
            </w:pPr>
            <w:r>
              <w:t>Пассажирский автомобиль</w:t>
            </w:r>
          </w:p>
        </w:tc>
        <w:tc>
          <w:tcPr>
            <w:tcW w:w="2120" w:type="dxa"/>
          </w:tcPr>
          <w:p w:rsidR="00000000" w:rsidRDefault="00000000">
            <w:pPr>
              <w:tabs>
                <w:tab w:val="clear" w:pos="567"/>
                <w:tab w:val="clear" w:pos="1701"/>
                <w:tab w:val="clear" w:pos="2268"/>
                <w:tab w:val="clear" w:pos="6237"/>
                <w:tab w:val="decimal" w:pos="1134"/>
              </w:tabs>
            </w:pPr>
            <w:r>
              <w:t>45,5</w:t>
            </w:r>
          </w:p>
        </w:tc>
        <w:tc>
          <w:tcPr>
            <w:tcW w:w="2121" w:type="dxa"/>
          </w:tcPr>
          <w:p w:rsidR="00000000" w:rsidRDefault="00000000">
            <w:pPr>
              <w:tabs>
                <w:tab w:val="clear" w:pos="567"/>
                <w:tab w:val="clear" w:pos="1701"/>
                <w:tab w:val="clear" w:pos="2268"/>
                <w:tab w:val="clear" w:pos="6237"/>
                <w:tab w:val="decimal" w:pos="1134"/>
              </w:tabs>
            </w:pPr>
            <w:r>
              <w:t>45,5</w:t>
            </w:r>
          </w:p>
        </w:tc>
      </w:tr>
      <w:tr w:rsidR="00000000">
        <w:trPr>
          <w:cantSplit/>
        </w:trPr>
        <w:tc>
          <w:tcPr>
            <w:tcW w:w="5110" w:type="dxa"/>
          </w:tcPr>
          <w:p w:rsidR="00000000" w:rsidRDefault="00000000">
            <w:pPr>
              <w:tabs>
                <w:tab w:val="left" w:pos="284"/>
              </w:tabs>
              <w:ind w:left="284"/>
            </w:pPr>
            <w:r>
              <w:t>Кондиционер воздуха</w:t>
            </w:r>
          </w:p>
        </w:tc>
        <w:tc>
          <w:tcPr>
            <w:tcW w:w="2120" w:type="dxa"/>
          </w:tcPr>
          <w:p w:rsidR="00000000" w:rsidRDefault="00000000">
            <w:pPr>
              <w:tabs>
                <w:tab w:val="clear" w:pos="567"/>
                <w:tab w:val="clear" w:pos="1701"/>
                <w:tab w:val="clear" w:pos="2268"/>
                <w:tab w:val="clear" w:pos="6237"/>
                <w:tab w:val="decimal" w:pos="1134"/>
              </w:tabs>
            </w:pPr>
            <w:r>
              <w:t>3,7</w:t>
            </w:r>
          </w:p>
        </w:tc>
        <w:tc>
          <w:tcPr>
            <w:tcW w:w="2121" w:type="dxa"/>
          </w:tcPr>
          <w:p w:rsidR="00000000" w:rsidRDefault="00000000">
            <w:pPr>
              <w:tabs>
                <w:tab w:val="clear" w:pos="567"/>
                <w:tab w:val="clear" w:pos="1701"/>
                <w:tab w:val="clear" w:pos="2268"/>
                <w:tab w:val="clear" w:pos="6237"/>
                <w:tab w:val="decimal" w:pos="1134"/>
              </w:tabs>
            </w:pPr>
            <w:r>
              <w:t>4,9</w:t>
            </w:r>
          </w:p>
        </w:tc>
      </w:tr>
      <w:tr w:rsidR="00000000">
        <w:trPr>
          <w:cantSplit/>
        </w:trPr>
        <w:tc>
          <w:tcPr>
            <w:tcW w:w="5110" w:type="dxa"/>
          </w:tcPr>
          <w:p w:rsidR="00000000" w:rsidRDefault="00000000">
            <w:r>
              <w:t>Домашние хозяйства, не имеющие товары длительного пользования</w:t>
            </w:r>
          </w:p>
        </w:tc>
        <w:tc>
          <w:tcPr>
            <w:tcW w:w="2120" w:type="dxa"/>
          </w:tcPr>
          <w:p w:rsidR="00000000" w:rsidRDefault="00000000">
            <w:pPr>
              <w:tabs>
                <w:tab w:val="clear" w:pos="567"/>
                <w:tab w:val="clear" w:pos="1701"/>
                <w:tab w:val="clear" w:pos="2268"/>
                <w:tab w:val="clear" w:pos="6237"/>
                <w:tab w:val="decimal" w:pos="1134"/>
              </w:tabs>
              <w:rPr>
                <w:lang w:val="en-US"/>
              </w:rPr>
            </w:pPr>
            <w:r>
              <w:rPr>
                <w:lang w:val="en-US"/>
              </w:rPr>
              <w:t>-</w:t>
            </w:r>
          </w:p>
        </w:tc>
        <w:tc>
          <w:tcPr>
            <w:tcW w:w="2121" w:type="dxa"/>
          </w:tcPr>
          <w:p w:rsidR="00000000" w:rsidRDefault="00000000">
            <w:pPr>
              <w:tabs>
                <w:tab w:val="clear" w:pos="567"/>
                <w:tab w:val="clear" w:pos="1701"/>
                <w:tab w:val="clear" w:pos="2268"/>
                <w:tab w:val="clear" w:pos="6237"/>
                <w:tab w:val="decimal" w:pos="1134"/>
              </w:tabs>
              <w:rPr>
                <w:lang w:val="en-US"/>
              </w:rPr>
            </w:pPr>
            <w:r>
              <w:rPr>
                <w:lang w:val="en-US"/>
              </w:rPr>
              <w:t>-</w:t>
            </w:r>
          </w:p>
        </w:tc>
      </w:tr>
    </w:tbl>
    <w:p w:rsidR="00000000" w:rsidRDefault="00000000">
      <w:r>
        <w:br/>
        <w:t>441.</w:t>
      </w:r>
      <w:r>
        <w:tab/>
        <w:t>Обеспечение потребностей страны в основных видах сельскохозяйственной продукции и продовольствия является необходимым для пропитания населения;  поэтому данная сфера деятельности находится под систематическим контролем, и в этой связи разрабатывается ряд документов.</w:t>
      </w:r>
    </w:p>
    <w:p w:rsidR="00000000" w:rsidRDefault="00000000"/>
    <w:p w:rsidR="00000000" w:rsidRDefault="00000000">
      <w:r>
        <w:t>442.</w:t>
      </w:r>
      <w:r>
        <w:tab/>
        <w:t>Выполняя жизненно важную задачу обеспечения населения надлежащим питанием, правительство осуществляет контроль за потребностями страны в основных видах сельскохозяйственной продукции и продовольствия, а также предлагает соответствующие меры, направленные на установление более гармоничного соотношения предложения и спроса в стране.  В этой связи проводится оценки внутреннего производства сельскохозяйственной продукции и продовольствия, уровня потребления населения, а также излишков и дефицита определенных основных продовольственных продуктов повседневного спроса.</w:t>
      </w:r>
    </w:p>
    <w:p w:rsidR="00000000" w:rsidRDefault="00000000"/>
    <w:p w:rsidR="00000000" w:rsidRDefault="00000000">
      <w:r>
        <w:t>443.</w:t>
      </w:r>
      <w:r>
        <w:tab/>
        <w:t xml:space="preserve">Кроме того, в случае нехватки каких-либо важнейших продуктов правительство принимает меры по удовлетворению потребностей населения в продовольствии.  </w:t>
      </w:r>
    </w:p>
    <w:p w:rsidR="00000000" w:rsidRDefault="00000000"/>
    <w:p w:rsidR="00000000" w:rsidRDefault="00000000">
      <w:r>
        <w:t>444.</w:t>
      </w:r>
      <w:r>
        <w:tab/>
        <w:t xml:space="preserve">В бывшей югославской Республике Македонии принят ряд связанных с торговлей законов, в том числе Закон о внешнеторговых операциях и Закон о торговле.  Эти законы по существу способствуют формированию открытой рыночной экономики и созданию условий для свободной торговли, следуя установленным в данной области международным нормам и принципам.  </w:t>
      </w:r>
    </w:p>
    <w:p w:rsidR="00000000" w:rsidRDefault="00000000"/>
    <w:p w:rsidR="00000000" w:rsidRDefault="00000000">
      <w:r>
        <w:t>445.</w:t>
      </w:r>
      <w:r>
        <w:tab/>
        <w:t>Принимая во внимание международные нормы, правительство предприняло либерализацию внешней торговли.  В этой связи был принят ряд постановлений, которые отменяют определенные ограничения на импорт и экспорт в целях содействия свободному притоку товаров из других стран, который способствует улучшению снабжения рынка всеми видами товаров, включая сельскохозяйственную продукцию и продовольствие.</w:t>
      </w:r>
    </w:p>
    <w:p w:rsidR="00000000" w:rsidRDefault="00000000"/>
    <w:p w:rsidR="00000000" w:rsidRDefault="00000000">
      <w:r>
        <w:t>446.</w:t>
      </w:r>
      <w:r>
        <w:tab/>
        <w:t>В рамках усилий, направленных на расширение рынка страны, обеспечивающего улучшение снабжения населения, правительство приняло меры по заключению соглашений о торговом и экономическом сотрудничестве со странами региона и за его пределами.</w:t>
      </w:r>
    </w:p>
    <w:p w:rsidR="00000000" w:rsidRDefault="00000000"/>
    <w:p w:rsidR="00000000" w:rsidRDefault="00000000">
      <w:r>
        <w:t>447.</w:t>
      </w:r>
      <w:r>
        <w:tab/>
        <w:t>Преодоление нищеты и безработицы является одной из важнейших задач правительства.  Нищета представляет собой комплексную, многогранную проблему в стране и является в первую очередь одним из последствий экономических, социальных, политических и культурных проблем.</w:t>
      </w:r>
    </w:p>
    <w:p w:rsidR="00000000" w:rsidRDefault="00000000"/>
    <w:p w:rsidR="00000000" w:rsidRDefault="00000000">
      <w:r>
        <w:t>448.</w:t>
      </w:r>
      <w:r>
        <w:tab/>
        <w:t>В контексте решения задачи преодоления нищеты и безработицы и на основе процесса активного вовлечения гражданского общества, НПО, доноров и международных учреждений была разработана национальная стратегия борьбы с нищетой.  Такой подход был необходимым для обеспечения широкой поддержки со стороны основных участников процесса подготовки и осуществления данной стратегии и укрепления чувства причастности к ее подготовке посредством предоставления обширных возможностей для изложения идей в интересах ускорения экономического роста и борьбы с нищетой.  Национальная стратегия борьбы с нищетой была принята правительством бывшей югославской Республики Македонии в августе 2002 года.  Помимо этого, начиная с мая 2003 года министерство финансов в сотрудничестве с иностранными экспертами занимается активной деятельностью по разработке программы и политики, направленных на сокращение нищеты и безработицы, в процессе подготовки которых, среди прочего, будет использован опыт, накопленный другими странами в области решения данной проблемы.</w:t>
      </w:r>
    </w:p>
    <w:p w:rsidR="00000000" w:rsidRDefault="00000000"/>
    <w:p w:rsidR="00000000" w:rsidRDefault="00000000">
      <w:r>
        <w:t>449.</w:t>
      </w:r>
      <w:r>
        <w:tab/>
        <w:t>Особое место в программе и политике по сокращению нищеты и безработицы занимают краткосрочные или безотлагательные меры, такие, как:</w:t>
      </w:r>
    </w:p>
    <w:p w:rsidR="00000000" w:rsidRDefault="00000000">
      <w:pPr>
        <w:ind w:left="1134" w:hanging="1134"/>
      </w:pPr>
      <w:r>
        <w:tab/>
        <w:t>-</w:t>
      </w:r>
      <w:r>
        <w:tab/>
        <w:t>меры по увеличению занятости за счет развития частного сектора (малых и средних предприятий);</w:t>
      </w:r>
    </w:p>
    <w:p w:rsidR="00000000" w:rsidRDefault="00000000">
      <w:pPr>
        <w:ind w:left="567" w:hanging="567"/>
      </w:pPr>
    </w:p>
    <w:p w:rsidR="00000000" w:rsidRDefault="00000000">
      <w:pPr>
        <w:ind w:left="1134" w:hanging="1134"/>
      </w:pPr>
      <w:r>
        <w:tab/>
        <w:t>-</w:t>
      </w:r>
      <w:r>
        <w:tab/>
        <w:t>меры по устранению негибкости рынка труда, предложения о внесении изменений в систему субсидий и стимулов с целью поощрения индивидуальной трудовой деятельности;</w:t>
      </w:r>
    </w:p>
    <w:p w:rsidR="00000000" w:rsidRDefault="00000000">
      <w:pPr>
        <w:ind w:left="567" w:hanging="567"/>
      </w:pPr>
    </w:p>
    <w:p w:rsidR="00000000" w:rsidRDefault="00000000">
      <w:pPr>
        <w:ind w:left="1134" w:hanging="1134"/>
      </w:pPr>
      <w:r>
        <w:tab/>
        <w:t>-</w:t>
      </w:r>
      <w:r>
        <w:tab/>
        <w:t>оценка вариантов программы сокращения нищеты, которые могут быть быстро реализованы в рамках существующих социально-экономических условий (корректировка пособий на случай безработицы), рассмотрение возможности преобразования финансовых пособий из пассивных и общих пособий в более активные, адресные механизмы).</w:t>
      </w:r>
    </w:p>
    <w:p w:rsidR="00000000" w:rsidRDefault="00000000">
      <w:pPr>
        <w:ind w:left="567" w:hanging="567"/>
      </w:pPr>
    </w:p>
    <w:p w:rsidR="00000000" w:rsidRDefault="00000000">
      <w:r>
        <w:t>450.</w:t>
      </w:r>
      <w:r>
        <w:tab/>
        <w:t>Этот комплексный документ, который был дополнительно доработан, предлагает широкий перечень мер по стимулированию экономики, активизации борьбы против безработицы и сокращению нищеты.  Особое значение имеет тот факт, что в документе предусмотрены краткосрочные меры, однако основное внимание в нем уделяется политике в области рынка труда, укреплению и реструктуризации государственных служб по трудоустройству, повышению гибкости рынка труда, плану социальной защиты, в частности пособиям по безработице и финансовым пособиям, а также местным политическим мерам в области развития, экономическому стимулированию посредством развития малого и среднего бизнеса и предпринимательства и преодоления административных препятствий.</w:t>
      </w:r>
    </w:p>
    <w:p w:rsidR="00000000" w:rsidRDefault="00000000"/>
    <w:p w:rsidR="00000000" w:rsidRDefault="00000000">
      <w:r>
        <w:t>451.</w:t>
      </w:r>
      <w:r>
        <w:tab/>
        <w:t xml:space="preserve">Сокращение нищеты предполагает принятие комплексных и скоординированных мер в нескольких областях.  Безусловно, основным фактором для сокращения нищеты и достижения прогресса в целом является долгосрочный устойчивый экономический рост, который обеспечивает динамизм, создает новые рабочие места и таким образом повышает доходы домашних хозяйств.  Если рассматривать последствия экономического роста с точки зрения увеличения бюджетных поступлений, позволяющего повысить качество социальных программ, образования, медицинской помощи и увеличить капиталовложения в энергетику или транспорт, то очевидным становится заключенный в нем огромный потенциал для улучшения условий жизни населения.  </w:t>
      </w:r>
    </w:p>
    <w:p w:rsidR="00000000" w:rsidRDefault="00000000"/>
    <w:p w:rsidR="00000000" w:rsidRDefault="00000000">
      <w:pPr>
        <w:rPr>
          <w:b/>
          <w:bCs/>
        </w:rPr>
      </w:pPr>
      <w:r>
        <w:rPr>
          <w:b/>
          <w:bCs/>
        </w:rPr>
        <w:t>Жилье</w:t>
      </w:r>
    </w:p>
    <w:p w:rsidR="00000000" w:rsidRDefault="00000000">
      <w:pPr>
        <w:rPr>
          <w:b/>
          <w:bCs/>
        </w:rPr>
      </w:pPr>
    </w:p>
    <w:p w:rsidR="00000000" w:rsidRDefault="00000000">
      <w:r>
        <w:t>452.</w:t>
      </w:r>
      <w:r>
        <w:tab/>
        <w:t xml:space="preserve">По данным проведенной в 2002 году Государственным статистическим управлением переписи населения, домашних хозяйств и жилищных единиц бывшей югославской Республики Македонии, общая численность населения составила 2 022 547 человек, общее количество домашних хозяйств - 564 296, состоящих в среднем из трех человек, а количество жилищных единиц - 698 143.  Особо уязвимой группой с точки зрения жилья являются молодые семьи преимущественно с низким доходом, у которых имеются дети старше 12 лет, а также безработные молодые семьи, ищущие работу и нуждающиеся в государственном субсидированном жилье.  В январе 2005 года в рамках национальной стратегии в отношении рома был принят план действий в сфере жилья, основной целью которого является улучшение качества жилья (упрощение доступа к механизмам решения жилищной проблемы, улучшение инфраструктуры в общинах, где основное население составляют рома, и сокращение количества домов, не соответствующих установленным требованиям).  </w:t>
      </w:r>
    </w:p>
    <w:p w:rsidR="00000000" w:rsidRDefault="00000000"/>
    <w:p w:rsidR="00000000" w:rsidRDefault="00000000">
      <w:r>
        <w:t>453.</w:t>
      </w:r>
      <w:r>
        <w:tab/>
        <w:t>Дефицит жилья в Республике Македонии составляет 60 000 жилищных единиц.</w:t>
      </w:r>
    </w:p>
    <w:p w:rsidR="00000000" w:rsidRDefault="00000000"/>
    <w:p w:rsidR="00000000" w:rsidRDefault="00000000">
      <w:r>
        <w:t>454.</w:t>
      </w:r>
      <w:r>
        <w:tab/>
        <w:t xml:space="preserve">Жилищный вопрос регламентирован в ряде законов и подзаконных актов.  Закон о жилье ("Официальный вестник" бывшей югославской Республики Македонии № 1998/2000/2003) регулирует отношения в сфере жилья, порядок и условия аренды жилья, права и обязанности владельцев и съемщиков жилья, а также вопросы ремонта и эксплуатации жилых многоквартирных домов.  </w:t>
      </w:r>
    </w:p>
    <w:p w:rsidR="00000000" w:rsidRDefault="00000000"/>
    <w:p w:rsidR="00000000" w:rsidRDefault="00000000">
      <w:r>
        <w:t>455.</w:t>
      </w:r>
      <w:r>
        <w:tab/>
        <w:t>Пользование жилыми домами и квартирами основано на праве собственности на жилье и праве на аренду жилья.</w:t>
      </w:r>
    </w:p>
    <w:p w:rsidR="00000000" w:rsidRDefault="00000000"/>
    <w:p w:rsidR="00000000" w:rsidRDefault="00000000">
      <w:r>
        <w:t>456.</w:t>
      </w:r>
      <w:r>
        <w:tab/>
        <w:t>На основании Закона о жилье было принято Постановление об инвестициях в сферу жилья и текущей эксплуатации многоквартирных жилых домов и квартир ("Официальный вестник" бывшей югославской Республики Македонии № 1998), в котором регламентируются вопросы, касающиеся инвестиций в сферу жилья и его повседневной эксплуатации, а также методы осуществления мер по текущей эксплуатации и капитальному ремонту многоквартирных домов и квартир.  Декрет о порядке, условиях и процедуре аренды жилищной собственности в бывшей югославской Республике Македонии ("Официальный вестник" бывшей югославской Республики Македонии № 1999) регламентирует порядок, условия и процедуру аренды квартир, принадлежащих государству.</w:t>
      </w:r>
    </w:p>
    <w:p w:rsidR="00000000" w:rsidRDefault="00000000"/>
    <w:p w:rsidR="00000000" w:rsidRDefault="00000000">
      <w:r>
        <w:t>457.</w:t>
      </w:r>
      <w:r>
        <w:tab/>
        <w:t>В соответствии с Законом о жилье с заявлением об аренде государственной жилищной собственности в Комитет по жилищным и миграционным вопросам могут обращаться следующие лица:</w:t>
      </w:r>
    </w:p>
    <w:p w:rsidR="00000000" w:rsidRDefault="00000000"/>
    <w:p w:rsidR="00000000" w:rsidRDefault="00000000">
      <w:pPr>
        <w:ind w:left="1134" w:hanging="573"/>
      </w:pPr>
      <w:r>
        <w:t>-</w:t>
      </w:r>
      <w:r>
        <w:tab/>
        <w:t>лица, избранные или назначенные на государственные должности, предусмотренные в соответствии с Конституцией и законодательством;</w:t>
      </w:r>
    </w:p>
    <w:p w:rsidR="00000000" w:rsidRDefault="00000000">
      <w:pPr>
        <w:ind w:left="1134" w:hanging="573"/>
      </w:pPr>
      <w:r>
        <w:t>-</w:t>
      </w:r>
      <w:r>
        <w:tab/>
        <w:t>лица, относящиеся к группе социального риска или бездомные, в соответствии с Законом о социальной защите;</w:t>
      </w:r>
    </w:p>
    <w:p w:rsidR="00000000" w:rsidRDefault="00000000">
      <w:pPr>
        <w:ind w:left="567" w:hanging="561"/>
      </w:pPr>
    </w:p>
    <w:p w:rsidR="00000000" w:rsidRDefault="00000000">
      <w:pPr>
        <w:tabs>
          <w:tab w:val="clear" w:pos="567"/>
        </w:tabs>
        <w:ind w:left="1122" w:hanging="561"/>
      </w:pPr>
      <w:r>
        <w:t>-</w:t>
      </w:r>
      <w:r>
        <w:tab/>
        <w:t>лица из районов, пострадавших в результате стихийных бедствий и эпидемий;  и</w:t>
      </w:r>
    </w:p>
    <w:p w:rsidR="00000000" w:rsidRDefault="00000000">
      <w:pPr>
        <w:tabs>
          <w:tab w:val="clear" w:pos="567"/>
        </w:tabs>
        <w:ind w:left="1122" w:hanging="561"/>
      </w:pPr>
    </w:p>
    <w:p w:rsidR="00000000" w:rsidRDefault="00000000">
      <w:pPr>
        <w:ind w:left="1134" w:hanging="573"/>
      </w:pPr>
      <w:r>
        <w:t>-</w:t>
      </w:r>
      <w:r>
        <w:tab/>
        <w:t>служащие государственных органов, выполняющие конкретные обязанности, необходимые для осуществления основных функций государственных органов.</w:t>
      </w:r>
    </w:p>
    <w:p w:rsidR="00000000" w:rsidRDefault="00000000">
      <w:pPr>
        <w:ind w:left="567" w:hanging="567"/>
      </w:pPr>
    </w:p>
    <w:p w:rsidR="00000000" w:rsidRDefault="00000000">
      <w:r>
        <w:t>458.</w:t>
      </w:r>
      <w:r>
        <w:tab/>
        <w:t xml:space="preserve">Согласно переписи 2003 года, проведенной государственным предприятием по управлению жилыми и производственными помещениями бывшей югославской Республики Македонии, в стране имеются 5 454 государственные квартиры, зарегистрированные в этом государственном предприятии.  </w:t>
      </w:r>
    </w:p>
    <w:p w:rsidR="00000000" w:rsidRDefault="00000000"/>
    <w:p w:rsidR="00000000" w:rsidRDefault="00000000">
      <w:r>
        <w:t>459.</w:t>
      </w:r>
      <w:r>
        <w:tab/>
        <w:t>В числе вышеупомянутых принадлежащих государству квартир имеется 2 058 квартир с неустановленным статусом аренды, либо с нерешенным статусом найма в ожидании окончательного решения:</w:t>
      </w:r>
    </w:p>
    <w:p w:rsidR="00000000" w:rsidRDefault="00000000"/>
    <w:p w:rsidR="00000000" w:rsidRDefault="00000000">
      <w:pPr>
        <w:ind w:left="567" w:hanging="567"/>
      </w:pPr>
      <w:r>
        <w:tab/>
        <w:t>-</w:t>
      </w:r>
      <w:r>
        <w:tab/>
        <w:t>417 съемщиков имеют временные договоры об аренде своих квартир;</w:t>
      </w:r>
    </w:p>
    <w:p w:rsidR="00000000" w:rsidRDefault="00000000">
      <w:pPr>
        <w:ind w:left="567" w:hanging="567"/>
      </w:pPr>
    </w:p>
    <w:p w:rsidR="00000000" w:rsidRDefault="00000000">
      <w:pPr>
        <w:ind w:left="567" w:hanging="567"/>
      </w:pPr>
      <w:r>
        <w:tab/>
        <w:t>-</w:t>
      </w:r>
      <w:r>
        <w:tab/>
        <w:t>551 съемщик не имеют документации на пользовании квартирами;</w:t>
      </w:r>
    </w:p>
    <w:p w:rsidR="00000000" w:rsidRDefault="00000000">
      <w:pPr>
        <w:ind w:left="567" w:hanging="567"/>
      </w:pPr>
    </w:p>
    <w:p w:rsidR="00000000" w:rsidRDefault="00000000">
      <w:pPr>
        <w:ind w:left="567" w:hanging="567"/>
      </w:pPr>
      <w:r>
        <w:tab/>
        <w:t>-</w:t>
      </w:r>
      <w:r>
        <w:tab/>
        <w:t>558 квартир заселены незаконно;</w:t>
      </w:r>
    </w:p>
    <w:p w:rsidR="00000000" w:rsidRDefault="00000000">
      <w:pPr>
        <w:ind w:left="567" w:hanging="567"/>
      </w:pPr>
    </w:p>
    <w:p w:rsidR="00000000" w:rsidRDefault="00000000">
      <w:pPr>
        <w:ind w:left="567" w:hanging="567"/>
      </w:pPr>
      <w:r>
        <w:tab/>
        <w:t>-</w:t>
      </w:r>
      <w:r>
        <w:tab/>
        <w:t>502 квартиры используются на других основаниях.</w:t>
      </w:r>
    </w:p>
    <w:p w:rsidR="00000000" w:rsidRDefault="00000000">
      <w:pPr>
        <w:ind w:left="567" w:hanging="567"/>
      </w:pPr>
    </w:p>
    <w:p w:rsidR="00000000" w:rsidRDefault="00000000">
      <w:r>
        <w:t>460.</w:t>
      </w:r>
      <w:r>
        <w:tab/>
        <w:t>Закон о продаже квартир общественного жилого фонда ("Официальный вестник" бывшей югославской Республики Македонии № 1992/1993/2003) регулирует условия и процедуру продажи квартир общественного жилого фонда с целью ликвидации общественной собственности и ее преобразования в государственную или частную собственность посредством продажи квартир государством, либо их возвращения бывшим владельцам и их наследникам в соответствии с Законом о денационализации ("Официальный вестник" бывшей югославской Республики Македонии № 2000).</w:t>
      </w:r>
    </w:p>
    <w:p w:rsidR="00000000" w:rsidRDefault="00000000"/>
    <w:p w:rsidR="00000000" w:rsidRDefault="00000000">
      <w:r>
        <w:t>461.</w:t>
      </w:r>
      <w:r>
        <w:tab/>
        <w:t>В соответствии с Законом о продаже квартир общественного жилого фонда и на основании этого закона был принят ряд первичных и вторичных законодательных актов:</w:t>
      </w:r>
    </w:p>
    <w:p w:rsidR="00000000" w:rsidRDefault="00000000"/>
    <w:p w:rsidR="00000000" w:rsidRDefault="00000000">
      <w:pPr>
        <w:ind w:left="1134" w:hanging="538"/>
      </w:pPr>
      <w:r>
        <w:t>-</w:t>
      </w:r>
      <w:r>
        <w:tab/>
        <w:t>Закон о жилых и производственных помещениях бывшей югославской Республики Македонии ("Официальный вестник" бывшей югославской Республики Македонии № 1994) регулирует вопросы обслуживания и эксплуатации жилых домов, квартир, производственных помещений, право на использование, эксплуатацию и продажу которых принадлежит правительству, для осуществления которого было учреждено государственное предприятие по управлению жилыми и производственными помещениями бывшей югославской Республики Македонии;</w:t>
      </w:r>
    </w:p>
    <w:p w:rsidR="00000000" w:rsidRDefault="00000000">
      <w:pPr>
        <w:ind w:left="567" w:hanging="567"/>
      </w:pPr>
    </w:p>
    <w:p w:rsidR="00000000" w:rsidRDefault="00000000">
      <w:pPr>
        <w:ind w:left="1134" w:hanging="567"/>
      </w:pPr>
      <w:r>
        <w:t>-</w:t>
      </w:r>
      <w:r>
        <w:tab/>
        <w:t>Решение о продаже квартир, права, обязательства и обязанности распоряжаться которыми принадлежат правительству ("Официальный вестник" бывшей югославской Республики Македонии № 1992/2003), в соответствии с которым на продажу выставляются квартиры, в отношении которых имущественные права, обязанности и обязательства принадлежат государству;</w:t>
      </w:r>
    </w:p>
    <w:p w:rsidR="00000000" w:rsidRDefault="00000000">
      <w:pPr>
        <w:ind w:left="567" w:hanging="567"/>
      </w:pPr>
    </w:p>
    <w:p w:rsidR="00000000" w:rsidRDefault="00000000">
      <w:pPr>
        <w:ind w:left="1134" w:hanging="567"/>
      </w:pPr>
      <w:r>
        <w:t>-</w:t>
      </w:r>
      <w:r>
        <w:tab/>
        <w:t>Указ о критериях и порядке определения реализационной цены на квартиры общественного жилого фонда ("Официальный вестник" бывшей югославской Республики Македонии № 1992/1993/1994), в котором более подробно разработаны критерии и порядок определения собственником реализационной цены квартир общественного жилого фонда;  данный указ дополняется решением, устанавливающим стоимость расчетных пунктов при продаже квартир общественного жилого фонда (№ 1992/2001), и решением о снижении цен на квартиры общественного жилого фонда;</w:t>
      </w:r>
    </w:p>
    <w:p w:rsidR="00000000" w:rsidRDefault="00000000">
      <w:pPr>
        <w:ind w:left="567" w:hanging="567"/>
      </w:pPr>
    </w:p>
    <w:p w:rsidR="00000000" w:rsidRDefault="00000000">
      <w:pPr>
        <w:ind w:left="1134" w:hanging="567"/>
      </w:pPr>
      <w:r>
        <w:t>-</w:t>
      </w:r>
      <w:r>
        <w:tab/>
        <w:t>Решение о продаже квартир, права, обязательства и обязанности распоряжаться которыми принадлежит правительству ("Официальный вестник" бывшей югославской Республики Македонии № 1996/1999/2001), определяет жилые единицы, предназначенные для продажи, график продаж и начальную цену, установленную в соответствии с программой государственного предприятия по управлению жилыми и производственными помещениями бывшей югославской Республики Македонии.</w:t>
      </w:r>
    </w:p>
    <w:p w:rsidR="00000000" w:rsidRDefault="00000000">
      <w:pPr>
        <w:ind w:left="567" w:hanging="567"/>
      </w:pPr>
    </w:p>
    <w:p w:rsidR="00000000" w:rsidRDefault="00000000">
      <w:r>
        <w:t>462.</w:t>
      </w:r>
      <w:r>
        <w:tab/>
        <w:t>Продажа этого вида государственных жилых единиц является публичной.  Объявления размещаются в ежедневных газетах.  Все заинтересованные лица, граждане бывшей югославской Республики Македонии, молодые семьи, не имеющие другого недвижимого имущества и являющиеся платежеспособными, имеют право при соблюдении соответствующих положений подавать заявления на основании опубликованных объявлений.  При такой продаже 50% цены выплачивается в качестве доли от общей суммы, в то время как оставшаяся часть помесячно погашается в течение 180 месяцев с установлением годовой процентной ставки в размере 8,4%.</w:t>
      </w:r>
    </w:p>
    <w:p w:rsidR="00000000" w:rsidRDefault="00000000"/>
    <w:p w:rsidR="00000000" w:rsidRDefault="00000000">
      <w:r>
        <w:t>463.</w:t>
      </w:r>
      <w:r>
        <w:tab/>
        <w:t>Вопросы землепользования и любой застройки земель находятся в ведении министерства транспорта и коммуникаций, регулируются Законом об использовании земель, предназначенных под застройку, который устанавливает правовые рамки отчуждения или аренды строительных участков.</w:t>
      </w:r>
    </w:p>
    <w:p w:rsidR="00000000" w:rsidRDefault="00000000"/>
    <w:p w:rsidR="00000000" w:rsidRDefault="00000000">
      <w:r>
        <w:t>464.</w:t>
      </w:r>
      <w:r>
        <w:tab/>
        <w:t xml:space="preserve">В соответствии с Законом о территориальном и городском планировании и Законом о строительстве производственных объектов, а также на основе применяемой процедуры регулирования правовых имущественных отношений, касающихся земельной собственности, подробные городские планы и программы строительства объектов, включая жилые объекты, реализуется на практике.  Согласно Закону о местном управлении ("Официальный вестник" бывшей югославской Республики Македонии № 2002), значительная часть функций в области жилищного и территориального планирования передана на местный уровень.  </w:t>
      </w:r>
    </w:p>
    <w:p w:rsidR="00000000" w:rsidRDefault="00000000"/>
    <w:p w:rsidR="00000000" w:rsidRDefault="00000000">
      <w:r>
        <w:t>465.</w:t>
      </w:r>
      <w:r>
        <w:tab/>
        <w:t>Следует отметить, что вышеупомянутые положения и законы пересматриваются на предмет внесения в них поправок и дополнений, среди прочего, с целью приведения в соответствие с положениями ЕС.</w:t>
      </w:r>
    </w:p>
    <w:p w:rsidR="00000000" w:rsidRDefault="00000000"/>
    <w:p w:rsidR="00000000" w:rsidRDefault="00000000">
      <w:r>
        <w:t>466.</w:t>
      </w:r>
      <w:r>
        <w:tab/>
        <w:t>Вопросы, связанные с правом владельцев недвижимости на неприкосновенность их домов, с защитой от выселения, финансированием жилищного строительства, контролем соблюдения условий аренды и доступностью жилья, регулируются следующим образом:</w:t>
      </w:r>
    </w:p>
    <w:p w:rsidR="00000000" w:rsidRDefault="00000000"/>
    <w:p w:rsidR="00000000" w:rsidRDefault="00000000">
      <w:pPr>
        <w:rPr>
          <w:i/>
          <w:iCs/>
        </w:rPr>
      </w:pPr>
      <w:r>
        <w:rPr>
          <w:i/>
          <w:iCs/>
        </w:rPr>
        <w:t>Закон о жилье состоит из нескольких разделов, которые регламентируют следующие вопросы:</w:t>
      </w:r>
    </w:p>
    <w:p w:rsidR="00000000" w:rsidRDefault="00000000">
      <w:pPr>
        <w:rPr>
          <w:i/>
          <w:iCs/>
        </w:rPr>
      </w:pPr>
    </w:p>
    <w:p w:rsidR="00000000" w:rsidRDefault="00000000">
      <w:r>
        <w:rPr>
          <w:i/>
          <w:iCs/>
        </w:rPr>
        <w:tab/>
        <w:t>Права арендодателей и арендаторов жилья</w:t>
      </w:r>
    </w:p>
    <w:p w:rsidR="00000000" w:rsidRDefault="00000000"/>
    <w:p w:rsidR="00000000" w:rsidRDefault="00000000">
      <w:r>
        <w:t>467.</w:t>
      </w:r>
      <w:r>
        <w:tab/>
        <w:t xml:space="preserve">Арендодателями могут являться внутригосударственные или иностранные физические и юридические лица, бывшая югославская Республика Македония, муниципалитеты и город Скопье, а арендаторами </w:t>
      </w:r>
      <w:r>
        <w:noBreakHyphen/>
        <w:t xml:space="preserve"> отечественные или иностранные физические лица.  </w:t>
      </w:r>
    </w:p>
    <w:p w:rsidR="00000000" w:rsidRDefault="00000000"/>
    <w:p w:rsidR="00000000" w:rsidRDefault="00000000">
      <w:r>
        <w:t>468.</w:t>
      </w:r>
      <w:r>
        <w:tab/>
        <w:t>Отношения аренды, изложенные в этом законе, в соответствии с Законом о собственности и других имущественных правах ("Официальный вестник" бывшей югославской Республики Македонии № 2001) регулируются положениями, содержащимися в Законе об обязательствах ("Официальный вестник" бывшей югославской Республики Македонии № 2000) за исключением иных случаев, предусмотренных данным законом.</w:t>
      </w:r>
    </w:p>
    <w:p w:rsidR="00000000" w:rsidRDefault="00000000"/>
    <w:p w:rsidR="00000000" w:rsidRDefault="00000000">
      <w:r>
        <w:t>469.</w:t>
      </w:r>
      <w:r>
        <w:tab/>
        <w:t>Арендодатель определяет условия сдачи жилья в аренду, а права и обязанности арендодателя и арендатора оговариваются в договоре об аренде.  Никто не может заселиться в квартиру без предварительного заключения договора об аренде, который может заключаться как на определенный, так и на неопределенный срок.</w:t>
      </w:r>
    </w:p>
    <w:p w:rsidR="00000000" w:rsidRDefault="00000000"/>
    <w:p w:rsidR="00000000" w:rsidRDefault="00000000">
      <w:r>
        <w:t>470.</w:t>
      </w:r>
      <w:r>
        <w:tab/>
        <w:t>Порядок и условия аренды квартир, принадлежащих правительству, регулируются Указом о порядке, условиях и процедуре аренды недвижимого имущества бывшей югославской Республики Македонии (1999).</w:t>
      </w:r>
    </w:p>
    <w:p w:rsidR="00000000" w:rsidRDefault="00000000"/>
    <w:p w:rsidR="00000000" w:rsidRDefault="00000000">
      <w:pPr>
        <w:rPr>
          <w:i/>
          <w:iCs/>
        </w:rPr>
      </w:pPr>
      <w:r>
        <w:rPr>
          <w:i/>
          <w:iCs/>
        </w:rPr>
        <w:tab/>
        <w:t>Защита от выселения</w:t>
      </w:r>
    </w:p>
    <w:p w:rsidR="00000000" w:rsidRDefault="00000000">
      <w:pPr>
        <w:rPr>
          <w:i/>
          <w:iCs/>
        </w:rPr>
      </w:pPr>
    </w:p>
    <w:p w:rsidR="00000000" w:rsidRDefault="00000000">
      <w:r>
        <w:t>471.</w:t>
      </w:r>
      <w:r>
        <w:tab/>
        <w:t>Если какое-либо лицо занимает квартиру без подписания договора об аренде, либо без каких-либо других правовых оснований, то прямо или косвенно заинтересованная сторона, распоряжающаяся квартирой, может восстановить свое право распоряжения, используя процедуру восстановления нарушенных прав.  По требованию косвенно или прямо заинтересованной стороны, распоряжающейся квартирой, восстановление нарушенных прав может осуществляться только в присутствии представителя органа внутренних дел.  Что касается защиты от выселения в том случае, если какое-либо лицо заселяет квартиру без подписания договора об аренде, либо без других правовых оснований, то прямо или косвенно заинтересованное лицо, распоряжающееся квартирой, вправе восстановить право распоряжения квартирой в порядке восстановления нарушенных прав, при этом необходимо присутствие представителя органа внутренних дел.  Право на защиту прав распоряжения посредством этой процедуры осуществляется в течение 30 дней, начиная с того дня, когда соответствующей стороне стало известно о нарушении ее права распоряжения и о личности, совершившей такое нарушение, однако не более, чем в течение одного года с момента нарушения права распоряжения.</w:t>
      </w:r>
    </w:p>
    <w:p w:rsidR="00000000" w:rsidRDefault="00000000"/>
    <w:p w:rsidR="00000000" w:rsidRDefault="00000000">
      <w:pPr>
        <w:rPr>
          <w:b/>
          <w:bCs/>
        </w:rPr>
      </w:pPr>
      <w:r>
        <w:rPr>
          <w:b/>
          <w:bCs/>
        </w:rPr>
        <w:t>Финансирование жилья</w:t>
      </w:r>
    </w:p>
    <w:p w:rsidR="00000000" w:rsidRDefault="00000000"/>
    <w:p w:rsidR="00000000" w:rsidRDefault="00000000">
      <w:r>
        <w:t>472.</w:t>
      </w:r>
      <w:r>
        <w:tab/>
        <w:t>Раздел Закона, посвященный многоквартирным домам и квартирам, находящимся в собственности бывшей югославской Республики Македонии, регулирует вопросы финансирования строительства и эксплуатации квартир правительством.  При этом средства обеспечиваются в рамках государственного бюджета из таких источников, как субсидии, фонды и кредиты, а соответствующие мероприятия проводятся в рамках ежегодной Программы строительства и эксплуатации жилых помещений правительством, которую правительство утверждает на основании предложения министерства транспорта и связи.</w:t>
      </w:r>
    </w:p>
    <w:p w:rsidR="00000000" w:rsidRDefault="00000000"/>
    <w:p w:rsidR="00000000" w:rsidRDefault="00000000">
      <w:pPr>
        <w:keepNext/>
        <w:rPr>
          <w:b/>
          <w:bCs/>
        </w:rPr>
      </w:pPr>
      <w:r>
        <w:rPr>
          <w:b/>
          <w:bCs/>
        </w:rPr>
        <w:t>Контроль за соблюдением условий аренды и доступность жилья</w:t>
      </w:r>
    </w:p>
    <w:p w:rsidR="00000000" w:rsidRDefault="00000000">
      <w:pPr>
        <w:keepNext/>
        <w:rPr>
          <w:b/>
          <w:bCs/>
        </w:rPr>
      </w:pPr>
    </w:p>
    <w:p w:rsidR="00000000" w:rsidRDefault="00000000">
      <w:r>
        <w:t>473.</w:t>
      </w:r>
      <w:r>
        <w:tab/>
        <w:t>Министерство, занимающееся вопросами жилья, </w:t>
      </w:r>
      <w:r>
        <w:noBreakHyphen/>
        <w:t xml:space="preserve"> министерство транспорта и связи </w:t>
      </w:r>
      <w:r>
        <w:noBreakHyphen/>
        <w:t xml:space="preserve"> осуществляет контроль за соблюдением положений Закона о жилье, в том время как инспекционный надзор осуществляется Государственной инспекцией по вопросам развития городских районов и строительства.</w:t>
      </w:r>
    </w:p>
    <w:p w:rsidR="00000000" w:rsidRDefault="00000000"/>
    <w:p w:rsidR="00000000" w:rsidRDefault="00000000">
      <w:pPr>
        <w:keepNext/>
        <w:rPr>
          <w:b/>
          <w:bCs/>
        </w:rPr>
      </w:pPr>
      <w:r>
        <w:rPr>
          <w:b/>
          <w:bCs/>
        </w:rPr>
        <w:t>Доступность жилья</w:t>
      </w:r>
    </w:p>
    <w:p w:rsidR="00000000" w:rsidRDefault="00000000">
      <w:pPr>
        <w:keepNext/>
        <w:rPr>
          <w:b/>
          <w:bCs/>
        </w:rPr>
      </w:pPr>
    </w:p>
    <w:p w:rsidR="00000000" w:rsidRDefault="00000000">
      <w:r>
        <w:t>474.</w:t>
      </w:r>
      <w:r>
        <w:tab/>
        <w:t xml:space="preserve">В соответствии с Законом о жилье планирование и обеспечение средств на строительство и содержание жилого фонда правительства определено в ежегодной Программе, которую правительство утверждает на основании предложения, представляемого министерством транспорта и связи.  </w:t>
      </w:r>
    </w:p>
    <w:p w:rsidR="00000000" w:rsidRDefault="00000000"/>
    <w:p w:rsidR="00000000" w:rsidRDefault="00000000">
      <w:r>
        <w:t>475.</w:t>
      </w:r>
      <w:r>
        <w:tab/>
        <w:t>Более конкретно в этой программе содержатся:</w:t>
      </w:r>
    </w:p>
    <w:p w:rsidR="00000000" w:rsidRDefault="00000000"/>
    <w:p w:rsidR="00000000" w:rsidRDefault="00000000">
      <w:pPr>
        <w:ind w:left="1134" w:hanging="567"/>
      </w:pPr>
      <w:r>
        <w:t>-</w:t>
      </w:r>
      <w:r>
        <w:tab/>
        <w:t>оценка ситуации в области строительства, продажи и эксплуатации многоквартирных домов и квартир;</w:t>
      </w:r>
    </w:p>
    <w:p w:rsidR="00000000" w:rsidRDefault="00000000">
      <w:pPr>
        <w:ind w:left="567"/>
      </w:pPr>
    </w:p>
    <w:p w:rsidR="00000000" w:rsidRDefault="00000000">
      <w:pPr>
        <w:ind w:left="1134" w:hanging="567"/>
      </w:pPr>
      <w:r>
        <w:t>-</w:t>
      </w:r>
      <w:r>
        <w:tab/>
        <w:t>меры и задачи по улучшению жилищных условий в существующих многоквартирных домах и квартирах;</w:t>
      </w:r>
    </w:p>
    <w:p w:rsidR="00000000" w:rsidRDefault="00000000">
      <w:pPr>
        <w:ind w:left="567"/>
      </w:pPr>
    </w:p>
    <w:p w:rsidR="00000000" w:rsidRDefault="00000000">
      <w:pPr>
        <w:ind w:left="1134" w:hanging="567"/>
      </w:pPr>
      <w:r>
        <w:t>-</w:t>
      </w:r>
      <w:r>
        <w:tab/>
        <w:t xml:space="preserve">определение элементов, связанных с размерами арендных платежей и цен реализации квартир и другие вопросы, связанные с многоквартирными домами и квартирами, находящимися в собственности правительства.  </w:t>
      </w:r>
    </w:p>
    <w:p w:rsidR="00000000" w:rsidRDefault="00000000">
      <w:pPr>
        <w:ind w:left="567"/>
      </w:pPr>
    </w:p>
    <w:p w:rsidR="00000000" w:rsidRDefault="00000000">
      <w:r>
        <w:t>476.</w:t>
      </w:r>
      <w:r>
        <w:tab/>
        <w:t xml:space="preserve">В соответствии с Законом о социальной защите по крайней мере 25% от общей суммы средств, выделяемых на строительство и содержание многоквартирных домов, предназначены для таких относящихся к категории социального риска лиц, как бездомные.  </w:t>
      </w:r>
    </w:p>
    <w:p w:rsidR="00000000" w:rsidRDefault="00000000"/>
    <w:p w:rsidR="00000000" w:rsidRDefault="00000000">
      <w:r>
        <w:t>477.</w:t>
      </w:r>
      <w:r>
        <w:tab/>
        <w:t xml:space="preserve">В соответствии с Законом о кредитах для бывшей югославской Республики Македонии из Банка развития Совета Европы на основании Соглашения о кредитовании Проекта строительства квартир, предназначенных для сдачи в аренду малообеспеченным лицам ("Официальный вестник" бывшей югославской Республики Македонии № 2000), правительством был взят кредит на сумму в 15 млн. евро для финансирования проекта строительства квартир, предназначенных для сдачи в аренду малообеспеченным лицам.  </w:t>
      </w:r>
    </w:p>
    <w:p w:rsidR="00000000" w:rsidRDefault="00000000"/>
    <w:p w:rsidR="00000000" w:rsidRDefault="00000000">
      <w:r>
        <w:t>478.</w:t>
      </w:r>
      <w:r>
        <w:tab/>
        <w:t xml:space="preserve">Кредит использовался для реализации части правительственной программы строительства 10 000 субсидируемых государством квартир, предназначенных для сдачи в аренду малообеспеченным лицам, бездомным и молодым семьям.  </w:t>
      </w:r>
    </w:p>
    <w:p w:rsidR="00000000" w:rsidRDefault="00000000"/>
    <w:p w:rsidR="00000000" w:rsidRDefault="00000000">
      <w:r>
        <w:t>479.</w:t>
      </w:r>
      <w:r>
        <w:tab/>
        <w:t xml:space="preserve">На основании Закона о кредитах для бывшей югославской Республики Македонии из Банка развития Совета Европы было принято решение об условиях и критериях распределения квартир, построенных в соответствии с "Проектом строительства квартир, предназначенных для сдачи в аренду малообеспеченным лицам" ("Официальный вестник" бывшей югославской Республики Македонии № 2003), в котором определены условия и критерии распределения квартир, построенных в соответствии с указанным проектом за счет средств, включающих частичное финансирование по соглашению о займах из Банка развития Совета Европы и средств, выделяемых из государственного бюджета (в размере </w:t>
      </w:r>
      <w:proofErr w:type="spellStart"/>
      <w:r>
        <w:t>50%</w:t>
      </w:r>
      <w:proofErr w:type="spellEnd"/>
      <w:r>
        <w:t xml:space="preserve">, или приблизительно 15 млн. евро).  </w:t>
      </w:r>
    </w:p>
    <w:p w:rsidR="00000000" w:rsidRDefault="00000000"/>
    <w:p w:rsidR="00000000" w:rsidRDefault="00000000">
      <w:r>
        <w:t>480.</w:t>
      </w:r>
      <w:r>
        <w:tab/>
        <w:t xml:space="preserve">Вопросы, связанные со строительством квартир в рамках данного проекта, а также их количество определены в ежегодной правительственной программе строительства и эксплуатации квартир.  В 2003 году в нескольких городах было построено и сдано в аренду 167 квартир, или 4 многоквартирных дома, при этом в настоящее время ведется строительство еще 669 квартир, или 14 многоквартирных домов.  Завершение работ намечено на начало 2006 года.  </w:t>
      </w:r>
    </w:p>
    <w:p w:rsidR="00000000" w:rsidRDefault="00000000"/>
    <w:p w:rsidR="00000000" w:rsidRDefault="00000000">
      <w:r>
        <w:t>481.</w:t>
      </w:r>
      <w:r>
        <w:tab/>
        <w:t xml:space="preserve">Ходатайствовать об аренде квартиры может любой гражданин бывшей югославской Республике Македонии, постоянно проживающий в населенном пункте, где ведутся жилищно-строительные работы, если ни он, ни его супруга, ни совершеннолетние члены его семьи не являются владельцами собственного жилья.  </w:t>
      </w:r>
    </w:p>
    <w:p w:rsidR="00000000" w:rsidRDefault="00000000"/>
    <w:p w:rsidR="00000000" w:rsidRDefault="00000000">
      <w:r>
        <w:t>482.</w:t>
      </w:r>
      <w:r>
        <w:tab/>
        <w:t>Распределение жилья проводится на основе методологии балльной системы для кандидатов на получение права аренды жилья, при соблюдении базовых критериев.</w:t>
      </w:r>
    </w:p>
    <w:p w:rsidR="00000000" w:rsidRDefault="00000000"/>
    <w:p w:rsidR="00000000" w:rsidRDefault="00000000">
      <w:r>
        <w:t>483.</w:t>
      </w:r>
      <w:r>
        <w:tab/>
        <w:t>Статья 26 Конституции гарантирует неприкосновенность жилища;  право неприкосновенности жилища может быть нарушено только в соответствии с судебным решением, в случаях установления или предупреждения уголовных правонарушений, либо для защиты здоровья людей.</w:t>
      </w:r>
    </w:p>
    <w:p w:rsidR="00000000" w:rsidRDefault="00000000"/>
    <w:p w:rsidR="00000000" w:rsidRDefault="00000000">
      <w:r>
        <w:t>484.</w:t>
      </w:r>
      <w:r>
        <w:tab/>
        <w:t xml:space="preserve">Законодательные меры, предоставляющие законные основания для лиц, занимающих жилье без соответствующего разрешения, отсутствуют, однако правительство в рамках действующего законодательства осуществляет действия с целью решения жилищных проблем определенного числа лиц, незаконно проживающих в государственных квартирах.  </w:t>
      </w:r>
    </w:p>
    <w:p w:rsidR="00000000" w:rsidRDefault="00000000">
      <w:r>
        <w:t>485.</w:t>
      </w:r>
      <w:r>
        <w:tab/>
        <w:t>Качество и уровень рационального городского планирования и регулирования заметно повысились в результате принятия поправок к Закону о территориальном и городском планировании ("Официальный вестник" бывшей югославской Республики Македонии № 1996/1997/1999/2001/2002) от 2001 года, который предусматривает нормативные условия для повышения эффективности подготовки и принятия планов городского развития.</w:t>
      </w:r>
    </w:p>
    <w:p w:rsidR="00000000" w:rsidRDefault="00000000"/>
    <w:p w:rsidR="00000000" w:rsidRDefault="00000000">
      <w:r>
        <w:t>486.</w:t>
      </w:r>
      <w:r>
        <w:tab/>
        <w:t>На основе существующих законодательных положений были разработаны новые подзаконные акты, касающиеся регулирования городских районов и процедуры утверждения планов городского развития.  К их числу относятся:</w:t>
      </w:r>
    </w:p>
    <w:p w:rsidR="00000000" w:rsidRDefault="00000000"/>
    <w:p w:rsidR="00000000" w:rsidRDefault="00000000">
      <w:pPr>
        <w:tabs>
          <w:tab w:val="clear" w:pos="567"/>
          <w:tab w:val="num" w:pos="1440"/>
        </w:tabs>
        <w:ind w:left="567"/>
      </w:pPr>
      <w:r>
        <w:t>-</w:t>
      </w:r>
      <w:r>
        <w:tab/>
        <w:t>положение о стандартах и нормах территориального использования;</w:t>
      </w:r>
    </w:p>
    <w:p w:rsidR="00000000" w:rsidRDefault="00000000">
      <w:pPr>
        <w:ind w:left="1701"/>
      </w:pPr>
    </w:p>
    <w:p w:rsidR="00000000" w:rsidRDefault="00000000">
      <w:pPr>
        <w:tabs>
          <w:tab w:val="clear" w:pos="567"/>
          <w:tab w:val="num" w:pos="1440"/>
        </w:tabs>
        <w:ind w:left="1134" w:hanging="567"/>
      </w:pPr>
      <w:r>
        <w:t>-</w:t>
      </w:r>
      <w:r>
        <w:tab/>
        <w:t xml:space="preserve">положение о содержании и порядке оформления графического проекта планов и о порядке и процедуре утверждения планов городского развития;  и </w:t>
      </w:r>
    </w:p>
    <w:p w:rsidR="00000000" w:rsidRDefault="00000000">
      <w:pPr>
        <w:ind w:left="1188"/>
      </w:pPr>
    </w:p>
    <w:p w:rsidR="00000000" w:rsidRDefault="00000000">
      <w:pPr>
        <w:tabs>
          <w:tab w:val="clear" w:pos="567"/>
          <w:tab w:val="num" w:pos="1440"/>
        </w:tabs>
        <w:ind w:left="1134" w:hanging="567"/>
      </w:pPr>
      <w:r>
        <w:t>-</w:t>
      </w:r>
      <w:r>
        <w:tab/>
        <w:t>положение о стандартах и нормах проектирования объектов в соответствии с поправками, опубликованными в "Официальном вестнике" бывшей югославской Республики Македонии № 2002/2003.</w:t>
      </w:r>
    </w:p>
    <w:p w:rsidR="00000000" w:rsidRDefault="00000000">
      <w:pPr>
        <w:ind w:left="567"/>
      </w:pPr>
    </w:p>
    <w:p w:rsidR="00000000" w:rsidRDefault="00000000">
      <w:r>
        <w:t>487.</w:t>
      </w:r>
      <w:r>
        <w:tab/>
        <w:t xml:space="preserve">Эти положения позволяют всем участникам процесса обустройства территории, таким, как плановые органы, проектировщики, контролирующие инстанции, органы местного управления, правительственные органы, инвесторы и другие организации, иметь в своем распоряжении точную и конкретную информацию о территориальной застройке.  </w:t>
      </w:r>
    </w:p>
    <w:p w:rsidR="00000000" w:rsidRDefault="00000000"/>
    <w:p w:rsidR="00000000" w:rsidRDefault="00000000">
      <w:r>
        <w:t>488.</w:t>
      </w:r>
      <w:r>
        <w:tab/>
        <w:t xml:space="preserve">В соответствии с Конституцией в 2001 году был принят Закон о собственности и других имущественных правах, который регулирует права собственности и другие связанные с имуществом права.  </w:t>
      </w:r>
    </w:p>
    <w:p w:rsidR="00000000" w:rsidRDefault="00000000"/>
    <w:p w:rsidR="00000000" w:rsidRDefault="00000000">
      <w:r>
        <w:t>489.</w:t>
      </w:r>
      <w:r>
        <w:tab/>
        <w:t>Раздел </w:t>
      </w:r>
      <w:proofErr w:type="spellStart"/>
      <w:r>
        <w:t>Х</w:t>
      </w:r>
      <w:proofErr w:type="spellEnd"/>
      <w:r>
        <w:rPr>
          <w:lang w:val="en-US"/>
        </w:rPr>
        <w:t>V</w:t>
      </w:r>
      <w:r>
        <w:t xml:space="preserve"> нового Закона об обязательствах (2001 год) обеспечивает правовые рамки для строительства и других видов услуг в жилищном секторе, предусматривая заключение письменного договора о строительстве в форме </w:t>
      </w:r>
      <w:proofErr w:type="spellStart"/>
      <w:r>
        <w:rPr>
          <w:lang w:val="en-US"/>
        </w:rPr>
        <w:t>locatio</w:t>
      </w:r>
      <w:proofErr w:type="spellEnd"/>
      <w:r>
        <w:t xml:space="preserve"> </w:t>
      </w:r>
      <w:proofErr w:type="spellStart"/>
      <w:r>
        <w:rPr>
          <w:lang w:val="en-US"/>
        </w:rPr>
        <w:t>operis</w:t>
      </w:r>
      <w:proofErr w:type="spellEnd"/>
      <w:r>
        <w:t xml:space="preserve"> между заказчиком (владельцем квартиры) и подрядчиком (компанией, зарегистрированной для строительства объектов), в соответствии с которым подрядчик берет на себя обязательство построить согласно проектному плану и в согласованные сроки объект для постоянного проживания или выполнить другие строительные работы, а заказчик обязан оплатить установленную цену.  </w:t>
      </w:r>
    </w:p>
    <w:p w:rsidR="00000000" w:rsidRDefault="00000000"/>
    <w:p w:rsidR="00000000" w:rsidRDefault="00000000">
      <w:r>
        <w:t>490.</w:t>
      </w:r>
      <w:r>
        <w:tab/>
        <w:t>Закон о жилье в разделе "Жилые дома и квартиры, находящиеся в собственности бывшей югославской Республике Македонии" предусматривает, что планирование и выделение средств на строительство и содержание квартир, находящихся в собственности правительства, производится в соответствии с ежегодной программой, принимаемой правительством по предложению министерства транспорта и связи и реализуемой государственным предприятием по обслуживанию жилых и производственных помещений бывшей югославской Республика Македонии.</w:t>
      </w:r>
    </w:p>
    <w:p w:rsidR="00000000" w:rsidRDefault="00000000"/>
    <w:p w:rsidR="00000000" w:rsidRDefault="00000000">
      <w:r>
        <w:t>491.</w:t>
      </w:r>
      <w:r>
        <w:tab/>
        <w:t>Правительство представляет ежегодных доклад о ходе работы по реализации своей ежегодной программы строительства и эксплуатации квартир.</w:t>
      </w:r>
    </w:p>
    <w:p w:rsidR="00000000" w:rsidRDefault="00000000"/>
    <w:p w:rsidR="00000000" w:rsidRDefault="00000000">
      <w:r>
        <w:t>492.</w:t>
      </w:r>
      <w:r>
        <w:tab/>
        <w:t>Программа содержит натуральные и финансовые показатели по жилым и промышленным объектам, такие, как строящиеся здания, строительство, которое предполагается начать в текущем году, и подготовительные работы для нового строительства.  Из общего числа сданных в эксплуатацию квартир 25% будет выделено лицам, относящимся к категории социального риска, как это предусмотрено в Законе о социальной защите, а также определенное количество квартир предназначено для целей осуществления Закона о денационализации.</w:t>
      </w:r>
    </w:p>
    <w:p w:rsidR="00000000" w:rsidRDefault="00000000"/>
    <w:p w:rsidR="00000000" w:rsidRDefault="00000000">
      <w:r>
        <w:t>493.</w:t>
      </w:r>
      <w:r>
        <w:tab/>
        <w:t>Остальная часть квартир продается по объявлениям, публикуемым в ежедневных газетах, при этом по условиям продажи 50% от общей стоимости вносится в качестве задатка, а остаток выплачивается в рассрочку в течение 15 лет с установлением ежегодной процентной ставке в размере 8,4% в соответствии с Решением о продаже квартир, права, обязательства и обязанности распоряжаться которыми принадлежит правительству.  Это значительно повышает возможности приобретения квартиры на выгодных условиях для лиц, нуждающихся в жилье.</w:t>
      </w:r>
    </w:p>
    <w:p w:rsidR="00000000" w:rsidRDefault="00000000"/>
    <w:p w:rsidR="00000000" w:rsidRDefault="00000000">
      <w:r>
        <w:t>494.</w:t>
      </w:r>
      <w:r>
        <w:tab/>
        <w:t xml:space="preserve">Ходатайствовать об аренде квартиры может любой гражданин, постоянно проживающий в населенном пункте, где проводятся жилищно-строительные работы, если ни он, ни его супруга, ни члены его семьи пенсионного возраста не являются владельцами какого-либо жилья.  </w:t>
      </w:r>
    </w:p>
    <w:p w:rsidR="00000000" w:rsidRDefault="00000000"/>
    <w:p w:rsidR="00000000" w:rsidRDefault="00000000">
      <w:r>
        <w:t>495.</w:t>
      </w:r>
      <w:r>
        <w:tab/>
        <w:t>Распределение жилья основано на методологии балльной системы для кандидатов на получение права пользования квартирой на условиях аренды при соблюдении базовых критериев:</w:t>
      </w:r>
    </w:p>
    <w:p w:rsidR="00000000" w:rsidRDefault="00000000"/>
    <w:p w:rsidR="00000000" w:rsidRDefault="00000000">
      <w:pPr>
        <w:tabs>
          <w:tab w:val="clear" w:pos="567"/>
          <w:tab w:val="num" w:pos="1440"/>
        </w:tabs>
        <w:ind w:left="1134" w:hanging="567"/>
      </w:pPr>
      <w:r>
        <w:t>-</w:t>
      </w:r>
      <w:r>
        <w:tab/>
        <w:t>среднегодовой доход каждого члена домашнего хозяйства не должен превышать 65% от среднегодового валового национального дохода на душу населения в бывшей югославской Республике Македонии;</w:t>
      </w:r>
    </w:p>
    <w:p w:rsidR="00000000" w:rsidRDefault="00000000">
      <w:pPr>
        <w:tabs>
          <w:tab w:val="clear" w:pos="567"/>
          <w:tab w:val="num" w:pos="1440"/>
        </w:tabs>
        <w:ind w:left="567"/>
      </w:pPr>
      <w:r>
        <w:t>-</w:t>
      </w:r>
      <w:r>
        <w:tab/>
        <w:t>молодые семьи, имеющие детей не старше 12 лет;</w:t>
      </w:r>
    </w:p>
    <w:p w:rsidR="00000000" w:rsidRDefault="00000000">
      <w:pPr>
        <w:tabs>
          <w:tab w:val="clear" w:pos="567"/>
        </w:tabs>
        <w:ind w:left="567"/>
      </w:pPr>
    </w:p>
    <w:p w:rsidR="00000000" w:rsidRDefault="00000000">
      <w:pPr>
        <w:tabs>
          <w:tab w:val="clear" w:pos="567"/>
          <w:tab w:val="num" w:pos="1440"/>
        </w:tabs>
        <w:ind w:left="1134" w:hanging="567"/>
      </w:pPr>
      <w:r>
        <w:t>-</w:t>
      </w:r>
      <w:r>
        <w:tab/>
        <w:t xml:space="preserve">лица старше 18 лет, которые до достижения возраста совершеннолетия содержались в учреждениях для сирот или находились под защитой в иной форме.  </w:t>
      </w:r>
    </w:p>
    <w:p w:rsidR="00000000" w:rsidRDefault="00000000"/>
    <w:p w:rsidR="00000000" w:rsidRDefault="00000000">
      <w:r>
        <w:t>496.</w:t>
      </w:r>
      <w:r>
        <w:tab/>
        <w:t>При проектировании районов городской и сельской застройки выделяется территория для общественных и коммерческих зданий, при этом в соответствии с Законом о территориальном и городском планировании городские зоны должны предусматривать парки и дворы.</w:t>
      </w:r>
    </w:p>
    <w:p w:rsidR="00000000" w:rsidRDefault="00000000"/>
    <w:p w:rsidR="00000000" w:rsidRDefault="00000000">
      <w:r>
        <w:t>497.</w:t>
      </w:r>
      <w:r>
        <w:tab/>
        <w:t>С учетом соблюдения содержащихся в постановлениях условий при строительстве или реконструкции существующих городских или сельских населенных пунктов основное внимание уделяется состоянию имеющейся инфраструктуры.</w:t>
      </w:r>
    </w:p>
    <w:p w:rsidR="00000000" w:rsidRDefault="00000000"/>
    <w:p w:rsidR="00000000" w:rsidRDefault="00000000">
      <w:r>
        <w:t>498.</w:t>
      </w:r>
      <w:r>
        <w:tab/>
        <w:t>В соответствии с макроэкономической политикой правительства на 2003 год, в основу которой заложена рационализация бюджетных расходов, утвержденная на 2003 год программа строительства и эксплуатации принадлежащих правительству квартир частично реализуется благодаря выполнению проекта строительства квартир, подлежащих сдаче в аренду малообеспеченным гражданам, - бюджетная статья 1340 "Субсидируемое жилье" - с финансированием частично за счет кредита Банка развития Совета Европы, а также благодаря завершению строительства уже начатых объектов и тех, которые были намечены в соответствии с предыдущими ежегодными программами.</w:t>
      </w:r>
    </w:p>
    <w:p w:rsidR="00000000" w:rsidRDefault="00000000"/>
    <w:p w:rsidR="00000000" w:rsidRDefault="00000000">
      <w:r>
        <w:t>499.</w:t>
      </w:r>
      <w:r>
        <w:tab/>
        <w:t>Основные проблемы, с которыми сталкивается правительство в сфере осуществления права на жилище, связаны с нехваткой средств для осуществления правительственной программы строительства 10 000 субсидируемых квартир, предназначенных для сдачи в аренду малообеспеченным лицам, бездомным и молодым семьям.  Еще одна проблема в данной области состоит в отсутствии общественных фондов, способных выполнять функции накопительных или кредитных ассоциаций, средства которых могут быть использованы для строительства, реконструкции, капитально-технического обслуживания многоквартирных домов.</w:t>
      </w:r>
    </w:p>
    <w:p w:rsidR="00000000" w:rsidRDefault="00000000"/>
    <w:p w:rsidR="00000000" w:rsidRDefault="00000000">
      <w:r>
        <w:t>500.</w:t>
      </w:r>
      <w:r>
        <w:tab/>
        <w:t>После конфликта 2001 года в бывшей югославской Республике Македонии ряд международных организаций и правительств иностранных государств оказали содействие и предоставили безвозмездную помощь в целях восстановления разрушенных зданий.</w:t>
      </w:r>
    </w:p>
    <w:p w:rsidR="00000000" w:rsidRDefault="00000000"/>
    <w:p w:rsidR="00000000" w:rsidRDefault="00000000">
      <w:r>
        <w:t>501.</w:t>
      </w:r>
      <w:r>
        <w:tab/>
        <w:t>Первая стадия работ по восстановлению поврежденных и разрушенных в ходе конфликта зданий началась в 2002 году на основе такой предоставленной преимущественно Управлением Верховного комиссара Организации Объединенных Наций по делам беженцев помощи, как материалы для поврежденных объектов I и II категорий, а также для необходимой инфраструктуры.  Вторая стадия началась с проектов реконструкции и восстановления жилья, осуществляемых правительствами Германии, Нидерландов, Италии и других государств - членов ЕС в рамках Европейского агентства по реконструкции и прочих европейских учреждений.  Ожидается, что эта вторая стадия будет завершена к началу 2006 года, когда завершится процесс восстановления зданий, пострадавших во время конфликта 2001 года.</w:t>
      </w:r>
    </w:p>
    <w:p w:rsidR="00000000" w:rsidRDefault="00000000"/>
    <w:p w:rsidR="00000000" w:rsidRDefault="00000000">
      <w:r>
        <w:t>502.</w:t>
      </w:r>
      <w:r>
        <w:tab/>
        <w:t>В настоящее время продолжается реконструкция коммерческих и жилых помещений, осуществляемая в рамках проекта по восстановлению регионов, затронутых конфликтом 2001 года.</w:t>
      </w:r>
    </w:p>
    <w:p w:rsidR="00000000" w:rsidRDefault="00000000"/>
    <w:p w:rsidR="00000000" w:rsidRDefault="00000000">
      <w:r>
        <w:t>503.</w:t>
      </w:r>
      <w:r>
        <w:tab/>
        <w:t>Что касается обеспечения надлежащих условий для жизни, то за последний период было подготовлено пять законов в области охраны окружающей среды, три из которых были приняты парламентом:  Закон об охране природы, Закон о качестве воздуха, Закон об утилизации отходов, а два других закона находятся на рассмотрении парламента:  закон об окружающей среде и закон о водных ресурсах.</w:t>
      </w:r>
    </w:p>
    <w:p w:rsidR="00000000" w:rsidRDefault="00000000"/>
    <w:p w:rsidR="00000000" w:rsidRDefault="00000000">
      <w:r>
        <w:t>504.</w:t>
      </w:r>
      <w:r>
        <w:tab/>
        <w:t>Эти пять законов включают в себя положения, содержащиеся в ратифицированных государством международных конвенциях о защите окружающей среды и предусматривают административные и экономические меры, направленные на эффективное использование природных ресурсов, а также конкретную программу мер по их соблюдению.  Таким образом, эти законы предусматривают юридическое определение эффективного управления природными ресурсами, что в свою очередь означает, что этот вопрос будет являться неотъемлемым компонентом политики в области планирования и сельскохозяйственного развития.</w:t>
      </w:r>
    </w:p>
    <w:p w:rsidR="00000000" w:rsidRDefault="00000000"/>
    <w:p w:rsidR="00000000" w:rsidRDefault="00000000">
      <w:pPr>
        <w:rPr>
          <w:b/>
          <w:bCs/>
        </w:rPr>
      </w:pPr>
      <w:r>
        <w:rPr>
          <w:b/>
          <w:bCs/>
        </w:rPr>
        <w:t>Распределение, зонирование и планирование землепользования</w:t>
      </w:r>
    </w:p>
    <w:p w:rsidR="00000000" w:rsidRDefault="00000000">
      <w:pPr>
        <w:rPr>
          <w:b/>
          <w:bCs/>
        </w:rPr>
      </w:pPr>
    </w:p>
    <w:p w:rsidR="00000000" w:rsidRDefault="00000000">
      <w:r>
        <w:t>505.</w:t>
      </w:r>
      <w:r>
        <w:tab/>
        <w:t>Основные данные по этому вопросу содержатся в Территориальном плане бывшей югославской Республики Македонии (утвержденном парламентом в 2004 году) и в Законе о соблюдении Территориального плана бывшей югославской Республики Македонии (принятом в 2004 году).</w:t>
      </w:r>
    </w:p>
    <w:p w:rsidR="00000000" w:rsidRDefault="00000000"/>
    <w:p w:rsidR="00000000" w:rsidRDefault="00000000">
      <w:r>
        <w:t>506.</w:t>
      </w:r>
      <w:r>
        <w:tab/>
        <w:t>Территориальный план является важнейшим долгосрочным комплексным стратегическим документом, в котором вплоть до 2020 года определены социально-экономические основы для разработки, использования и охраны природных ресурсов, демографические прогнозы и организация населенных пунктов, концепция развития транспорта и коммуникаций, вопросы охраны окружающей среды, природного и культурного наследия.  В общих чертах в Территориальном плане заложена основа для рационального и эффективного землепользования.  В целях осуществления Территориального плана на нижестоящих уровнях будут разработаны планы территориального и городского развития.  В настоящее время разрабатывается закон о территориальном и городском планировании.</w:t>
      </w:r>
    </w:p>
    <w:p w:rsidR="00000000" w:rsidRDefault="00000000"/>
    <w:p w:rsidR="00000000" w:rsidRDefault="00000000">
      <w:r>
        <w:t>507.</w:t>
      </w:r>
      <w:r>
        <w:tab/>
        <w:t>Одна из основных задач плана касается сбережения, рационального использования и защиты природных ресурсов, при этом в качестве приоритетных направлений деятельности данный План предусматривает охрану сельскохозяйственных угодий, сохранение качества и естественного плодородия земель.</w:t>
      </w:r>
    </w:p>
    <w:p w:rsidR="00000000" w:rsidRDefault="00000000"/>
    <w:p w:rsidR="00000000" w:rsidRDefault="00000000">
      <w:pPr>
        <w:jc w:val="center"/>
        <w:rPr>
          <w:b/>
          <w:bCs/>
        </w:rPr>
      </w:pPr>
      <w:r>
        <w:rPr>
          <w:b/>
          <w:bCs/>
        </w:rPr>
        <w:t>Статья 12 Пакта</w:t>
      </w:r>
    </w:p>
    <w:p w:rsidR="00000000" w:rsidRDefault="00000000">
      <w:pPr>
        <w:jc w:val="center"/>
        <w:rPr>
          <w:b/>
          <w:bCs/>
        </w:rPr>
      </w:pPr>
    </w:p>
    <w:p w:rsidR="00000000" w:rsidRDefault="00000000">
      <w:r>
        <w:t>508.</w:t>
      </w:r>
      <w:r>
        <w:tab/>
        <w:t>Отмечается сокращение числа мертворожденных детей и уровня смертности новорожденных, а также развитие охраны здоровья ребенка.</w:t>
      </w:r>
    </w:p>
    <w:p w:rsidR="00000000" w:rsidRDefault="00000000"/>
    <w:p w:rsidR="00000000" w:rsidRDefault="00000000">
      <w:r>
        <w:t>509.</w:t>
      </w:r>
      <w:r>
        <w:tab/>
        <w:t>Здравоохранение в бывшей югославской Республике Македонии, в частности, включает постоянные профилактические меры и действия, направленные на укрепление состояния здоровья и повышение качества медицинской помощи, предоставляемой детям и женщинам детородного возраста.</w:t>
      </w:r>
    </w:p>
    <w:p w:rsidR="00000000" w:rsidRDefault="00000000"/>
    <w:p w:rsidR="00000000" w:rsidRDefault="00000000">
      <w:pPr>
        <w:jc w:val="center"/>
        <w:rPr>
          <w:b/>
          <w:bCs/>
        </w:rPr>
      </w:pPr>
      <w:r>
        <w:rPr>
          <w:b/>
          <w:bCs/>
        </w:rPr>
        <w:t>Диаграмма 1</w:t>
      </w:r>
    </w:p>
    <w:p w:rsidR="00000000" w:rsidRDefault="00000000">
      <w:pPr>
        <w:jc w:val="center"/>
        <w:rPr>
          <w:b/>
          <w:bCs/>
        </w:rPr>
      </w:pPr>
    </w:p>
    <w:p w:rsidR="00000000" w:rsidRDefault="00000000">
      <w:pPr>
        <w:jc w:val="center"/>
        <w:rPr>
          <w:b/>
          <w:bCs/>
        </w:rPr>
      </w:pPr>
      <w:r>
        <w:rPr>
          <w:b/>
          <w:bCs/>
        </w:rPr>
        <w:t>Структура населения бывшей югославской Республики Македонии</w:t>
      </w:r>
    </w:p>
    <w:p w:rsidR="00000000" w:rsidRDefault="00000000">
      <w:pPr>
        <w:jc w:val="center"/>
        <w:rPr>
          <w:b/>
          <w:bCs/>
        </w:rPr>
      </w:pPr>
      <w:r>
        <w:rPr>
          <w:b/>
          <w:bCs/>
        </w:rPr>
        <w:t>по возрастным группам</w:t>
      </w:r>
    </w:p>
    <w:p w:rsidR="00000000" w:rsidRDefault="00000000">
      <w:pPr>
        <w:jc w:val="center"/>
        <w:rPr>
          <w:b/>
          <w:bCs/>
        </w:rPr>
      </w:pPr>
    </w:p>
    <w:bookmarkStart w:id="5" w:name="_MON_1211368427"/>
    <w:bookmarkStart w:id="6" w:name="_MON_1211368706"/>
    <w:bookmarkStart w:id="7" w:name="_MON_1211368964"/>
    <w:bookmarkStart w:id="8" w:name="_MON_1211369040"/>
    <w:bookmarkStart w:id="9" w:name="_MON_1211369103"/>
    <w:bookmarkStart w:id="10" w:name="_MON_1211369170"/>
    <w:bookmarkStart w:id="11" w:name="_MON_1211369272"/>
    <w:bookmarkStart w:id="12" w:name="_MON_1211369327"/>
    <w:bookmarkStart w:id="13" w:name="_MON_1211369375"/>
    <w:bookmarkStart w:id="14" w:name="_MON_1222005285"/>
    <w:bookmarkStart w:id="15" w:name="_MON_1222005516"/>
    <w:bookmarkEnd w:id="5"/>
    <w:bookmarkEnd w:id="6"/>
    <w:bookmarkEnd w:id="7"/>
    <w:bookmarkEnd w:id="8"/>
    <w:bookmarkEnd w:id="9"/>
    <w:bookmarkEnd w:id="10"/>
    <w:bookmarkEnd w:id="11"/>
    <w:bookmarkEnd w:id="12"/>
    <w:bookmarkEnd w:id="13"/>
    <w:bookmarkEnd w:id="14"/>
    <w:bookmarkEnd w:id="15"/>
    <w:p w:rsidR="00000000" w:rsidRDefault="00000000">
      <w:pPr>
        <w:jc w:val="center"/>
      </w:pPr>
      <w:r>
        <w:object w:dxaOrig="9329" w:dyaOrig="3407">
          <v:shape id="_x0000_i1026" type="#_x0000_t75" style="width:466.5pt;height:170.25pt" o:ole="">
            <v:imagedata r:id="rId9" o:title=""/>
          </v:shape>
          <o:OLEObject Type="Embed" ProgID="Word.Picture.8" ShapeID="_x0000_i1026" DrawAspect="Content" ObjectID="_1395883169" r:id="rId10"/>
        </w:object>
      </w:r>
    </w:p>
    <w:p w:rsidR="00000000" w:rsidRDefault="00000000">
      <w:pPr>
        <w:jc w:val="center"/>
      </w:pPr>
    </w:p>
    <w:p w:rsidR="00000000" w:rsidRDefault="00000000">
      <w:r>
        <w:t>510.</w:t>
      </w:r>
      <w:r>
        <w:tab/>
        <w:t>Доля женщин детородного возраста и детей в возрасте от 0 до 18 лет в общей структуре населения составляет 54%</w:t>
      </w:r>
      <w:r>
        <w:rPr>
          <w:b/>
          <w:bCs/>
          <w:vertAlign w:val="superscript"/>
        </w:rPr>
        <w:t>10</w:t>
      </w:r>
      <w:r>
        <w:t>.  На возрастную группу детей младше шести лет приходится 8,9% от общей численности населения, и их количество значительно сократилось за последние несколько десятилетий (например, в 1971 году их доля составляла 13,7%).</w:t>
      </w:r>
    </w:p>
    <w:p w:rsidR="00000000" w:rsidRDefault="00000000"/>
    <w:p w:rsidR="00000000" w:rsidRDefault="00000000">
      <w:r>
        <w:t>511.</w:t>
      </w:r>
      <w:r>
        <w:tab/>
        <w:t>Охрана здоровья женщин репродуктивного возраста и детей охватывает все биологические, медицинские и социальные аспекты деторождения, материнства, здоровья и развития детей как индивидуумов и как групп населения.</w:t>
      </w:r>
    </w:p>
    <w:p w:rsidR="00000000" w:rsidRDefault="00000000"/>
    <w:p w:rsidR="00000000" w:rsidRDefault="00000000">
      <w:r>
        <w:t>512.</w:t>
      </w:r>
      <w:r>
        <w:tab/>
        <w:t>Существует множество причин, по которым социальное и медицинское благополучие женщин и детей имеет особое значение для общества в контексте здравоохранительной политики любой страны.</w:t>
      </w:r>
    </w:p>
    <w:p w:rsidR="00000000" w:rsidRDefault="00000000"/>
    <w:p w:rsidR="00000000" w:rsidRDefault="00000000">
      <w:r>
        <w:t>513.</w:t>
      </w:r>
      <w:r>
        <w:tab/>
        <w:t>Укрепление здоровья женщин и детей становится все более распространенной практикой инвестирования средств в развитие человеческого потенциала и экономики в любом обществе ("Здоровье для всех к 2002 году", Цели 7 и 8 Декларации тысячелетия в области развития).  Это наиболее уязвимая часть населения в медицинском и социальном плане.  Поэтому здоровье женщин и детей имеет особое социальное значение для страны.</w:t>
      </w:r>
    </w:p>
    <w:p w:rsidR="00000000" w:rsidRDefault="00000000"/>
    <w:p w:rsidR="00000000" w:rsidRDefault="00000000">
      <w:r>
        <w:t>514.</w:t>
      </w:r>
      <w:r>
        <w:tab/>
        <w:t>За последний регистрируемый период были достигнуты значительные результаты в области укрепления состояния здоровья и защиты женщин и детей.  Сократился уровень смертности новорожденных и детей младшего возраста, а также были отмечены позитивные изменения в отношении причин смерти и возрастной структуры умерших детей.</w:t>
      </w:r>
    </w:p>
    <w:p w:rsidR="00000000" w:rsidRDefault="00000000"/>
    <w:p w:rsidR="00000000" w:rsidRDefault="00000000">
      <w:r>
        <w:t>515.</w:t>
      </w:r>
      <w:r>
        <w:tab/>
        <w:t>Произошло значительное сокращение числа зарегистрированных инфекционных болезней, особенно тех, против которых существует обязательная вакцинация, а некоторые из них были искоренены.</w:t>
      </w:r>
    </w:p>
    <w:p w:rsidR="00000000" w:rsidRDefault="00000000"/>
    <w:p w:rsidR="00000000" w:rsidRDefault="00000000">
      <w:r>
        <w:t>516.</w:t>
      </w:r>
      <w:r>
        <w:tab/>
        <w:t>Ответственность сектора здравоохранения за социальное и медицинское благополучие данной уязвимой части населения не является изолированной, а зависит от развития всех социальных секторов в стране.  Одним из основных определяющих факторов, влияющих на здоровье всего населения, и особенно уязвимых групп, преимущественно новорожденных и детей младшего возраста, является нищета.  По данным Государственного статистического управления</w:t>
      </w:r>
      <w:r>
        <w:rPr>
          <w:b/>
          <w:bCs/>
          <w:vertAlign w:val="superscript"/>
        </w:rPr>
        <w:t>11</w:t>
      </w:r>
      <w:r>
        <w:t>, в 2002 году общий кумулятивный индекс нищеты</w:t>
      </w:r>
      <w:r>
        <w:rPr>
          <w:b/>
          <w:bCs/>
          <w:vertAlign w:val="superscript"/>
        </w:rPr>
        <w:t>12</w:t>
      </w:r>
      <w:r>
        <w:t xml:space="preserve"> был наиболее высоким среди семей с детьми до семи лет (38,0), что свидетельствует об увеличении на 13,4% по сравнению с 2000 годом.  Неблагоприятные экономические тенденции и тенденции развития, отразившиеся в увеличении общего индекса нищеты, могут ухудшить состояние здоровья данной части населения в будущем.</w:t>
      </w:r>
    </w:p>
    <w:p w:rsidR="00000000" w:rsidRDefault="00000000">
      <w:pPr>
        <w:rPr>
          <w:sz w:val="16"/>
        </w:rPr>
      </w:pPr>
    </w:p>
    <w:p w:rsidR="00000000" w:rsidRDefault="00000000">
      <w:pPr>
        <w:rPr>
          <w:b/>
          <w:bCs/>
        </w:rPr>
      </w:pPr>
      <w:r>
        <w:rPr>
          <w:b/>
          <w:bCs/>
        </w:rPr>
        <w:t>Демографические особенности населения</w:t>
      </w:r>
    </w:p>
    <w:p w:rsidR="00000000" w:rsidRDefault="00000000">
      <w:pPr>
        <w:rPr>
          <w:sz w:val="16"/>
        </w:rPr>
      </w:pPr>
    </w:p>
    <w:p w:rsidR="00000000" w:rsidRDefault="00000000">
      <w:r>
        <w:t>517.</w:t>
      </w:r>
      <w:r>
        <w:tab/>
        <w:t xml:space="preserve">В середине прошлого века, в условиях чрезвычайно высокого уровня младенческой смертности (более </w:t>
      </w:r>
      <w:proofErr w:type="spellStart"/>
      <w:r>
        <w:t>160%</w:t>
      </w:r>
      <w:proofErr w:type="spellEnd"/>
      <w:r>
        <w:t xml:space="preserve">), страна относилась к регионам с высоким уровнем рождаемости как в пределах бывшей югославской федерации, так и в более широком европейском контексте, имея уровень рождаемости в размере 40,3% и уровень прироста населения - 25,6%. </w:t>
      </w:r>
    </w:p>
    <w:p w:rsidR="00000000" w:rsidRDefault="00000000">
      <w:pPr>
        <w:rPr>
          <w:sz w:val="16"/>
        </w:rPr>
      </w:pPr>
    </w:p>
    <w:p w:rsidR="00000000" w:rsidRDefault="00000000">
      <w:pPr>
        <w:spacing w:line="240" w:lineRule="auto"/>
        <w:jc w:val="center"/>
        <w:rPr>
          <w:b/>
          <w:bCs/>
        </w:rPr>
      </w:pPr>
      <w:r>
        <w:rPr>
          <w:b/>
          <w:bCs/>
        </w:rPr>
        <w:t>Диаграмма 2</w:t>
      </w:r>
    </w:p>
    <w:p w:rsidR="00000000" w:rsidRDefault="00000000">
      <w:pPr>
        <w:spacing w:line="240" w:lineRule="auto"/>
        <w:jc w:val="center"/>
        <w:rPr>
          <w:sz w:val="16"/>
        </w:rPr>
      </w:pPr>
    </w:p>
    <w:p w:rsidR="00000000" w:rsidRDefault="00000000">
      <w:pPr>
        <w:spacing w:line="240" w:lineRule="auto"/>
        <w:jc w:val="center"/>
        <w:rPr>
          <w:b/>
          <w:bCs/>
        </w:rPr>
      </w:pPr>
      <w:r>
        <w:rPr>
          <w:b/>
          <w:bCs/>
        </w:rPr>
        <w:t>Демографические тенденции в бывшей югославской Республике Македонии</w:t>
      </w:r>
      <w:r>
        <w:rPr>
          <w:b/>
          <w:bCs/>
        </w:rPr>
        <w:br/>
        <w:t>(1970-2003 годы)</w:t>
      </w:r>
    </w:p>
    <w:bookmarkStart w:id="16" w:name="_MON_1211367091"/>
    <w:bookmarkStart w:id="17" w:name="_MON_1211368017"/>
    <w:bookmarkStart w:id="18" w:name="_MON_1211376228"/>
    <w:bookmarkStart w:id="19" w:name="_MON_1211376313"/>
    <w:bookmarkStart w:id="20" w:name="_MON_1222090708"/>
    <w:bookmarkStart w:id="21" w:name="_MON_1222090812"/>
    <w:bookmarkEnd w:id="16"/>
    <w:bookmarkEnd w:id="17"/>
    <w:bookmarkEnd w:id="18"/>
    <w:bookmarkEnd w:id="19"/>
    <w:bookmarkEnd w:id="20"/>
    <w:bookmarkEnd w:id="21"/>
    <w:p w:rsidR="00000000" w:rsidRDefault="00000000">
      <w:pPr>
        <w:jc w:val="center"/>
      </w:pPr>
      <w:r>
        <w:object w:dxaOrig="6631" w:dyaOrig="2998">
          <v:shape id="_x0000_i1027" type="#_x0000_t75" style="width:331.5pt;height:150pt" o:ole="">
            <v:imagedata r:id="rId11" o:title=""/>
          </v:shape>
          <o:OLEObject Type="Embed" ProgID="Word.Picture.8" ShapeID="_x0000_i1027" DrawAspect="Content" ObjectID="_1395883170" r:id="rId12"/>
        </w:object>
      </w:r>
    </w:p>
    <w:p w:rsidR="00000000" w:rsidRDefault="00000000">
      <w:pPr>
        <w:jc w:val="center"/>
        <w:rPr>
          <w:sz w:val="16"/>
        </w:rPr>
      </w:pPr>
    </w:p>
    <w:p w:rsidR="00000000" w:rsidRDefault="00000000">
      <w:r>
        <w:t>518.</w:t>
      </w:r>
      <w:r>
        <w:tab/>
        <w:t>Резкое сокращение уровня младенческой смертности начиная с указанного периода и по сегодняшний день, наряду с социальными и общественными изменениями, характерными для указанного периода, привели к изменениям репродуктивного поведения населения в целом.  Уровень рождаемости постоянно сокращается, в то время как в результате увеличения общего уровня смертности происходит сокращение темпов прироста населения.</w:t>
      </w:r>
    </w:p>
    <w:p w:rsidR="00000000" w:rsidRDefault="00000000">
      <w:pPr>
        <w:rPr>
          <w:sz w:val="16"/>
        </w:rPr>
      </w:pPr>
    </w:p>
    <w:p w:rsidR="00000000" w:rsidRDefault="00000000">
      <w:r>
        <w:t>519.</w:t>
      </w:r>
      <w:r>
        <w:tab/>
        <w:t xml:space="preserve">В 2003 году бывшая югославская Республика Македония при уровне рождаемости в </w:t>
      </w:r>
      <w:proofErr w:type="spellStart"/>
      <w:r>
        <w:t>13,3%</w:t>
      </w:r>
      <w:proofErr w:type="spellEnd"/>
      <w:r>
        <w:t xml:space="preserve">, общем уровне смертности в </w:t>
      </w:r>
      <w:proofErr w:type="spellStart"/>
      <w:r>
        <w:t>8,9%</w:t>
      </w:r>
      <w:proofErr w:type="spellEnd"/>
      <w:r>
        <w:t xml:space="preserve"> и приросте населения в </w:t>
      </w:r>
      <w:proofErr w:type="spellStart"/>
      <w:r>
        <w:t>4,4%</w:t>
      </w:r>
      <w:proofErr w:type="spellEnd"/>
      <w:r>
        <w:t xml:space="preserve"> в демографическом плане находится на третьем этапе переходного периода, который считается благоприятным и социально приемлемым уровнем прироста.  </w:t>
      </w:r>
    </w:p>
    <w:p w:rsidR="00000000" w:rsidRDefault="00000000"/>
    <w:p w:rsidR="00000000" w:rsidRDefault="00000000">
      <w:r>
        <w:t>520.</w:t>
      </w:r>
      <w:r>
        <w:tab/>
        <w:t>Вместе с тем анализ демографических тенденций в отдельных областях показывает выраженную неоднозначность и региональные демографические контрасты по сравнению с тенденциями, характерными для глобального уровня.</w:t>
      </w:r>
    </w:p>
    <w:p w:rsidR="00000000" w:rsidRDefault="00000000"/>
    <w:p w:rsidR="00000000" w:rsidRDefault="00000000">
      <w:pPr>
        <w:jc w:val="center"/>
        <w:rPr>
          <w:b/>
          <w:bCs/>
        </w:rPr>
      </w:pPr>
      <w:r>
        <w:rPr>
          <w:b/>
          <w:bCs/>
        </w:rPr>
        <w:br w:type="page"/>
        <w:t>Диаграмма 3</w:t>
      </w:r>
    </w:p>
    <w:p w:rsidR="00000000" w:rsidRDefault="00000000">
      <w:pPr>
        <w:jc w:val="center"/>
        <w:rPr>
          <w:b/>
          <w:bCs/>
        </w:rPr>
      </w:pPr>
    </w:p>
    <w:p w:rsidR="00000000" w:rsidRDefault="00000000">
      <w:pPr>
        <w:spacing w:after="120"/>
        <w:jc w:val="center"/>
        <w:rPr>
          <w:b/>
          <w:bCs/>
        </w:rPr>
      </w:pPr>
      <w:r>
        <w:rPr>
          <w:b/>
          <w:bCs/>
        </w:rPr>
        <w:t>Уровень рождаемости и темпы прироста населения в различных муниципалитетах бывшей югославской Республики Македонии в 2003 году</w:t>
      </w:r>
    </w:p>
    <w:bookmarkStart w:id="22" w:name="_MON_1211368379"/>
    <w:bookmarkStart w:id="23" w:name="_MON_1222090880"/>
    <w:bookmarkEnd w:id="22"/>
    <w:bookmarkEnd w:id="23"/>
    <w:p w:rsidR="00000000" w:rsidRDefault="00000000">
      <w:pPr>
        <w:jc w:val="center"/>
      </w:pPr>
      <w:r>
        <w:object w:dxaOrig="8608" w:dyaOrig="2998">
          <v:shape id="_x0000_i1028" type="#_x0000_t75" style="width:430.5pt;height:150pt" o:ole="">
            <v:imagedata r:id="rId13" o:title=""/>
          </v:shape>
          <o:OLEObject Type="Embed" ProgID="Word.Picture.8" ShapeID="_x0000_i1028" DrawAspect="Content" ObjectID="_1395883171" r:id="rId14"/>
        </w:object>
      </w:r>
    </w:p>
    <w:p w:rsidR="00000000" w:rsidRDefault="00000000">
      <w:pPr>
        <w:jc w:val="center"/>
      </w:pPr>
    </w:p>
    <w:p w:rsidR="00000000" w:rsidRDefault="00000000">
      <w:r>
        <w:t>521.</w:t>
      </w:r>
      <w:r>
        <w:tab/>
        <w:t xml:space="preserve">Демографические контрасты в отношении важнейших показателей являются еще более выраженными в сельских муниципалитетах страны.  В некоторых из них были зарегистрированы крайне низкие уровни рождаемости, позволяющие говорить о </w:t>
      </w:r>
      <w:proofErr w:type="spellStart"/>
      <w:r>
        <w:t>депопуляции</w:t>
      </w:r>
      <w:proofErr w:type="spellEnd"/>
      <w:r>
        <w:t>, в других же отмечались исключительно высокие уровни рождаемости, присущие регионам, где наблюдается демографический взрыв.</w:t>
      </w:r>
    </w:p>
    <w:p w:rsidR="00000000" w:rsidRDefault="00000000"/>
    <w:p w:rsidR="00000000" w:rsidRDefault="00000000">
      <w:r>
        <w:t>522.</w:t>
      </w:r>
      <w:r>
        <w:tab/>
        <w:t xml:space="preserve">Несбалансированное демографическое развитие регионов страны может иметь прямые последствия в виде неблагоприятной динамики медицинских, социальных и экономических </w:t>
      </w:r>
      <w:proofErr w:type="spellStart"/>
      <w:r>
        <w:t>показателей</w:t>
      </w:r>
      <w:r>
        <w:rPr>
          <w:b/>
          <w:bCs/>
          <w:vertAlign w:val="superscript"/>
        </w:rPr>
        <w:t>13</w:t>
      </w:r>
      <w:proofErr w:type="spellEnd"/>
      <w:r>
        <w:t>.</w:t>
      </w:r>
    </w:p>
    <w:p w:rsidR="00000000" w:rsidRDefault="00000000"/>
    <w:p w:rsidR="00000000" w:rsidRDefault="00000000">
      <w:pPr>
        <w:jc w:val="center"/>
        <w:rPr>
          <w:b/>
          <w:bCs/>
        </w:rPr>
      </w:pPr>
      <w:r>
        <w:rPr>
          <w:b/>
          <w:bCs/>
        </w:rPr>
        <w:t>Диаграмма 4</w:t>
      </w:r>
    </w:p>
    <w:p w:rsidR="00000000" w:rsidRDefault="00000000">
      <w:pPr>
        <w:jc w:val="center"/>
        <w:rPr>
          <w:b/>
          <w:bCs/>
        </w:rPr>
      </w:pPr>
    </w:p>
    <w:p w:rsidR="00000000" w:rsidRDefault="00000000">
      <w:pPr>
        <w:spacing w:after="120"/>
        <w:jc w:val="center"/>
        <w:rPr>
          <w:b/>
          <w:bCs/>
        </w:rPr>
      </w:pPr>
      <w:r>
        <w:rPr>
          <w:b/>
          <w:bCs/>
        </w:rPr>
        <w:t>Уровни рождаемости и темпы прироста населения в ряде сельских муниципалитетов бывшей югославской Республики Македонии в 2003 году</w:t>
      </w:r>
    </w:p>
    <w:bookmarkStart w:id="24" w:name="_MON_1211368981"/>
    <w:bookmarkStart w:id="25" w:name="_MON_1222091037"/>
    <w:bookmarkEnd w:id="24"/>
    <w:bookmarkEnd w:id="25"/>
    <w:p w:rsidR="00000000" w:rsidRDefault="00000000">
      <w:pPr>
        <w:jc w:val="center"/>
      </w:pPr>
      <w:r>
        <w:object w:dxaOrig="8608" w:dyaOrig="2965">
          <v:shape id="_x0000_i1029" type="#_x0000_t75" style="width:430.5pt;height:148.5pt" o:ole="">
            <v:imagedata r:id="rId15" o:title=""/>
          </v:shape>
          <o:OLEObject Type="Embed" ProgID="Word.Picture.8" ShapeID="_x0000_i1029" DrawAspect="Content" ObjectID="_1395883172" r:id="rId16"/>
        </w:object>
      </w:r>
    </w:p>
    <w:p w:rsidR="00000000" w:rsidRDefault="00000000">
      <w:pPr>
        <w:jc w:val="center"/>
      </w:pPr>
    </w:p>
    <w:p w:rsidR="00000000" w:rsidRDefault="00000000">
      <w:r>
        <w:t>523.</w:t>
      </w:r>
      <w:r>
        <w:tab/>
        <w:t xml:space="preserve">За последние десять лет общее количество </w:t>
      </w:r>
      <w:proofErr w:type="spellStart"/>
      <w:r>
        <w:t>живорождений</w:t>
      </w:r>
      <w:proofErr w:type="spellEnd"/>
      <w:r>
        <w:t xml:space="preserve"> в стране продолжало сокращаться, и в 2003 году достигло 27 011.  По сравнению с 1993 годом, количество живорожденных сократилось на </w:t>
      </w:r>
      <w:proofErr w:type="spellStart"/>
      <w:r>
        <w:t>16,6%</w:t>
      </w:r>
      <w:proofErr w:type="spellEnd"/>
      <w:r>
        <w:t>.</w:t>
      </w:r>
    </w:p>
    <w:p w:rsidR="00000000" w:rsidRDefault="00000000"/>
    <w:p w:rsidR="00000000" w:rsidRDefault="00000000">
      <w:r>
        <w:t>524.</w:t>
      </w:r>
      <w:r>
        <w:tab/>
        <w:t xml:space="preserve">При распределении </w:t>
      </w:r>
      <w:proofErr w:type="spellStart"/>
      <w:r>
        <w:t>живорождений</w:t>
      </w:r>
      <w:proofErr w:type="spellEnd"/>
      <w:r>
        <w:t xml:space="preserve"> по признаку этнической принадлежности матерей:  </w:t>
      </w:r>
      <w:proofErr w:type="spellStart"/>
      <w:r>
        <w:t>49,4%</w:t>
      </w:r>
      <w:proofErr w:type="spellEnd"/>
      <w:r>
        <w:t xml:space="preserve"> приходится на македонок, </w:t>
      </w:r>
      <w:proofErr w:type="spellStart"/>
      <w:r>
        <w:t>36,1%</w:t>
      </w:r>
      <w:proofErr w:type="spellEnd"/>
      <w:r>
        <w:t xml:space="preserve"> - на албанок, </w:t>
      </w:r>
      <w:proofErr w:type="spellStart"/>
      <w:r>
        <w:t>4,4%</w:t>
      </w:r>
      <w:proofErr w:type="spellEnd"/>
      <w:r>
        <w:t xml:space="preserve"> - на турчанок, </w:t>
      </w:r>
      <w:proofErr w:type="spellStart"/>
      <w:r>
        <w:t>6,2%</w:t>
      </w:r>
      <w:proofErr w:type="spellEnd"/>
      <w:r>
        <w:t> </w:t>
      </w:r>
      <w:r>
        <w:noBreakHyphen/>
        <w:t xml:space="preserve"> на рома, а </w:t>
      </w:r>
      <w:proofErr w:type="spellStart"/>
      <w:r>
        <w:t>3,8%</w:t>
      </w:r>
      <w:proofErr w:type="spellEnd"/>
      <w:r>
        <w:t xml:space="preserve"> матерей принадлежат к другим этническим общинам.  В распределении по этническим общинам, к которым принадлежат матери, наибольший спад </w:t>
      </w:r>
      <w:proofErr w:type="spellStart"/>
      <w:r>
        <w:t>живорождений</w:t>
      </w:r>
      <w:proofErr w:type="spellEnd"/>
      <w:r>
        <w:t>, по сравнению с показателем 1993 года (</w:t>
      </w:r>
      <w:proofErr w:type="spellStart"/>
      <w:r>
        <w:t>18,6%</w:t>
      </w:r>
      <w:proofErr w:type="spellEnd"/>
      <w:r>
        <w:t>), наблюдался среди турок (</w:t>
      </w:r>
      <w:proofErr w:type="spellStart"/>
      <w:r>
        <w:t>28,6%</w:t>
      </w:r>
      <w:proofErr w:type="spellEnd"/>
      <w:r>
        <w:t>) и македонцев (</w:t>
      </w:r>
      <w:proofErr w:type="spellStart"/>
      <w:r>
        <w:t>23,1%</w:t>
      </w:r>
      <w:proofErr w:type="spellEnd"/>
      <w:r>
        <w:t xml:space="preserve">), в то время как в случае рома был отмечен прирост в размере </w:t>
      </w:r>
      <w:proofErr w:type="spellStart"/>
      <w:r>
        <w:t>49,9%</w:t>
      </w:r>
      <w:proofErr w:type="spellEnd"/>
      <w:r>
        <w:t>.</w:t>
      </w:r>
    </w:p>
    <w:p w:rsidR="00000000" w:rsidRDefault="00000000"/>
    <w:p w:rsidR="00000000" w:rsidRDefault="00000000">
      <w:pPr>
        <w:jc w:val="center"/>
        <w:rPr>
          <w:b/>
          <w:bCs/>
        </w:rPr>
      </w:pPr>
      <w:r>
        <w:rPr>
          <w:b/>
          <w:bCs/>
        </w:rPr>
        <w:t xml:space="preserve">Количество </w:t>
      </w:r>
      <w:proofErr w:type="spellStart"/>
      <w:r>
        <w:rPr>
          <w:b/>
          <w:bCs/>
        </w:rPr>
        <w:t>живорождений</w:t>
      </w:r>
      <w:proofErr w:type="spellEnd"/>
      <w:r>
        <w:rPr>
          <w:b/>
          <w:bCs/>
        </w:rPr>
        <w:t xml:space="preserve"> в зависимости от возраста матери</w:t>
      </w:r>
    </w:p>
    <w:p w:rsidR="00000000" w:rsidRDefault="00000000">
      <w:pPr>
        <w:jc w:val="center"/>
        <w:rPr>
          <w:b/>
          <w:bCs/>
        </w:rPr>
      </w:pPr>
    </w:p>
    <w:tbl>
      <w:tblPr>
        <w:tblW w:w="0" w:type="auto"/>
        <w:jc w:val="center"/>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04"/>
        <w:gridCol w:w="1476"/>
        <w:gridCol w:w="1476"/>
        <w:gridCol w:w="1476"/>
        <w:gridCol w:w="1145"/>
      </w:tblGrid>
      <w:tr w:rsidR="00000000">
        <w:tblPrEx>
          <w:tblCellMar>
            <w:top w:w="0" w:type="dxa"/>
            <w:bottom w:w="0" w:type="dxa"/>
          </w:tblCellMar>
        </w:tblPrEx>
        <w:trPr>
          <w:cantSplit/>
          <w:jc w:val="center"/>
        </w:trPr>
        <w:tc>
          <w:tcPr>
            <w:tcW w:w="3804" w:type="dxa"/>
            <w:vMerge w:val="restart"/>
            <w:tcBorders>
              <w:top w:val="single" w:sz="4" w:space="0" w:color="auto"/>
              <w:left w:val="single" w:sz="4" w:space="0" w:color="auto"/>
              <w:right w:val="single" w:sz="4" w:space="0" w:color="auto"/>
            </w:tcBorders>
            <w:vAlign w:val="center"/>
          </w:tcPr>
          <w:p w:rsidR="00000000" w:rsidRDefault="00000000">
            <w:pPr>
              <w:jc w:val="center"/>
            </w:pPr>
            <w:r>
              <w:t>Возраст матери</w:t>
            </w:r>
          </w:p>
        </w:tc>
        <w:tc>
          <w:tcPr>
            <w:tcW w:w="2952" w:type="dxa"/>
            <w:gridSpan w:val="2"/>
            <w:tcBorders>
              <w:left w:val="nil"/>
            </w:tcBorders>
          </w:tcPr>
          <w:p w:rsidR="00000000" w:rsidRDefault="00000000">
            <w:pPr>
              <w:jc w:val="center"/>
            </w:pPr>
            <w:r>
              <w:t>1993</w:t>
            </w:r>
          </w:p>
        </w:tc>
        <w:tc>
          <w:tcPr>
            <w:tcW w:w="2621" w:type="dxa"/>
            <w:gridSpan w:val="2"/>
          </w:tcPr>
          <w:p w:rsidR="00000000" w:rsidRDefault="00000000">
            <w:pPr>
              <w:jc w:val="center"/>
            </w:pPr>
            <w:r>
              <w:t>2003</w:t>
            </w:r>
          </w:p>
        </w:tc>
      </w:tr>
      <w:tr w:rsidR="00000000">
        <w:tblPrEx>
          <w:tblCellMar>
            <w:top w:w="0" w:type="dxa"/>
            <w:bottom w:w="0" w:type="dxa"/>
          </w:tblCellMar>
        </w:tblPrEx>
        <w:trPr>
          <w:cantSplit/>
          <w:jc w:val="center"/>
        </w:trPr>
        <w:tc>
          <w:tcPr>
            <w:tcW w:w="3804" w:type="dxa"/>
            <w:vMerge/>
            <w:tcBorders>
              <w:left w:val="single" w:sz="4" w:space="0" w:color="auto"/>
              <w:bottom w:val="nil"/>
              <w:right w:val="single" w:sz="4" w:space="0" w:color="auto"/>
            </w:tcBorders>
          </w:tcPr>
          <w:p w:rsidR="00000000" w:rsidRDefault="00000000">
            <w:pPr>
              <w:jc w:val="center"/>
            </w:pPr>
          </w:p>
        </w:tc>
        <w:tc>
          <w:tcPr>
            <w:tcW w:w="1476" w:type="dxa"/>
            <w:tcBorders>
              <w:left w:val="nil"/>
            </w:tcBorders>
          </w:tcPr>
          <w:p w:rsidR="00000000" w:rsidRDefault="00000000">
            <w:pPr>
              <w:jc w:val="center"/>
            </w:pPr>
            <w:r>
              <w:t>Количество</w:t>
            </w:r>
          </w:p>
        </w:tc>
        <w:tc>
          <w:tcPr>
            <w:tcW w:w="1476" w:type="dxa"/>
            <w:tcBorders>
              <w:left w:val="nil"/>
            </w:tcBorders>
          </w:tcPr>
          <w:p w:rsidR="00000000" w:rsidRDefault="00000000">
            <w:pPr>
              <w:jc w:val="center"/>
            </w:pPr>
            <w:r>
              <w:t>в %</w:t>
            </w:r>
          </w:p>
        </w:tc>
        <w:tc>
          <w:tcPr>
            <w:tcW w:w="1476" w:type="dxa"/>
          </w:tcPr>
          <w:p w:rsidR="00000000" w:rsidRDefault="00000000">
            <w:pPr>
              <w:pStyle w:val="FootnoteText"/>
              <w:spacing w:line="288" w:lineRule="auto"/>
              <w:jc w:val="center"/>
            </w:pPr>
            <w:r>
              <w:t>Количество</w:t>
            </w:r>
          </w:p>
        </w:tc>
        <w:tc>
          <w:tcPr>
            <w:tcW w:w="1145" w:type="dxa"/>
          </w:tcPr>
          <w:p w:rsidR="00000000" w:rsidRDefault="00000000">
            <w:pPr>
              <w:jc w:val="center"/>
            </w:pPr>
            <w:r>
              <w:t>в %</w:t>
            </w:r>
          </w:p>
        </w:tc>
      </w:tr>
      <w:tr w:rsidR="00000000">
        <w:tblPrEx>
          <w:tblCellMar>
            <w:top w:w="0" w:type="dxa"/>
            <w:bottom w:w="0" w:type="dxa"/>
          </w:tblCellMar>
        </w:tblPrEx>
        <w:trPr>
          <w:cantSplit/>
          <w:jc w:val="center"/>
        </w:trPr>
        <w:tc>
          <w:tcPr>
            <w:tcW w:w="3804" w:type="dxa"/>
            <w:tcBorders>
              <w:top w:val="single" w:sz="4" w:space="0" w:color="auto"/>
              <w:left w:val="single" w:sz="4" w:space="0" w:color="auto"/>
              <w:bottom w:val="nil"/>
              <w:right w:val="single" w:sz="4" w:space="0" w:color="auto"/>
            </w:tcBorders>
          </w:tcPr>
          <w:p w:rsidR="00000000" w:rsidRDefault="00000000">
            <w:pPr>
              <w:pStyle w:val="FootnoteText"/>
              <w:spacing w:line="288" w:lineRule="auto"/>
            </w:pPr>
            <w:r>
              <w:t>19 лет и младше</w:t>
            </w:r>
          </w:p>
        </w:tc>
        <w:tc>
          <w:tcPr>
            <w:tcW w:w="1476" w:type="dxa"/>
            <w:tcBorders>
              <w:left w:val="nil"/>
              <w:bottom w:val="nil"/>
            </w:tcBorders>
          </w:tcPr>
          <w:p w:rsidR="00000000" w:rsidRDefault="00000000">
            <w:pPr>
              <w:tabs>
                <w:tab w:val="clear" w:pos="1134"/>
                <w:tab w:val="left" w:pos="961"/>
              </w:tabs>
              <w:ind w:right="299"/>
              <w:jc w:val="right"/>
            </w:pPr>
            <w:r>
              <w:t>3 711</w:t>
            </w:r>
          </w:p>
        </w:tc>
        <w:tc>
          <w:tcPr>
            <w:tcW w:w="1476" w:type="dxa"/>
            <w:tcBorders>
              <w:left w:val="nil"/>
              <w:bottom w:val="nil"/>
            </w:tcBorders>
          </w:tcPr>
          <w:p w:rsidR="00000000" w:rsidRDefault="00000000">
            <w:pPr>
              <w:tabs>
                <w:tab w:val="clear" w:pos="1134"/>
                <w:tab w:val="left" w:pos="794"/>
              </w:tabs>
              <w:ind w:right="279"/>
              <w:jc w:val="right"/>
            </w:pPr>
            <w:r>
              <w:t>11,5 </w:t>
            </w:r>
          </w:p>
        </w:tc>
        <w:tc>
          <w:tcPr>
            <w:tcW w:w="1476" w:type="dxa"/>
            <w:tcBorders>
              <w:bottom w:val="nil"/>
            </w:tcBorders>
          </w:tcPr>
          <w:p w:rsidR="00000000" w:rsidRDefault="00000000">
            <w:pPr>
              <w:tabs>
                <w:tab w:val="clear" w:pos="1134"/>
                <w:tab w:val="left" w:pos="1001"/>
              </w:tabs>
              <w:ind w:right="259"/>
              <w:jc w:val="right"/>
            </w:pPr>
            <w:r>
              <w:t>2 070</w:t>
            </w:r>
          </w:p>
        </w:tc>
        <w:tc>
          <w:tcPr>
            <w:tcW w:w="1145" w:type="dxa"/>
            <w:tcBorders>
              <w:bottom w:val="nil"/>
            </w:tcBorders>
          </w:tcPr>
          <w:p w:rsidR="00000000" w:rsidRDefault="00000000">
            <w:pPr>
              <w:tabs>
                <w:tab w:val="left" w:pos="647"/>
              </w:tabs>
              <w:ind w:right="109"/>
              <w:jc w:val="right"/>
            </w:pPr>
            <w:r>
              <w:t>7,7 </w:t>
            </w:r>
          </w:p>
        </w:tc>
      </w:tr>
      <w:tr w:rsidR="00000000">
        <w:tblPrEx>
          <w:tblCellMar>
            <w:top w:w="0" w:type="dxa"/>
            <w:bottom w:w="0" w:type="dxa"/>
          </w:tblCellMar>
        </w:tblPrEx>
        <w:trPr>
          <w:cantSplit/>
          <w:jc w:val="center"/>
        </w:trPr>
        <w:tc>
          <w:tcPr>
            <w:tcW w:w="3804" w:type="dxa"/>
            <w:tcBorders>
              <w:top w:val="nil"/>
              <w:left w:val="single" w:sz="4" w:space="0" w:color="auto"/>
              <w:bottom w:val="nil"/>
              <w:right w:val="single" w:sz="4" w:space="0" w:color="auto"/>
            </w:tcBorders>
          </w:tcPr>
          <w:p w:rsidR="00000000" w:rsidRDefault="00000000">
            <w:r>
              <w:t>20-29 лет</w:t>
            </w:r>
          </w:p>
        </w:tc>
        <w:tc>
          <w:tcPr>
            <w:tcW w:w="1476" w:type="dxa"/>
            <w:tcBorders>
              <w:top w:val="nil"/>
              <w:left w:val="nil"/>
              <w:bottom w:val="nil"/>
            </w:tcBorders>
          </w:tcPr>
          <w:p w:rsidR="00000000" w:rsidRDefault="00000000">
            <w:pPr>
              <w:tabs>
                <w:tab w:val="clear" w:pos="1134"/>
                <w:tab w:val="left" w:pos="961"/>
              </w:tabs>
              <w:ind w:right="299"/>
              <w:jc w:val="right"/>
            </w:pPr>
            <w:r>
              <w:t>22 631</w:t>
            </w:r>
          </w:p>
        </w:tc>
        <w:tc>
          <w:tcPr>
            <w:tcW w:w="1476" w:type="dxa"/>
            <w:tcBorders>
              <w:top w:val="nil"/>
              <w:left w:val="nil"/>
              <w:bottom w:val="nil"/>
            </w:tcBorders>
          </w:tcPr>
          <w:p w:rsidR="00000000" w:rsidRDefault="00000000">
            <w:pPr>
              <w:tabs>
                <w:tab w:val="clear" w:pos="1134"/>
                <w:tab w:val="left" w:pos="794"/>
              </w:tabs>
              <w:ind w:right="279"/>
              <w:jc w:val="right"/>
            </w:pPr>
            <w:r>
              <w:t>69,9 </w:t>
            </w:r>
          </w:p>
        </w:tc>
        <w:tc>
          <w:tcPr>
            <w:tcW w:w="1476" w:type="dxa"/>
            <w:tcBorders>
              <w:top w:val="nil"/>
              <w:bottom w:val="nil"/>
            </w:tcBorders>
          </w:tcPr>
          <w:p w:rsidR="00000000" w:rsidRDefault="00000000">
            <w:pPr>
              <w:tabs>
                <w:tab w:val="clear" w:pos="1134"/>
                <w:tab w:val="left" w:pos="1001"/>
              </w:tabs>
              <w:ind w:right="259"/>
              <w:jc w:val="right"/>
            </w:pPr>
            <w:r>
              <w:t>18 491</w:t>
            </w:r>
          </w:p>
        </w:tc>
        <w:tc>
          <w:tcPr>
            <w:tcW w:w="1145" w:type="dxa"/>
            <w:tcBorders>
              <w:top w:val="nil"/>
              <w:bottom w:val="nil"/>
            </w:tcBorders>
          </w:tcPr>
          <w:p w:rsidR="00000000" w:rsidRDefault="00000000">
            <w:pPr>
              <w:tabs>
                <w:tab w:val="left" w:pos="647"/>
              </w:tabs>
              <w:ind w:right="109"/>
              <w:jc w:val="right"/>
            </w:pPr>
            <w:r>
              <w:t>68,4 </w:t>
            </w:r>
          </w:p>
        </w:tc>
      </w:tr>
      <w:tr w:rsidR="00000000">
        <w:tblPrEx>
          <w:tblCellMar>
            <w:top w:w="0" w:type="dxa"/>
            <w:bottom w:w="0" w:type="dxa"/>
          </w:tblCellMar>
        </w:tblPrEx>
        <w:trPr>
          <w:cantSplit/>
          <w:jc w:val="center"/>
        </w:trPr>
        <w:tc>
          <w:tcPr>
            <w:tcW w:w="3804" w:type="dxa"/>
            <w:tcBorders>
              <w:top w:val="nil"/>
              <w:left w:val="single" w:sz="4" w:space="0" w:color="auto"/>
              <w:bottom w:val="nil"/>
              <w:right w:val="single" w:sz="4" w:space="0" w:color="auto"/>
            </w:tcBorders>
          </w:tcPr>
          <w:p w:rsidR="00000000" w:rsidRDefault="00000000">
            <w:r>
              <w:t>30-39 лет</w:t>
            </w:r>
          </w:p>
        </w:tc>
        <w:tc>
          <w:tcPr>
            <w:tcW w:w="1476" w:type="dxa"/>
            <w:tcBorders>
              <w:top w:val="nil"/>
              <w:left w:val="nil"/>
              <w:bottom w:val="nil"/>
            </w:tcBorders>
          </w:tcPr>
          <w:p w:rsidR="00000000" w:rsidRDefault="00000000">
            <w:pPr>
              <w:tabs>
                <w:tab w:val="clear" w:pos="1134"/>
                <w:tab w:val="left" w:pos="961"/>
              </w:tabs>
              <w:ind w:right="299"/>
              <w:jc w:val="right"/>
            </w:pPr>
            <w:r>
              <w:t>5 495</w:t>
            </w:r>
          </w:p>
        </w:tc>
        <w:tc>
          <w:tcPr>
            <w:tcW w:w="1476" w:type="dxa"/>
            <w:tcBorders>
              <w:top w:val="nil"/>
              <w:left w:val="nil"/>
              <w:bottom w:val="nil"/>
            </w:tcBorders>
          </w:tcPr>
          <w:p w:rsidR="00000000" w:rsidRDefault="00000000">
            <w:pPr>
              <w:tabs>
                <w:tab w:val="clear" w:pos="1134"/>
                <w:tab w:val="left" w:pos="794"/>
              </w:tabs>
              <w:ind w:right="279"/>
              <w:jc w:val="right"/>
            </w:pPr>
            <w:r>
              <w:t>17    </w:t>
            </w:r>
          </w:p>
        </w:tc>
        <w:tc>
          <w:tcPr>
            <w:tcW w:w="1476" w:type="dxa"/>
            <w:tcBorders>
              <w:top w:val="nil"/>
              <w:bottom w:val="nil"/>
            </w:tcBorders>
          </w:tcPr>
          <w:p w:rsidR="00000000" w:rsidRDefault="00000000">
            <w:pPr>
              <w:tabs>
                <w:tab w:val="clear" w:pos="1134"/>
                <w:tab w:val="left" w:pos="1001"/>
              </w:tabs>
              <w:ind w:right="259"/>
              <w:jc w:val="right"/>
            </w:pPr>
            <w:r>
              <w:t>6 156</w:t>
            </w:r>
          </w:p>
        </w:tc>
        <w:tc>
          <w:tcPr>
            <w:tcW w:w="1145" w:type="dxa"/>
            <w:tcBorders>
              <w:top w:val="nil"/>
              <w:bottom w:val="nil"/>
            </w:tcBorders>
          </w:tcPr>
          <w:p w:rsidR="00000000" w:rsidRDefault="00000000">
            <w:pPr>
              <w:tabs>
                <w:tab w:val="left" w:pos="647"/>
              </w:tabs>
              <w:ind w:right="109"/>
              <w:jc w:val="right"/>
            </w:pPr>
            <w:r>
              <w:t>22,8 </w:t>
            </w:r>
          </w:p>
        </w:tc>
      </w:tr>
      <w:tr w:rsidR="00000000">
        <w:tblPrEx>
          <w:tblCellMar>
            <w:top w:w="0" w:type="dxa"/>
            <w:bottom w:w="0" w:type="dxa"/>
          </w:tblCellMar>
        </w:tblPrEx>
        <w:trPr>
          <w:cantSplit/>
          <w:jc w:val="center"/>
        </w:trPr>
        <w:tc>
          <w:tcPr>
            <w:tcW w:w="3804" w:type="dxa"/>
            <w:tcBorders>
              <w:top w:val="nil"/>
              <w:left w:val="single" w:sz="4" w:space="0" w:color="auto"/>
              <w:bottom w:val="nil"/>
              <w:right w:val="single" w:sz="4" w:space="0" w:color="auto"/>
            </w:tcBorders>
          </w:tcPr>
          <w:p w:rsidR="00000000" w:rsidRDefault="00000000">
            <w:r>
              <w:t>40-49 лет</w:t>
            </w:r>
          </w:p>
        </w:tc>
        <w:tc>
          <w:tcPr>
            <w:tcW w:w="1476" w:type="dxa"/>
            <w:tcBorders>
              <w:top w:val="nil"/>
              <w:left w:val="nil"/>
              <w:bottom w:val="nil"/>
            </w:tcBorders>
          </w:tcPr>
          <w:p w:rsidR="00000000" w:rsidRDefault="00000000">
            <w:pPr>
              <w:tabs>
                <w:tab w:val="clear" w:pos="1134"/>
                <w:tab w:val="left" w:pos="961"/>
              </w:tabs>
              <w:ind w:right="299"/>
              <w:jc w:val="right"/>
            </w:pPr>
            <w:r>
              <w:t>250</w:t>
            </w:r>
          </w:p>
        </w:tc>
        <w:tc>
          <w:tcPr>
            <w:tcW w:w="1476" w:type="dxa"/>
            <w:tcBorders>
              <w:top w:val="nil"/>
              <w:left w:val="nil"/>
              <w:bottom w:val="nil"/>
            </w:tcBorders>
          </w:tcPr>
          <w:p w:rsidR="00000000" w:rsidRDefault="00000000">
            <w:pPr>
              <w:tabs>
                <w:tab w:val="clear" w:pos="1134"/>
                <w:tab w:val="left" w:pos="794"/>
              </w:tabs>
              <w:ind w:right="279"/>
              <w:jc w:val="right"/>
            </w:pPr>
            <w:r>
              <w:t>0,77</w:t>
            </w:r>
          </w:p>
        </w:tc>
        <w:tc>
          <w:tcPr>
            <w:tcW w:w="1476" w:type="dxa"/>
            <w:tcBorders>
              <w:top w:val="nil"/>
              <w:bottom w:val="nil"/>
            </w:tcBorders>
          </w:tcPr>
          <w:p w:rsidR="00000000" w:rsidRDefault="00000000">
            <w:pPr>
              <w:tabs>
                <w:tab w:val="clear" w:pos="1134"/>
                <w:tab w:val="left" w:pos="1001"/>
              </w:tabs>
              <w:ind w:right="259"/>
              <w:jc w:val="right"/>
            </w:pPr>
            <w:r>
              <w:t>258</w:t>
            </w:r>
          </w:p>
        </w:tc>
        <w:tc>
          <w:tcPr>
            <w:tcW w:w="1145" w:type="dxa"/>
            <w:tcBorders>
              <w:top w:val="nil"/>
              <w:bottom w:val="nil"/>
            </w:tcBorders>
          </w:tcPr>
          <w:p w:rsidR="00000000" w:rsidRDefault="00000000">
            <w:pPr>
              <w:tabs>
                <w:tab w:val="left" w:pos="647"/>
              </w:tabs>
              <w:ind w:right="109"/>
              <w:jc w:val="right"/>
            </w:pPr>
            <w:r>
              <w:t>1    </w:t>
            </w:r>
          </w:p>
        </w:tc>
      </w:tr>
      <w:tr w:rsidR="00000000">
        <w:tblPrEx>
          <w:tblCellMar>
            <w:top w:w="0" w:type="dxa"/>
            <w:bottom w:w="0" w:type="dxa"/>
          </w:tblCellMar>
        </w:tblPrEx>
        <w:trPr>
          <w:cantSplit/>
          <w:jc w:val="center"/>
        </w:trPr>
        <w:tc>
          <w:tcPr>
            <w:tcW w:w="3804" w:type="dxa"/>
            <w:tcBorders>
              <w:top w:val="nil"/>
              <w:left w:val="single" w:sz="4" w:space="0" w:color="auto"/>
              <w:bottom w:val="nil"/>
              <w:right w:val="single" w:sz="4" w:space="0" w:color="auto"/>
            </w:tcBorders>
          </w:tcPr>
          <w:p w:rsidR="00000000" w:rsidRDefault="00000000">
            <w:r>
              <w:t>50 лет и старше</w:t>
            </w:r>
          </w:p>
        </w:tc>
        <w:tc>
          <w:tcPr>
            <w:tcW w:w="1476" w:type="dxa"/>
            <w:tcBorders>
              <w:top w:val="nil"/>
              <w:left w:val="nil"/>
              <w:bottom w:val="nil"/>
            </w:tcBorders>
          </w:tcPr>
          <w:p w:rsidR="00000000" w:rsidRDefault="00000000">
            <w:pPr>
              <w:tabs>
                <w:tab w:val="clear" w:pos="1134"/>
                <w:tab w:val="left" w:pos="961"/>
              </w:tabs>
              <w:ind w:right="299"/>
              <w:jc w:val="right"/>
            </w:pPr>
            <w:r>
              <w:t>4</w:t>
            </w:r>
          </w:p>
        </w:tc>
        <w:tc>
          <w:tcPr>
            <w:tcW w:w="1476" w:type="dxa"/>
            <w:tcBorders>
              <w:top w:val="nil"/>
              <w:left w:val="nil"/>
              <w:bottom w:val="nil"/>
            </w:tcBorders>
          </w:tcPr>
          <w:p w:rsidR="00000000" w:rsidRDefault="00000000">
            <w:pPr>
              <w:tabs>
                <w:tab w:val="clear" w:pos="1134"/>
                <w:tab w:val="left" w:pos="794"/>
              </w:tabs>
              <w:ind w:right="279"/>
              <w:jc w:val="right"/>
            </w:pPr>
            <w:r>
              <w:t>0,01</w:t>
            </w:r>
          </w:p>
        </w:tc>
        <w:tc>
          <w:tcPr>
            <w:tcW w:w="1476" w:type="dxa"/>
            <w:tcBorders>
              <w:top w:val="nil"/>
              <w:bottom w:val="nil"/>
            </w:tcBorders>
          </w:tcPr>
          <w:p w:rsidR="00000000" w:rsidRDefault="00000000">
            <w:pPr>
              <w:tabs>
                <w:tab w:val="clear" w:pos="1134"/>
                <w:tab w:val="left" w:pos="1001"/>
              </w:tabs>
              <w:ind w:right="259"/>
              <w:jc w:val="right"/>
            </w:pPr>
            <w:r>
              <w:t>4</w:t>
            </w:r>
          </w:p>
        </w:tc>
        <w:tc>
          <w:tcPr>
            <w:tcW w:w="1145" w:type="dxa"/>
            <w:tcBorders>
              <w:top w:val="nil"/>
              <w:bottom w:val="nil"/>
            </w:tcBorders>
          </w:tcPr>
          <w:p w:rsidR="00000000" w:rsidRDefault="00000000">
            <w:pPr>
              <w:tabs>
                <w:tab w:val="left" w:pos="647"/>
              </w:tabs>
              <w:ind w:right="109"/>
              <w:jc w:val="right"/>
            </w:pPr>
            <w:r>
              <w:t>0,01</w:t>
            </w:r>
          </w:p>
        </w:tc>
      </w:tr>
      <w:tr w:rsidR="00000000">
        <w:tblPrEx>
          <w:tblCellMar>
            <w:top w:w="0" w:type="dxa"/>
            <w:bottom w:w="0" w:type="dxa"/>
          </w:tblCellMar>
        </w:tblPrEx>
        <w:trPr>
          <w:cantSplit/>
          <w:jc w:val="center"/>
        </w:trPr>
        <w:tc>
          <w:tcPr>
            <w:tcW w:w="3804" w:type="dxa"/>
            <w:tcBorders>
              <w:top w:val="nil"/>
              <w:left w:val="single" w:sz="4" w:space="0" w:color="auto"/>
              <w:bottom w:val="single" w:sz="4" w:space="0" w:color="auto"/>
              <w:right w:val="single" w:sz="4" w:space="0" w:color="auto"/>
            </w:tcBorders>
          </w:tcPr>
          <w:p w:rsidR="00000000" w:rsidRDefault="00000000">
            <w:r>
              <w:t>Не установлен</w:t>
            </w:r>
          </w:p>
        </w:tc>
        <w:tc>
          <w:tcPr>
            <w:tcW w:w="1476" w:type="dxa"/>
            <w:tcBorders>
              <w:top w:val="nil"/>
              <w:left w:val="nil"/>
            </w:tcBorders>
          </w:tcPr>
          <w:p w:rsidR="00000000" w:rsidRDefault="00000000">
            <w:pPr>
              <w:tabs>
                <w:tab w:val="clear" w:pos="1134"/>
                <w:tab w:val="left" w:pos="961"/>
              </w:tabs>
              <w:ind w:right="299"/>
              <w:jc w:val="right"/>
            </w:pPr>
            <w:r>
              <w:t>283</w:t>
            </w:r>
          </w:p>
        </w:tc>
        <w:tc>
          <w:tcPr>
            <w:tcW w:w="1476" w:type="dxa"/>
            <w:tcBorders>
              <w:top w:val="nil"/>
              <w:left w:val="nil"/>
            </w:tcBorders>
          </w:tcPr>
          <w:p w:rsidR="00000000" w:rsidRDefault="00000000">
            <w:pPr>
              <w:tabs>
                <w:tab w:val="clear" w:pos="1134"/>
                <w:tab w:val="left" w:pos="794"/>
              </w:tabs>
              <w:ind w:right="279"/>
              <w:jc w:val="right"/>
              <w:rPr>
                <w:lang w:val="en-US"/>
              </w:rPr>
            </w:pPr>
            <w:r>
              <w:t>0,9 </w:t>
            </w:r>
            <w:r>
              <w:rPr>
                <w:lang w:val="en-US"/>
              </w:rPr>
              <w:t> </w:t>
            </w:r>
          </w:p>
        </w:tc>
        <w:tc>
          <w:tcPr>
            <w:tcW w:w="1476" w:type="dxa"/>
            <w:tcBorders>
              <w:top w:val="nil"/>
            </w:tcBorders>
          </w:tcPr>
          <w:p w:rsidR="00000000" w:rsidRDefault="00000000">
            <w:pPr>
              <w:tabs>
                <w:tab w:val="clear" w:pos="1134"/>
                <w:tab w:val="left" w:pos="1001"/>
              </w:tabs>
              <w:ind w:right="259"/>
              <w:jc w:val="right"/>
            </w:pPr>
            <w:r>
              <w:t>32</w:t>
            </w:r>
          </w:p>
        </w:tc>
        <w:tc>
          <w:tcPr>
            <w:tcW w:w="1145" w:type="dxa"/>
            <w:tcBorders>
              <w:top w:val="nil"/>
            </w:tcBorders>
          </w:tcPr>
          <w:p w:rsidR="00000000" w:rsidRDefault="00000000">
            <w:pPr>
              <w:tabs>
                <w:tab w:val="left" w:pos="647"/>
              </w:tabs>
              <w:ind w:right="109"/>
              <w:jc w:val="right"/>
              <w:rPr>
                <w:lang w:val="en-US"/>
              </w:rPr>
            </w:pPr>
            <w:r>
              <w:t>0,2 </w:t>
            </w:r>
            <w:r>
              <w:rPr>
                <w:lang w:val="en-US"/>
              </w:rPr>
              <w:t> </w:t>
            </w:r>
          </w:p>
        </w:tc>
      </w:tr>
      <w:tr w:rsidR="00000000">
        <w:tblPrEx>
          <w:tblCellMar>
            <w:top w:w="0" w:type="dxa"/>
            <w:bottom w:w="0" w:type="dxa"/>
          </w:tblCellMar>
        </w:tblPrEx>
        <w:trPr>
          <w:cantSplit/>
          <w:jc w:val="center"/>
        </w:trPr>
        <w:tc>
          <w:tcPr>
            <w:tcW w:w="3804" w:type="dxa"/>
            <w:tcBorders>
              <w:top w:val="single" w:sz="4" w:space="0" w:color="auto"/>
              <w:left w:val="single" w:sz="4" w:space="0" w:color="auto"/>
              <w:bottom w:val="single" w:sz="4" w:space="0" w:color="auto"/>
              <w:right w:val="single" w:sz="4" w:space="0" w:color="auto"/>
            </w:tcBorders>
          </w:tcPr>
          <w:p w:rsidR="00000000" w:rsidRDefault="00000000">
            <w:r>
              <w:tab/>
              <w:t>Всего</w:t>
            </w:r>
          </w:p>
        </w:tc>
        <w:tc>
          <w:tcPr>
            <w:tcW w:w="1476" w:type="dxa"/>
            <w:tcBorders>
              <w:left w:val="nil"/>
            </w:tcBorders>
          </w:tcPr>
          <w:p w:rsidR="00000000" w:rsidRDefault="00000000">
            <w:pPr>
              <w:tabs>
                <w:tab w:val="clear" w:pos="1134"/>
                <w:tab w:val="left" w:pos="961"/>
              </w:tabs>
              <w:ind w:right="299"/>
              <w:jc w:val="right"/>
            </w:pPr>
            <w:r>
              <w:t>32 374</w:t>
            </w:r>
          </w:p>
        </w:tc>
        <w:tc>
          <w:tcPr>
            <w:tcW w:w="1476" w:type="dxa"/>
            <w:tcBorders>
              <w:left w:val="nil"/>
            </w:tcBorders>
          </w:tcPr>
          <w:p w:rsidR="00000000" w:rsidRDefault="00000000">
            <w:pPr>
              <w:tabs>
                <w:tab w:val="clear" w:pos="1134"/>
                <w:tab w:val="left" w:pos="794"/>
              </w:tabs>
              <w:ind w:right="279"/>
              <w:jc w:val="right"/>
            </w:pPr>
            <w:r>
              <w:t>100    </w:t>
            </w:r>
          </w:p>
        </w:tc>
        <w:tc>
          <w:tcPr>
            <w:tcW w:w="1476" w:type="dxa"/>
          </w:tcPr>
          <w:p w:rsidR="00000000" w:rsidRDefault="00000000">
            <w:pPr>
              <w:tabs>
                <w:tab w:val="clear" w:pos="1134"/>
                <w:tab w:val="left" w:pos="1001"/>
              </w:tabs>
              <w:ind w:right="259"/>
              <w:jc w:val="right"/>
            </w:pPr>
            <w:r>
              <w:t>27 011</w:t>
            </w:r>
          </w:p>
        </w:tc>
        <w:tc>
          <w:tcPr>
            <w:tcW w:w="1145" w:type="dxa"/>
          </w:tcPr>
          <w:p w:rsidR="00000000" w:rsidRDefault="00000000">
            <w:pPr>
              <w:tabs>
                <w:tab w:val="left" w:pos="647"/>
              </w:tabs>
              <w:ind w:right="109"/>
              <w:jc w:val="right"/>
            </w:pPr>
            <w:r>
              <w:t>100    </w:t>
            </w:r>
          </w:p>
        </w:tc>
      </w:tr>
    </w:tbl>
    <w:p w:rsidR="00000000" w:rsidRDefault="00000000"/>
    <w:p w:rsidR="00000000" w:rsidRDefault="00000000">
      <w:r>
        <w:t>525.</w:t>
      </w:r>
      <w:r>
        <w:tab/>
        <w:t xml:space="preserve">Что касается структуры </w:t>
      </w:r>
      <w:proofErr w:type="spellStart"/>
      <w:r>
        <w:t>живорождений</w:t>
      </w:r>
      <w:proofErr w:type="spellEnd"/>
      <w:r>
        <w:t xml:space="preserve"> в зависимости от возраста матери, то, по сравнению с 1993 годом, особых изменений не наблюдалось - за исключением значительного сокращения живорожденных детей у матерей в возрасте до 19 лет.  В 2003 году число матерей в возрасте до 19 лет составило </w:t>
      </w:r>
      <w:proofErr w:type="spellStart"/>
      <w:r>
        <w:t>7,7%</w:t>
      </w:r>
      <w:proofErr w:type="spellEnd"/>
      <w:r>
        <w:t xml:space="preserve">, что свидетельствует о сокращении по сравнению с 1993 годом.  Вместе с тем с точки зрения безопасного материнства это свидетельствует о наличии риска для здоровья матери и новорожденного </w:t>
      </w:r>
      <w:proofErr w:type="spellStart"/>
      <w:r>
        <w:t>ребенка</w:t>
      </w:r>
      <w:r>
        <w:rPr>
          <w:b/>
          <w:bCs/>
          <w:vertAlign w:val="superscript"/>
        </w:rPr>
        <w:t>14</w:t>
      </w:r>
      <w:proofErr w:type="spellEnd"/>
      <w:r>
        <w:t>.</w:t>
      </w:r>
    </w:p>
    <w:p w:rsidR="00000000" w:rsidRDefault="00000000"/>
    <w:p w:rsidR="00000000" w:rsidRDefault="00000000">
      <w:r>
        <w:t>526.</w:t>
      </w:r>
      <w:r>
        <w:tab/>
        <w:t>В 2003 году было зарегистрировано 20 живорожденных детей у матерей в возрасте до 15 лет.</w:t>
      </w:r>
    </w:p>
    <w:p w:rsidR="00000000" w:rsidRDefault="00000000"/>
    <w:p w:rsidR="00000000" w:rsidRDefault="00000000">
      <w:r>
        <w:t>527.</w:t>
      </w:r>
      <w:r>
        <w:tab/>
        <w:t xml:space="preserve">Согласно очередности рождения детей, наибольшее количество </w:t>
      </w:r>
      <w:proofErr w:type="spellStart"/>
      <w:r>
        <w:t>живорождений</w:t>
      </w:r>
      <w:proofErr w:type="spellEnd"/>
      <w:r>
        <w:t xml:space="preserve"> в 2003 году пришлось на первых и вторых детей, в то время как рождение пятых и шестых детей в семьях неуклонно сокращается, что рассматривается как еще одна позитивная тенденция в репродуктивном поведении населения с точки зрения здоровья матери и новорожденного.  В 2003 году на детей, являвшихся четвертыми или более в семье, приходилось </w:t>
      </w:r>
      <w:proofErr w:type="spellStart"/>
      <w:r>
        <w:t>5%</w:t>
      </w:r>
      <w:proofErr w:type="spellEnd"/>
      <w:r>
        <w:t xml:space="preserve"> </w:t>
      </w:r>
      <w:proofErr w:type="spellStart"/>
      <w:r>
        <w:t>живорождений</w:t>
      </w:r>
      <w:proofErr w:type="spellEnd"/>
      <w:r>
        <w:t>, при этом в этой группе наблюдались значительные расхождения с точки зрения принадлежности к различным этническим общинам (</w:t>
      </w:r>
      <w:proofErr w:type="spellStart"/>
      <w:r>
        <w:t>1,2%</w:t>
      </w:r>
      <w:proofErr w:type="spellEnd"/>
      <w:r>
        <w:t xml:space="preserve"> приходилось на матерей-македонок, </w:t>
      </w:r>
      <w:proofErr w:type="spellStart"/>
      <w:r>
        <w:t>8,2%</w:t>
      </w:r>
      <w:proofErr w:type="spellEnd"/>
      <w:r>
        <w:t xml:space="preserve"> - на матерей-албанок и </w:t>
      </w:r>
      <w:proofErr w:type="spellStart"/>
      <w:r>
        <w:t>13,4%</w:t>
      </w:r>
      <w:proofErr w:type="spellEnd"/>
      <w:r>
        <w:t xml:space="preserve"> - на матерей из числа рома).</w:t>
      </w:r>
    </w:p>
    <w:p w:rsidR="00000000" w:rsidRDefault="00000000"/>
    <w:p w:rsidR="00000000" w:rsidRDefault="00000000">
      <w:r>
        <w:t>528.</w:t>
      </w:r>
      <w:r>
        <w:tab/>
        <w:t xml:space="preserve">Одним из факторов, определяющих репродуктивное поведение, является уровень образования матери.  Из общего числа детей, родившихся в 2003 году, </w:t>
      </w:r>
      <w:proofErr w:type="spellStart"/>
      <w:r>
        <w:t>50,2%</w:t>
      </w:r>
      <w:proofErr w:type="spellEnd"/>
      <w:r>
        <w:t xml:space="preserve"> приходится на матерей с незаконченным, либо только начальным образованием и лишь </w:t>
      </w:r>
      <w:proofErr w:type="spellStart"/>
      <w:r>
        <w:t>7,8%</w:t>
      </w:r>
      <w:proofErr w:type="spellEnd"/>
      <w:r>
        <w:t> - на матерей с высшим образованием.</w:t>
      </w:r>
    </w:p>
    <w:p w:rsidR="00000000" w:rsidRDefault="00000000"/>
    <w:p w:rsidR="00000000" w:rsidRDefault="00000000">
      <w:r>
        <w:t>529.</w:t>
      </w:r>
      <w:r>
        <w:tab/>
        <w:t xml:space="preserve">В 2003 году из общего числа живорожденных детей 1 552 ребенка были рождены с массой тела меньше 2 500 граммов и уровень рождаемости детей с пониженной массой тела составил </w:t>
      </w:r>
      <w:proofErr w:type="spellStart"/>
      <w:r>
        <w:t>5,7%</w:t>
      </w:r>
      <w:proofErr w:type="spellEnd"/>
      <w:r>
        <w:t>.  По сравнению с 2002 годом, в 2003 году число новорожденных детей с массой тела менее 2 500 граммов возросло на 59 человек.</w:t>
      </w:r>
    </w:p>
    <w:p w:rsidR="00000000" w:rsidRDefault="00000000"/>
    <w:p w:rsidR="00000000" w:rsidRDefault="00000000">
      <w:r>
        <w:t>530.</w:t>
      </w:r>
      <w:r>
        <w:tab/>
        <w:t>Больше всего живорожденных детей с массой тела менее 2 500 граммов среди родившихся шестыми и следующими за ними по очередности детей (83,3 на 1 000 </w:t>
      </w:r>
      <w:proofErr w:type="spellStart"/>
      <w:r>
        <w:t>живорождений</w:t>
      </w:r>
      <w:proofErr w:type="spellEnd"/>
      <w:r>
        <w:t>), а меньше всего среди вторых по очередности детей (</w:t>
      </w:r>
      <w:proofErr w:type="spellStart"/>
      <w:r>
        <w:t>50,4%</w:t>
      </w:r>
      <w:proofErr w:type="spellEnd"/>
      <w:r>
        <w:t>).</w:t>
      </w:r>
    </w:p>
    <w:p w:rsidR="00000000" w:rsidRDefault="00000000"/>
    <w:p w:rsidR="00000000" w:rsidRDefault="00000000">
      <w:pPr>
        <w:jc w:val="center"/>
        <w:rPr>
          <w:b/>
          <w:bCs/>
        </w:rPr>
      </w:pPr>
      <w:r>
        <w:rPr>
          <w:b/>
          <w:bCs/>
        </w:rPr>
        <w:t>Диаграмма 5</w:t>
      </w:r>
    </w:p>
    <w:p w:rsidR="00000000" w:rsidRDefault="00000000">
      <w:pPr>
        <w:jc w:val="center"/>
        <w:rPr>
          <w:b/>
          <w:bCs/>
        </w:rPr>
      </w:pPr>
    </w:p>
    <w:p w:rsidR="00000000" w:rsidRDefault="00000000">
      <w:pPr>
        <w:spacing w:after="120"/>
        <w:jc w:val="center"/>
        <w:rPr>
          <w:b/>
          <w:bCs/>
        </w:rPr>
      </w:pPr>
      <w:r>
        <w:rPr>
          <w:b/>
          <w:bCs/>
        </w:rPr>
        <w:t xml:space="preserve">Дети, родившиеся с массой тела менее 2 500 граммов, в разбивке по очередности рождения в 2003 году (1 000 </w:t>
      </w:r>
      <w:proofErr w:type="spellStart"/>
      <w:r>
        <w:rPr>
          <w:b/>
          <w:bCs/>
        </w:rPr>
        <w:t>живорождений</w:t>
      </w:r>
      <w:proofErr w:type="spellEnd"/>
      <w:r>
        <w:rPr>
          <w:b/>
          <w:bCs/>
        </w:rPr>
        <w:t>)</w:t>
      </w:r>
    </w:p>
    <w:bookmarkStart w:id="26" w:name="_MON_1211372438"/>
    <w:bookmarkEnd w:id="26"/>
    <w:p w:rsidR="00000000" w:rsidRDefault="00000000">
      <w:pPr>
        <w:jc w:val="center"/>
      </w:pPr>
      <w:r>
        <w:object w:dxaOrig="6682" w:dyaOrig="2780">
          <v:shape id="_x0000_i1030" type="#_x0000_t75" style="width:333.75pt;height:138.75pt" o:ole="">
            <v:imagedata r:id="rId17" o:title=""/>
          </v:shape>
          <o:OLEObject Type="Embed" ProgID="Word.Picture.8" ShapeID="_x0000_i1030" DrawAspect="Content" ObjectID="_1395883173" r:id="rId18"/>
        </w:object>
      </w:r>
    </w:p>
    <w:p w:rsidR="00000000" w:rsidRDefault="00000000">
      <w:pPr>
        <w:jc w:val="center"/>
      </w:pPr>
    </w:p>
    <w:p w:rsidR="00000000" w:rsidRDefault="00000000">
      <w:pPr>
        <w:rPr>
          <w:b/>
          <w:bCs/>
        </w:rPr>
      </w:pPr>
      <w:r>
        <w:rPr>
          <w:b/>
          <w:bCs/>
        </w:rPr>
        <w:br w:type="page"/>
        <w:t>Охрана здоровья женщин детородного возраста</w:t>
      </w:r>
    </w:p>
    <w:p w:rsidR="00000000" w:rsidRDefault="00000000">
      <w:pPr>
        <w:rPr>
          <w:b/>
          <w:bCs/>
        </w:rPr>
      </w:pPr>
    </w:p>
    <w:p w:rsidR="00000000" w:rsidRDefault="00000000">
      <w:pPr>
        <w:rPr>
          <w:i/>
          <w:iCs/>
        </w:rPr>
      </w:pPr>
      <w:r>
        <w:rPr>
          <w:i/>
          <w:iCs/>
        </w:rPr>
        <w:t>Планирование семьи</w:t>
      </w:r>
    </w:p>
    <w:p w:rsidR="00000000" w:rsidRDefault="00000000">
      <w:pPr>
        <w:rPr>
          <w:i/>
          <w:iCs/>
        </w:rPr>
      </w:pPr>
    </w:p>
    <w:p w:rsidR="00000000" w:rsidRDefault="00000000">
      <w:pPr>
        <w:rPr>
          <w:i/>
          <w:iCs/>
        </w:rPr>
      </w:pPr>
      <w:r>
        <w:rPr>
          <w:i/>
          <w:iCs/>
        </w:rPr>
        <w:t>Охрана здоровья и просвещение</w:t>
      </w:r>
    </w:p>
    <w:p w:rsidR="00000000" w:rsidRDefault="00000000">
      <w:pPr>
        <w:rPr>
          <w:i/>
          <w:iCs/>
        </w:rPr>
      </w:pPr>
    </w:p>
    <w:p w:rsidR="00000000" w:rsidRDefault="00000000">
      <w:r>
        <w:t>531.</w:t>
      </w:r>
      <w:r>
        <w:tab/>
        <w:t>Эти меры охватывают население школьного возраста и подростков.  В качестве рабочих методов используются лекции и работа в небольших группах.</w:t>
      </w:r>
    </w:p>
    <w:p w:rsidR="00000000" w:rsidRDefault="00000000"/>
    <w:p w:rsidR="00000000" w:rsidRDefault="00000000">
      <w:r>
        <w:t>532.</w:t>
      </w:r>
      <w:r>
        <w:tab/>
        <w:t>В 2003 году Институт охраны здоровья матери и ребенка организовал проведение мероприятий в небольших группах по проблемам предохранения от нежелательной беременности и планирования семьи, охватив 22 группы в средних школах в районе города Скопье.  В тот же период приблизительно для 7 500 учащихся средних школ в районе города Скопье была проведена 231 лекция.</w:t>
      </w:r>
    </w:p>
    <w:p w:rsidR="00000000" w:rsidRDefault="00000000"/>
    <w:p w:rsidR="00000000" w:rsidRDefault="00000000">
      <w:r>
        <w:t>533.</w:t>
      </w:r>
      <w:r>
        <w:tab/>
        <w:t>Эти меры недостаточно активно осуществляются в масштабах всей страны.  Данных об организации таких мероприятий в других муниципалитетах страны не достаточно.</w:t>
      </w:r>
    </w:p>
    <w:p w:rsidR="00000000" w:rsidRDefault="00000000"/>
    <w:p w:rsidR="00000000" w:rsidRDefault="00000000">
      <w:pPr>
        <w:rPr>
          <w:i/>
          <w:iCs/>
        </w:rPr>
      </w:pPr>
      <w:r>
        <w:rPr>
          <w:i/>
          <w:iCs/>
        </w:rPr>
        <w:t>Консультирование по вопросам противозачаточных средств</w:t>
      </w:r>
    </w:p>
    <w:p w:rsidR="00000000" w:rsidRDefault="00000000">
      <w:pPr>
        <w:rPr>
          <w:i/>
          <w:iCs/>
        </w:rPr>
      </w:pPr>
    </w:p>
    <w:p w:rsidR="00000000" w:rsidRDefault="00000000">
      <w:r>
        <w:t>534.</w:t>
      </w:r>
      <w:r>
        <w:tab/>
        <w:t xml:space="preserve">В соответствии с программой планировалось охватить в 2003 году консультационными услугами по вопросам планирования семьи по меньшей мере </w:t>
      </w:r>
      <w:proofErr w:type="spellStart"/>
      <w:r>
        <w:t>10%</w:t>
      </w:r>
      <w:proofErr w:type="spellEnd"/>
      <w:r>
        <w:t xml:space="preserve"> женщин детородного возраста при предоставлении в среднем двух консультаций каждой охваченной женщине или в общей сложности 100 000 консультаций.</w:t>
      </w:r>
    </w:p>
    <w:p w:rsidR="00000000" w:rsidRDefault="00000000"/>
    <w:p w:rsidR="00000000" w:rsidRDefault="00000000">
      <w:r>
        <w:t>535.</w:t>
      </w:r>
      <w:r>
        <w:tab/>
        <w:t xml:space="preserve">В 2003 году службы консультирования по вопросам планирования семьи провели 21 807 консультаций, охватив только </w:t>
      </w:r>
      <w:proofErr w:type="spellStart"/>
      <w:r>
        <w:t>3,0%</w:t>
      </w:r>
      <w:proofErr w:type="spellEnd"/>
      <w:r>
        <w:t xml:space="preserve"> женщин, каждая из которых консультировалась в среднем 1,5 раза.</w:t>
      </w:r>
    </w:p>
    <w:p w:rsidR="00000000" w:rsidRDefault="00000000"/>
    <w:p w:rsidR="00000000" w:rsidRDefault="00000000">
      <w:pPr>
        <w:jc w:val="center"/>
        <w:rPr>
          <w:b/>
          <w:bCs/>
        </w:rPr>
      </w:pPr>
      <w:r>
        <w:rPr>
          <w:b/>
          <w:bCs/>
        </w:rPr>
        <w:br w:type="page"/>
        <w:t>Диаграмма 6</w:t>
      </w:r>
    </w:p>
    <w:p w:rsidR="00000000" w:rsidRDefault="00000000">
      <w:pPr>
        <w:jc w:val="center"/>
        <w:rPr>
          <w:b/>
          <w:bCs/>
        </w:rPr>
      </w:pPr>
    </w:p>
    <w:p w:rsidR="00000000" w:rsidRDefault="00000000">
      <w:pPr>
        <w:spacing w:after="120"/>
        <w:jc w:val="center"/>
        <w:rPr>
          <w:b/>
          <w:bCs/>
        </w:rPr>
      </w:pPr>
      <w:r>
        <w:rPr>
          <w:b/>
          <w:bCs/>
        </w:rPr>
        <w:t>Количество посещений, зарегистрированных службами консультирования по вопросам планирования семьи в бывшей югославской</w:t>
      </w:r>
      <w:r>
        <w:rPr>
          <w:b/>
          <w:bCs/>
        </w:rPr>
        <w:br/>
        <w:t>Республике Македонии (1993-2003 годы)</w:t>
      </w:r>
    </w:p>
    <w:bookmarkStart w:id="27" w:name="_MON_1211374480"/>
    <w:bookmarkEnd w:id="27"/>
    <w:p w:rsidR="00000000" w:rsidRDefault="00000000">
      <w:pPr>
        <w:jc w:val="center"/>
      </w:pPr>
      <w:r>
        <w:object w:dxaOrig="7704" w:dyaOrig="3952">
          <v:shape id="_x0000_i1031" type="#_x0000_t75" style="width:385.5pt;height:197.25pt" o:ole="">
            <v:imagedata r:id="rId19" o:title=""/>
          </v:shape>
          <o:OLEObject Type="Embed" ProgID="Word.Picture.8" ShapeID="_x0000_i1031" DrawAspect="Content" ObjectID="_1395883174" r:id="rId20"/>
        </w:object>
      </w:r>
    </w:p>
    <w:p w:rsidR="00000000" w:rsidRDefault="00000000"/>
    <w:p w:rsidR="00000000" w:rsidRDefault="00000000">
      <w:r>
        <w:t>536.</w:t>
      </w:r>
      <w:r>
        <w:tab/>
        <w:t>За последние десять лет количество посещений служб консультирования по вопросам планирования семьи постоянно сокращалось, так же как и доля женщин, охваченных данной мерой по охране здоровья.  Судя по количеству зарегистрированных первых посещений служб консультирования по вопросам планирования семьи, наиболее интенсивно эти службы используются женщинами в возрастной группе от 20 до 29 лет (45,4%).  В</w:t>
      </w:r>
      <w:r>
        <w:rPr>
          <w:lang w:val="en-US"/>
        </w:rPr>
        <w:t> </w:t>
      </w:r>
      <w:r>
        <w:t>2003</w:t>
      </w:r>
      <w:r>
        <w:rPr>
          <w:lang w:val="en-US"/>
        </w:rPr>
        <w:t> </w:t>
      </w:r>
      <w:r>
        <w:t xml:space="preserve">году на женщин в возрасте 19 лет и младше приходилось </w:t>
      </w:r>
      <w:proofErr w:type="spellStart"/>
      <w:r>
        <w:t>11,8%</w:t>
      </w:r>
      <w:proofErr w:type="spellEnd"/>
      <w:r>
        <w:t xml:space="preserve"> от общего количества зарегистрированных первых посещений.  Столь низкий уровень использования служб планирования семьи представительницами наиболее молодой возрастной группы имеет негативные последствия, учитывая, что подростковые беременности по</w:t>
      </w:r>
      <w:r>
        <w:noBreakHyphen/>
        <w:t>прежнему остаются одной из проблем общественного здравоохранения страны.  Помимо социальных последствий, подростковые беременности оказывают прямое неблагоприятное воздействие на репродуктивное здоровье женщин и на здоровье новорожденных.  Ведь любое общество заинтересовано в гуманном и рациональном воспроизводстве населения.  Молодые люди редко располагают возможностями, необходимыми для сознательного и ответственного выполнения родительских обязанностей.  Поэтому им следует отложить рождение детей до тех пор, пока они не обретут психическую и физическую зрелость, а также социальное положение.  Таким образом, планирование семьи является вопросом социального и медицинского значения для этой части населения.</w:t>
      </w:r>
    </w:p>
    <w:p w:rsidR="00000000" w:rsidRDefault="00000000"/>
    <w:p w:rsidR="00000000" w:rsidRDefault="00000000">
      <w:r>
        <w:t>537.</w:t>
      </w:r>
      <w:r>
        <w:tab/>
        <w:t>В 2003 году службами консультирования по вопросам планирования семьи было назначено в общей сложности 7 244 противозачаточных средства, при этом большинство женщин выбрали пероральные контрацептивы (89,9%) и внутриматочные средства (</w:t>
      </w:r>
      <w:proofErr w:type="spellStart"/>
      <w:r>
        <w:t>12,5%</w:t>
      </w:r>
      <w:proofErr w:type="spellEnd"/>
      <w:r>
        <w:t>).  Применение других существующих противозачаточных средств является незначительным.  Учитывая, что эти данные касаются только зарегистрированных посещений государственных служб здравоохранения, подробный анализ этой программной меры не представляется возможным.</w:t>
      </w:r>
    </w:p>
    <w:p w:rsidR="00000000" w:rsidRDefault="00000000"/>
    <w:p w:rsidR="00000000" w:rsidRDefault="00000000">
      <w:r>
        <w:rPr>
          <w:i/>
          <w:iCs/>
        </w:rPr>
        <w:t>Число абортов в бывшей югославской Республике Македонии</w:t>
      </w:r>
    </w:p>
    <w:p w:rsidR="00000000" w:rsidRDefault="00000000"/>
    <w:p w:rsidR="00000000" w:rsidRDefault="00000000">
      <w:pPr>
        <w:rPr>
          <w:u w:val="double"/>
        </w:rPr>
      </w:pPr>
      <w:r>
        <w:t>538.</w:t>
      </w:r>
      <w:r>
        <w:tab/>
        <w:t>В регулировании количества рождений значительное место занимают аборты, являющиеся самым неблагоприятным методом регулирования рождаемости.  В 2003 году в общей сложности было зарегистрировано 6 690 абортов, или 24,8 аборта на 100 рождений.</w:t>
      </w:r>
    </w:p>
    <w:p w:rsidR="00000000" w:rsidRDefault="00000000">
      <w:pPr>
        <w:rPr>
          <w:u w:val="double"/>
        </w:rPr>
      </w:pPr>
    </w:p>
    <w:p w:rsidR="00000000" w:rsidRDefault="00000000">
      <w:pPr>
        <w:keepNext/>
        <w:jc w:val="center"/>
        <w:rPr>
          <w:b/>
          <w:bCs/>
        </w:rPr>
      </w:pPr>
      <w:r>
        <w:rPr>
          <w:b/>
          <w:bCs/>
        </w:rPr>
        <w:t>Диаграмма 7</w:t>
      </w:r>
    </w:p>
    <w:p w:rsidR="00000000" w:rsidRDefault="00000000">
      <w:pPr>
        <w:keepNext/>
        <w:jc w:val="center"/>
        <w:rPr>
          <w:b/>
          <w:bCs/>
          <w:sz w:val="16"/>
        </w:rPr>
      </w:pPr>
    </w:p>
    <w:p w:rsidR="00000000" w:rsidRDefault="00000000">
      <w:pPr>
        <w:keepNext/>
        <w:jc w:val="center"/>
      </w:pPr>
      <w:r>
        <w:rPr>
          <w:b/>
          <w:bCs/>
        </w:rPr>
        <w:t>Число абортов на 100 живорождений в бывшей югославской</w:t>
      </w:r>
      <w:r>
        <w:rPr>
          <w:b/>
          <w:bCs/>
        </w:rPr>
        <w:br/>
        <w:t>Республике Македонии с 1993 по 2003 годы</w:t>
      </w:r>
    </w:p>
    <w:p w:rsidR="00000000" w:rsidRDefault="00000000">
      <w:pPr>
        <w:jc w:val="center"/>
      </w:pPr>
      <w:r>
        <w:rPr>
          <w:noProof/>
          <w:sz w:val="20"/>
          <w:lang w:eastAsia="ru-RU"/>
        </w:rPr>
        <w:pict>
          <v:shape id="_x0000_s1031" type="#_x0000_t75" style="position:absolute;left:0;text-align:left;margin-left:49.4pt;margin-top:0;width:380.7pt;height:204.75pt;z-index:2;visibility:visible;mso-wrap-edited:f">
            <v:imagedata r:id="rId21" o:title=""/>
            <w10:wrap type="topAndBottom"/>
            <w10:anchorlock/>
          </v:shape>
          <o:OLEObject Type="Embed" ProgID="Word.Picture.8" ShapeID="_x0000_s1031" DrawAspect="Content" ObjectID="_1395883186" r:id="rId22"/>
        </w:pict>
      </w:r>
    </w:p>
    <w:p w:rsidR="00000000" w:rsidRDefault="00000000">
      <w:pPr>
        <w:jc w:val="center"/>
      </w:pPr>
    </w:p>
    <w:p w:rsidR="00000000" w:rsidRDefault="00000000">
      <w:r>
        <w:t>539.</w:t>
      </w:r>
      <w:r>
        <w:tab/>
        <w:t>В указанный период количество зарегистрированных абортов сократилось, однако нельзя с уверенностью утверждать, что это является результатом возросшего понимания населением необходимости применения более рациональных и гуманных с точки зрения здоровья методов планирования семьи.  Сокращение уровня абортов, возможно, является результатом более низкой регистрации, особенно в период приватизации в секторе здравоохранения и открытия частных гинекологических клиник.</w:t>
      </w:r>
    </w:p>
    <w:p w:rsidR="00000000" w:rsidRDefault="00000000">
      <w:pPr>
        <w:keepNext/>
      </w:pPr>
      <w:r>
        <w:rPr>
          <w:i/>
          <w:iCs/>
        </w:rPr>
        <w:t>До- и послеродовая медицинская помощь женщинам</w:t>
      </w:r>
    </w:p>
    <w:p w:rsidR="00000000" w:rsidRDefault="00000000">
      <w:pPr>
        <w:keepNext/>
      </w:pPr>
    </w:p>
    <w:p w:rsidR="00000000" w:rsidRDefault="00000000">
      <w:r>
        <w:t>540.</w:t>
      </w:r>
      <w:r>
        <w:tab/>
        <w:t>В 1987 году Фонд народонаселения Организации Объединенных Наций в сотрудничестве с Детским фондом Организации Объединенных Наций (ЮНИСЕФ), Всемирной организацией здравоохранения (ВОЗ), Всемирным банком и Международной федерацией планируемого родительства утвердили инициативу "За безопасное материнство"</w:t>
      </w:r>
      <w:r>
        <w:rPr>
          <w:b/>
          <w:bCs/>
          <w:vertAlign w:val="superscript"/>
        </w:rPr>
        <w:t>15</w:t>
      </w:r>
      <w:r>
        <w:t xml:space="preserve"> в целях улучшения качества медицинской помощи, предоставляемой женщинам в связи с материнством.</w:t>
      </w:r>
    </w:p>
    <w:p w:rsidR="00000000" w:rsidRDefault="00000000"/>
    <w:p w:rsidR="00000000" w:rsidRDefault="00000000">
      <w:r>
        <w:t>541.</w:t>
      </w:r>
      <w:r>
        <w:tab/>
        <w:t>В соответствии с данной инициативой комплексный набор услуг в области безопасного материнства в каждой стране должен включать в себя следующие компоненты:</w:t>
      </w:r>
    </w:p>
    <w:p w:rsidR="00000000" w:rsidRDefault="00000000"/>
    <w:p w:rsidR="00000000" w:rsidRDefault="00000000">
      <w:pPr>
        <w:ind w:left="567"/>
      </w:pPr>
      <w:r>
        <w:t>-</w:t>
      </w:r>
      <w:r>
        <w:tab/>
        <w:t>дородовую медицинскую помощь и консультирование в период беременности;</w:t>
      </w:r>
    </w:p>
    <w:p w:rsidR="00000000" w:rsidRDefault="00000000">
      <w:pPr>
        <w:ind w:left="567"/>
      </w:pPr>
    </w:p>
    <w:p w:rsidR="00000000" w:rsidRDefault="00000000">
      <w:pPr>
        <w:ind w:left="1134" w:hanging="567"/>
      </w:pPr>
      <w:r>
        <w:t>-</w:t>
      </w:r>
      <w:r>
        <w:tab/>
        <w:t>обеспечение доступности для всех женщин высококачественной акушерско-гинекологичекой помощи во время родов;</w:t>
      </w:r>
    </w:p>
    <w:p w:rsidR="00000000" w:rsidRDefault="00000000">
      <w:pPr>
        <w:ind w:left="1134" w:hanging="567"/>
      </w:pPr>
    </w:p>
    <w:p w:rsidR="00000000" w:rsidRDefault="00000000">
      <w:pPr>
        <w:ind w:left="1134" w:hanging="567"/>
      </w:pPr>
      <w:r>
        <w:t>-</w:t>
      </w:r>
      <w:r>
        <w:tab/>
        <w:t>высококачественную послеродовую помощь;</w:t>
      </w:r>
    </w:p>
    <w:p w:rsidR="00000000" w:rsidRDefault="00000000">
      <w:pPr>
        <w:ind w:left="1134" w:hanging="567"/>
      </w:pPr>
    </w:p>
    <w:p w:rsidR="00000000" w:rsidRDefault="00000000">
      <w:pPr>
        <w:ind w:left="1134" w:hanging="567"/>
      </w:pPr>
      <w:r>
        <w:t>-</w:t>
      </w:r>
      <w:r>
        <w:tab/>
        <w:t>планирование семьи;</w:t>
      </w:r>
    </w:p>
    <w:p w:rsidR="00000000" w:rsidRDefault="00000000">
      <w:pPr>
        <w:ind w:left="1134" w:hanging="567"/>
      </w:pPr>
    </w:p>
    <w:p w:rsidR="00000000" w:rsidRDefault="00000000">
      <w:pPr>
        <w:ind w:left="1134" w:hanging="567"/>
      </w:pPr>
      <w:r>
        <w:t>-</w:t>
      </w:r>
      <w:r>
        <w:tab/>
        <w:t>укрепление репродуктивного здоровья подростков;</w:t>
      </w:r>
    </w:p>
    <w:p w:rsidR="00000000" w:rsidRDefault="00000000">
      <w:pPr>
        <w:ind w:left="1134" w:hanging="567"/>
      </w:pPr>
    </w:p>
    <w:p w:rsidR="00000000" w:rsidRDefault="00000000">
      <w:pPr>
        <w:ind w:left="1134" w:hanging="567"/>
      </w:pPr>
      <w:r>
        <w:t>-</w:t>
      </w:r>
      <w:r>
        <w:tab/>
        <w:t>организацию в каждой общине медико-санитарного просвещения по вопросам репродуктивного здоровья женщин.</w:t>
      </w:r>
    </w:p>
    <w:p w:rsidR="00000000" w:rsidRDefault="00000000">
      <w:pPr>
        <w:ind w:left="567"/>
      </w:pPr>
    </w:p>
    <w:p w:rsidR="00000000" w:rsidRDefault="00000000">
      <w:r>
        <w:t>542.</w:t>
      </w:r>
      <w:r>
        <w:tab/>
        <w:t>Большая часть этого комплекса услуг, предусмотренных в указанной инициативе, предоставляется в стране в рамках рассматриваемой программы.  Вместе с тем необходимо учитывать объективные возможности для дальнейшего повышения качества ее осуществления.</w:t>
      </w:r>
    </w:p>
    <w:p w:rsidR="00000000" w:rsidRDefault="00000000"/>
    <w:p w:rsidR="00000000" w:rsidRDefault="00000000">
      <w:r>
        <w:t>543.</w:t>
      </w:r>
      <w:r>
        <w:tab/>
        <w:t>В 2000</w:t>
      </w:r>
      <w:r>
        <w:rPr>
          <w:lang w:val="en-US"/>
        </w:rPr>
        <w:t> </w:t>
      </w:r>
      <w:r>
        <w:t xml:space="preserve">году министерство здравоохранения в сотрудничестве с </w:t>
      </w:r>
      <w:proofErr w:type="spellStart"/>
      <w:r>
        <w:t>ЮНИСЕФ</w:t>
      </w:r>
      <w:proofErr w:type="spellEnd"/>
      <w:r>
        <w:t xml:space="preserve"> и ВОЗ провело оценку потребностей в области безопасного </w:t>
      </w:r>
      <w:proofErr w:type="spellStart"/>
      <w:r>
        <w:t>материнства</w:t>
      </w:r>
      <w:r>
        <w:rPr>
          <w:b/>
          <w:bCs/>
          <w:vertAlign w:val="superscript"/>
        </w:rPr>
        <w:t>16</w:t>
      </w:r>
      <w:proofErr w:type="spellEnd"/>
      <w:r>
        <w:t xml:space="preserve"> в контексте обзора качества медицинских услуг, предоставляемых в области безопасного материнства, с целью выявления недостатков в связи с предоставлением медицинской помощи данной части населения.</w:t>
      </w:r>
    </w:p>
    <w:p w:rsidR="00000000" w:rsidRDefault="00000000"/>
    <w:p w:rsidR="00000000" w:rsidRDefault="00000000">
      <w:pPr>
        <w:keepNext/>
      </w:pPr>
      <w:r>
        <w:rPr>
          <w:i/>
          <w:iCs/>
        </w:rPr>
        <w:t>Медицинская помощь в период беременности</w:t>
      </w:r>
    </w:p>
    <w:p w:rsidR="00000000" w:rsidRDefault="00000000">
      <w:pPr>
        <w:keepNext/>
      </w:pPr>
    </w:p>
    <w:p w:rsidR="00000000" w:rsidRDefault="00000000">
      <w:r>
        <w:t>544.</w:t>
      </w:r>
      <w:r>
        <w:tab/>
        <w:t>Дородовая помощь связана с общим укреплением здоровья беременных женщин, конкретной профилактикой болезней в ходе беременности, эффективным лечением беременных женщин и надлежащими мерами по восстановлению их здоровья.</w:t>
      </w:r>
    </w:p>
    <w:p w:rsidR="00000000" w:rsidRDefault="00000000"/>
    <w:p w:rsidR="00000000" w:rsidRDefault="00000000">
      <w:r>
        <w:t>545.</w:t>
      </w:r>
      <w:r>
        <w:tab/>
        <w:t>Профилактическая медицинская помощь в период беременности предполагает посещение беременными женщинами служб по предоставлению консультаций, акушерских служб системы общественного здравоохранения, в частности гинекологических центров для беременных женщин.  Программа на 2003 год предусматривала охват всех беременных женщин службами консультирования в связи с беременностью, включая предоставление четырех консультаций каждой беременной женщине.</w:t>
      </w:r>
    </w:p>
    <w:p w:rsidR="00000000" w:rsidRDefault="00000000"/>
    <w:p w:rsidR="00000000" w:rsidRDefault="00000000">
      <w:r>
        <w:t>546.</w:t>
      </w:r>
      <w:r>
        <w:tab/>
        <w:t xml:space="preserve">В 2003 году службы консультирования в связи с беременностью предоставили беременным женщинам в общей сложности 112 943 консультации, что составило в среднем по 4,1 консультации на каждую беременную женщину.  По сравнению с 2002 годом, когда было предоставлено 112 943 консультации, число посещений в 2003 году возросло на 5,6%.  В </w:t>
      </w:r>
      <w:proofErr w:type="spellStart"/>
      <w:r>
        <w:t>9,3%</w:t>
      </w:r>
      <w:proofErr w:type="spellEnd"/>
      <w:r>
        <w:t xml:space="preserve"> случаев в ходе первых консультаций беременных женщин были обнаружены патологические аномалии.  Среднее число консультаций на каждую беременную женщину рассчитывается на основе числа зарегистрированных живорождений, учитывая, что число первичных обращений в службы консультирования по поводу беременности не регистрируется надлежащим образом.  В</w:t>
      </w:r>
      <w:r>
        <w:rPr>
          <w:lang w:val="en-US"/>
        </w:rPr>
        <w:t> </w:t>
      </w:r>
      <w:r>
        <w:t xml:space="preserve">отчетах ряда медицинских учреждений количество первых посещений превышает зарегистрированное число </w:t>
      </w:r>
      <w:proofErr w:type="spellStart"/>
      <w:r>
        <w:t>живорождений</w:t>
      </w:r>
      <w:proofErr w:type="spellEnd"/>
      <w:r>
        <w:t xml:space="preserve"> (</w:t>
      </w:r>
      <w:proofErr w:type="spellStart"/>
      <w:r>
        <w:t>Битола</w:t>
      </w:r>
      <w:proofErr w:type="spellEnd"/>
      <w:r>
        <w:t xml:space="preserve">, </w:t>
      </w:r>
      <w:proofErr w:type="spellStart"/>
      <w:r>
        <w:t>Струмица</w:t>
      </w:r>
      <w:proofErr w:type="spellEnd"/>
      <w:r>
        <w:t xml:space="preserve">, </w:t>
      </w:r>
      <w:proofErr w:type="spellStart"/>
      <w:r>
        <w:t>Кочани</w:t>
      </w:r>
      <w:proofErr w:type="spellEnd"/>
      <w:r>
        <w:t>, Прилеп), что затрудняет расчет показателей охвата беременных женщин и вызывает вопросы, связанные с надлежащим оформлением медицинской документации.</w:t>
      </w:r>
    </w:p>
    <w:p w:rsidR="00000000" w:rsidRDefault="00000000"/>
    <w:p w:rsidR="00000000" w:rsidRDefault="00000000">
      <w:r>
        <w:t>547.</w:t>
      </w:r>
      <w:r>
        <w:tab/>
        <w:t>Анализ деятельности служб по предоставлению консультаций беременным женщинам в различных муниципалитетах показывает, что эта мера профилактической медицинской помощи не является повсеместной.  В муниципалитете Кратово в последние три года этот вид медицинского ухода не представлялся.</w:t>
      </w:r>
    </w:p>
    <w:p w:rsidR="00000000" w:rsidRDefault="00000000"/>
    <w:p w:rsidR="00000000" w:rsidRDefault="00000000">
      <w:pPr>
        <w:jc w:val="center"/>
        <w:rPr>
          <w:b/>
          <w:bCs/>
        </w:rPr>
      </w:pPr>
      <w:r>
        <w:rPr>
          <w:b/>
          <w:bCs/>
        </w:rPr>
        <w:br w:type="page"/>
        <w:t>Посещения беременными женщинами служб по предоставлению консультаций беременным, зарегистрированные в 2003 году в бывшей югославской</w:t>
      </w:r>
    </w:p>
    <w:p w:rsidR="00000000" w:rsidRDefault="00000000">
      <w:pPr>
        <w:jc w:val="center"/>
        <w:rPr>
          <w:b/>
          <w:bCs/>
        </w:rPr>
      </w:pPr>
      <w:r>
        <w:rPr>
          <w:b/>
          <w:bCs/>
        </w:rPr>
        <w:t>Республике Македонии (данные обзора по ряду муниципалитетов)</w:t>
      </w:r>
    </w:p>
    <w:p w:rsidR="00000000" w:rsidRDefault="00000000">
      <w:pPr>
        <w:jc w:val="center"/>
        <w:rPr>
          <w:b/>
          <w:bCs/>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13" w:type="dxa"/>
          <w:bottom w:w="57" w:type="dxa"/>
          <w:right w:w="113" w:type="dxa"/>
        </w:tblCellMar>
        <w:tblLook w:val="0000" w:firstRow="0" w:lastRow="0" w:firstColumn="0" w:lastColumn="0" w:noHBand="0" w:noVBand="0"/>
      </w:tblPr>
      <w:tblGrid>
        <w:gridCol w:w="3402"/>
        <w:gridCol w:w="2491"/>
        <w:gridCol w:w="3444"/>
      </w:tblGrid>
      <w:tr w:rsidR="00000000">
        <w:trPr>
          <w:cantSplit/>
        </w:trPr>
        <w:tc>
          <w:tcPr>
            <w:tcW w:w="3402" w:type="dxa"/>
          </w:tcPr>
          <w:p w:rsidR="00000000" w:rsidRDefault="00000000">
            <w:pPr>
              <w:spacing w:line="240" w:lineRule="auto"/>
              <w:jc w:val="center"/>
            </w:pPr>
            <w:r>
              <w:t>Муниципалитет</w:t>
            </w:r>
          </w:p>
        </w:tc>
        <w:tc>
          <w:tcPr>
            <w:tcW w:w="2491" w:type="dxa"/>
          </w:tcPr>
          <w:p w:rsidR="00000000" w:rsidRDefault="00000000">
            <w:pPr>
              <w:spacing w:line="240" w:lineRule="auto"/>
              <w:jc w:val="center"/>
            </w:pPr>
            <w:r>
              <w:t>Общее число посещений</w:t>
            </w:r>
          </w:p>
        </w:tc>
        <w:tc>
          <w:tcPr>
            <w:tcW w:w="3444" w:type="dxa"/>
          </w:tcPr>
          <w:p w:rsidR="00000000" w:rsidRDefault="00000000">
            <w:pPr>
              <w:spacing w:line="240" w:lineRule="auto"/>
              <w:jc w:val="center"/>
            </w:pPr>
            <w:r>
              <w:t>Среднее число посещений на</w:t>
            </w:r>
            <w:r>
              <w:rPr>
                <w:lang w:val="en-US"/>
              </w:rPr>
              <w:t> </w:t>
            </w:r>
            <w:r>
              <w:t>одну беременную женщину</w:t>
            </w:r>
          </w:p>
        </w:tc>
      </w:tr>
      <w:tr w:rsidR="00000000">
        <w:trPr>
          <w:cantSplit/>
        </w:trPr>
        <w:tc>
          <w:tcPr>
            <w:tcW w:w="3402" w:type="dxa"/>
            <w:tcBorders>
              <w:bottom w:val="nil"/>
            </w:tcBorders>
          </w:tcPr>
          <w:p w:rsidR="00000000" w:rsidRDefault="00000000">
            <w:pPr>
              <w:spacing w:line="240" w:lineRule="auto"/>
            </w:pPr>
            <w:r>
              <w:t>Скопье</w:t>
            </w:r>
          </w:p>
        </w:tc>
        <w:tc>
          <w:tcPr>
            <w:tcW w:w="2491" w:type="dxa"/>
            <w:tcBorders>
              <w:bottom w:val="nil"/>
            </w:tcBorders>
          </w:tcPr>
          <w:p w:rsidR="00000000" w:rsidRDefault="00000000">
            <w:pPr>
              <w:tabs>
                <w:tab w:val="clear" w:pos="567"/>
                <w:tab w:val="clear" w:pos="1134"/>
                <w:tab w:val="clear" w:pos="1701"/>
                <w:tab w:val="clear" w:pos="2268"/>
                <w:tab w:val="clear" w:pos="6237"/>
                <w:tab w:val="decimal" w:pos="1418"/>
              </w:tabs>
              <w:spacing w:line="240" w:lineRule="auto"/>
              <w:rPr>
                <w:lang w:val="fr-FR"/>
              </w:rPr>
            </w:pPr>
            <w:r>
              <w:rPr>
                <w:lang w:val="fr-FR"/>
              </w:rPr>
              <w:t>33 455</w:t>
            </w:r>
          </w:p>
        </w:tc>
        <w:tc>
          <w:tcPr>
            <w:tcW w:w="3444" w:type="dxa"/>
            <w:tcBorders>
              <w:bottom w:val="nil"/>
            </w:tcBorders>
          </w:tcPr>
          <w:p w:rsidR="00000000" w:rsidRDefault="00000000">
            <w:pPr>
              <w:spacing w:line="240" w:lineRule="auto"/>
              <w:jc w:val="center"/>
              <w:rPr>
                <w:lang w:val="fr-FR"/>
              </w:rPr>
            </w:pPr>
            <w:r>
              <w:rPr>
                <w:lang w:val="fr-FR"/>
              </w:rPr>
              <w:t>4,3</w:t>
            </w:r>
          </w:p>
        </w:tc>
      </w:tr>
      <w:tr w:rsidR="00000000">
        <w:trPr>
          <w:cantSplit/>
        </w:trPr>
        <w:tc>
          <w:tcPr>
            <w:tcW w:w="3402" w:type="dxa"/>
            <w:tcBorders>
              <w:top w:val="nil"/>
              <w:bottom w:val="nil"/>
            </w:tcBorders>
          </w:tcPr>
          <w:p w:rsidR="00000000" w:rsidRDefault="00000000">
            <w:pPr>
              <w:spacing w:line="240" w:lineRule="auto"/>
            </w:pPr>
            <w:r>
              <w:t>Битола</w:t>
            </w:r>
          </w:p>
        </w:tc>
        <w:tc>
          <w:tcPr>
            <w:tcW w:w="2491" w:type="dxa"/>
            <w:tcBorders>
              <w:top w:val="nil"/>
              <w:bottom w:val="nil"/>
            </w:tcBorders>
          </w:tcPr>
          <w:p w:rsidR="00000000" w:rsidRDefault="00000000">
            <w:pPr>
              <w:tabs>
                <w:tab w:val="clear" w:pos="567"/>
                <w:tab w:val="clear" w:pos="1134"/>
                <w:tab w:val="clear" w:pos="1701"/>
                <w:tab w:val="clear" w:pos="2268"/>
                <w:tab w:val="clear" w:pos="6237"/>
                <w:tab w:val="decimal" w:pos="1418"/>
              </w:tabs>
              <w:spacing w:line="240" w:lineRule="auto"/>
              <w:rPr>
                <w:lang w:val="fr-FR"/>
              </w:rPr>
            </w:pPr>
            <w:r>
              <w:rPr>
                <w:lang w:val="fr-FR"/>
              </w:rPr>
              <w:t>3 512</w:t>
            </w:r>
          </w:p>
        </w:tc>
        <w:tc>
          <w:tcPr>
            <w:tcW w:w="3444" w:type="dxa"/>
            <w:tcBorders>
              <w:top w:val="nil"/>
              <w:bottom w:val="nil"/>
            </w:tcBorders>
          </w:tcPr>
          <w:p w:rsidR="00000000" w:rsidRDefault="00000000">
            <w:pPr>
              <w:spacing w:line="240" w:lineRule="auto"/>
              <w:jc w:val="center"/>
              <w:rPr>
                <w:lang w:val="fr-FR"/>
              </w:rPr>
            </w:pPr>
            <w:r>
              <w:rPr>
                <w:lang w:val="fr-FR"/>
              </w:rPr>
              <w:t>3,5</w:t>
            </w:r>
          </w:p>
        </w:tc>
      </w:tr>
      <w:tr w:rsidR="00000000">
        <w:trPr>
          <w:cantSplit/>
        </w:trPr>
        <w:tc>
          <w:tcPr>
            <w:tcW w:w="3402" w:type="dxa"/>
            <w:tcBorders>
              <w:top w:val="nil"/>
              <w:bottom w:val="nil"/>
            </w:tcBorders>
          </w:tcPr>
          <w:p w:rsidR="00000000" w:rsidRDefault="00000000">
            <w:pPr>
              <w:spacing w:line="240" w:lineRule="auto"/>
            </w:pPr>
            <w:r>
              <w:t>Гевгелия</w:t>
            </w:r>
          </w:p>
        </w:tc>
        <w:tc>
          <w:tcPr>
            <w:tcW w:w="2491" w:type="dxa"/>
            <w:tcBorders>
              <w:top w:val="nil"/>
              <w:bottom w:val="nil"/>
            </w:tcBorders>
          </w:tcPr>
          <w:p w:rsidR="00000000" w:rsidRDefault="00000000">
            <w:pPr>
              <w:tabs>
                <w:tab w:val="clear" w:pos="567"/>
                <w:tab w:val="clear" w:pos="1134"/>
                <w:tab w:val="clear" w:pos="1701"/>
                <w:tab w:val="clear" w:pos="2268"/>
                <w:tab w:val="clear" w:pos="6237"/>
                <w:tab w:val="decimal" w:pos="1418"/>
              </w:tabs>
              <w:spacing w:line="240" w:lineRule="auto"/>
              <w:rPr>
                <w:lang w:val="en-US"/>
              </w:rPr>
            </w:pPr>
            <w:r>
              <w:rPr>
                <w:lang w:val="en-US"/>
              </w:rPr>
              <w:t>1 473</w:t>
            </w:r>
          </w:p>
        </w:tc>
        <w:tc>
          <w:tcPr>
            <w:tcW w:w="3444" w:type="dxa"/>
            <w:tcBorders>
              <w:top w:val="nil"/>
              <w:bottom w:val="nil"/>
            </w:tcBorders>
          </w:tcPr>
          <w:p w:rsidR="00000000" w:rsidRDefault="00000000">
            <w:pPr>
              <w:spacing w:line="240" w:lineRule="auto"/>
              <w:jc w:val="center"/>
              <w:rPr>
                <w:lang w:val="en-US"/>
              </w:rPr>
            </w:pPr>
            <w:r>
              <w:rPr>
                <w:lang w:val="en-US"/>
              </w:rPr>
              <w:t>4,7</w:t>
            </w:r>
          </w:p>
        </w:tc>
      </w:tr>
      <w:tr w:rsidR="00000000">
        <w:trPr>
          <w:cantSplit/>
        </w:trPr>
        <w:tc>
          <w:tcPr>
            <w:tcW w:w="3402" w:type="dxa"/>
            <w:tcBorders>
              <w:top w:val="nil"/>
              <w:bottom w:val="nil"/>
            </w:tcBorders>
          </w:tcPr>
          <w:p w:rsidR="00000000" w:rsidRDefault="00000000">
            <w:pPr>
              <w:spacing w:line="240" w:lineRule="auto"/>
            </w:pPr>
            <w:r>
              <w:t>Гостивар</w:t>
            </w:r>
          </w:p>
        </w:tc>
        <w:tc>
          <w:tcPr>
            <w:tcW w:w="2491" w:type="dxa"/>
            <w:tcBorders>
              <w:top w:val="nil"/>
              <w:bottom w:val="nil"/>
            </w:tcBorders>
          </w:tcPr>
          <w:p w:rsidR="00000000" w:rsidRDefault="00000000">
            <w:pPr>
              <w:tabs>
                <w:tab w:val="clear" w:pos="567"/>
                <w:tab w:val="clear" w:pos="1134"/>
                <w:tab w:val="clear" w:pos="1701"/>
                <w:tab w:val="clear" w:pos="2268"/>
                <w:tab w:val="clear" w:pos="6237"/>
                <w:tab w:val="decimal" w:pos="1418"/>
              </w:tabs>
              <w:spacing w:line="240" w:lineRule="auto"/>
              <w:rPr>
                <w:lang w:val="en-US"/>
              </w:rPr>
            </w:pPr>
            <w:r>
              <w:rPr>
                <w:lang w:val="en-US"/>
              </w:rPr>
              <w:t>1 997</w:t>
            </w:r>
          </w:p>
        </w:tc>
        <w:tc>
          <w:tcPr>
            <w:tcW w:w="3444" w:type="dxa"/>
            <w:tcBorders>
              <w:top w:val="nil"/>
              <w:bottom w:val="nil"/>
            </w:tcBorders>
          </w:tcPr>
          <w:p w:rsidR="00000000" w:rsidRDefault="00000000">
            <w:pPr>
              <w:spacing w:line="240" w:lineRule="auto"/>
              <w:jc w:val="center"/>
              <w:rPr>
                <w:lang w:val="en-US"/>
              </w:rPr>
            </w:pPr>
            <w:r>
              <w:rPr>
                <w:lang w:val="en-US"/>
              </w:rPr>
              <w:t>1,1</w:t>
            </w:r>
          </w:p>
        </w:tc>
      </w:tr>
      <w:tr w:rsidR="00000000">
        <w:trPr>
          <w:cantSplit/>
        </w:trPr>
        <w:tc>
          <w:tcPr>
            <w:tcW w:w="3402" w:type="dxa"/>
            <w:tcBorders>
              <w:top w:val="nil"/>
              <w:bottom w:val="nil"/>
            </w:tcBorders>
          </w:tcPr>
          <w:p w:rsidR="00000000" w:rsidRDefault="00000000">
            <w:pPr>
              <w:spacing w:line="240" w:lineRule="auto"/>
            </w:pPr>
            <w:r>
              <w:t>М</w:t>
            </w:r>
            <w:r>
              <w:rPr>
                <w:lang w:val="en-US"/>
              </w:rPr>
              <w:t xml:space="preserve">. </w:t>
            </w:r>
            <w:r>
              <w:t>Брод</w:t>
            </w:r>
          </w:p>
        </w:tc>
        <w:tc>
          <w:tcPr>
            <w:tcW w:w="2491" w:type="dxa"/>
            <w:tcBorders>
              <w:top w:val="nil"/>
              <w:bottom w:val="nil"/>
            </w:tcBorders>
          </w:tcPr>
          <w:p w:rsidR="00000000" w:rsidRDefault="00000000">
            <w:pPr>
              <w:tabs>
                <w:tab w:val="clear" w:pos="567"/>
                <w:tab w:val="clear" w:pos="1134"/>
                <w:tab w:val="clear" w:pos="1701"/>
                <w:tab w:val="clear" w:pos="2268"/>
                <w:tab w:val="clear" w:pos="6237"/>
                <w:tab w:val="decimal" w:pos="1418"/>
              </w:tabs>
              <w:spacing w:line="240" w:lineRule="auto"/>
              <w:rPr>
                <w:lang w:val="en-US"/>
              </w:rPr>
            </w:pPr>
            <w:r>
              <w:rPr>
                <w:lang w:val="en-US"/>
              </w:rPr>
              <w:t>111</w:t>
            </w:r>
          </w:p>
        </w:tc>
        <w:tc>
          <w:tcPr>
            <w:tcW w:w="3444" w:type="dxa"/>
            <w:tcBorders>
              <w:top w:val="nil"/>
              <w:bottom w:val="nil"/>
            </w:tcBorders>
          </w:tcPr>
          <w:p w:rsidR="00000000" w:rsidRDefault="00000000">
            <w:pPr>
              <w:spacing w:line="240" w:lineRule="auto"/>
              <w:jc w:val="center"/>
              <w:rPr>
                <w:lang w:val="en-US"/>
              </w:rPr>
            </w:pPr>
            <w:r>
              <w:rPr>
                <w:lang w:val="en-US"/>
              </w:rPr>
              <w:t>0,8</w:t>
            </w:r>
          </w:p>
        </w:tc>
      </w:tr>
      <w:tr w:rsidR="00000000">
        <w:trPr>
          <w:cantSplit/>
        </w:trPr>
        <w:tc>
          <w:tcPr>
            <w:tcW w:w="3402" w:type="dxa"/>
            <w:tcBorders>
              <w:top w:val="nil"/>
              <w:bottom w:val="nil"/>
            </w:tcBorders>
          </w:tcPr>
          <w:p w:rsidR="00000000" w:rsidRDefault="00000000">
            <w:pPr>
              <w:spacing w:line="240" w:lineRule="auto"/>
            </w:pPr>
            <w:r>
              <w:t>Велес</w:t>
            </w:r>
          </w:p>
        </w:tc>
        <w:tc>
          <w:tcPr>
            <w:tcW w:w="2491" w:type="dxa"/>
            <w:tcBorders>
              <w:top w:val="nil"/>
              <w:bottom w:val="nil"/>
            </w:tcBorders>
          </w:tcPr>
          <w:p w:rsidR="00000000" w:rsidRDefault="00000000">
            <w:pPr>
              <w:tabs>
                <w:tab w:val="clear" w:pos="567"/>
                <w:tab w:val="clear" w:pos="1134"/>
                <w:tab w:val="clear" w:pos="1701"/>
                <w:tab w:val="clear" w:pos="2268"/>
                <w:tab w:val="clear" w:pos="6237"/>
                <w:tab w:val="decimal" w:pos="1418"/>
              </w:tabs>
              <w:spacing w:line="240" w:lineRule="auto"/>
              <w:rPr>
                <w:lang w:val="en-US"/>
              </w:rPr>
            </w:pPr>
            <w:r>
              <w:rPr>
                <w:lang w:val="en-US"/>
              </w:rPr>
              <w:t>1 173</w:t>
            </w:r>
          </w:p>
        </w:tc>
        <w:tc>
          <w:tcPr>
            <w:tcW w:w="3444" w:type="dxa"/>
            <w:tcBorders>
              <w:top w:val="nil"/>
              <w:bottom w:val="nil"/>
            </w:tcBorders>
          </w:tcPr>
          <w:p w:rsidR="00000000" w:rsidRDefault="00000000">
            <w:pPr>
              <w:spacing w:line="240" w:lineRule="auto"/>
              <w:jc w:val="center"/>
              <w:rPr>
                <w:lang w:val="en-US"/>
              </w:rPr>
            </w:pPr>
            <w:r>
              <w:rPr>
                <w:lang w:val="en-US"/>
              </w:rPr>
              <w:t>1,6</w:t>
            </w:r>
          </w:p>
        </w:tc>
      </w:tr>
      <w:tr w:rsidR="00000000">
        <w:trPr>
          <w:cantSplit/>
        </w:trPr>
        <w:tc>
          <w:tcPr>
            <w:tcW w:w="3402" w:type="dxa"/>
            <w:tcBorders>
              <w:top w:val="nil"/>
              <w:bottom w:val="nil"/>
            </w:tcBorders>
          </w:tcPr>
          <w:p w:rsidR="00000000" w:rsidRDefault="00000000">
            <w:pPr>
              <w:spacing w:line="240" w:lineRule="auto"/>
            </w:pPr>
            <w:r>
              <w:t>Прилеп</w:t>
            </w:r>
          </w:p>
        </w:tc>
        <w:tc>
          <w:tcPr>
            <w:tcW w:w="2491" w:type="dxa"/>
            <w:tcBorders>
              <w:top w:val="nil"/>
              <w:bottom w:val="nil"/>
            </w:tcBorders>
          </w:tcPr>
          <w:p w:rsidR="00000000" w:rsidRDefault="00000000">
            <w:pPr>
              <w:tabs>
                <w:tab w:val="clear" w:pos="567"/>
                <w:tab w:val="clear" w:pos="1134"/>
                <w:tab w:val="clear" w:pos="1701"/>
                <w:tab w:val="clear" w:pos="2268"/>
                <w:tab w:val="clear" w:pos="6237"/>
                <w:tab w:val="decimal" w:pos="1418"/>
              </w:tabs>
              <w:spacing w:line="240" w:lineRule="auto"/>
              <w:rPr>
                <w:lang w:val="en-US"/>
              </w:rPr>
            </w:pPr>
            <w:r>
              <w:rPr>
                <w:lang w:val="en-US"/>
              </w:rPr>
              <w:t>3 360</w:t>
            </w:r>
          </w:p>
        </w:tc>
        <w:tc>
          <w:tcPr>
            <w:tcW w:w="3444" w:type="dxa"/>
            <w:tcBorders>
              <w:top w:val="nil"/>
              <w:bottom w:val="nil"/>
            </w:tcBorders>
          </w:tcPr>
          <w:p w:rsidR="00000000" w:rsidRDefault="00000000">
            <w:pPr>
              <w:spacing w:line="240" w:lineRule="auto"/>
              <w:jc w:val="center"/>
              <w:rPr>
                <w:lang w:val="en-US"/>
              </w:rPr>
            </w:pPr>
            <w:r>
              <w:rPr>
                <w:lang w:val="en-US"/>
              </w:rPr>
              <w:t>3</w:t>
            </w:r>
          </w:p>
        </w:tc>
      </w:tr>
      <w:tr w:rsidR="00000000">
        <w:trPr>
          <w:cantSplit/>
        </w:trPr>
        <w:tc>
          <w:tcPr>
            <w:tcW w:w="3402" w:type="dxa"/>
            <w:tcBorders>
              <w:top w:val="nil"/>
            </w:tcBorders>
          </w:tcPr>
          <w:p w:rsidR="00000000" w:rsidRDefault="00000000">
            <w:pPr>
              <w:spacing w:line="240" w:lineRule="auto"/>
            </w:pPr>
            <w:r>
              <w:t>Тетово</w:t>
            </w:r>
          </w:p>
        </w:tc>
        <w:tc>
          <w:tcPr>
            <w:tcW w:w="2491" w:type="dxa"/>
            <w:tcBorders>
              <w:top w:val="nil"/>
            </w:tcBorders>
          </w:tcPr>
          <w:p w:rsidR="00000000" w:rsidRDefault="00000000">
            <w:pPr>
              <w:tabs>
                <w:tab w:val="clear" w:pos="567"/>
                <w:tab w:val="clear" w:pos="1134"/>
                <w:tab w:val="clear" w:pos="1701"/>
                <w:tab w:val="clear" w:pos="2268"/>
                <w:tab w:val="clear" w:pos="6237"/>
                <w:tab w:val="decimal" w:pos="1418"/>
              </w:tabs>
              <w:spacing w:line="240" w:lineRule="auto"/>
              <w:rPr>
                <w:lang w:val="en-US"/>
              </w:rPr>
            </w:pPr>
            <w:r>
              <w:rPr>
                <w:lang w:val="en-US"/>
              </w:rPr>
              <w:t>8 086</w:t>
            </w:r>
          </w:p>
        </w:tc>
        <w:tc>
          <w:tcPr>
            <w:tcW w:w="3444" w:type="dxa"/>
            <w:tcBorders>
              <w:top w:val="nil"/>
            </w:tcBorders>
          </w:tcPr>
          <w:p w:rsidR="00000000" w:rsidRDefault="00000000">
            <w:pPr>
              <w:spacing w:line="240" w:lineRule="auto"/>
              <w:jc w:val="center"/>
              <w:rPr>
                <w:lang w:val="en-US"/>
              </w:rPr>
            </w:pPr>
            <w:r>
              <w:rPr>
                <w:lang w:val="en-US"/>
              </w:rPr>
              <w:t>2,5</w:t>
            </w:r>
          </w:p>
        </w:tc>
      </w:tr>
      <w:tr w:rsidR="00000000">
        <w:trPr>
          <w:cantSplit/>
        </w:trPr>
        <w:tc>
          <w:tcPr>
            <w:tcW w:w="3402" w:type="dxa"/>
          </w:tcPr>
          <w:p w:rsidR="00000000" w:rsidRDefault="00000000">
            <w:pPr>
              <w:spacing w:line="240" w:lineRule="auto"/>
            </w:pPr>
            <w:r>
              <w:t>Бывшая югославская Республика Македония (всего)</w:t>
            </w:r>
          </w:p>
        </w:tc>
        <w:tc>
          <w:tcPr>
            <w:tcW w:w="2491" w:type="dxa"/>
          </w:tcPr>
          <w:p w:rsidR="00000000" w:rsidRDefault="00000000">
            <w:pPr>
              <w:tabs>
                <w:tab w:val="clear" w:pos="567"/>
                <w:tab w:val="clear" w:pos="1134"/>
                <w:tab w:val="clear" w:pos="1701"/>
                <w:tab w:val="clear" w:pos="2268"/>
                <w:tab w:val="clear" w:pos="6237"/>
                <w:tab w:val="decimal" w:pos="1418"/>
              </w:tabs>
              <w:spacing w:line="240" w:lineRule="auto"/>
              <w:rPr>
                <w:lang w:val="en-US"/>
              </w:rPr>
            </w:pPr>
            <w:r>
              <w:rPr>
                <w:lang w:val="en-US"/>
              </w:rPr>
              <w:t>112 943</w:t>
            </w:r>
          </w:p>
        </w:tc>
        <w:tc>
          <w:tcPr>
            <w:tcW w:w="3444" w:type="dxa"/>
          </w:tcPr>
          <w:p w:rsidR="00000000" w:rsidRDefault="00000000">
            <w:pPr>
              <w:spacing w:line="240" w:lineRule="auto"/>
              <w:jc w:val="center"/>
              <w:rPr>
                <w:lang w:val="en-US"/>
              </w:rPr>
            </w:pPr>
            <w:r>
              <w:rPr>
                <w:lang w:val="en-US"/>
              </w:rPr>
              <w:t>4,1</w:t>
            </w:r>
          </w:p>
        </w:tc>
      </w:tr>
    </w:tbl>
    <w:p w:rsidR="00000000" w:rsidRDefault="00000000">
      <w:r>
        <w:br/>
        <w:t>548.</w:t>
      </w:r>
      <w:r>
        <w:tab/>
        <w:t>В 2003</w:t>
      </w:r>
      <w:r>
        <w:rPr>
          <w:lang w:val="en-US"/>
        </w:rPr>
        <w:t> </w:t>
      </w:r>
      <w:r>
        <w:t>году Акушерская служба системы государственного здравоохранения обеспечила в общей сложности 26</w:t>
      </w:r>
      <w:r>
        <w:rPr>
          <w:lang w:val="en-US"/>
        </w:rPr>
        <w:t> </w:t>
      </w:r>
      <w:r>
        <w:t>850</w:t>
      </w:r>
      <w:r>
        <w:rPr>
          <w:lang w:val="en-US"/>
        </w:rPr>
        <w:t> </w:t>
      </w:r>
      <w:r>
        <w:t>посещений беременных женщин, что позволило достигнуть в среднем 1,0</w:t>
      </w:r>
      <w:r>
        <w:rPr>
          <w:lang w:val="en-US"/>
        </w:rPr>
        <w:t> </w:t>
      </w:r>
      <w:r>
        <w:t>посещения на каждую беременную женщину (ожидаемый средний показатель посещений составлял 2,0).  Посещения беременных женщин в 2003</w:t>
      </w:r>
      <w:r>
        <w:rPr>
          <w:lang w:val="en-US"/>
        </w:rPr>
        <w:t> </w:t>
      </w:r>
      <w:r>
        <w:t>году по сравнению с 2002</w:t>
      </w:r>
      <w:r>
        <w:rPr>
          <w:lang w:val="en-US"/>
        </w:rPr>
        <w:t> </w:t>
      </w:r>
      <w:r>
        <w:t xml:space="preserve">году сократились на 13%.  В большинстве муниципалитетов данная здравоохранительная мера либо вообще не выполняется, либо выполняется при незначительном числе посещений (Битола, Валандово, Гостивар, Дебар, Демир Хисар, Куманово, Неготино).  Запланированное число посещений было выполнено или перевыполнено в таких муниципалитетах, как </w:t>
      </w:r>
      <w:proofErr w:type="spellStart"/>
      <w:r>
        <w:t>Крива-Паланка</w:t>
      </w:r>
      <w:proofErr w:type="spellEnd"/>
      <w:r>
        <w:t xml:space="preserve">, Ресен, Свети-Николе, Струга, Струмица и </w:t>
      </w:r>
      <w:proofErr w:type="spellStart"/>
      <w:r>
        <w:t>Штип</w:t>
      </w:r>
      <w:proofErr w:type="spellEnd"/>
      <w:r>
        <w:t>.</w:t>
      </w:r>
    </w:p>
    <w:p w:rsidR="00000000" w:rsidRDefault="00000000"/>
    <w:p w:rsidR="00000000" w:rsidRDefault="00000000">
      <w:pPr>
        <w:keepNext/>
        <w:rPr>
          <w:i/>
          <w:iCs/>
        </w:rPr>
      </w:pPr>
      <w:r>
        <w:rPr>
          <w:i/>
          <w:iCs/>
        </w:rPr>
        <w:t>Медицинская помощь и акушерское обслуживание при родах</w:t>
      </w:r>
    </w:p>
    <w:p w:rsidR="00000000" w:rsidRDefault="00000000">
      <w:pPr>
        <w:keepNext/>
        <w:rPr>
          <w:i/>
          <w:iCs/>
        </w:rPr>
      </w:pPr>
    </w:p>
    <w:p w:rsidR="00000000" w:rsidRDefault="00000000">
      <w:r>
        <w:t>549.</w:t>
      </w:r>
      <w:r>
        <w:tab/>
        <w:t>В контексте медицинской помощи женщинам при родах профессиональная помощь имеет важное значение как с точки зрения здоровья роженицы, так и с точки зрения здоровья новорожденного.  Поэтому в программе на 2003</w:t>
      </w:r>
      <w:r>
        <w:rPr>
          <w:lang w:val="en-US"/>
        </w:rPr>
        <w:t> </w:t>
      </w:r>
      <w:r>
        <w:t xml:space="preserve">год было предусмотрено, что все роды должны сопровождаться профессиональной помощью, </w:t>
      </w:r>
      <w:proofErr w:type="spellStart"/>
      <w:r>
        <w:t>97%</w:t>
      </w:r>
      <w:proofErr w:type="spellEnd"/>
      <w:r>
        <w:t xml:space="preserve"> из них</w:t>
      </w:r>
      <w:r>
        <w:rPr>
          <w:lang w:val="en-US"/>
        </w:rPr>
        <w:t> </w:t>
      </w:r>
      <w:r>
        <w:noBreakHyphen/>
        <w:t xml:space="preserve"> в</w:t>
      </w:r>
      <w:r>
        <w:rPr>
          <w:lang w:val="en-US"/>
        </w:rPr>
        <w:t> </w:t>
      </w:r>
      <w:r>
        <w:t xml:space="preserve">медицинских учреждениях и </w:t>
      </w:r>
      <w:proofErr w:type="spellStart"/>
      <w:r>
        <w:t>3%</w:t>
      </w:r>
      <w:proofErr w:type="spellEnd"/>
      <w:r>
        <w:t> </w:t>
      </w:r>
      <w:r>
        <w:noBreakHyphen/>
        <w:t xml:space="preserve"> по месту жительства рожениц.</w:t>
      </w:r>
    </w:p>
    <w:p w:rsidR="00000000" w:rsidRDefault="00000000"/>
    <w:p w:rsidR="00000000" w:rsidRDefault="00000000">
      <w:r>
        <w:t>550.</w:t>
      </w:r>
      <w:r>
        <w:tab/>
        <w:t>В 2003 году из общего числа зарегистрированных родов 98,6% имели место в медицинских учреждениях, 0,3% сопровождались профессиональной помощью по месту жительства матери и 1,1% происходили без профессиональной помощи.  Несмотря на сокращение различий между количеством сопровождаемых профессиональной помощью родов в городах и селах, географические и этнические различия в отношении этого показателя по</w:t>
      </w:r>
      <w:r>
        <w:noBreakHyphen/>
        <w:t>прежнему присутствуют.  По этническому признаку наиболее низкий уровень живорождений, сопровождаемых профессиональным родовспоможением, приходится на живорожденных детей, родившихся у албанских матерей (</w:t>
      </w:r>
      <w:proofErr w:type="spellStart"/>
      <w:r>
        <w:t>97,8%</w:t>
      </w:r>
      <w:proofErr w:type="spellEnd"/>
      <w:r>
        <w:t>).</w:t>
      </w:r>
    </w:p>
    <w:p w:rsidR="00000000" w:rsidRDefault="00000000"/>
    <w:p w:rsidR="00000000" w:rsidRDefault="00000000">
      <w:pPr>
        <w:jc w:val="center"/>
        <w:rPr>
          <w:b/>
          <w:bCs/>
        </w:rPr>
      </w:pPr>
      <w:r>
        <w:rPr>
          <w:b/>
          <w:bCs/>
        </w:rPr>
        <w:t xml:space="preserve">Профессиональная помощь при родах в бывшей югославской </w:t>
      </w:r>
    </w:p>
    <w:p w:rsidR="00000000" w:rsidRDefault="00000000">
      <w:pPr>
        <w:jc w:val="center"/>
        <w:rPr>
          <w:b/>
          <w:bCs/>
        </w:rPr>
      </w:pPr>
      <w:r>
        <w:rPr>
          <w:b/>
          <w:bCs/>
        </w:rPr>
        <w:t>Республике Македонии (города и села)</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70"/>
        <w:gridCol w:w="1271"/>
        <w:gridCol w:w="1271"/>
        <w:gridCol w:w="1271"/>
        <w:gridCol w:w="1270"/>
        <w:gridCol w:w="1558"/>
      </w:tblGrid>
      <w:tr w:rsidR="00000000">
        <w:tblPrEx>
          <w:tblCellMar>
            <w:top w:w="0" w:type="dxa"/>
            <w:bottom w:w="0" w:type="dxa"/>
          </w:tblCellMar>
        </w:tblPrEx>
        <w:trPr>
          <w:cantSplit/>
        </w:trPr>
        <w:tc>
          <w:tcPr>
            <w:tcW w:w="2770" w:type="dxa"/>
          </w:tcPr>
          <w:p w:rsidR="00000000" w:rsidRDefault="00000000"/>
        </w:tc>
        <w:tc>
          <w:tcPr>
            <w:tcW w:w="1271" w:type="dxa"/>
          </w:tcPr>
          <w:p w:rsidR="00000000" w:rsidRDefault="00000000">
            <w:pPr>
              <w:jc w:val="center"/>
              <w:rPr>
                <w:bCs/>
              </w:rPr>
            </w:pPr>
            <w:r>
              <w:rPr>
                <w:bCs/>
              </w:rPr>
              <w:t>1990</w:t>
            </w:r>
          </w:p>
        </w:tc>
        <w:tc>
          <w:tcPr>
            <w:tcW w:w="1271" w:type="dxa"/>
          </w:tcPr>
          <w:p w:rsidR="00000000" w:rsidRDefault="00000000">
            <w:pPr>
              <w:jc w:val="center"/>
              <w:rPr>
                <w:bCs/>
              </w:rPr>
            </w:pPr>
            <w:r>
              <w:rPr>
                <w:bCs/>
              </w:rPr>
              <w:t>2000</w:t>
            </w:r>
          </w:p>
        </w:tc>
        <w:tc>
          <w:tcPr>
            <w:tcW w:w="1271" w:type="dxa"/>
          </w:tcPr>
          <w:p w:rsidR="00000000" w:rsidRDefault="00000000">
            <w:pPr>
              <w:jc w:val="center"/>
              <w:rPr>
                <w:bCs/>
              </w:rPr>
            </w:pPr>
            <w:r>
              <w:rPr>
                <w:bCs/>
              </w:rPr>
              <w:t>2001</w:t>
            </w:r>
          </w:p>
        </w:tc>
        <w:tc>
          <w:tcPr>
            <w:tcW w:w="1270" w:type="dxa"/>
          </w:tcPr>
          <w:p w:rsidR="00000000" w:rsidRDefault="00000000">
            <w:pPr>
              <w:jc w:val="center"/>
              <w:rPr>
                <w:bCs/>
              </w:rPr>
            </w:pPr>
            <w:r>
              <w:rPr>
                <w:bCs/>
              </w:rPr>
              <w:t>2002</w:t>
            </w:r>
          </w:p>
        </w:tc>
        <w:tc>
          <w:tcPr>
            <w:tcW w:w="1558" w:type="dxa"/>
          </w:tcPr>
          <w:p w:rsidR="00000000" w:rsidRDefault="00000000">
            <w:pPr>
              <w:jc w:val="center"/>
              <w:rPr>
                <w:bCs/>
              </w:rPr>
            </w:pPr>
            <w:r>
              <w:rPr>
                <w:bCs/>
              </w:rPr>
              <w:t>2003</w:t>
            </w:r>
          </w:p>
        </w:tc>
      </w:tr>
      <w:tr w:rsidR="00000000">
        <w:tblPrEx>
          <w:tblCellMar>
            <w:top w:w="0" w:type="dxa"/>
            <w:bottom w:w="0" w:type="dxa"/>
          </w:tblCellMar>
        </w:tblPrEx>
        <w:trPr>
          <w:cantSplit/>
        </w:trPr>
        <w:tc>
          <w:tcPr>
            <w:tcW w:w="2770" w:type="dxa"/>
            <w:tcBorders>
              <w:bottom w:val="nil"/>
            </w:tcBorders>
          </w:tcPr>
          <w:p w:rsidR="00000000" w:rsidRDefault="00000000">
            <w:pPr>
              <w:rPr>
                <w:szCs w:val="24"/>
              </w:rPr>
            </w:pPr>
            <w:r>
              <w:rPr>
                <w:szCs w:val="24"/>
              </w:rPr>
              <w:t>Всего</w:t>
            </w:r>
          </w:p>
        </w:tc>
        <w:tc>
          <w:tcPr>
            <w:tcW w:w="1271" w:type="dxa"/>
            <w:tcBorders>
              <w:bottom w:val="nil"/>
            </w:tcBorders>
          </w:tcPr>
          <w:p w:rsidR="00000000" w:rsidRDefault="00000000">
            <w:pPr>
              <w:jc w:val="center"/>
            </w:pPr>
            <w:r>
              <w:t>88,9</w:t>
            </w:r>
          </w:p>
        </w:tc>
        <w:tc>
          <w:tcPr>
            <w:tcW w:w="1271" w:type="dxa"/>
            <w:tcBorders>
              <w:bottom w:val="nil"/>
            </w:tcBorders>
          </w:tcPr>
          <w:p w:rsidR="00000000" w:rsidRDefault="00000000">
            <w:pPr>
              <w:jc w:val="center"/>
            </w:pPr>
            <w:r>
              <w:t>97,7</w:t>
            </w:r>
          </w:p>
        </w:tc>
        <w:tc>
          <w:tcPr>
            <w:tcW w:w="1271" w:type="dxa"/>
            <w:tcBorders>
              <w:bottom w:val="nil"/>
            </w:tcBorders>
          </w:tcPr>
          <w:p w:rsidR="00000000" w:rsidRDefault="00000000">
            <w:pPr>
              <w:jc w:val="center"/>
            </w:pPr>
            <w:r>
              <w:t>97,6</w:t>
            </w:r>
          </w:p>
        </w:tc>
        <w:tc>
          <w:tcPr>
            <w:tcW w:w="1270" w:type="dxa"/>
            <w:tcBorders>
              <w:bottom w:val="nil"/>
            </w:tcBorders>
          </w:tcPr>
          <w:p w:rsidR="00000000" w:rsidRDefault="00000000">
            <w:pPr>
              <w:jc w:val="center"/>
            </w:pPr>
            <w:r>
              <w:t>98,2</w:t>
            </w:r>
          </w:p>
        </w:tc>
        <w:tc>
          <w:tcPr>
            <w:tcW w:w="1558" w:type="dxa"/>
            <w:tcBorders>
              <w:bottom w:val="nil"/>
            </w:tcBorders>
          </w:tcPr>
          <w:p w:rsidR="00000000" w:rsidRDefault="00000000">
            <w:pPr>
              <w:ind w:left="454"/>
            </w:pPr>
            <w:r>
              <w:t>98,9</w:t>
            </w:r>
          </w:p>
        </w:tc>
      </w:tr>
      <w:tr w:rsidR="00000000">
        <w:tblPrEx>
          <w:tblCellMar>
            <w:top w:w="0" w:type="dxa"/>
            <w:bottom w:w="0" w:type="dxa"/>
          </w:tblCellMar>
        </w:tblPrEx>
        <w:trPr>
          <w:cantSplit/>
        </w:trPr>
        <w:tc>
          <w:tcPr>
            <w:tcW w:w="2770" w:type="dxa"/>
            <w:tcBorders>
              <w:top w:val="nil"/>
              <w:bottom w:val="nil"/>
            </w:tcBorders>
          </w:tcPr>
          <w:p w:rsidR="00000000" w:rsidRDefault="00000000">
            <w:pPr>
              <w:pStyle w:val="Header"/>
            </w:pPr>
            <w:r>
              <w:t>Города</w:t>
            </w:r>
          </w:p>
        </w:tc>
        <w:tc>
          <w:tcPr>
            <w:tcW w:w="1271" w:type="dxa"/>
            <w:tcBorders>
              <w:top w:val="nil"/>
              <w:bottom w:val="nil"/>
            </w:tcBorders>
          </w:tcPr>
          <w:p w:rsidR="00000000" w:rsidRDefault="00000000">
            <w:pPr>
              <w:jc w:val="center"/>
            </w:pPr>
            <w:r>
              <w:t>96,6</w:t>
            </w:r>
          </w:p>
        </w:tc>
        <w:tc>
          <w:tcPr>
            <w:tcW w:w="1271" w:type="dxa"/>
            <w:tcBorders>
              <w:top w:val="nil"/>
              <w:bottom w:val="nil"/>
            </w:tcBorders>
          </w:tcPr>
          <w:p w:rsidR="00000000" w:rsidRDefault="00000000">
            <w:pPr>
              <w:jc w:val="center"/>
            </w:pPr>
            <w:r>
              <w:t>99,5</w:t>
            </w:r>
          </w:p>
        </w:tc>
        <w:tc>
          <w:tcPr>
            <w:tcW w:w="1271" w:type="dxa"/>
            <w:tcBorders>
              <w:top w:val="nil"/>
              <w:bottom w:val="nil"/>
            </w:tcBorders>
          </w:tcPr>
          <w:p w:rsidR="00000000" w:rsidRDefault="00000000">
            <w:pPr>
              <w:jc w:val="center"/>
            </w:pPr>
            <w:r>
              <w:t>99,3</w:t>
            </w:r>
          </w:p>
        </w:tc>
        <w:tc>
          <w:tcPr>
            <w:tcW w:w="1270" w:type="dxa"/>
            <w:tcBorders>
              <w:top w:val="nil"/>
              <w:bottom w:val="nil"/>
            </w:tcBorders>
          </w:tcPr>
          <w:p w:rsidR="00000000" w:rsidRDefault="00000000">
            <w:pPr>
              <w:jc w:val="center"/>
            </w:pPr>
            <w:r>
              <w:t>99,5</w:t>
            </w:r>
          </w:p>
        </w:tc>
        <w:tc>
          <w:tcPr>
            <w:tcW w:w="1558" w:type="dxa"/>
            <w:tcBorders>
              <w:top w:val="nil"/>
              <w:bottom w:val="nil"/>
            </w:tcBorders>
          </w:tcPr>
          <w:p w:rsidR="00000000" w:rsidRDefault="00000000">
            <w:pPr>
              <w:ind w:left="454"/>
            </w:pPr>
            <w:r>
              <w:t>99,7</w:t>
            </w:r>
          </w:p>
        </w:tc>
      </w:tr>
      <w:tr w:rsidR="00000000">
        <w:tblPrEx>
          <w:tblCellMar>
            <w:top w:w="0" w:type="dxa"/>
            <w:bottom w:w="0" w:type="dxa"/>
          </w:tblCellMar>
        </w:tblPrEx>
        <w:trPr>
          <w:cantSplit/>
        </w:trPr>
        <w:tc>
          <w:tcPr>
            <w:tcW w:w="2770" w:type="dxa"/>
            <w:tcBorders>
              <w:top w:val="nil"/>
            </w:tcBorders>
          </w:tcPr>
          <w:p w:rsidR="00000000" w:rsidRDefault="00000000">
            <w:r>
              <w:t>Села</w:t>
            </w:r>
          </w:p>
        </w:tc>
        <w:tc>
          <w:tcPr>
            <w:tcW w:w="1271" w:type="dxa"/>
            <w:tcBorders>
              <w:top w:val="nil"/>
            </w:tcBorders>
          </w:tcPr>
          <w:p w:rsidR="00000000" w:rsidRDefault="00000000">
            <w:pPr>
              <w:jc w:val="center"/>
            </w:pPr>
            <w:r>
              <w:t>77,9</w:t>
            </w:r>
          </w:p>
        </w:tc>
        <w:tc>
          <w:tcPr>
            <w:tcW w:w="1271" w:type="dxa"/>
            <w:tcBorders>
              <w:top w:val="nil"/>
            </w:tcBorders>
          </w:tcPr>
          <w:p w:rsidR="00000000" w:rsidRDefault="00000000">
            <w:pPr>
              <w:jc w:val="center"/>
            </w:pPr>
            <w:r>
              <w:t>95,7</w:t>
            </w:r>
          </w:p>
        </w:tc>
        <w:tc>
          <w:tcPr>
            <w:tcW w:w="1271" w:type="dxa"/>
            <w:tcBorders>
              <w:top w:val="nil"/>
            </w:tcBorders>
          </w:tcPr>
          <w:p w:rsidR="00000000" w:rsidRDefault="00000000">
            <w:pPr>
              <w:jc w:val="center"/>
            </w:pPr>
            <w:r>
              <w:t>95,5</w:t>
            </w:r>
          </w:p>
        </w:tc>
        <w:tc>
          <w:tcPr>
            <w:tcW w:w="1270" w:type="dxa"/>
            <w:tcBorders>
              <w:top w:val="nil"/>
            </w:tcBorders>
          </w:tcPr>
          <w:p w:rsidR="00000000" w:rsidRDefault="00000000">
            <w:pPr>
              <w:jc w:val="center"/>
            </w:pPr>
            <w:r>
              <w:t>96,6</w:t>
            </w:r>
          </w:p>
        </w:tc>
        <w:tc>
          <w:tcPr>
            <w:tcW w:w="1558" w:type="dxa"/>
            <w:tcBorders>
              <w:top w:val="nil"/>
            </w:tcBorders>
          </w:tcPr>
          <w:p w:rsidR="00000000" w:rsidRDefault="00000000">
            <w:pPr>
              <w:ind w:left="454"/>
            </w:pPr>
            <w:r>
              <w:t>98</w:t>
            </w:r>
          </w:p>
        </w:tc>
      </w:tr>
    </w:tbl>
    <w:p w:rsidR="00000000" w:rsidRDefault="00000000"/>
    <w:p w:rsidR="00000000" w:rsidRDefault="00000000">
      <w:r>
        <w:t>551.</w:t>
      </w:r>
      <w:r>
        <w:tab/>
        <w:t xml:space="preserve">Уровень использования имеющегося коечного фонда родильных отделений не является равномерным и на общенациональном уровне составляет 64%.  Наивысший уровень использования коечного фонда (более </w:t>
      </w:r>
      <w:proofErr w:type="spellStart"/>
      <w:r>
        <w:t>95%</w:t>
      </w:r>
      <w:proofErr w:type="spellEnd"/>
      <w:r>
        <w:t xml:space="preserve">) зарегистрирован в родительном отделении акушерско-гинекологической клиники в Скопье и в акушерских клиниках в Куманово, Кичево и Струге.  Средняя продолжительность пребывания в родильном отделении составляет 4,8 дня.  </w:t>
      </w:r>
    </w:p>
    <w:p w:rsidR="00000000" w:rsidRDefault="00000000"/>
    <w:p w:rsidR="00000000" w:rsidRDefault="00000000">
      <w:r>
        <w:t>552.</w:t>
      </w:r>
      <w:r>
        <w:tab/>
        <w:t xml:space="preserve">Меры послеродового ухода осуществляются государственными медицинскими сестринскими службами в форме посещения кормящих матерей.  </w:t>
      </w:r>
    </w:p>
    <w:p w:rsidR="00000000" w:rsidRDefault="00000000"/>
    <w:p w:rsidR="00000000" w:rsidRDefault="00000000">
      <w:r>
        <w:t>553.</w:t>
      </w:r>
      <w:r>
        <w:tab/>
        <w:t xml:space="preserve">В 2003 году в общей сложности было осуществлено 50 124 посещения, что позволило достичь среднего количества посещений патронажными сестрами в размере 1,8 (запланированный средний показатель посещений составлял 3,0).  </w:t>
      </w:r>
    </w:p>
    <w:p w:rsidR="00000000" w:rsidRDefault="00000000"/>
    <w:p w:rsidR="00000000" w:rsidRDefault="00000000">
      <w:r>
        <w:t>554.</w:t>
      </w:r>
      <w:r>
        <w:tab/>
        <w:t xml:space="preserve">Осуществление этой меры сопоставимо с показателем за предыдущий год.  Данные за 2003 год в отношении количества зарегистрированных посещений кормящих матерей государственными медицинскими сестрами отсутствуют в муниципалитетах Валандово, Демир Хисар, Пехчево и Кратово.  </w:t>
      </w:r>
    </w:p>
    <w:p w:rsidR="00000000" w:rsidRDefault="00000000"/>
    <w:p w:rsidR="00000000" w:rsidRDefault="00000000">
      <w:pPr>
        <w:jc w:val="center"/>
        <w:rPr>
          <w:b/>
          <w:bCs/>
        </w:rPr>
      </w:pPr>
      <w:r>
        <w:rPr>
          <w:b/>
          <w:bCs/>
        </w:rPr>
        <w:br w:type="page"/>
        <w:t>Посещения кормящих матерей работниками государственной медицинской сестринской службы в бывшей югославской Республике Македонии за 2003 год (данные по ряду муниципалитетов)</w:t>
      </w:r>
    </w:p>
    <w:p w:rsidR="00000000" w:rsidRDefault="00000000">
      <w:pPr>
        <w:jc w:val="center"/>
        <w:rPr>
          <w:b/>
          <w:bCs/>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48"/>
        <w:gridCol w:w="2126"/>
        <w:gridCol w:w="2437"/>
      </w:tblGrid>
      <w:tr w:rsidR="00000000">
        <w:tblPrEx>
          <w:tblCellMar>
            <w:top w:w="0" w:type="dxa"/>
            <w:bottom w:w="0" w:type="dxa"/>
          </w:tblCellMar>
        </w:tblPrEx>
        <w:trPr>
          <w:cantSplit/>
        </w:trPr>
        <w:tc>
          <w:tcPr>
            <w:tcW w:w="4848" w:type="dxa"/>
          </w:tcPr>
          <w:p w:rsidR="00000000" w:rsidRDefault="00000000">
            <w:pPr>
              <w:spacing w:line="240" w:lineRule="auto"/>
              <w:jc w:val="center"/>
            </w:pPr>
            <w:r>
              <w:t>Муниципалитет</w:t>
            </w:r>
          </w:p>
        </w:tc>
        <w:tc>
          <w:tcPr>
            <w:tcW w:w="2126" w:type="dxa"/>
          </w:tcPr>
          <w:p w:rsidR="00000000" w:rsidRDefault="00000000">
            <w:pPr>
              <w:spacing w:line="240" w:lineRule="auto"/>
              <w:jc w:val="center"/>
            </w:pPr>
            <w:r>
              <w:t>Общее число</w:t>
            </w:r>
          </w:p>
        </w:tc>
        <w:tc>
          <w:tcPr>
            <w:tcW w:w="2437" w:type="dxa"/>
          </w:tcPr>
          <w:p w:rsidR="00000000" w:rsidRDefault="00000000">
            <w:pPr>
              <w:pStyle w:val="Header"/>
              <w:spacing w:line="240" w:lineRule="auto"/>
              <w:jc w:val="center"/>
            </w:pPr>
            <w:r>
              <w:t>Среднее число посещений на каждую кормящую мать</w:t>
            </w:r>
          </w:p>
        </w:tc>
      </w:tr>
      <w:tr w:rsidR="00000000">
        <w:tblPrEx>
          <w:tblCellMar>
            <w:top w:w="0" w:type="dxa"/>
            <w:bottom w:w="0" w:type="dxa"/>
          </w:tblCellMar>
        </w:tblPrEx>
        <w:trPr>
          <w:cantSplit/>
        </w:trPr>
        <w:tc>
          <w:tcPr>
            <w:tcW w:w="4848" w:type="dxa"/>
            <w:tcBorders>
              <w:bottom w:val="nil"/>
            </w:tcBorders>
          </w:tcPr>
          <w:p w:rsidR="00000000" w:rsidRDefault="00000000">
            <w:pPr>
              <w:pStyle w:val="Header"/>
            </w:pPr>
            <w:r>
              <w:t>Скопье</w:t>
            </w:r>
          </w:p>
        </w:tc>
        <w:tc>
          <w:tcPr>
            <w:tcW w:w="2126" w:type="dxa"/>
            <w:tcBorders>
              <w:bottom w:val="nil"/>
            </w:tcBorders>
          </w:tcPr>
          <w:p w:rsidR="00000000" w:rsidRDefault="00000000">
            <w:pPr>
              <w:ind w:left="57" w:right="567"/>
              <w:jc w:val="right"/>
              <w:rPr>
                <w:lang w:val="en-US"/>
              </w:rPr>
            </w:pPr>
            <w:r>
              <w:rPr>
                <w:lang w:val="en-US"/>
              </w:rPr>
              <w:t>19 414</w:t>
            </w:r>
          </w:p>
        </w:tc>
        <w:tc>
          <w:tcPr>
            <w:tcW w:w="2437" w:type="dxa"/>
            <w:tcBorders>
              <w:bottom w:val="nil"/>
            </w:tcBorders>
          </w:tcPr>
          <w:p w:rsidR="00000000" w:rsidRDefault="00000000">
            <w:pPr>
              <w:jc w:val="center"/>
              <w:rPr>
                <w:lang w:val="en-US"/>
              </w:rPr>
            </w:pPr>
            <w:r>
              <w:rPr>
                <w:lang w:val="en-US"/>
              </w:rPr>
              <w:t>2,5</w:t>
            </w:r>
          </w:p>
        </w:tc>
      </w:tr>
      <w:tr w:rsidR="00000000">
        <w:tblPrEx>
          <w:tblCellMar>
            <w:top w:w="0" w:type="dxa"/>
            <w:bottom w:w="0" w:type="dxa"/>
          </w:tblCellMar>
        </w:tblPrEx>
        <w:trPr>
          <w:cantSplit/>
        </w:trPr>
        <w:tc>
          <w:tcPr>
            <w:tcW w:w="4848" w:type="dxa"/>
            <w:tcBorders>
              <w:top w:val="nil"/>
              <w:bottom w:val="nil"/>
            </w:tcBorders>
          </w:tcPr>
          <w:p w:rsidR="00000000" w:rsidRDefault="00000000">
            <w:r>
              <w:t>Гевгелия</w:t>
            </w:r>
          </w:p>
        </w:tc>
        <w:tc>
          <w:tcPr>
            <w:tcW w:w="2126" w:type="dxa"/>
            <w:tcBorders>
              <w:top w:val="nil"/>
              <w:bottom w:val="nil"/>
            </w:tcBorders>
          </w:tcPr>
          <w:p w:rsidR="00000000" w:rsidRDefault="00000000">
            <w:pPr>
              <w:ind w:left="57" w:right="567"/>
              <w:jc w:val="right"/>
              <w:rPr>
                <w:lang w:val="en-US"/>
              </w:rPr>
            </w:pPr>
            <w:r>
              <w:rPr>
                <w:lang w:val="en-US"/>
              </w:rPr>
              <w:t>710</w:t>
            </w:r>
          </w:p>
        </w:tc>
        <w:tc>
          <w:tcPr>
            <w:tcW w:w="2437" w:type="dxa"/>
            <w:tcBorders>
              <w:top w:val="nil"/>
              <w:bottom w:val="nil"/>
            </w:tcBorders>
          </w:tcPr>
          <w:p w:rsidR="00000000" w:rsidRDefault="00000000">
            <w:pPr>
              <w:jc w:val="center"/>
              <w:rPr>
                <w:lang w:val="en-US"/>
              </w:rPr>
            </w:pPr>
            <w:r>
              <w:rPr>
                <w:lang w:val="en-US"/>
              </w:rPr>
              <w:t>2,3</w:t>
            </w:r>
          </w:p>
        </w:tc>
      </w:tr>
      <w:tr w:rsidR="00000000">
        <w:tblPrEx>
          <w:tblCellMar>
            <w:top w:w="0" w:type="dxa"/>
            <w:bottom w:w="0" w:type="dxa"/>
          </w:tblCellMar>
        </w:tblPrEx>
        <w:trPr>
          <w:cantSplit/>
        </w:trPr>
        <w:tc>
          <w:tcPr>
            <w:tcW w:w="4848" w:type="dxa"/>
            <w:tcBorders>
              <w:top w:val="nil"/>
              <w:bottom w:val="nil"/>
            </w:tcBorders>
          </w:tcPr>
          <w:p w:rsidR="00000000" w:rsidRDefault="00000000">
            <w:r>
              <w:t>Гостивар</w:t>
            </w:r>
          </w:p>
        </w:tc>
        <w:tc>
          <w:tcPr>
            <w:tcW w:w="2126" w:type="dxa"/>
            <w:tcBorders>
              <w:top w:val="nil"/>
              <w:bottom w:val="nil"/>
            </w:tcBorders>
          </w:tcPr>
          <w:p w:rsidR="00000000" w:rsidRDefault="00000000">
            <w:pPr>
              <w:ind w:left="57" w:right="567"/>
              <w:jc w:val="right"/>
              <w:rPr>
                <w:lang w:val="en-US"/>
              </w:rPr>
            </w:pPr>
            <w:r>
              <w:rPr>
                <w:lang w:val="en-US"/>
              </w:rPr>
              <w:t>2 042</w:t>
            </w:r>
          </w:p>
        </w:tc>
        <w:tc>
          <w:tcPr>
            <w:tcW w:w="2437" w:type="dxa"/>
            <w:tcBorders>
              <w:top w:val="nil"/>
              <w:bottom w:val="nil"/>
            </w:tcBorders>
          </w:tcPr>
          <w:p w:rsidR="00000000" w:rsidRDefault="00000000">
            <w:pPr>
              <w:jc w:val="center"/>
              <w:rPr>
                <w:lang w:val="en-US"/>
              </w:rPr>
            </w:pPr>
            <w:r>
              <w:rPr>
                <w:lang w:val="en-US"/>
              </w:rPr>
              <w:t>1,1</w:t>
            </w:r>
          </w:p>
        </w:tc>
      </w:tr>
      <w:tr w:rsidR="00000000">
        <w:tblPrEx>
          <w:tblCellMar>
            <w:top w:w="0" w:type="dxa"/>
            <w:bottom w:w="0" w:type="dxa"/>
          </w:tblCellMar>
        </w:tblPrEx>
        <w:trPr>
          <w:cantSplit/>
        </w:trPr>
        <w:tc>
          <w:tcPr>
            <w:tcW w:w="4848" w:type="dxa"/>
            <w:tcBorders>
              <w:top w:val="nil"/>
              <w:bottom w:val="nil"/>
            </w:tcBorders>
          </w:tcPr>
          <w:p w:rsidR="00000000" w:rsidRDefault="00000000">
            <w:r>
              <w:t>Куманово</w:t>
            </w:r>
          </w:p>
        </w:tc>
        <w:tc>
          <w:tcPr>
            <w:tcW w:w="2126" w:type="dxa"/>
            <w:tcBorders>
              <w:top w:val="nil"/>
              <w:bottom w:val="nil"/>
            </w:tcBorders>
          </w:tcPr>
          <w:p w:rsidR="00000000" w:rsidRDefault="00000000">
            <w:pPr>
              <w:ind w:left="57" w:right="567"/>
              <w:jc w:val="right"/>
              <w:rPr>
                <w:lang w:val="en-US"/>
              </w:rPr>
            </w:pPr>
            <w:r>
              <w:rPr>
                <w:lang w:val="en-US"/>
              </w:rPr>
              <w:t>1 386</w:t>
            </w:r>
          </w:p>
        </w:tc>
        <w:tc>
          <w:tcPr>
            <w:tcW w:w="2437" w:type="dxa"/>
            <w:tcBorders>
              <w:top w:val="nil"/>
              <w:bottom w:val="nil"/>
            </w:tcBorders>
          </w:tcPr>
          <w:p w:rsidR="00000000" w:rsidRDefault="00000000">
            <w:pPr>
              <w:jc w:val="center"/>
              <w:rPr>
                <w:lang w:val="en-US"/>
              </w:rPr>
            </w:pPr>
            <w:r>
              <w:rPr>
                <w:lang w:val="en-US"/>
              </w:rPr>
              <w:t>0,6</w:t>
            </w:r>
          </w:p>
        </w:tc>
      </w:tr>
      <w:tr w:rsidR="00000000">
        <w:tblPrEx>
          <w:tblCellMar>
            <w:top w:w="0" w:type="dxa"/>
            <w:bottom w:w="0" w:type="dxa"/>
          </w:tblCellMar>
        </w:tblPrEx>
        <w:trPr>
          <w:cantSplit/>
        </w:trPr>
        <w:tc>
          <w:tcPr>
            <w:tcW w:w="4848" w:type="dxa"/>
            <w:tcBorders>
              <w:top w:val="nil"/>
              <w:bottom w:val="nil"/>
            </w:tcBorders>
          </w:tcPr>
          <w:p w:rsidR="00000000" w:rsidRDefault="00000000">
            <w:r>
              <w:t>Прилеп</w:t>
            </w:r>
          </w:p>
        </w:tc>
        <w:tc>
          <w:tcPr>
            <w:tcW w:w="2126" w:type="dxa"/>
            <w:tcBorders>
              <w:top w:val="nil"/>
              <w:bottom w:val="nil"/>
            </w:tcBorders>
          </w:tcPr>
          <w:p w:rsidR="00000000" w:rsidRDefault="00000000">
            <w:pPr>
              <w:ind w:left="57" w:right="567"/>
              <w:jc w:val="right"/>
              <w:rPr>
                <w:lang w:val="en-US"/>
              </w:rPr>
            </w:pPr>
            <w:r>
              <w:rPr>
                <w:lang w:val="en-US"/>
              </w:rPr>
              <w:t>464</w:t>
            </w:r>
          </w:p>
        </w:tc>
        <w:tc>
          <w:tcPr>
            <w:tcW w:w="2437" w:type="dxa"/>
            <w:tcBorders>
              <w:top w:val="nil"/>
              <w:bottom w:val="nil"/>
            </w:tcBorders>
          </w:tcPr>
          <w:p w:rsidR="00000000" w:rsidRDefault="00000000">
            <w:pPr>
              <w:jc w:val="center"/>
              <w:rPr>
                <w:lang w:val="en-US"/>
              </w:rPr>
            </w:pPr>
            <w:r>
              <w:rPr>
                <w:lang w:val="en-US"/>
              </w:rPr>
              <w:t>0,4</w:t>
            </w:r>
          </w:p>
        </w:tc>
      </w:tr>
      <w:tr w:rsidR="00000000">
        <w:tblPrEx>
          <w:tblCellMar>
            <w:top w:w="0" w:type="dxa"/>
            <w:bottom w:w="0" w:type="dxa"/>
          </w:tblCellMar>
        </w:tblPrEx>
        <w:trPr>
          <w:cantSplit/>
        </w:trPr>
        <w:tc>
          <w:tcPr>
            <w:tcW w:w="4848" w:type="dxa"/>
            <w:tcBorders>
              <w:top w:val="nil"/>
              <w:bottom w:val="nil"/>
            </w:tcBorders>
          </w:tcPr>
          <w:p w:rsidR="00000000" w:rsidRDefault="00000000">
            <w:r>
              <w:t>Струмица</w:t>
            </w:r>
          </w:p>
        </w:tc>
        <w:tc>
          <w:tcPr>
            <w:tcW w:w="2126" w:type="dxa"/>
            <w:tcBorders>
              <w:top w:val="nil"/>
              <w:bottom w:val="nil"/>
            </w:tcBorders>
          </w:tcPr>
          <w:p w:rsidR="00000000" w:rsidRDefault="00000000">
            <w:pPr>
              <w:ind w:left="57" w:right="567"/>
              <w:jc w:val="right"/>
              <w:rPr>
                <w:lang w:val="en-US"/>
              </w:rPr>
            </w:pPr>
            <w:r>
              <w:rPr>
                <w:lang w:val="en-US"/>
              </w:rPr>
              <w:t>5 442</w:t>
            </w:r>
          </w:p>
        </w:tc>
        <w:tc>
          <w:tcPr>
            <w:tcW w:w="2437" w:type="dxa"/>
            <w:tcBorders>
              <w:top w:val="nil"/>
              <w:bottom w:val="nil"/>
            </w:tcBorders>
          </w:tcPr>
          <w:p w:rsidR="00000000" w:rsidRDefault="00000000">
            <w:pPr>
              <w:jc w:val="center"/>
              <w:rPr>
                <w:lang w:val="en-US"/>
              </w:rPr>
            </w:pPr>
            <w:r>
              <w:rPr>
                <w:lang w:val="en-US"/>
              </w:rPr>
              <w:t>4,3</w:t>
            </w:r>
          </w:p>
        </w:tc>
      </w:tr>
      <w:tr w:rsidR="00000000">
        <w:tblPrEx>
          <w:tblCellMar>
            <w:top w:w="0" w:type="dxa"/>
            <w:bottom w:w="0" w:type="dxa"/>
          </w:tblCellMar>
        </w:tblPrEx>
        <w:trPr>
          <w:cantSplit/>
        </w:trPr>
        <w:tc>
          <w:tcPr>
            <w:tcW w:w="4848" w:type="dxa"/>
            <w:tcBorders>
              <w:top w:val="nil"/>
              <w:bottom w:val="single" w:sz="4" w:space="0" w:color="auto"/>
            </w:tcBorders>
          </w:tcPr>
          <w:p w:rsidR="00000000" w:rsidRDefault="00000000">
            <w:r>
              <w:t>Тетово</w:t>
            </w:r>
          </w:p>
        </w:tc>
        <w:tc>
          <w:tcPr>
            <w:tcW w:w="2126" w:type="dxa"/>
            <w:tcBorders>
              <w:top w:val="nil"/>
              <w:bottom w:val="single" w:sz="4" w:space="0" w:color="auto"/>
            </w:tcBorders>
          </w:tcPr>
          <w:p w:rsidR="00000000" w:rsidRDefault="00000000">
            <w:pPr>
              <w:ind w:left="57" w:right="567"/>
              <w:jc w:val="right"/>
              <w:rPr>
                <w:lang w:val="en-US"/>
              </w:rPr>
            </w:pPr>
            <w:r>
              <w:rPr>
                <w:lang w:val="en-US"/>
              </w:rPr>
              <w:t>4 976</w:t>
            </w:r>
          </w:p>
        </w:tc>
        <w:tc>
          <w:tcPr>
            <w:tcW w:w="2437" w:type="dxa"/>
            <w:tcBorders>
              <w:top w:val="nil"/>
              <w:bottom w:val="single" w:sz="4" w:space="0" w:color="auto"/>
            </w:tcBorders>
          </w:tcPr>
          <w:p w:rsidR="00000000" w:rsidRDefault="00000000">
            <w:pPr>
              <w:jc w:val="center"/>
              <w:rPr>
                <w:lang w:val="en-US"/>
              </w:rPr>
            </w:pPr>
            <w:r>
              <w:rPr>
                <w:lang w:val="en-US"/>
              </w:rPr>
              <w:t>1,6</w:t>
            </w:r>
          </w:p>
        </w:tc>
      </w:tr>
      <w:tr w:rsidR="00000000">
        <w:tblPrEx>
          <w:tblCellMar>
            <w:top w:w="0" w:type="dxa"/>
            <w:bottom w:w="0" w:type="dxa"/>
          </w:tblCellMar>
        </w:tblPrEx>
        <w:trPr>
          <w:cantSplit/>
        </w:trPr>
        <w:tc>
          <w:tcPr>
            <w:tcW w:w="4848" w:type="dxa"/>
            <w:tcBorders>
              <w:top w:val="single" w:sz="4" w:space="0" w:color="auto"/>
            </w:tcBorders>
          </w:tcPr>
          <w:p w:rsidR="00000000" w:rsidRDefault="00000000">
            <w:r>
              <w:t>Бывшая югославская Республика Македония</w:t>
            </w:r>
          </w:p>
        </w:tc>
        <w:tc>
          <w:tcPr>
            <w:tcW w:w="2126" w:type="dxa"/>
            <w:tcBorders>
              <w:top w:val="single" w:sz="4" w:space="0" w:color="auto"/>
            </w:tcBorders>
          </w:tcPr>
          <w:p w:rsidR="00000000" w:rsidRDefault="00000000">
            <w:pPr>
              <w:ind w:left="57" w:right="567"/>
              <w:jc w:val="right"/>
              <w:rPr>
                <w:lang w:val="en-US"/>
              </w:rPr>
            </w:pPr>
            <w:r>
              <w:rPr>
                <w:lang w:val="en-US"/>
              </w:rPr>
              <w:t>50 125</w:t>
            </w:r>
          </w:p>
        </w:tc>
        <w:tc>
          <w:tcPr>
            <w:tcW w:w="2437" w:type="dxa"/>
            <w:tcBorders>
              <w:top w:val="single" w:sz="4" w:space="0" w:color="auto"/>
            </w:tcBorders>
          </w:tcPr>
          <w:p w:rsidR="00000000" w:rsidRDefault="00000000">
            <w:pPr>
              <w:jc w:val="center"/>
              <w:rPr>
                <w:lang w:val="en-US"/>
              </w:rPr>
            </w:pPr>
            <w:r>
              <w:rPr>
                <w:lang w:val="en-US"/>
              </w:rPr>
              <w:t>1,8</w:t>
            </w:r>
          </w:p>
        </w:tc>
      </w:tr>
    </w:tbl>
    <w:p w:rsidR="00000000" w:rsidRDefault="00000000">
      <w:pPr>
        <w:rPr>
          <w:lang w:val="en-US"/>
        </w:rPr>
      </w:pPr>
    </w:p>
    <w:p w:rsidR="00000000" w:rsidRDefault="00000000">
      <w:r>
        <w:t>555.</w:t>
      </w:r>
      <w:r>
        <w:tab/>
        <w:t xml:space="preserve">Меры по охране репродуктивного здоровья женщин осуществляются всеми родильными отделениями страны, учреждениями первичной медицинской помощи (центрами охраны здоровья женщин) и государственными медицинскими сестринскими службами.  </w:t>
      </w:r>
    </w:p>
    <w:p w:rsidR="00000000" w:rsidRDefault="00000000"/>
    <w:p w:rsidR="00000000" w:rsidRDefault="00000000">
      <w:r>
        <w:t>556.</w:t>
      </w:r>
      <w:r>
        <w:tab/>
        <w:t xml:space="preserve">В 2003 году учреждения первичной медицинской помощи насчитывали в общей сложности 91 специалиста, а именно:  гинекологов или бригаду, состоявшую в среднем из одного врача и 1,8 медсестер в расчете на обслуживание 4 954 женщин детородного возраста.  В тот же период государственные медицинские сестринские службы насчитывали 208 государственных медицинских сестер, 191 из которых работали в многопрофильных государственных медицинских сестринских службах.  По сравнению с 2002 годом было отмечено значительное сокращение количества медицинских сестер многопрофильной специализации.  Согласно информации о работе многопрофильных государственных медицинских сестринских служб, подготовленной Государственным институтом здравоохранения, в 2002 году в штате таких служб насчитывалось 308 медицинских сестер.  </w:t>
      </w:r>
    </w:p>
    <w:p w:rsidR="00000000" w:rsidRDefault="00000000"/>
    <w:p w:rsidR="00000000" w:rsidRDefault="00000000">
      <w:r>
        <w:t>557.</w:t>
      </w:r>
      <w:r>
        <w:tab/>
        <w:t xml:space="preserve">Коэффициент материнской смертности является важным показателем не только для оценки репродуктивного здоровья, но также и для оценки состояния здоровья населения и уровня развития общества в целом.  Различия в показателях материнской смертности на мировом уровне позволяют провести параллель с уровнем и степенью развития служб здравоохранения и общим уровнем развития конкретных стран.  </w:t>
      </w:r>
    </w:p>
    <w:p w:rsidR="00000000" w:rsidRDefault="00000000"/>
    <w:p w:rsidR="00000000" w:rsidRDefault="00000000">
      <w:pPr>
        <w:jc w:val="center"/>
        <w:rPr>
          <w:b/>
          <w:bCs/>
        </w:rPr>
      </w:pPr>
      <w:r>
        <w:rPr>
          <w:b/>
          <w:bCs/>
        </w:rPr>
        <w:br w:type="page"/>
        <w:t>Диаграмма 8</w:t>
      </w:r>
    </w:p>
    <w:p w:rsidR="00000000" w:rsidRDefault="00000000">
      <w:pPr>
        <w:jc w:val="center"/>
        <w:rPr>
          <w:b/>
          <w:bCs/>
        </w:rPr>
      </w:pPr>
    </w:p>
    <w:p w:rsidR="00000000" w:rsidRDefault="00000000">
      <w:pPr>
        <w:jc w:val="center"/>
        <w:rPr>
          <w:b/>
          <w:bCs/>
          <w:vertAlign w:val="superscript"/>
        </w:rPr>
      </w:pPr>
      <w:r>
        <w:rPr>
          <w:b/>
          <w:bCs/>
        </w:rPr>
        <w:t xml:space="preserve">Коэффициент материнской смертности на 100 000 </w:t>
      </w:r>
      <w:proofErr w:type="spellStart"/>
      <w:r>
        <w:rPr>
          <w:b/>
          <w:bCs/>
        </w:rPr>
        <w:t>живорождений</w:t>
      </w:r>
      <w:r>
        <w:rPr>
          <w:b/>
          <w:bCs/>
          <w:vertAlign w:val="superscript"/>
        </w:rPr>
        <w:t>17</w:t>
      </w:r>
      <w:proofErr w:type="spellEnd"/>
    </w:p>
    <w:p w:rsidR="00000000" w:rsidRDefault="00000000">
      <w:pPr>
        <w:jc w:val="center"/>
        <w:rPr>
          <w:b/>
          <w:bCs/>
          <w:vertAlign w:val="superscript"/>
        </w:rPr>
      </w:pPr>
    </w:p>
    <w:bookmarkStart w:id="28" w:name="_MON_1211620647"/>
    <w:bookmarkStart w:id="29" w:name="_MON_1222089826"/>
    <w:bookmarkStart w:id="30" w:name="_MON_1222148316"/>
    <w:bookmarkEnd w:id="28"/>
    <w:bookmarkEnd w:id="29"/>
    <w:bookmarkEnd w:id="30"/>
    <w:p w:rsidR="00000000" w:rsidRDefault="00000000">
      <w:pPr>
        <w:jc w:val="center"/>
      </w:pPr>
      <w:r>
        <w:object w:dxaOrig="8557" w:dyaOrig="3315">
          <v:shape id="_x0000_i1032" type="#_x0000_t75" style="width:427.5pt;height:165.75pt" o:ole="">
            <v:imagedata r:id="rId23" o:title=""/>
          </v:shape>
          <o:OLEObject Type="Embed" ProgID="Word.Picture.8" ShapeID="_x0000_i1032" DrawAspect="Content" ObjectID="_1395883175" r:id="rId24"/>
        </w:object>
      </w:r>
    </w:p>
    <w:p w:rsidR="00000000" w:rsidRDefault="00000000">
      <w:pPr>
        <w:jc w:val="center"/>
      </w:pPr>
    </w:p>
    <w:p w:rsidR="00000000" w:rsidRDefault="00000000">
      <w:r>
        <w:t>558.</w:t>
      </w:r>
      <w:r>
        <w:tab/>
        <w:t>Измерение коэффициента материнской смертности является сложным процессом.  Существует значительная опасность погрешностей в классификации и пробелов в регистрации на национальном уровне.  Поэтому для более точного расчета данного показателя были разработаны новые методы, например исследования смертности в детородном возрасте</w:t>
      </w:r>
      <w:r>
        <w:rPr>
          <w:b/>
          <w:bCs/>
          <w:vertAlign w:val="superscript"/>
        </w:rPr>
        <w:t>18</w:t>
      </w:r>
      <w:r>
        <w:t>, позволяющие определять и изучать причины смертности женщин детородного возраста.</w:t>
      </w:r>
    </w:p>
    <w:p w:rsidR="00000000" w:rsidRDefault="00000000"/>
    <w:p w:rsidR="00000000" w:rsidRDefault="00000000">
      <w:r>
        <w:t>559.</w:t>
      </w:r>
      <w:r>
        <w:tab/>
        <w:t xml:space="preserve">В 2003 году в бывшей югославской Республике Македонии было зарегистрировано два случая смерти женщин репродуктивного возраста, связанные с беременностью и родами (три случая в 2002 году).  Расчет данного показателя подобным образом способствует сохранению в течение ряда лет на низком уровне коэффициента материнской смертности, который в 2003 году составил 7,4 на 100 000 </w:t>
      </w:r>
      <w:proofErr w:type="spellStart"/>
      <w:r>
        <w:t>живорождений</w:t>
      </w:r>
      <w:proofErr w:type="spellEnd"/>
      <w:r>
        <w:t>.</w:t>
      </w:r>
    </w:p>
    <w:p w:rsidR="00000000" w:rsidRDefault="00000000"/>
    <w:p w:rsidR="00000000" w:rsidRDefault="00000000">
      <w:pPr>
        <w:rPr>
          <w:i/>
          <w:iCs/>
        </w:rPr>
      </w:pPr>
      <w:proofErr w:type="spellStart"/>
      <w:r>
        <w:rPr>
          <w:i/>
          <w:iCs/>
        </w:rPr>
        <w:t>Перинатальная</w:t>
      </w:r>
      <w:proofErr w:type="spellEnd"/>
      <w:r>
        <w:rPr>
          <w:i/>
          <w:iCs/>
        </w:rPr>
        <w:t xml:space="preserve"> смертность в бывшей югославской Республике Македонии</w:t>
      </w:r>
    </w:p>
    <w:p w:rsidR="00000000" w:rsidRDefault="00000000">
      <w:pPr>
        <w:rPr>
          <w:i/>
          <w:iCs/>
        </w:rPr>
      </w:pPr>
    </w:p>
    <w:p w:rsidR="00000000" w:rsidRDefault="00000000">
      <w:r>
        <w:t>560.</w:t>
      </w:r>
      <w:r>
        <w:tab/>
        <w:t xml:space="preserve">На фоне динамики общего уровня смертности новорожденных </w:t>
      </w:r>
      <w:proofErr w:type="spellStart"/>
      <w:r>
        <w:t>перинатальная</w:t>
      </w:r>
      <w:proofErr w:type="spellEnd"/>
      <w:r>
        <w:t xml:space="preserve"> смертность снижается медленнее, и в 2003 году при общем количестве 232 мертворождений и 181 случае смерти среди новорожденных в возрасте младше шести дней, коэффициент перинатальной смертности составил 15,3%.  По сравнению с 2002 годом перинатальная смертность сократилась до 1,8 на 1 000 живорождений.  Сокращение перинатальной смертности является результатом снижения уровня мертворождений с 10,5% в 2002 году до 8,6% в 2003 году.  По шкале этнической принадлежности наиболее высокий уровень мертворождений (9,5) зарегистрирован среди рома, а наиболее низкий (7,5) - в турецкой общине.  Что касается очередности рождений, то наивысший коэффициент мертворожденности наблюдается в категории первенцев (17,8 на 1 000 </w:t>
      </w:r>
      <w:proofErr w:type="spellStart"/>
      <w:r>
        <w:t>живорождений</w:t>
      </w:r>
      <w:proofErr w:type="spellEnd"/>
      <w:r>
        <w:t>).</w:t>
      </w:r>
    </w:p>
    <w:p w:rsidR="00000000" w:rsidRDefault="00000000"/>
    <w:p w:rsidR="00000000" w:rsidRDefault="00000000">
      <w:r>
        <w:t>561.</w:t>
      </w:r>
      <w:r>
        <w:tab/>
        <w:t xml:space="preserve">По сравнению с 2002 годом коэффициент неонатальной смертности остался без изменений.  В 2003 году он вновь составил </w:t>
      </w:r>
      <w:proofErr w:type="spellStart"/>
      <w:r>
        <w:t>6,7%</w:t>
      </w:r>
      <w:proofErr w:type="spellEnd"/>
      <w:r>
        <w:t>.</w:t>
      </w:r>
    </w:p>
    <w:p w:rsidR="00000000" w:rsidRDefault="00000000"/>
    <w:p w:rsidR="00000000" w:rsidRDefault="00000000">
      <w:pPr>
        <w:keepNext/>
        <w:jc w:val="center"/>
        <w:rPr>
          <w:b/>
          <w:bCs/>
        </w:rPr>
      </w:pPr>
      <w:r>
        <w:rPr>
          <w:b/>
          <w:bCs/>
        </w:rPr>
        <w:t>Диаграмма 9</w:t>
      </w:r>
    </w:p>
    <w:p w:rsidR="00000000" w:rsidRDefault="00000000">
      <w:pPr>
        <w:keepNext/>
        <w:jc w:val="center"/>
        <w:rPr>
          <w:b/>
          <w:bCs/>
        </w:rPr>
      </w:pPr>
    </w:p>
    <w:p w:rsidR="00000000" w:rsidRDefault="00000000">
      <w:pPr>
        <w:keepNext/>
        <w:jc w:val="center"/>
        <w:rPr>
          <w:b/>
          <w:bCs/>
        </w:rPr>
      </w:pPr>
      <w:r>
        <w:rPr>
          <w:b/>
          <w:bCs/>
        </w:rPr>
        <w:t xml:space="preserve">Динамика коэффициента материнской смертности на 100 000 </w:t>
      </w:r>
      <w:proofErr w:type="spellStart"/>
      <w:r>
        <w:rPr>
          <w:b/>
          <w:bCs/>
        </w:rPr>
        <w:t>живорождений</w:t>
      </w:r>
      <w:proofErr w:type="spellEnd"/>
      <w:r>
        <w:rPr>
          <w:b/>
          <w:bCs/>
        </w:rPr>
        <w:t xml:space="preserve"> </w:t>
      </w:r>
    </w:p>
    <w:p w:rsidR="00000000" w:rsidRDefault="00000000">
      <w:pPr>
        <w:keepNext/>
        <w:jc w:val="center"/>
        <w:rPr>
          <w:b/>
          <w:bCs/>
        </w:rPr>
      </w:pPr>
      <w:r>
        <w:rPr>
          <w:b/>
          <w:bCs/>
        </w:rPr>
        <w:t>в бывшей югославской Республике Македонии (1960-2003 годы)</w:t>
      </w:r>
    </w:p>
    <w:p w:rsidR="00000000" w:rsidRDefault="00000000">
      <w:pPr>
        <w:keepNext/>
        <w:jc w:val="center"/>
        <w:rPr>
          <w:b/>
          <w:bCs/>
        </w:rPr>
      </w:pPr>
    </w:p>
    <w:bookmarkStart w:id="31" w:name="_MON_1211620230"/>
    <w:bookmarkStart w:id="32" w:name="_MON_1211620636"/>
    <w:bookmarkEnd w:id="31"/>
    <w:bookmarkEnd w:id="32"/>
    <w:p w:rsidR="00000000" w:rsidRDefault="00000000">
      <w:pPr>
        <w:keepNext/>
      </w:pPr>
      <w:r>
        <w:object w:dxaOrig="9211" w:dyaOrig="3099">
          <v:shape id="_x0000_i1033" type="#_x0000_t75" style="width:460.5pt;height:155.25pt" o:ole="">
            <v:imagedata r:id="rId25" o:title=""/>
          </v:shape>
          <o:OLEObject Type="Embed" ProgID="Word.Picture.8" ShapeID="_x0000_i1033" DrawAspect="Content" ObjectID="_1395883176" r:id="rId26"/>
        </w:object>
      </w:r>
    </w:p>
    <w:p w:rsidR="00000000" w:rsidRDefault="00000000">
      <w:pPr>
        <w:keepNext/>
      </w:pPr>
    </w:p>
    <w:p w:rsidR="00000000" w:rsidRDefault="00000000">
      <w:pPr>
        <w:rPr>
          <w:b/>
          <w:bCs/>
        </w:rPr>
      </w:pPr>
      <w:r>
        <w:rPr>
          <w:b/>
          <w:bCs/>
        </w:rPr>
        <w:t>Медицинская помощь детям</w:t>
      </w:r>
    </w:p>
    <w:p w:rsidR="00000000" w:rsidRDefault="00000000">
      <w:pPr>
        <w:rPr>
          <w:b/>
          <w:bCs/>
        </w:rPr>
      </w:pPr>
    </w:p>
    <w:p w:rsidR="00000000" w:rsidRDefault="00000000">
      <w:r>
        <w:t>562.</w:t>
      </w:r>
      <w:r>
        <w:tab/>
        <w:t>Ратифицировав Конвенцию о правах ребенка, бывшая югославская Республика Македония взяла на себя обязательство обеспечить наивысший уровень медицинского ухода и социального обеспечения для этой уязвимой группы населения.  В данном контексте Программа обеспечивает непрерывность осуществления профилактических мер и действий по укреплению охраны здоровья и положения детей в стране.</w:t>
      </w:r>
    </w:p>
    <w:p w:rsidR="00000000" w:rsidRDefault="00000000"/>
    <w:p w:rsidR="00000000" w:rsidRDefault="00000000">
      <w:pPr>
        <w:rPr>
          <w:i/>
          <w:iCs/>
        </w:rPr>
      </w:pPr>
      <w:r>
        <w:rPr>
          <w:i/>
          <w:iCs/>
        </w:rPr>
        <w:t>Консультирование</w:t>
      </w:r>
    </w:p>
    <w:p w:rsidR="00000000" w:rsidRDefault="00000000">
      <w:pPr>
        <w:rPr>
          <w:i/>
          <w:iCs/>
        </w:rPr>
      </w:pPr>
    </w:p>
    <w:p w:rsidR="00000000" w:rsidRDefault="00000000">
      <w:r>
        <w:t>563.</w:t>
      </w:r>
      <w:r>
        <w:tab/>
        <w:t>Консультирование является частью деятельности центров по охране здоровья детей дошкольного возраста, возглавляемых педиатрами, которые в соответствии со сложившейся организацией системы медицинской помощи составляют неотъемлемую часть медицинских центров и клиник.  Консультирование в сельских медицинских пунктах проводится врачами общего профиля.  Детские медицинские центры осуществляют местную регистрацию данных о детях, родившихся с определенными факторами риска для здоровья.  Однако возможности для их оценки по</w:t>
      </w:r>
      <w:r>
        <w:noBreakHyphen/>
        <w:t>прежнему отсутствуют, поскольку на национальном уровне не проводится регистрация данных о детях, родившихся с определенными факторами риска для здоровья.  Предусмотренное в Программе создание региональных служб консультативной помощи не было выполнено и в текущем отчетном году.</w:t>
      </w:r>
    </w:p>
    <w:p w:rsidR="00000000" w:rsidRDefault="00000000"/>
    <w:p w:rsidR="00000000" w:rsidRDefault="00000000">
      <w:r>
        <w:t>564.</w:t>
      </w:r>
      <w:r>
        <w:tab/>
        <w:t xml:space="preserve">В 2003 году в бывшей югославской Республике Македонии было зарегистрировано в общей сложности 132 422 осмотра детей грудного возраста в консультативных службах, что в среднем составляет 4,9 посещения из расчета на каждого находящегося на учете ребенка грудного возраста (запланированный средний показатель составлял четыре посещения).  Расчет охвата детей грудного возраста осмотром в консультативных службах производится исходя из числа </w:t>
      </w:r>
      <w:proofErr w:type="spellStart"/>
      <w:r>
        <w:t>живорождений</w:t>
      </w:r>
      <w:proofErr w:type="spellEnd"/>
      <w:r>
        <w:t>, поскольку количество первых посещений не всегда надлежащим образом регистрируется значительным числом медицинских организаций (</w:t>
      </w:r>
      <w:proofErr w:type="spellStart"/>
      <w:r>
        <w:t>Битола</w:t>
      </w:r>
      <w:proofErr w:type="spellEnd"/>
      <w:r>
        <w:t xml:space="preserve">, </w:t>
      </w:r>
      <w:proofErr w:type="spellStart"/>
      <w:r>
        <w:t>Гевгелия</w:t>
      </w:r>
      <w:proofErr w:type="spellEnd"/>
      <w:r>
        <w:t xml:space="preserve">, </w:t>
      </w:r>
      <w:proofErr w:type="spellStart"/>
      <w:r>
        <w:t>Делчево</w:t>
      </w:r>
      <w:proofErr w:type="spellEnd"/>
      <w:r>
        <w:t xml:space="preserve">, </w:t>
      </w:r>
      <w:proofErr w:type="spellStart"/>
      <w:r>
        <w:t>Кичево</w:t>
      </w:r>
      <w:proofErr w:type="spellEnd"/>
      <w:r>
        <w:t xml:space="preserve">, </w:t>
      </w:r>
      <w:proofErr w:type="spellStart"/>
      <w:r>
        <w:t>Кочани</w:t>
      </w:r>
      <w:proofErr w:type="spellEnd"/>
      <w:r>
        <w:t xml:space="preserve">, </w:t>
      </w:r>
      <w:proofErr w:type="spellStart"/>
      <w:r>
        <w:t>Крива-Паланка</w:t>
      </w:r>
      <w:proofErr w:type="spellEnd"/>
      <w:r>
        <w:t>, Прилеп, Скопье, Велес).  Проведенный по муниципалитетам обзор показывает, что эта предусмотренная Программой мера осуществляется по-разному.  Высокий средний показатель посещений на каждого ребенка грудного возраста в ряде муниципалитетов (</w:t>
      </w:r>
      <w:proofErr w:type="spellStart"/>
      <w:r>
        <w:t>Битола</w:t>
      </w:r>
      <w:proofErr w:type="spellEnd"/>
      <w:r>
        <w:t xml:space="preserve">, </w:t>
      </w:r>
      <w:proofErr w:type="spellStart"/>
      <w:r>
        <w:t>Гевгелия</w:t>
      </w:r>
      <w:proofErr w:type="spellEnd"/>
      <w:r>
        <w:t>) ставит под сомнение качество отчетов о работе консультативных служб.</w:t>
      </w:r>
    </w:p>
    <w:p w:rsidR="00000000" w:rsidRDefault="00000000"/>
    <w:p w:rsidR="00000000" w:rsidRDefault="00000000">
      <w:r>
        <w:t>565.</w:t>
      </w:r>
      <w:r>
        <w:tab/>
        <w:t>В 2003 году детскими медицинскими центрами в общей сложности было проведено 58 745 систематических медицинских осмотров детей в возрасте до шести лет.  Провести качественный анализ результатов систематических медицинских осмотров новорожденных и детей младшего возраста оказалось невозможным из-за отсутствия единообразных документов, либо бланков для регистрации результатов систематических обследований, а также из-за несоответствия установленным нормам бланков отчетности, в которых регистрируются данные о консультативных услугах, предоставленных детям дошкольного возраста.  Поскольку в наличии имеются лишь количественные данные, касающиеся числа систематических медицинских осмотров (количество систематических обследований, проведенных в каждом муниципалитете), это не позволяет провести надлежащий и полный анализ.</w:t>
      </w:r>
    </w:p>
    <w:p w:rsidR="00000000" w:rsidRDefault="00000000"/>
    <w:p w:rsidR="00000000" w:rsidRDefault="00000000">
      <w:pPr>
        <w:spacing w:line="240" w:lineRule="auto"/>
        <w:jc w:val="center"/>
        <w:rPr>
          <w:b/>
          <w:bCs/>
        </w:rPr>
      </w:pPr>
      <w:r>
        <w:rPr>
          <w:b/>
          <w:bCs/>
        </w:rPr>
        <w:br w:type="page"/>
        <w:t>Зарегистрированное количество медицинских осмотров новорожденных, проведенных консультативными службами бывшей югославской Республики Македонии (данные обзора по ряду муниципалитетов)</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3054"/>
        <w:gridCol w:w="3183"/>
      </w:tblGrid>
      <w:tr w:rsidR="00000000">
        <w:tblPrEx>
          <w:tblCellMar>
            <w:top w:w="0" w:type="dxa"/>
            <w:bottom w:w="0" w:type="dxa"/>
          </w:tblCellMar>
        </w:tblPrEx>
        <w:trPr>
          <w:trHeight w:val="487"/>
        </w:trPr>
        <w:tc>
          <w:tcPr>
            <w:tcW w:w="3119" w:type="dxa"/>
          </w:tcPr>
          <w:p w:rsidR="00000000" w:rsidRDefault="00000000">
            <w:pPr>
              <w:spacing w:line="240" w:lineRule="auto"/>
              <w:jc w:val="center"/>
            </w:pPr>
            <w:r>
              <w:t>Центр здравоохранения/ медицинская клиника</w:t>
            </w:r>
          </w:p>
        </w:tc>
        <w:tc>
          <w:tcPr>
            <w:tcW w:w="3054" w:type="dxa"/>
          </w:tcPr>
          <w:p w:rsidR="00000000" w:rsidRDefault="00000000">
            <w:pPr>
              <w:spacing w:line="240" w:lineRule="auto"/>
              <w:jc w:val="center"/>
            </w:pPr>
            <w:r>
              <w:t xml:space="preserve">Общее количество посещений новорожденных </w:t>
            </w:r>
          </w:p>
        </w:tc>
        <w:tc>
          <w:tcPr>
            <w:tcW w:w="3183" w:type="dxa"/>
          </w:tcPr>
          <w:p w:rsidR="00000000" w:rsidRDefault="00000000">
            <w:pPr>
              <w:spacing w:line="240" w:lineRule="auto"/>
              <w:jc w:val="center"/>
            </w:pPr>
            <w:r>
              <w:t>Среднее количество посещений на одного новорожденного</w:t>
            </w:r>
          </w:p>
        </w:tc>
      </w:tr>
      <w:tr w:rsidR="00000000">
        <w:tblPrEx>
          <w:tblCellMar>
            <w:top w:w="0" w:type="dxa"/>
            <w:bottom w:w="0" w:type="dxa"/>
          </w:tblCellMar>
        </w:tblPrEx>
        <w:trPr>
          <w:trHeight w:val="235"/>
        </w:trPr>
        <w:tc>
          <w:tcPr>
            <w:tcW w:w="3119" w:type="dxa"/>
            <w:tcBorders>
              <w:bottom w:val="nil"/>
            </w:tcBorders>
          </w:tcPr>
          <w:p w:rsidR="00000000" w:rsidRDefault="00000000">
            <w:r>
              <w:t>Скопье</w:t>
            </w:r>
          </w:p>
        </w:tc>
        <w:tc>
          <w:tcPr>
            <w:tcW w:w="3054" w:type="dxa"/>
            <w:tcBorders>
              <w:bottom w:val="nil"/>
            </w:tcBorders>
          </w:tcPr>
          <w:p w:rsidR="00000000" w:rsidRDefault="00000000">
            <w:pPr>
              <w:tabs>
                <w:tab w:val="clear" w:pos="1701"/>
                <w:tab w:val="clear" w:pos="2268"/>
              </w:tabs>
              <w:ind w:right="1203"/>
              <w:jc w:val="right"/>
            </w:pPr>
            <w:r>
              <w:t>47 348</w:t>
            </w:r>
          </w:p>
        </w:tc>
        <w:tc>
          <w:tcPr>
            <w:tcW w:w="3183" w:type="dxa"/>
            <w:tcBorders>
              <w:bottom w:val="nil"/>
            </w:tcBorders>
          </w:tcPr>
          <w:p w:rsidR="00000000" w:rsidRDefault="00000000">
            <w:pPr>
              <w:tabs>
                <w:tab w:val="clear" w:pos="567"/>
                <w:tab w:val="clear" w:pos="1134"/>
                <w:tab w:val="clear" w:pos="1701"/>
                <w:tab w:val="clear" w:pos="2268"/>
                <w:tab w:val="clear" w:pos="6237"/>
                <w:tab w:val="decimal" w:pos="1418"/>
              </w:tabs>
            </w:pPr>
            <w:r>
              <w:t>6,1</w:t>
            </w:r>
          </w:p>
        </w:tc>
      </w:tr>
      <w:tr w:rsidR="00000000">
        <w:tblPrEx>
          <w:tblCellMar>
            <w:top w:w="0" w:type="dxa"/>
            <w:bottom w:w="0" w:type="dxa"/>
          </w:tblCellMar>
        </w:tblPrEx>
        <w:trPr>
          <w:trHeight w:val="253"/>
        </w:trPr>
        <w:tc>
          <w:tcPr>
            <w:tcW w:w="3119" w:type="dxa"/>
            <w:tcBorders>
              <w:top w:val="nil"/>
              <w:bottom w:val="nil"/>
            </w:tcBorders>
          </w:tcPr>
          <w:p w:rsidR="00000000" w:rsidRDefault="00000000">
            <w:proofErr w:type="spellStart"/>
            <w:r>
              <w:t>Битола</w:t>
            </w:r>
            <w:proofErr w:type="spellEnd"/>
          </w:p>
        </w:tc>
        <w:tc>
          <w:tcPr>
            <w:tcW w:w="3054" w:type="dxa"/>
            <w:tcBorders>
              <w:top w:val="nil"/>
              <w:bottom w:val="nil"/>
            </w:tcBorders>
          </w:tcPr>
          <w:p w:rsidR="00000000" w:rsidRDefault="00000000">
            <w:pPr>
              <w:tabs>
                <w:tab w:val="clear" w:pos="1701"/>
                <w:tab w:val="clear" w:pos="2268"/>
              </w:tabs>
              <w:ind w:right="1203"/>
              <w:jc w:val="right"/>
            </w:pPr>
            <w:r>
              <w:t>14 500</w:t>
            </w:r>
          </w:p>
        </w:tc>
        <w:tc>
          <w:tcPr>
            <w:tcW w:w="3183" w:type="dxa"/>
            <w:tcBorders>
              <w:top w:val="nil"/>
              <w:bottom w:val="nil"/>
            </w:tcBorders>
          </w:tcPr>
          <w:p w:rsidR="00000000" w:rsidRDefault="00000000">
            <w:pPr>
              <w:tabs>
                <w:tab w:val="clear" w:pos="567"/>
                <w:tab w:val="clear" w:pos="1134"/>
                <w:tab w:val="clear" w:pos="1701"/>
                <w:tab w:val="clear" w:pos="2268"/>
                <w:tab w:val="clear" w:pos="6237"/>
                <w:tab w:val="decimal" w:pos="1418"/>
              </w:tabs>
            </w:pPr>
            <w:r>
              <w:t>14,5</w:t>
            </w:r>
          </w:p>
        </w:tc>
      </w:tr>
      <w:tr w:rsidR="00000000">
        <w:tblPrEx>
          <w:tblCellMar>
            <w:top w:w="0" w:type="dxa"/>
            <w:bottom w:w="0" w:type="dxa"/>
          </w:tblCellMar>
        </w:tblPrEx>
        <w:trPr>
          <w:trHeight w:val="235"/>
        </w:trPr>
        <w:tc>
          <w:tcPr>
            <w:tcW w:w="3119" w:type="dxa"/>
            <w:tcBorders>
              <w:top w:val="nil"/>
              <w:bottom w:val="nil"/>
            </w:tcBorders>
          </w:tcPr>
          <w:p w:rsidR="00000000" w:rsidRDefault="00000000">
            <w:proofErr w:type="spellStart"/>
            <w:r>
              <w:t>Гевгелия</w:t>
            </w:r>
            <w:proofErr w:type="spellEnd"/>
          </w:p>
        </w:tc>
        <w:tc>
          <w:tcPr>
            <w:tcW w:w="3054" w:type="dxa"/>
            <w:tcBorders>
              <w:top w:val="nil"/>
              <w:bottom w:val="nil"/>
            </w:tcBorders>
          </w:tcPr>
          <w:p w:rsidR="00000000" w:rsidRDefault="00000000">
            <w:pPr>
              <w:tabs>
                <w:tab w:val="clear" w:pos="1701"/>
                <w:tab w:val="clear" w:pos="2268"/>
              </w:tabs>
              <w:ind w:right="1203"/>
              <w:jc w:val="right"/>
            </w:pPr>
            <w:r>
              <w:t>7 007</w:t>
            </w:r>
          </w:p>
        </w:tc>
        <w:tc>
          <w:tcPr>
            <w:tcW w:w="3183" w:type="dxa"/>
            <w:tcBorders>
              <w:top w:val="nil"/>
              <w:bottom w:val="nil"/>
            </w:tcBorders>
          </w:tcPr>
          <w:p w:rsidR="00000000" w:rsidRDefault="00000000">
            <w:pPr>
              <w:tabs>
                <w:tab w:val="clear" w:pos="567"/>
                <w:tab w:val="clear" w:pos="1134"/>
                <w:tab w:val="clear" w:pos="1701"/>
                <w:tab w:val="clear" w:pos="2268"/>
                <w:tab w:val="clear" w:pos="6237"/>
                <w:tab w:val="decimal" w:pos="1418"/>
              </w:tabs>
            </w:pPr>
            <w:r>
              <w:t>22,4</w:t>
            </w:r>
          </w:p>
        </w:tc>
      </w:tr>
      <w:tr w:rsidR="00000000">
        <w:tblPrEx>
          <w:tblCellMar>
            <w:top w:w="0" w:type="dxa"/>
            <w:bottom w:w="0" w:type="dxa"/>
          </w:tblCellMar>
        </w:tblPrEx>
        <w:trPr>
          <w:trHeight w:val="272"/>
        </w:trPr>
        <w:tc>
          <w:tcPr>
            <w:tcW w:w="3119" w:type="dxa"/>
            <w:tcBorders>
              <w:top w:val="nil"/>
              <w:bottom w:val="nil"/>
            </w:tcBorders>
          </w:tcPr>
          <w:p w:rsidR="00000000" w:rsidRDefault="00000000">
            <w:proofErr w:type="spellStart"/>
            <w:r>
              <w:t>Гостивар</w:t>
            </w:r>
            <w:proofErr w:type="spellEnd"/>
          </w:p>
        </w:tc>
        <w:tc>
          <w:tcPr>
            <w:tcW w:w="3054" w:type="dxa"/>
            <w:tcBorders>
              <w:top w:val="nil"/>
              <w:bottom w:val="nil"/>
            </w:tcBorders>
          </w:tcPr>
          <w:p w:rsidR="00000000" w:rsidRDefault="00000000">
            <w:pPr>
              <w:tabs>
                <w:tab w:val="clear" w:pos="1701"/>
                <w:tab w:val="clear" w:pos="2268"/>
              </w:tabs>
              <w:ind w:right="1203"/>
              <w:jc w:val="right"/>
            </w:pPr>
            <w:r>
              <w:t>4 171</w:t>
            </w:r>
          </w:p>
        </w:tc>
        <w:tc>
          <w:tcPr>
            <w:tcW w:w="3183" w:type="dxa"/>
            <w:tcBorders>
              <w:top w:val="nil"/>
              <w:bottom w:val="nil"/>
            </w:tcBorders>
          </w:tcPr>
          <w:p w:rsidR="00000000" w:rsidRDefault="00000000">
            <w:pPr>
              <w:tabs>
                <w:tab w:val="clear" w:pos="567"/>
                <w:tab w:val="clear" w:pos="1134"/>
                <w:tab w:val="clear" w:pos="1701"/>
                <w:tab w:val="clear" w:pos="2268"/>
                <w:tab w:val="clear" w:pos="6237"/>
                <w:tab w:val="decimal" w:pos="1418"/>
              </w:tabs>
            </w:pPr>
            <w:r>
              <w:t>2,2</w:t>
            </w:r>
          </w:p>
        </w:tc>
      </w:tr>
      <w:tr w:rsidR="00000000">
        <w:tblPrEx>
          <w:tblCellMar>
            <w:top w:w="0" w:type="dxa"/>
            <w:bottom w:w="0" w:type="dxa"/>
          </w:tblCellMar>
        </w:tblPrEx>
        <w:trPr>
          <w:trHeight w:val="235"/>
        </w:trPr>
        <w:tc>
          <w:tcPr>
            <w:tcW w:w="3119" w:type="dxa"/>
            <w:tcBorders>
              <w:top w:val="nil"/>
              <w:bottom w:val="nil"/>
            </w:tcBorders>
          </w:tcPr>
          <w:p w:rsidR="00000000" w:rsidRDefault="00000000">
            <w:proofErr w:type="spellStart"/>
            <w:r>
              <w:t>Кавадарци</w:t>
            </w:r>
            <w:proofErr w:type="spellEnd"/>
          </w:p>
        </w:tc>
        <w:tc>
          <w:tcPr>
            <w:tcW w:w="3054" w:type="dxa"/>
            <w:tcBorders>
              <w:top w:val="nil"/>
              <w:bottom w:val="nil"/>
            </w:tcBorders>
          </w:tcPr>
          <w:p w:rsidR="00000000" w:rsidRDefault="00000000">
            <w:pPr>
              <w:tabs>
                <w:tab w:val="clear" w:pos="1701"/>
                <w:tab w:val="clear" w:pos="2268"/>
              </w:tabs>
              <w:ind w:right="1203"/>
              <w:jc w:val="right"/>
            </w:pPr>
            <w:r>
              <w:t>1 771</w:t>
            </w:r>
          </w:p>
        </w:tc>
        <w:tc>
          <w:tcPr>
            <w:tcW w:w="3183" w:type="dxa"/>
            <w:tcBorders>
              <w:top w:val="nil"/>
              <w:bottom w:val="nil"/>
            </w:tcBorders>
          </w:tcPr>
          <w:p w:rsidR="00000000" w:rsidRDefault="00000000">
            <w:pPr>
              <w:tabs>
                <w:tab w:val="clear" w:pos="567"/>
                <w:tab w:val="clear" w:pos="1134"/>
                <w:tab w:val="clear" w:pos="1701"/>
                <w:tab w:val="clear" w:pos="2268"/>
                <w:tab w:val="clear" w:pos="6237"/>
                <w:tab w:val="decimal" w:pos="1418"/>
              </w:tabs>
            </w:pPr>
            <w:r>
              <w:t>3,8</w:t>
            </w:r>
          </w:p>
        </w:tc>
      </w:tr>
      <w:tr w:rsidR="00000000">
        <w:tblPrEx>
          <w:tblCellMar>
            <w:top w:w="0" w:type="dxa"/>
            <w:bottom w:w="0" w:type="dxa"/>
          </w:tblCellMar>
        </w:tblPrEx>
        <w:trPr>
          <w:trHeight w:val="253"/>
        </w:trPr>
        <w:tc>
          <w:tcPr>
            <w:tcW w:w="3119" w:type="dxa"/>
            <w:tcBorders>
              <w:top w:val="nil"/>
              <w:bottom w:val="nil"/>
            </w:tcBorders>
          </w:tcPr>
          <w:p w:rsidR="00000000" w:rsidRDefault="00000000">
            <w:proofErr w:type="spellStart"/>
            <w:r>
              <w:t>Кратово</w:t>
            </w:r>
            <w:proofErr w:type="spellEnd"/>
          </w:p>
        </w:tc>
        <w:tc>
          <w:tcPr>
            <w:tcW w:w="3054" w:type="dxa"/>
            <w:tcBorders>
              <w:top w:val="nil"/>
              <w:bottom w:val="nil"/>
            </w:tcBorders>
          </w:tcPr>
          <w:p w:rsidR="00000000" w:rsidRDefault="00000000">
            <w:pPr>
              <w:tabs>
                <w:tab w:val="clear" w:pos="1701"/>
                <w:tab w:val="clear" w:pos="2268"/>
              </w:tabs>
              <w:ind w:right="1203"/>
              <w:jc w:val="right"/>
            </w:pPr>
            <w:r>
              <w:t>87</w:t>
            </w:r>
          </w:p>
        </w:tc>
        <w:tc>
          <w:tcPr>
            <w:tcW w:w="3183" w:type="dxa"/>
            <w:tcBorders>
              <w:top w:val="nil"/>
              <w:bottom w:val="nil"/>
            </w:tcBorders>
          </w:tcPr>
          <w:p w:rsidR="00000000" w:rsidRDefault="00000000">
            <w:pPr>
              <w:tabs>
                <w:tab w:val="clear" w:pos="567"/>
                <w:tab w:val="clear" w:pos="1134"/>
                <w:tab w:val="clear" w:pos="1701"/>
                <w:tab w:val="clear" w:pos="2268"/>
                <w:tab w:val="clear" w:pos="6237"/>
                <w:tab w:val="decimal" w:pos="1418"/>
              </w:tabs>
            </w:pPr>
            <w:r>
              <w:t>1</w:t>
            </w:r>
          </w:p>
        </w:tc>
      </w:tr>
      <w:tr w:rsidR="00000000">
        <w:tblPrEx>
          <w:tblCellMar>
            <w:top w:w="0" w:type="dxa"/>
            <w:bottom w:w="0" w:type="dxa"/>
          </w:tblCellMar>
        </w:tblPrEx>
        <w:trPr>
          <w:trHeight w:val="235"/>
        </w:trPr>
        <w:tc>
          <w:tcPr>
            <w:tcW w:w="3119" w:type="dxa"/>
            <w:tcBorders>
              <w:top w:val="nil"/>
              <w:bottom w:val="nil"/>
            </w:tcBorders>
          </w:tcPr>
          <w:p w:rsidR="00000000" w:rsidRDefault="00000000">
            <w:proofErr w:type="spellStart"/>
            <w:r>
              <w:t>Куманово</w:t>
            </w:r>
            <w:proofErr w:type="spellEnd"/>
          </w:p>
        </w:tc>
        <w:tc>
          <w:tcPr>
            <w:tcW w:w="3054" w:type="dxa"/>
            <w:tcBorders>
              <w:top w:val="nil"/>
              <w:bottom w:val="nil"/>
            </w:tcBorders>
          </w:tcPr>
          <w:p w:rsidR="00000000" w:rsidRDefault="00000000">
            <w:pPr>
              <w:tabs>
                <w:tab w:val="clear" w:pos="1701"/>
                <w:tab w:val="clear" w:pos="2268"/>
              </w:tabs>
              <w:ind w:right="1203"/>
              <w:jc w:val="right"/>
            </w:pPr>
            <w:r>
              <w:t>2 159</w:t>
            </w:r>
          </w:p>
        </w:tc>
        <w:tc>
          <w:tcPr>
            <w:tcW w:w="3183" w:type="dxa"/>
            <w:tcBorders>
              <w:top w:val="nil"/>
              <w:bottom w:val="nil"/>
            </w:tcBorders>
          </w:tcPr>
          <w:p w:rsidR="00000000" w:rsidRDefault="00000000">
            <w:pPr>
              <w:tabs>
                <w:tab w:val="clear" w:pos="567"/>
                <w:tab w:val="clear" w:pos="1134"/>
                <w:tab w:val="clear" w:pos="1701"/>
                <w:tab w:val="clear" w:pos="2268"/>
                <w:tab w:val="clear" w:pos="6237"/>
                <w:tab w:val="decimal" w:pos="1418"/>
              </w:tabs>
            </w:pPr>
            <w:r>
              <w:t>0,6</w:t>
            </w:r>
          </w:p>
        </w:tc>
      </w:tr>
      <w:tr w:rsidR="00000000">
        <w:tblPrEx>
          <w:tblCellMar>
            <w:top w:w="0" w:type="dxa"/>
            <w:bottom w:w="0" w:type="dxa"/>
          </w:tblCellMar>
        </w:tblPrEx>
        <w:trPr>
          <w:trHeight w:val="253"/>
        </w:trPr>
        <w:tc>
          <w:tcPr>
            <w:tcW w:w="3119" w:type="dxa"/>
            <w:tcBorders>
              <w:top w:val="nil"/>
              <w:bottom w:val="single" w:sz="4" w:space="0" w:color="auto"/>
            </w:tcBorders>
          </w:tcPr>
          <w:p w:rsidR="00000000" w:rsidRDefault="00000000">
            <w:pPr>
              <w:pStyle w:val="Header"/>
            </w:pPr>
            <w:proofErr w:type="spellStart"/>
            <w:r>
              <w:t>Тетово</w:t>
            </w:r>
            <w:proofErr w:type="spellEnd"/>
          </w:p>
        </w:tc>
        <w:tc>
          <w:tcPr>
            <w:tcW w:w="3054" w:type="dxa"/>
            <w:tcBorders>
              <w:top w:val="nil"/>
              <w:bottom w:val="single" w:sz="4" w:space="0" w:color="auto"/>
            </w:tcBorders>
          </w:tcPr>
          <w:p w:rsidR="00000000" w:rsidRDefault="00000000">
            <w:pPr>
              <w:tabs>
                <w:tab w:val="clear" w:pos="1701"/>
                <w:tab w:val="clear" w:pos="2268"/>
              </w:tabs>
              <w:ind w:right="1203"/>
              <w:jc w:val="right"/>
            </w:pPr>
            <w:r>
              <w:t>5 841</w:t>
            </w:r>
          </w:p>
        </w:tc>
        <w:tc>
          <w:tcPr>
            <w:tcW w:w="3183"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1418"/>
              </w:tabs>
            </w:pPr>
            <w:r>
              <w:t>1,8</w:t>
            </w:r>
          </w:p>
        </w:tc>
      </w:tr>
      <w:tr w:rsidR="00000000">
        <w:tblPrEx>
          <w:tblCellMar>
            <w:top w:w="0" w:type="dxa"/>
            <w:bottom w:w="0" w:type="dxa"/>
          </w:tblCellMar>
        </w:tblPrEx>
        <w:trPr>
          <w:trHeight w:val="305"/>
        </w:trPr>
        <w:tc>
          <w:tcPr>
            <w:tcW w:w="3119" w:type="dxa"/>
            <w:tcBorders>
              <w:top w:val="single" w:sz="4" w:space="0" w:color="auto"/>
              <w:bottom w:val="single" w:sz="4" w:space="0" w:color="auto"/>
            </w:tcBorders>
          </w:tcPr>
          <w:p w:rsidR="00000000" w:rsidRDefault="00000000">
            <w:r>
              <w:t xml:space="preserve">Бывшая югославская Республика Македония </w:t>
            </w:r>
          </w:p>
        </w:tc>
        <w:tc>
          <w:tcPr>
            <w:tcW w:w="3054" w:type="dxa"/>
            <w:tcBorders>
              <w:top w:val="single" w:sz="4" w:space="0" w:color="auto"/>
              <w:bottom w:val="single" w:sz="4" w:space="0" w:color="auto"/>
            </w:tcBorders>
          </w:tcPr>
          <w:p w:rsidR="00000000" w:rsidRDefault="00000000">
            <w:pPr>
              <w:tabs>
                <w:tab w:val="clear" w:pos="1701"/>
                <w:tab w:val="clear" w:pos="2268"/>
              </w:tabs>
              <w:ind w:right="1203"/>
              <w:jc w:val="right"/>
            </w:pPr>
            <w:r>
              <w:t>132 422</w:t>
            </w:r>
          </w:p>
        </w:tc>
        <w:tc>
          <w:tcPr>
            <w:tcW w:w="3183"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 w:val="decimal" w:pos="1418"/>
              </w:tabs>
            </w:pPr>
            <w:r>
              <w:t>4,9</w:t>
            </w:r>
          </w:p>
        </w:tc>
      </w:tr>
    </w:tbl>
    <w:p w:rsidR="00000000" w:rsidRDefault="00000000"/>
    <w:p w:rsidR="00000000" w:rsidRDefault="00000000">
      <w:r>
        <w:t>566.</w:t>
      </w:r>
      <w:r>
        <w:tab/>
        <w:t>В 2003 году в детских медицинских центрах, помимо профилактических осмотров новорожденных было проведено 69 758 профилактических осмотров детей в возрасте до шести лет.  Консультативные услуги в области охраны здоровья детей дошкольного возраста оставались на уровне предыдущего года, равно как и существовавшие в ряде муниципалитетов различия.</w:t>
      </w:r>
    </w:p>
    <w:p w:rsidR="00000000" w:rsidRDefault="00000000"/>
    <w:p w:rsidR="00000000" w:rsidRDefault="00000000">
      <w:pPr>
        <w:rPr>
          <w:i/>
          <w:iCs/>
        </w:rPr>
      </w:pPr>
      <w:r>
        <w:rPr>
          <w:i/>
          <w:iCs/>
        </w:rPr>
        <w:t>Государственная медицинская сестринская служба</w:t>
      </w:r>
    </w:p>
    <w:p w:rsidR="00000000" w:rsidRDefault="00000000">
      <w:pPr>
        <w:rPr>
          <w:i/>
          <w:iCs/>
        </w:rPr>
      </w:pPr>
    </w:p>
    <w:p w:rsidR="00000000" w:rsidRDefault="00000000">
      <w:r>
        <w:t>567.</w:t>
      </w:r>
      <w:r>
        <w:tab/>
        <w:t xml:space="preserve">В 2003 году Государственная медицинская сестринская служба осуществила 106 630 посещений детей грудного возраста, что позволило достичь среднего показателя количества посещений на одного новорожденного в размере 3,9 (ожидаемый средний показатель количества посещений в расчете на одного новорожденного и более старшего ребенка грудного возраста составлял три посещения), что по сравнению с 2002 годом свидетельствовало о сокращении на </w:t>
      </w:r>
      <w:proofErr w:type="spellStart"/>
      <w:r>
        <w:t>7%</w:t>
      </w:r>
      <w:proofErr w:type="spellEnd"/>
      <w:r>
        <w:t>.</w:t>
      </w:r>
    </w:p>
    <w:p w:rsidR="00000000" w:rsidRDefault="00000000"/>
    <w:p w:rsidR="00000000" w:rsidRDefault="00000000">
      <w:r>
        <w:t>568.</w:t>
      </w:r>
      <w:r>
        <w:tab/>
        <w:t>Деятельность этих служб различается в разных муниципалитетах.  По</w:t>
      </w:r>
      <w:r>
        <w:noBreakHyphen/>
        <w:t xml:space="preserve">прежнему имеются муниципалитеты, где такая мера медицинского обслуживания для новорожденных и детей младшего возраста не осуществляется, либо осуществляется спорадически, не достигая объемов, предусмотренных в Программе.  В муниципалитетах Брод, </w:t>
      </w:r>
      <w:proofErr w:type="spellStart"/>
      <w:r>
        <w:t>Демир</w:t>
      </w:r>
      <w:proofErr w:type="spellEnd"/>
      <w:r>
        <w:t xml:space="preserve"> </w:t>
      </w:r>
      <w:proofErr w:type="spellStart"/>
      <w:r>
        <w:t>Хисар</w:t>
      </w:r>
      <w:proofErr w:type="spellEnd"/>
      <w:r>
        <w:t xml:space="preserve"> и </w:t>
      </w:r>
      <w:proofErr w:type="spellStart"/>
      <w:r>
        <w:t>Ростуше</w:t>
      </w:r>
      <w:proofErr w:type="spellEnd"/>
      <w:r>
        <w:t xml:space="preserve"> не было зарегистрировано посещений работниками этой службы детей грудного возраста, либо зарегистрированное количество таких посещений являлось незначительным.  Средний показатель на уровне шести или более посещений работниками службы каждого ребенка грудного возраста был достигнут в муниципалитетах </w:t>
      </w:r>
      <w:proofErr w:type="spellStart"/>
      <w:r>
        <w:t>Кавадарци</w:t>
      </w:r>
      <w:proofErr w:type="spellEnd"/>
      <w:r>
        <w:t xml:space="preserve">, </w:t>
      </w:r>
      <w:proofErr w:type="spellStart"/>
      <w:r>
        <w:t>Неготино</w:t>
      </w:r>
      <w:proofErr w:type="spellEnd"/>
      <w:r>
        <w:t xml:space="preserve">, </w:t>
      </w:r>
      <w:proofErr w:type="spellStart"/>
      <w:r>
        <w:t>Ресен</w:t>
      </w:r>
      <w:proofErr w:type="spellEnd"/>
      <w:r>
        <w:t xml:space="preserve">, </w:t>
      </w:r>
      <w:proofErr w:type="spellStart"/>
      <w:r>
        <w:t>Свети-Николе</w:t>
      </w:r>
      <w:proofErr w:type="spellEnd"/>
      <w:r>
        <w:t xml:space="preserve">, Велес, </w:t>
      </w:r>
      <w:proofErr w:type="spellStart"/>
      <w:r>
        <w:t>Штип</w:t>
      </w:r>
      <w:proofErr w:type="spellEnd"/>
      <w:r>
        <w:t xml:space="preserve"> и </w:t>
      </w:r>
      <w:proofErr w:type="spellStart"/>
      <w:r>
        <w:t>Делчево</w:t>
      </w:r>
      <w:proofErr w:type="spellEnd"/>
      <w:r>
        <w:t>.</w:t>
      </w:r>
    </w:p>
    <w:p w:rsidR="00000000" w:rsidRDefault="00000000"/>
    <w:p w:rsidR="00000000" w:rsidRDefault="00000000">
      <w:pPr>
        <w:rPr>
          <w:i/>
          <w:iCs/>
        </w:rPr>
      </w:pPr>
      <w:r>
        <w:rPr>
          <w:i/>
          <w:iCs/>
        </w:rPr>
        <w:t>Проведение иммунизации</w:t>
      </w:r>
    </w:p>
    <w:p w:rsidR="00000000" w:rsidRDefault="00000000">
      <w:pPr>
        <w:rPr>
          <w:i/>
          <w:iCs/>
        </w:rPr>
      </w:pPr>
    </w:p>
    <w:p w:rsidR="00000000" w:rsidRDefault="00000000">
      <w:r>
        <w:t>569.</w:t>
      </w:r>
      <w:r>
        <w:tab/>
        <w:t>В отношении иммунизации Программа предусматривала полный охват всех подлежащих вакцинации лиц в соответствии с графиком иммунизации.</w:t>
      </w:r>
    </w:p>
    <w:p w:rsidR="00000000" w:rsidRDefault="00000000"/>
    <w:p w:rsidR="00000000" w:rsidRDefault="00000000">
      <w:r>
        <w:t>570.</w:t>
      </w:r>
      <w:r>
        <w:tab/>
        <w:t xml:space="preserve">В 2003 году уровень проведения иммунизации составил </w:t>
      </w:r>
      <w:proofErr w:type="spellStart"/>
      <w:r>
        <w:t>95%</w:t>
      </w:r>
      <w:proofErr w:type="spellEnd"/>
      <w:r>
        <w:t>, а объем использования вакцин сохранялся на уровне 2002 года при небольшом увеличении охвата ревакцинацией (корь).</w:t>
      </w:r>
    </w:p>
    <w:p w:rsidR="00000000" w:rsidRDefault="00000000"/>
    <w:p w:rsidR="00000000" w:rsidRDefault="00000000">
      <w:pPr>
        <w:keepNext/>
        <w:spacing w:line="240" w:lineRule="auto"/>
        <w:jc w:val="center"/>
        <w:rPr>
          <w:b/>
          <w:bCs/>
        </w:rPr>
      </w:pPr>
      <w:r>
        <w:rPr>
          <w:b/>
          <w:bCs/>
        </w:rPr>
        <w:t>Диаграмма 10</w:t>
      </w:r>
    </w:p>
    <w:p w:rsidR="00000000" w:rsidRDefault="00000000">
      <w:pPr>
        <w:keepNext/>
        <w:spacing w:line="240" w:lineRule="auto"/>
        <w:jc w:val="center"/>
        <w:rPr>
          <w:b/>
          <w:bCs/>
        </w:rPr>
      </w:pPr>
    </w:p>
    <w:p w:rsidR="00000000" w:rsidRDefault="00000000">
      <w:pPr>
        <w:keepNext/>
        <w:spacing w:line="240" w:lineRule="auto"/>
        <w:jc w:val="center"/>
        <w:rPr>
          <w:b/>
          <w:bCs/>
        </w:rPr>
      </w:pPr>
      <w:r>
        <w:rPr>
          <w:b/>
          <w:bCs/>
        </w:rPr>
        <w:t>Иммунизация в бывшей югославской Республике Македонии в 2002 и 2003 годах</w:t>
      </w:r>
    </w:p>
    <w:p w:rsidR="00000000" w:rsidRDefault="00000000">
      <w:pPr>
        <w:jc w:val="center"/>
        <w:rPr>
          <w:b/>
          <w:bCs/>
        </w:rPr>
      </w:pPr>
    </w:p>
    <w:bookmarkStart w:id="33" w:name="_MON_1211637702"/>
    <w:bookmarkStart w:id="34" w:name="_MON_1222148270"/>
    <w:bookmarkEnd w:id="33"/>
    <w:bookmarkEnd w:id="34"/>
    <w:p w:rsidR="00000000" w:rsidRDefault="00000000">
      <w:r>
        <w:object w:dxaOrig="9196" w:dyaOrig="5686">
          <v:shape id="_x0000_i1034" type="#_x0000_t75" style="width:459.75pt;height:284.25pt" o:ole="">
            <v:imagedata r:id="rId27" o:title=""/>
          </v:shape>
          <o:OLEObject Type="Embed" ProgID="Word.Picture.8" ShapeID="_x0000_i1034" DrawAspect="Content" ObjectID="_1395883177" r:id="rId28"/>
        </w:object>
      </w:r>
    </w:p>
    <w:p w:rsidR="00000000" w:rsidRDefault="00000000"/>
    <w:p w:rsidR="00000000" w:rsidRDefault="00000000">
      <w:pPr>
        <w:rPr>
          <w:i/>
          <w:iCs/>
        </w:rPr>
      </w:pPr>
      <w:r>
        <w:rPr>
          <w:i/>
          <w:iCs/>
        </w:rPr>
        <w:t>Помощь, предоставленная больным детям лечащими врачами</w:t>
      </w:r>
    </w:p>
    <w:p w:rsidR="00000000" w:rsidRDefault="00000000">
      <w:pPr>
        <w:rPr>
          <w:i/>
          <w:iCs/>
        </w:rPr>
      </w:pPr>
    </w:p>
    <w:p w:rsidR="00000000" w:rsidRDefault="00000000">
      <w:r>
        <w:t>571.</w:t>
      </w:r>
      <w:r>
        <w:tab/>
        <w:t xml:space="preserve">В 2003 году врачи, предоставлявшие помощь больным детям в центрах здравоохранения для детей дошкольного возраста, провели в общей сложности 1 149 018 обследований, что по сравнению с 2002 годом свидетельствует о росте количества проведенных обследований на </w:t>
      </w:r>
      <w:proofErr w:type="spellStart"/>
      <w:r>
        <w:t>6%</w:t>
      </w:r>
      <w:proofErr w:type="spellEnd"/>
      <w:r>
        <w:t>.</w:t>
      </w:r>
    </w:p>
    <w:p w:rsidR="00000000" w:rsidRDefault="00000000">
      <w:r>
        <w:t>572.</w:t>
      </w:r>
      <w:r>
        <w:tab/>
        <w:t xml:space="preserve">В тот же период детские медицинские центры имели в штате в общей сложности 240 медицинских работников (152 специалиста-педиатра), иными словами на 630 детей дошкольного возраста в среднем приходилась бригада в составе одного врача и 1,6 медицинских сестер.  Количество врачей, предоставлявших медицинский уход детям в возрасте до шести лет и младше в системе государственного здравоохранения сохранилось на </w:t>
      </w:r>
      <w:proofErr w:type="spellStart"/>
      <w:r>
        <w:t>12%</w:t>
      </w:r>
      <w:proofErr w:type="spellEnd"/>
      <w:r>
        <w:t xml:space="preserve"> по сравнению с 2002 годом.</w:t>
      </w:r>
    </w:p>
    <w:p w:rsidR="00000000" w:rsidRDefault="00000000"/>
    <w:p w:rsidR="00000000" w:rsidRDefault="00000000">
      <w:pPr>
        <w:keepNext/>
        <w:rPr>
          <w:i/>
          <w:iCs/>
        </w:rPr>
      </w:pPr>
      <w:r>
        <w:rPr>
          <w:i/>
          <w:iCs/>
        </w:rPr>
        <w:t xml:space="preserve">Количество </w:t>
      </w:r>
      <w:proofErr w:type="spellStart"/>
      <w:r>
        <w:rPr>
          <w:i/>
          <w:iCs/>
        </w:rPr>
        <w:t>койко-мест</w:t>
      </w:r>
      <w:proofErr w:type="spellEnd"/>
      <w:r>
        <w:rPr>
          <w:i/>
          <w:iCs/>
        </w:rPr>
        <w:t xml:space="preserve"> в детских стационарах</w:t>
      </w:r>
    </w:p>
    <w:p w:rsidR="00000000" w:rsidRDefault="00000000">
      <w:pPr>
        <w:keepNext/>
        <w:rPr>
          <w:i/>
          <w:iCs/>
        </w:rPr>
      </w:pPr>
    </w:p>
    <w:p w:rsidR="00000000" w:rsidRDefault="00000000">
      <w:pPr>
        <w:keepNext/>
      </w:pPr>
      <w:r>
        <w:t>573.</w:t>
      </w:r>
      <w:r>
        <w:tab/>
        <w:t xml:space="preserve">В 2003 году в детских стационарах насчитывалось 481 </w:t>
      </w:r>
      <w:proofErr w:type="spellStart"/>
      <w:r>
        <w:t>койко-место</w:t>
      </w:r>
      <w:proofErr w:type="spellEnd"/>
      <w:r>
        <w:t xml:space="preserve"> (не включая коечный фонд Клиники детских болезней) и 65 врачей.  В тот же период количество </w:t>
      </w:r>
      <w:proofErr w:type="spellStart"/>
      <w:r>
        <w:t>койко-мест</w:t>
      </w:r>
      <w:proofErr w:type="spellEnd"/>
      <w:r>
        <w:t xml:space="preserve"> в Клинике детских болезней составляло 240, а в ее штате работало 69 врачей.</w:t>
      </w:r>
    </w:p>
    <w:p w:rsidR="00000000" w:rsidRDefault="00000000"/>
    <w:p w:rsidR="00000000" w:rsidRDefault="00000000">
      <w:r>
        <w:t>574.</w:t>
      </w:r>
      <w:r>
        <w:tab/>
        <w:t xml:space="preserve">Общий коэффициент использования имеющихся в детских стационарах </w:t>
      </w:r>
      <w:proofErr w:type="spellStart"/>
      <w:r>
        <w:t>койко-мест</w:t>
      </w:r>
      <w:proofErr w:type="spellEnd"/>
      <w:r>
        <w:t xml:space="preserve"> в 2003 году составил </w:t>
      </w:r>
      <w:proofErr w:type="spellStart"/>
      <w:r>
        <w:t>47,9%</w:t>
      </w:r>
      <w:proofErr w:type="spellEnd"/>
      <w:r>
        <w:t xml:space="preserve"> при средней продолжительности лечения в количестве шести дней. </w:t>
      </w:r>
    </w:p>
    <w:p w:rsidR="00000000" w:rsidRDefault="00000000"/>
    <w:p w:rsidR="00000000" w:rsidRDefault="00000000">
      <w:r>
        <w:t>575.</w:t>
      </w:r>
      <w:r>
        <w:tab/>
        <w:t>За последние семь-восемь лет отмечается неуклонное сокращение общего коэффициента использования коечного фонда детских стационаров.</w:t>
      </w:r>
    </w:p>
    <w:p w:rsidR="00000000" w:rsidRDefault="00000000"/>
    <w:p w:rsidR="00000000" w:rsidRDefault="00000000">
      <w:r>
        <w:t>576.</w:t>
      </w:r>
      <w:r>
        <w:tab/>
        <w:t xml:space="preserve">В 2003 году коэффициент больничной смертности в педиатрических стационарах составил 7,4 на 1 000 вылеченных детей.  Из общего числа детей, умерших в педиатрических стационарах (151), </w:t>
      </w:r>
      <w:proofErr w:type="spellStart"/>
      <w:r>
        <w:t>94%</w:t>
      </w:r>
      <w:proofErr w:type="spellEnd"/>
      <w:r>
        <w:t>, или 142 ребенка умерли в Клинике детских болезней, которая, являясь учреждением высшего уровня оказания медицинской помощи, представляет собой базовый центр для лечения тяжелобольных детей.</w:t>
      </w:r>
    </w:p>
    <w:p w:rsidR="00000000" w:rsidRDefault="00000000"/>
    <w:p w:rsidR="00000000" w:rsidRDefault="00000000">
      <w:pPr>
        <w:rPr>
          <w:b/>
          <w:bCs/>
        </w:rPr>
      </w:pPr>
      <w:r>
        <w:rPr>
          <w:b/>
          <w:bCs/>
        </w:rPr>
        <w:t>Состояние здоровья детей в возрасте шести лет и младше</w:t>
      </w:r>
    </w:p>
    <w:p w:rsidR="00000000" w:rsidRDefault="00000000">
      <w:pPr>
        <w:rPr>
          <w:b/>
          <w:bCs/>
        </w:rPr>
      </w:pPr>
    </w:p>
    <w:p w:rsidR="00000000" w:rsidRDefault="00000000">
      <w:r>
        <w:t>577.</w:t>
      </w:r>
      <w:r>
        <w:tab/>
        <w:t xml:space="preserve">Оценка состояния здоровья детей в возрасте шести лет и младше в бывшей югославской Республике Македонии основана на таких показателях, как коэффициент младенческой смертности, коэффициент смертности детей в возрасте до пяти лет и коэффициент смертности от инфекционных болезней.  </w:t>
      </w:r>
    </w:p>
    <w:p w:rsidR="00000000" w:rsidRDefault="00000000"/>
    <w:p w:rsidR="00000000" w:rsidRDefault="00000000">
      <w:pPr>
        <w:rPr>
          <w:i/>
          <w:iCs/>
        </w:rPr>
      </w:pPr>
      <w:r>
        <w:rPr>
          <w:i/>
          <w:iCs/>
        </w:rPr>
        <w:t>Коэффициент младенческой смертности</w:t>
      </w:r>
    </w:p>
    <w:p w:rsidR="00000000" w:rsidRDefault="00000000">
      <w:pPr>
        <w:rPr>
          <w:i/>
          <w:iCs/>
        </w:rPr>
      </w:pPr>
    </w:p>
    <w:p w:rsidR="00000000" w:rsidRDefault="00000000">
      <w:r>
        <w:t>578.</w:t>
      </w:r>
      <w:r>
        <w:tab/>
        <w:t>Младенческая смертность считается основным показателем не только состояния здоровья детей, но и уровня развития системы здравоохранения и состояния развития общества в целом.</w:t>
      </w:r>
    </w:p>
    <w:p w:rsidR="00000000" w:rsidRDefault="00000000"/>
    <w:p w:rsidR="00000000" w:rsidRDefault="00000000">
      <w:r>
        <w:t>579.</w:t>
      </w:r>
      <w:r>
        <w:tab/>
        <w:t xml:space="preserve">Учитывая специфические биологические особенности новорожденных, младенческая смертность подразделяется на </w:t>
      </w:r>
      <w:proofErr w:type="spellStart"/>
      <w:r>
        <w:t>неонатальную</w:t>
      </w:r>
      <w:proofErr w:type="spellEnd"/>
      <w:r>
        <w:t xml:space="preserve"> смертность (0-27 дней) и </w:t>
      </w:r>
      <w:proofErr w:type="spellStart"/>
      <w:r>
        <w:t>постнатальную</w:t>
      </w:r>
      <w:proofErr w:type="spellEnd"/>
      <w:r>
        <w:t xml:space="preserve"> смертность.  В </w:t>
      </w:r>
      <w:proofErr w:type="spellStart"/>
      <w:r>
        <w:t>неонатальный</w:t>
      </w:r>
      <w:proofErr w:type="spellEnd"/>
      <w:r>
        <w:t xml:space="preserve"> период основные причины смертности новорожденных имеют эндогенное происхождение (врожденные аномалии, генетические пороки, </w:t>
      </w:r>
      <w:proofErr w:type="spellStart"/>
      <w:r>
        <w:t>недозрелость</w:t>
      </w:r>
      <w:proofErr w:type="spellEnd"/>
      <w:r>
        <w:t xml:space="preserve"> плода и родовые травмы), в то время как в </w:t>
      </w:r>
      <w:proofErr w:type="spellStart"/>
      <w:r>
        <w:t>постнатальный</w:t>
      </w:r>
      <w:proofErr w:type="spellEnd"/>
      <w:r>
        <w:t xml:space="preserve"> период причины смерти чаще всего имеют экзогенное происхождение (неблагоприятные гигиенические и социальные факторы окружающей среды).</w:t>
      </w:r>
    </w:p>
    <w:p w:rsidR="00000000" w:rsidRDefault="00000000"/>
    <w:p w:rsidR="00000000" w:rsidRDefault="00000000">
      <w:r>
        <w:t>580.</w:t>
      </w:r>
      <w:r>
        <w:tab/>
        <w:t xml:space="preserve">В этой связи деятельность служб здравоохранения по сокращению смертности новорожденных приобретает более весомое значение в </w:t>
      </w:r>
      <w:proofErr w:type="spellStart"/>
      <w:r>
        <w:t>постнеонатальный</w:t>
      </w:r>
      <w:proofErr w:type="spellEnd"/>
      <w:r>
        <w:t xml:space="preserve"> период.</w:t>
      </w:r>
    </w:p>
    <w:p w:rsidR="00000000" w:rsidRDefault="00000000"/>
    <w:p w:rsidR="00000000" w:rsidRDefault="00000000">
      <w:pPr>
        <w:keepNext/>
        <w:jc w:val="center"/>
        <w:rPr>
          <w:b/>
          <w:bCs/>
        </w:rPr>
      </w:pPr>
      <w:r>
        <w:rPr>
          <w:b/>
          <w:bCs/>
        </w:rPr>
        <w:t>Диаграмма 11</w:t>
      </w:r>
    </w:p>
    <w:p w:rsidR="00000000" w:rsidRDefault="00000000">
      <w:pPr>
        <w:keepNext/>
        <w:jc w:val="center"/>
        <w:rPr>
          <w:b/>
          <w:bCs/>
        </w:rPr>
      </w:pPr>
    </w:p>
    <w:p w:rsidR="00000000" w:rsidRDefault="00000000">
      <w:pPr>
        <w:keepNext/>
        <w:jc w:val="center"/>
        <w:rPr>
          <w:b/>
          <w:bCs/>
        </w:rPr>
      </w:pPr>
      <w:r>
        <w:rPr>
          <w:b/>
          <w:bCs/>
        </w:rPr>
        <w:t>Динамика коэффициента младенческой смертности в бывшей югославской Республике Македонии (1993-2003 годы)</w:t>
      </w:r>
    </w:p>
    <w:p w:rsidR="00000000" w:rsidRDefault="00000000"/>
    <w:bookmarkStart w:id="35" w:name="_MON_1211720341"/>
    <w:bookmarkStart w:id="36" w:name="_MON_1211775885"/>
    <w:bookmarkEnd w:id="35"/>
    <w:bookmarkEnd w:id="36"/>
    <w:p w:rsidR="00000000" w:rsidRDefault="00000000">
      <w:r>
        <w:object w:dxaOrig="9328" w:dyaOrig="3634">
          <v:shape id="_x0000_i1035" type="#_x0000_t75" style="width:466.5pt;height:181.5pt" o:ole="">
            <v:imagedata r:id="rId29" o:title=""/>
          </v:shape>
          <o:OLEObject Type="Embed" ProgID="Word.Picture.8" ShapeID="_x0000_i1035" DrawAspect="Content" ObjectID="_1395883178" r:id="rId30"/>
        </w:object>
      </w:r>
    </w:p>
    <w:p w:rsidR="00000000" w:rsidRDefault="00000000"/>
    <w:p w:rsidR="00000000" w:rsidRDefault="00000000">
      <w:r>
        <w:t>581.</w:t>
      </w:r>
      <w:r>
        <w:tab/>
        <w:t>В 2003 году общий коэффициент младенческой смертности составил 11,3%, что свидетельствует об увеличении на 1,1% по сравнению с 2002 годом.  Следует отметить, что рост коэффициента младенческой смертности был зарегистрирован впервые за последние десять лет.</w:t>
      </w:r>
    </w:p>
    <w:p w:rsidR="00000000" w:rsidRDefault="00000000"/>
    <w:p w:rsidR="00000000" w:rsidRDefault="00000000">
      <w:r>
        <w:t>582.</w:t>
      </w:r>
      <w:r>
        <w:tab/>
        <w:t>Сформулированная в документе "Основы политики достижения здоровья для всех в Европейском регионе ВОЗ к 2020 году" Задача 3 определяет здоровое начало жизни по ряду показателей, в числе которых предусмотрено, что коэффициент младенческой смертности не должен превышать 20 случаев на 1 000 живорожденных в любой стране Европы, а страны, в которых он составляет менее 20%, должны стремиться снизить этот показатель до 10 на 1 000 живорожденных или ниже.  Судя по этим показателям, бывшая югославская Республика Македония относится к группе стран Европейского региона, которым еще предстоит приблизиться к выполнению задач, сформулированных ВОЗ.  Невзирая на тот факт, что коэффициент младенческой смертности в стране показывал стабильную тенденцию к снижению за последнее десятилетие, его повышение в 2003 году свидетельствует о том, что этот показатель все еще подвержен колебаниям и по</w:t>
      </w:r>
      <w:r>
        <w:noBreakHyphen/>
        <w:t>прежнему значительно выше, чем в развитых странах Европейского региона.</w:t>
      </w:r>
    </w:p>
    <w:p w:rsidR="00000000" w:rsidRDefault="00000000"/>
    <w:p w:rsidR="00000000" w:rsidRDefault="00000000">
      <w:r>
        <w:t>583.</w:t>
      </w:r>
      <w:r>
        <w:tab/>
        <w:t xml:space="preserve">Дескриптивный анализ показателя смертности новорожденных в бывшей югославской Республики Македонии по ряду переменных величин (географический район проживания, этническая принадлежность и образовательный уровень матери) свидетельствует о неоднородности, для которой характерны как исключительно высокие, так и крайне низкие уровни, а также погрешности в связи с определением общего уровня.  Межрегиональное выравнивание коэффициента младенческой смертности и его выравнивание между конкретными социально-экономическими категориями населения страны должны стать основными задачами стратегии по укреплению здоровья детей. </w:t>
      </w:r>
    </w:p>
    <w:p w:rsidR="00000000" w:rsidRDefault="00000000"/>
    <w:p w:rsidR="00000000" w:rsidRDefault="00000000">
      <w:pPr>
        <w:keepNext/>
        <w:jc w:val="center"/>
        <w:rPr>
          <w:b/>
          <w:bCs/>
        </w:rPr>
      </w:pPr>
      <w:r>
        <w:rPr>
          <w:b/>
          <w:bCs/>
        </w:rPr>
        <w:t>Диаграмма 12</w:t>
      </w:r>
    </w:p>
    <w:p w:rsidR="00000000" w:rsidRDefault="00000000">
      <w:pPr>
        <w:keepNext/>
        <w:jc w:val="center"/>
        <w:rPr>
          <w:b/>
          <w:bCs/>
        </w:rPr>
      </w:pPr>
    </w:p>
    <w:p w:rsidR="00000000" w:rsidRDefault="00000000">
      <w:pPr>
        <w:keepNext/>
        <w:jc w:val="center"/>
        <w:rPr>
          <w:b/>
          <w:bCs/>
        </w:rPr>
      </w:pPr>
      <w:r>
        <w:rPr>
          <w:b/>
          <w:bCs/>
        </w:rPr>
        <w:t xml:space="preserve">Коэффициент младенческой смертности в городских и сельских районах </w:t>
      </w:r>
      <w:r>
        <w:rPr>
          <w:b/>
          <w:bCs/>
        </w:rPr>
        <w:br/>
        <w:t xml:space="preserve">бывшей югославской Республики Македонии </w:t>
      </w:r>
    </w:p>
    <w:p w:rsidR="00000000" w:rsidRDefault="00000000">
      <w:pPr>
        <w:keepNext/>
        <w:jc w:val="center"/>
        <w:rPr>
          <w:b/>
          <w:bCs/>
        </w:rPr>
      </w:pPr>
    </w:p>
    <w:bookmarkStart w:id="37" w:name="_MON_1211721156"/>
    <w:bookmarkStart w:id="38" w:name="_MON_1211721358"/>
    <w:bookmarkStart w:id="39" w:name="_MON_1211776132"/>
    <w:bookmarkStart w:id="40" w:name="_MON_1211776309"/>
    <w:bookmarkStart w:id="41" w:name="_MON_1211779955"/>
    <w:bookmarkEnd w:id="37"/>
    <w:bookmarkEnd w:id="38"/>
    <w:bookmarkEnd w:id="39"/>
    <w:bookmarkEnd w:id="40"/>
    <w:bookmarkEnd w:id="41"/>
    <w:p w:rsidR="00000000" w:rsidRDefault="00000000">
      <w:pPr>
        <w:keepNext/>
      </w:pPr>
      <w:r>
        <w:object w:dxaOrig="9328" w:dyaOrig="3501">
          <v:shape id="_x0000_i1036" type="#_x0000_t75" style="width:466.5pt;height:174.75pt" o:ole="">
            <v:imagedata r:id="rId31" o:title=""/>
          </v:shape>
          <o:OLEObject Type="Embed" ProgID="Word.Picture.8" ShapeID="_x0000_i1036" DrawAspect="Content" ObjectID="_1395883179" r:id="rId32"/>
        </w:object>
      </w:r>
    </w:p>
    <w:p w:rsidR="00000000" w:rsidRDefault="00000000">
      <w:pPr>
        <w:keepNext/>
      </w:pPr>
    </w:p>
    <w:p w:rsidR="00000000" w:rsidRDefault="00000000">
      <w:r>
        <w:t>584.</w:t>
      </w:r>
      <w:r>
        <w:tab/>
        <w:t>За последние 10 лет различия в показателях младенческой смертности в городских и сельских районах практически отсутствовали.  Вместе с тем тенденция к увеличению коэффициента смертности в городах по сравнению с селами сохраняется, и в 2003 году коэффициент смертности в городах составил 13,5% и 8,6% в селах.</w:t>
      </w:r>
    </w:p>
    <w:p w:rsidR="00000000" w:rsidRDefault="00000000"/>
    <w:p w:rsidR="00000000" w:rsidRDefault="00000000">
      <w:r>
        <w:t>585.</w:t>
      </w:r>
      <w:r>
        <w:tab/>
        <w:t>По</w:t>
      </w:r>
      <w:r>
        <w:noBreakHyphen/>
        <w:t>прежнему сохраняются различия в отношении коэффициента младенческой смертности в разных социально-экономических группах в зависимости от уровня образования матери.  В 2003 году он был выше всего среди детей, родившихся у матерей, которые не закончили начального образования (39,3%), а ниже всего - в группе детей, родившихся у матерей со средним и высшим образованием (3,2%).</w:t>
      </w:r>
    </w:p>
    <w:p w:rsidR="00000000" w:rsidRDefault="00000000"/>
    <w:p w:rsidR="00000000" w:rsidRDefault="00000000">
      <w:r>
        <w:t>586.</w:t>
      </w:r>
      <w:r>
        <w:tab/>
        <w:t>На основе выводов, приведенных в справочной литературе, а также исследований Института охраны здоровья матери и ребенка можно отметить высокий уровень отрицательной корреляции между коэффициентом младенческой смертности и уровнем образования матери (</w:t>
      </w:r>
      <w:proofErr w:type="spellStart"/>
      <w:r>
        <w:t>р</w:t>
      </w:r>
      <w:proofErr w:type="spellEnd"/>
      <w:r>
        <w:t>=0,97).</w:t>
      </w:r>
    </w:p>
    <w:p w:rsidR="00000000" w:rsidRDefault="00000000"/>
    <w:p w:rsidR="00000000" w:rsidRDefault="00000000">
      <w:pPr>
        <w:keepNext/>
        <w:jc w:val="center"/>
        <w:rPr>
          <w:b/>
          <w:bCs/>
        </w:rPr>
      </w:pPr>
      <w:r>
        <w:rPr>
          <w:b/>
          <w:bCs/>
        </w:rPr>
        <w:t>Диаграмма 13</w:t>
      </w:r>
    </w:p>
    <w:p w:rsidR="00000000" w:rsidRDefault="00000000">
      <w:pPr>
        <w:keepNext/>
        <w:jc w:val="center"/>
        <w:rPr>
          <w:b/>
          <w:bCs/>
        </w:rPr>
      </w:pPr>
    </w:p>
    <w:p w:rsidR="00000000" w:rsidRDefault="00000000">
      <w:pPr>
        <w:keepNext/>
        <w:jc w:val="center"/>
        <w:rPr>
          <w:b/>
          <w:bCs/>
        </w:rPr>
      </w:pPr>
      <w:r>
        <w:rPr>
          <w:b/>
          <w:bCs/>
        </w:rPr>
        <w:t xml:space="preserve">Коэффициент смертности новорожденных в 2003 году </w:t>
      </w:r>
      <w:r>
        <w:rPr>
          <w:b/>
          <w:bCs/>
        </w:rPr>
        <w:br/>
        <w:t>в разбивке по уровню образования матери</w:t>
      </w:r>
    </w:p>
    <w:p w:rsidR="00000000" w:rsidRDefault="00000000">
      <w:pPr>
        <w:keepNext/>
        <w:jc w:val="center"/>
        <w:rPr>
          <w:b/>
          <w:bCs/>
        </w:rPr>
      </w:pPr>
    </w:p>
    <w:bookmarkStart w:id="42" w:name="_MON_1211776898"/>
    <w:bookmarkStart w:id="43" w:name="_MON_1211777175"/>
    <w:bookmarkStart w:id="44" w:name="_MON_1211777226"/>
    <w:bookmarkEnd w:id="42"/>
    <w:bookmarkEnd w:id="43"/>
    <w:bookmarkEnd w:id="44"/>
    <w:p w:rsidR="00000000" w:rsidRDefault="00000000">
      <w:pPr>
        <w:keepNext/>
        <w:jc w:val="center"/>
      </w:pPr>
      <w:r>
        <w:object w:dxaOrig="9328" w:dyaOrig="3065">
          <v:shape id="_x0000_i1037" type="#_x0000_t75" style="width:466.5pt;height:153pt" o:ole="">
            <v:imagedata r:id="rId33" o:title=""/>
          </v:shape>
          <o:OLEObject Type="Embed" ProgID="Word.Picture.8" ShapeID="_x0000_i1037" DrawAspect="Content" ObjectID="_1395883180" r:id="rId34"/>
        </w:object>
      </w:r>
    </w:p>
    <w:p w:rsidR="00000000" w:rsidRDefault="00000000">
      <w:pPr>
        <w:keepNext/>
        <w:jc w:val="center"/>
      </w:pPr>
    </w:p>
    <w:p w:rsidR="00000000" w:rsidRDefault="00000000">
      <w:r>
        <w:t>587.</w:t>
      </w:r>
      <w:r>
        <w:tab/>
        <w:t>Различия в показателях младенческой смертности могут быть прослежены по признаку этнической принадлежности матери.  Так, в 2003 году коэффициент младенческой смертности был наиболее высоким среди рома (13,9%), а наиболее низким - в турецкой общине (8,4%).</w:t>
      </w:r>
    </w:p>
    <w:p w:rsidR="00000000" w:rsidRDefault="00000000"/>
    <w:p w:rsidR="00000000" w:rsidRDefault="00000000">
      <w:r>
        <w:t>588.</w:t>
      </w:r>
      <w:r>
        <w:tab/>
        <w:t>Важным определяющим фактором младенческой смертности является также возраст матери.  Ниже всего этот показатель среди матерей в возрастной группе от 20 до 29 лет, и он значительно возрастает в случае детей, родившихся у матерей более старшего возраста, а также у матерей, не достигших 18 лет.</w:t>
      </w:r>
    </w:p>
    <w:p w:rsidR="00000000" w:rsidRDefault="00000000"/>
    <w:p w:rsidR="00000000" w:rsidRDefault="00000000">
      <w:pPr>
        <w:keepNext/>
        <w:jc w:val="center"/>
        <w:rPr>
          <w:b/>
          <w:bCs/>
        </w:rPr>
      </w:pPr>
      <w:r>
        <w:rPr>
          <w:b/>
          <w:bCs/>
        </w:rPr>
        <w:t>Диаграмма 14</w:t>
      </w:r>
    </w:p>
    <w:p w:rsidR="00000000" w:rsidRDefault="00000000">
      <w:pPr>
        <w:keepNext/>
        <w:jc w:val="center"/>
        <w:rPr>
          <w:b/>
          <w:bCs/>
        </w:rPr>
      </w:pPr>
    </w:p>
    <w:p w:rsidR="00000000" w:rsidRDefault="00000000">
      <w:pPr>
        <w:keepNext/>
        <w:jc w:val="center"/>
        <w:rPr>
          <w:b/>
          <w:bCs/>
        </w:rPr>
      </w:pPr>
      <w:r>
        <w:rPr>
          <w:b/>
          <w:bCs/>
        </w:rPr>
        <w:t>Коэффициент младенческой смертности в 2003 году в разбивке по возрасту матери</w:t>
      </w:r>
    </w:p>
    <w:p w:rsidR="00000000" w:rsidRDefault="00000000">
      <w:pPr>
        <w:keepNext/>
        <w:jc w:val="center"/>
        <w:rPr>
          <w:b/>
          <w:bCs/>
        </w:rPr>
      </w:pPr>
    </w:p>
    <w:bookmarkStart w:id="45" w:name="_MON_1211777556"/>
    <w:bookmarkStart w:id="46" w:name="_MON_1222090609"/>
    <w:bookmarkEnd w:id="45"/>
    <w:bookmarkEnd w:id="46"/>
    <w:p w:rsidR="00000000" w:rsidRDefault="00000000">
      <w:pPr>
        <w:keepNext/>
        <w:jc w:val="center"/>
      </w:pPr>
      <w:r>
        <w:object w:dxaOrig="9328" w:dyaOrig="3568">
          <v:shape id="_x0000_i1038" type="#_x0000_t75" style="width:466.5pt;height:178.5pt" o:ole="">
            <v:imagedata r:id="rId35" o:title=""/>
          </v:shape>
          <o:OLEObject Type="Embed" ProgID="Word.Picture.8" ShapeID="_x0000_i1038" DrawAspect="Content" ObjectID="_1395883181" r:id="rId36"/>
        </w:object>
      </w:r>
    </w:p>
    <w:p w:rsidR="00000000" w:rsidRDefault="00000000"/>
    <w:p w:rsidR="00000000" w:rsidRDefault="00000000">
      <w:r>
        <w:t>589.</w:t>
      </w:r>
      <w:r>
        <w:tab/>
        <w:t xml:space="preserve">За последнее десятилетие наряду с сокращением коэффициента младенческой смертности произошли значительные позитивные изменения в его возрастной структуре, т.е. наблюдается смещение от </w:t>
      </w:r>
      <w:proofErr w:type="spellStart"/>
      <w:r>
        <w:t>постнеонатальной</w:t>
      </w:r>
      <w:proofErr w:type="spellEnd"/>
      <w:r>
        <w:t xml:space="preserve"> смертности в сторону неонатальной смертности.  В 2003 году смертность новорожденных в неонатальный период (в возрасте от 0 до 27 дней) составила 74,4%.  Для сравнения в 1993 году в общей структуре смертности на неонатальный период приходилось 58,8%.  Увеличение коэффициента младенческой смертности в 2003 году (11,3%) по сравнению с 2002 годом (10,2%) произошло из-за увеличения количества новорожденных, умерших в постнеонатальный период.  В 2002 году 24% смертей новорожденных приходилось на </w:t>
      </w:r>
      <w:proofErr w:type="spellStart"/>
      <w:r>
        <w:t>постнеонатальный</w:t>
      </w:r>
      <w:proofErr w:type="spellEnd"/>
      <w:r>
        <w:t xml:space="preserve"> период, в то время как в 2003 году этот показатель составил 25,5%.</w:t>
      </w:r>
    </w:p>
    <w:p w:rsidR="00000000" w:rsidRDefault="00000000"/>
    <w:p w:rsidR="00000000" w:rsidRDefault="00000000">
      <w:r>
        <w:t>590.</w:t>
      </w:r>
      <w:r>
        <w:tab/>
        <w:t>В дополнение к позитивным изменениям в области возрастной структуры смертности новорожденных в бывшей югославской Республике Македонии отмечается позитивная тенденция в области изменения структуры младенческой смертности по причинам смерти.</w:t>
      </w:r>
    </w:p>
    <w:p w:rsidR="00000000" w:rsidRDefault="00000000"/>
    <w:p w:rsidR="00000000" w:rsidRDefault="00000000">
      <w:r>
        <w:t>591.</w:t>
      </w:r>
      <w:r>
        <w:tab/>
        <w:t>Структура причин смертности показывает, что перинатальные причины и врожденные дефекты составляют 76% общей смертности новорожденных, при этом какие-либо существенные различия по сравнению с 2002 годом отсутствуют.</w:t>
      </w:r>
    </w:p>
    <w:p w:rsidR="00000000" w:rsidRDefault="00000000"/>
    <w:p w:rsidR="00000000" w:rsidRDefault="00000000">
      <w:r>
        <w:t>592.</w:t>
      </w:r>
      <w:r>
        <w:tab/>
        <w:t>В 2003 году наиболее высокий коэффициент младенческой смертности был зарегистрирован среди младенцев, умерших в результате перинатальных причин (6,1%) и врожденных аномалий (2,4%).</w:t>
      </w:r>
    </w:p>
    <w:p w:rsidR="00000000" w:rsidRDefault="00000000"/>
    <w:p w:rsidR="00000000" w:rsidRDefault="00000000">
      <w:r>
        <w:t>593.</w:t>
      </w:r>
      <w:r>
        <w:tab/>
        <w:t xml:space="preserve">Следует отметить рост числа младенцев, умерших в результате врожденных аномалий в 2003 году (66) по сравнению с 2002 годом (48).  Наибольшее количество зарегистрированных врожденных аномалий, являющихся причиной смертности новорожденных, приходится на врожденные пороки сердца, системы кровообращения и мозга.  В 2003 году коэффициент </w:t>
      </w:r>
      <w:proofErr w:type="spellStart"/>
      <w:r>
        <w:t>внемедицинской</w:t>
      </w:r>
      <w:proofErr w:type="spellEnd"/>
      <w:r>
        <w:t xml:space="preserve"> младенческой смертности (по </w:t>
      </w:r>
      <w:proofErr w:type="spellStart"/>
      <w:r>
        <w:t>неустановленным</w:t>
      </w:r>
      <w:proofErr w:type="spellEnd"/>
      <w:r>
        <w:t xml:space="preserve"> и неизвестным причинам) составил 10,2% от общего количества умерших новорожденных, при этом 6,5% от общего количества умерших новорожденных перед смертью никакого лечения вообще не получали.  Эти данные косвенно затрагивают вопросы качества и полной доступности медицинского обслуживания для этой наиболее уязвимой группы населения.</w:t>
      </w:r>
    </w:p>
    <w:p w:rsidR="00000000" w:rsidRDefault="00000000"/>
    <w:p w:rsidR="00000000" w:rsidRDefault="00000000">
      <w:pPr>
        <w:keepNext/>
        <w:jc w:val="center"/>
        <w:rPr>
          <w:b/>
          <w:bCs/>
        </w:rPr>
      </w:pPr>
      <w:r>
        <w:rPr>
          <w:b/>
          <w:bCs/>
        </w:rPr>
        <w:t>Диаграмма 15</w:t>
      </w:r>
    </w:p>
    <w:p w:rsidR="00000000" w:rsidRDefault="00000000">
      <w:pPr>
        <w:keepNext/>
        <w:jc w:val="center"/>
        <w:rPr>
          <w:b/>
          <w:bCs/>
        </w:rPr>
      </w:pPr>
    </w:p>
    <w:p w:rsidR="00000000" w:rsidRDefault="00000000">
      <w:pPr>
        <w:keepNext/>
        <w:jc w:val="center"/>
        <w:rPr>
          <w:b/>
          <w:bCs/>
        </w:rPr>
      </w:pPr>
      <w:r>
        <w:rPr>
          <w:b/>
          <w:bCs/>
        </w:rPr>
        <w:t xml:space="preserve">Коэффициент младенческой смертности по конкретным причинам смерти </w:t>
      </w:r>
      <w:r>
        <w:rPr>
          <w:b/>
          <w:bCs/>
        </w:rPr>
        <w:br/>
        <w:t>в бывшей югославской Республике Македонии в период 2002-2003 годов</w:t>
      </w:r>
    </w:p>
    <w:p w:rsidR="00000000" w:rsidRDefault="00000000">
      <w:pPr>
        <w:keepNext/>
        <w:jc w:val="center"/>
        <w:rPr>
          <w:b/>
          <w:bCs/>
        </w:rPr>
      </w:pPr>
    </w:p>
    <w:bookmarkStart w:id="47" w:name="_MON_1211778351"/>
    <w:bookmarkStart w:id="48" w:name="_MON_1211779996"/>
    <w:bookmarkStart w:id="49" w:name="_MON_1222091004"/>
    <w:bookmarkEnd w:id="47"/>
    <w:bookmarkEnd w:id="48"/>
    <w:bookmarkEnd w:id="49"/>
    <w:p w:rsidR="00000000" w:rsidRDefault="00000000">
      <w:pPr>
        <w:keepNext/>
        <w:jc w:val="center"/>
      </w:pPr>
      <w:r>
        <w:object w:dxaOrig="9177" w:dyaOrig="5008">
          <v:shape id="_x0000_i1039" type="#_x0000_t75" style="width:459pt;height:250.5pt" o:ole="">
            <v:imagedata r:id="rId37" o:title=""/>
          </v:shape>
          <o:OLEObject Type="Embed" ProgID="Word.Picture.8" ShapeID="_x0000_i1039" DrawAspect="Content" ObjectID="_1395883182" r:id="rId38"/>
        </w:object>
      </w:r>
    </w:p>
    <w:p w:rsidR="00000000" w:rsidRDefault="00000000"/>
    <w:p w:rsidR="00000000" w:rsidRDefault="00000000">
      <w:pPr>
        <w:rPr>
          <w:i/>
          <w:iCs/>
        </w:rPr>
      </w:pPr>
      <w:r>
        <w:rPr>
          <w:i/>
          <w:iCs/>
        </w:rPr>
        <w:t>Коэффициент смертности детей в возрасте от одного года до четырех лет</w:t>
      </w:r>
    </w:p>
    <w:p w:rsidR="00000000" w:rsidRDefault="00000000">
      <w:pPr>
        <w:rPr>
          <w:i/>
          <w:iCs/>
        </w:rPr>
      </w:pPr>
    </w:p>
    <w:p w:rsidR="00000000" w:rsidRDefault="00000000">
      <w:r>
        <w:t>594.</w:t>
      </w:r>
      <w:r>
        <w:tab/>
        <w:t>В 2003 году в общей сложности умерло 43 ребенка в возрасте от одного года до четырех лет.  В том же году показатель смертности детей в возрасте до пяти лет составил 12,9 на 1 000 новорожденных.  По сравнению с 2002 годом коэффициент смертности детей в возрасте до пяти лет возрос на 1% в результате увеличения числа умерших младенцев.  На них приходится 88% в структуре смертности детей в возрасте до пяти лет.</w:t>
      </w:r>
    </w:p>
    <w:p w:rsidR="00000000" w:rsidRDefault="00000000">
      <w:r>
        <w:t>595.</w:t>
      </w:r>
      <w:r>
        <w:tab/>
        <w:t>В структуре смертности в разбивке по причинам смерти в возрастной группе от одного года до четырех лет преобладающее место занимают травмы (20,9%), врожденные аномалии (16,3%), респираторные инфекции (9,3%) и симптомы недостаточно установленных состояний (18,6%).</w:t>
      </w:r>
    </w:p>
    <w:p w:rsidR="00000000" w:rsidRDefault="00000000"/>
    <w:p w:rsidR="00000000" w:rsidRDefault="00000000">
      <w:pPr>
        <w:jc w:val="center"/>
        <w:rPr>
          <w:b/>
          <w:bCs/>
        </w:rPr>
      </w:pPr>
      <w:r>
        <w:rPr>
          <w:b/>
          <w:bCs/>
        </w:rPr>
        <w:t>Диаграмма 16</w:t>
      </w:r>
    </w:p>
    <w:p w:rsidR="00000000" w:rsidRDefault="00000000">
      <w:pPr>
        <w:jc w:val="center"/>
        <w:rPr>
          <w:b/>
          <w:bCs/>
        </w:rPr>
      </w:pPr>
    </w:p>
    <w:p w:rsidR="00000000" w:rsidRDefault="00000000">
      <w:pPr>
        <w:jc w:val="center"/>
        <w:rPr>
          <w:b/>
          <w:bCs/>
        </w:rPr>
      </w:pPr>
      <w:r>
        <w:rPr>
          <w:b/>
          <w:bCs/>
        </w:rPr>
        <w:t>Причины смерти детей в возрасте от одного года до четырех лет, 2002 и 2003 годы</w:t>
      </w:r>
    </w:p>
    <w:p w:rsidR="00000000" w:rsidRDefault="00000000">
      <w:pPr>
        <w:jc w:val="center"/>
        <w:rPr>
          <w:b/>
          <w:bCs/>
        </w:rPr>
      </w:pPr>
    </w:p>
    <w:bookmarkStart w:id="50" w:name="_MON_1211779072"/>
    <w:bookmarkStart w:id="51" w:name="_MON_1211780238"/>
    <w:bookmarkStart w:id="52" w:name="_MON_1222091130"/>
    <w:bookmarkEnd w:id="50"/>
    <w:bookmarkEnd w:id="51"/>
    <w:bookmarkEnd w:id="52"/>
    <w:p w:rsidR="00000000" w:rsidRDefault="00000000">
      <w:pPr>
        <w:jc w:val="center"/>
      </w:pPr>
      <w:r>
        <w:object w:dxaOrig="9345" w:dyaOrig="5175">
          <v:shape id="_x0000_i1040" type="#_x0000_t75" style="width:467.25pt;height:258.75pt" o:ole="">
            <v:imagedata r:id="rId39" o:title=""/>
          </v:shape>
          <o:OLEObject Type="Embed" ProgID="Word.Picture.8" ShapeID="_x0000_i1040" DrawAspect="Content" ObjectID="_1395883183" r:id="rId40"/>
        </w:object>
      </w:r>
    </w:p>
    <w:p w:rsidR="00000000" w:rsidRDefault="00000000"/>
    <w:p w:rsidR="00000000" w:rsidRDefault="00000000">
      <w:r>
        <w:t>596.</w:t>
      </w:r>
      <w:r>
        <w:tab/>
        <w:t>В 2003 году в стране было зарегистрировано в общей сложности 8 400 случаев инфекционных болезней среди детей в возрасте до шести лет, что составляет увеличение на 16% по сравнению с 2002 годом.  Что касается поддающихся профилактике при помощи вакцин болезней, то в этой возрастной группе было зарегистрировано 15 случаев кори, 12 случаев коклюша, 30 случаев инфекционного паротита и 39 случаев краснухи.</w:t>
      </w:r>
    </w:p>
    <w:p w:rsidR="00000000" w:rsidRDefault="00000000"/>
    <w:p w:rsidR="00000000" w:rsidRDefault="00000000">
      <w:pPr>
        <w:rPr>
          <w:i/>
          <w:iCs/>
        </w:rPr>
      </w:pPr>
      <w:r>
        <w:rPr>
          <w:i/>
          <w:iCs/>
        </w:rPr>
        <w:t>Охрана здоровья детей школьного возраста</w:t>
      </w:r>
    </w:p>
    <w:p w:rsidR="00000000" w:rsidRDefault="00000000">
      <w:pPr>
        <w:rPr>
          <w:i/>
          <w:iCs/>
        </w:rPr>
      </w:pPr>
    </w:p>
    <w:p w:rsidR="00000000" w:rsidRDefault="00000000">
      <w:r>
        <w:t>597.</w:t>
      </w:r>
      <w:r>
        <w:tab/>
        <w:t>В соответствии с программой систематического медицинского обследования детей и подростков школьного возраста в 2003 году было запланировано провести в общей сложности 119 334 систематических обследования в начальных школах и 49 005 систематических медицинских обследований в средних школах.  В начальных школах систематическими обследованиями было охвачено 65,3% от запланированного количества школьников, в то время как в средних школах систематические медцинские обследования были проведены в отношении 53,1% учащихся.</w:t>
      </w:r>
    </w:p>
    <w:p w:rsidR="00000000" w:rsidRDefault="00000000"/>
    <w:p w:rsidR="00000000" w:rsidRDefault="00000000">
      <w:r>
        <w:t>598.</w:t>
      </w:r>
      <w:r>
        <w:tab/>
        <w:t>В стационарах для больных детей за тот же период было произведено 710 579 лечебных обследований, что на 6% превышает показатель 2002 года.</w:t>
      </w:r>
    </w:p>
    <w:p w:rsidR="00000000" w:rsidRDefault="00000000"/>
    <w:p w:rsidR="00000000" w:rsidRDefault="00000000">
      <w:r>
        <w:t>599.</w:t>
      </w:r>
      <w:r>
        <w:tab/>
        <w:t>Медицинское обслуживание детей и подростков школьного возраста в бывшей югославской Республике Македонии за отчетный период осуществлялось в центрах по охране здоровья детей школьного возраста, где в общей сложности насчитывалось 164 врача, в том числе 109 специалистов и 207 сотрудников среднего медицинского персонала, иными словами, бригада в составе одного доктора и 1,3 среднего медицинского работника обслуживала 2 335 детей в возрасте от 7 до 18 лет.</w:t>
      </w:r>
    </w:p>
    <w:p w:rsidR="00000000" w:rsidRDefault="00000000"/>
    <w:p w:rsidR="00000000" w:rsidRDefault="00000000">
      <w:pPr>
        <w:rPr>
          <w:b/>
          <w:bCs/>
        </w:rPr>
      </w:pPr>
      <w:r>
        <w:rPr>
          <w:b/>
          <w:bCs/>
        </w:rPr>
        <w:t>Укрепление всех видов гигиены окружающей среды и гигиены труда</w:t>
      </w:r>
    </w:p>
    <w:p w:rsidR="00000000" w:rsidRDefault="00000000">
      <w:pPr>
        <w:rPr>
          <w:b/>
          <w:bCs/>
        </w:rPr>
      </w:pPr>
    </w:p>
    <w:p w:rsidR="00000000" w:rsidRDefault="00000000">
      <w:r>
        <w:t>600.</w:t>
      </w:r>
      <w:r>
        <w:tab/>
        <w:t>В бывшей югославской Республике Македонии имеются действующие законодательные, нормативные и административные положения, касающиеся гигиены окружающей среды и гигиены труда.</w:t>
      </w:r>
    </w:p>
    <w:p w:rsidR="00000000" w:rsidRDefault="00000000"/>
    <w:p w:rsidR="00000000" w:rsidRDefault="00000000">
      <w:r>
        <w:t>601.</w:t>
      </w:r>
      <w:r>
        <w:tab/>
        <w:t xml:space="preserve">В соответствии с Задачей 18 Стратегии достижения здоровья для всех был подготовлен Национальный план по гигиене окружающей среды (НПГОС) в качестве дополнительного законодательного документа в области здравоохранения, трудового законодательства и охраны окружающей среды.  </w:t>
      </w:r>
    </w:p>
    <w:p w:rsidR="00000000" w:rsidRDefault="00000000"/>
    <w:p w:rsidR="00000000" w:rsidRDefault="00000000">
      <w:r>
        <w:t>602.</w:t>
      </w:r>
      <w:r>
        <w:tab/>
        <w:t xml:space="preserve">НПГОС предусматривает, что охрана и укрепление здоровья населения посредством улучшения различных компонентов окружающей среды (далее именуемых окружающей средой) требует принятия общих решений как компетентными профильными учреждениями, так и всеми теми, кто прямо или косвенно воздействует на окружающую среду. </w:t>
      </w:r>
    </w:p>
    <w:p w:rsidR="00000000" w:rsidRDefault="00000000"/>
    <w:p w:rsidR="00000000" w:rsidRDefault="00000000">
      <w:r>
        <w:t>603.</w:t>
      </w:r>
      <w:r>
        <w:tab/>
        <w:t xml:space="preserve">Вопросами политики охраны окружающей среды и ее воздействия на состояние здоровья населения преимущественно занимаются министерство охраны окружающей среды и министерство здравоохранения;  другие министерства также играют важную роль, особенно министерство сельского, лесного и водного хозяйства и министерство экономики.  На них возложена задача принятия совместных решений, основанных на утвержденном Национальном плане действий в области окружающей среды и НПГОС, при участии других профильных учреждений с учетом потребностей в природных ресурсах промышленности, горнодобывающей отрасли, энергетики, сельского хозяйства, градостроительства и туризма.  Политика обоих министерств осуществляется на национальном и муниципальном уровнях региональными подразделениями соответствующих министерств и их инспекциями:  Государственной инспекцией по охране и развитию окружающей среды и природы, а также Государственной санитарно-гигиенической инспекцией.  Их центральное подчинение и взаимодействие являются одним из непременных условий для обеспечения единого подхода при проведении экологической и здравоохранительной политики.  </w:t>
      </w:r>
    </w:p>
    <w:p w:rsidR="00000000" w:rsidRDefault="00000000"/>
    <w:p w:rsidR="00000000" w:rsidRDefault="00000000">
      <w:r>
        <w:t>604.</w:t>
      </w:r>
      <w:r>
        <w:tab/>
        <w:t>Принцип взаимной ответственности и эффективное межведомственное сотрудничество образуют основу для предупреждения негативных последствий воздействия неблагоприятных факторов окружающей среды на состояние здоровья населения.</w:t>
      </w:r>
    </w:p>
    <w:p w:rsidR="00000000" w:rsidRDefault="00000000"/>
    <w:p w:rsidR="00000000" w:rsidRDefault="00000000">
      <w:r>
        <w:t>605.</w:t>
      </w:r>
      <w:r>
        <w:tab/>
        <w:t xml:space="preserve">Многообразие связанных с окружающей средой и здоровьем проблем обусловливает необходимость межсекторального и межведомственного сотрудничества с участием как компетентных министерств и ведомств, прямо или косвенно занимающихся вопросами окружающей среды, так и НПО, преимущественно организаций, занимающихся охраной окружающей среды, а также других ассоциаций, действующих в области охраны окружающей среды и защиты природы в связи с вопросами охраны здоровья на национальном и муниципальном уровнях.  </w:t>
      </w:r>
    </w:p>
    <w:p w:rsidR="00000000" w:rsidRDefault="00000000"/>
    <w:p w:rsidR="00000000" w:rsidRDefault="00000000">
      <w:r>
        <w:t>606.</w:t>
      </w:r>
      <w:r>
        <w:tab/>
        <w:t xml:space="preserve">Связанная с качеством окружающей среды политика по охране здоровья населения с точки зрения инфекционных и распространенных неинфекционных болезней осуществляется медицинскими учреждениями в сотрудничестве с Государственной санитарно-гигиенической инспекцией.  </w:t>
      </w:r>
    </w:p>
    <w:p w:rsidR="00000000" w:rsidRDefault="00000000"/>
    <w:p w:rsidR="00000000" w:rsidRDefault="00000000">
      <w:r>
        <w:t>607.</w:t>
      </w:r>
      <w:r>
        <w:tab/>
        <w:t xml:space="preserve">Политика охраны здоровья населения с точки зрения предупреждения возможных неблагоприятных последствий для здоровья осуществляется в рамках деятельности Института по охране и развитию окружающей среды и природы в сотрудничестве с Государственной инспекцией по охране и развитию окружающей среды и природы.  Деятельность этих структурных подразделений координируется министром по охране окружающей среды в сотрудничестве, в числе прочих учреждений, с министерством здравоохранения, Государственным гидрометеорологическим институтом, Государственным институтом здравоохранения и Ветеринарным институтом.  </w:t>
      </w:r>
    </w:p>
    <w:p w:rsidR="00000000" w:rsidRDefault="00000000"/>
    <w:p w:rsidR="00000000" w:rsidRDefault="00000000">
      <w:r>
        <w:t>608.</w:t>
      </w:r>
      <w:r>
        <w:tab/>
        <w:t xml:space="preserve">Положения по охране окружающей среды и здоровья, содержащиеся в Законе о местном управлении, являются основой для осуществления политики охраны окружающей среды и здоровья на региональном и местном уровнях.  </w:t>
      </w:r>
    </w:p>
    <w:p w:rsidR="00000000" w:rsidRDefault="00000000"/>
    <w:p w:rsidR="00000000" w:rsidRDefault="00000000">
      <w:r>
        <w:t>609.</w:t>
      </w:r>
      <w:r>
        <w:tab/>
        <w:t xml:space="preserve">Применение комплексного подхода к природопользованию и факторам риска для здоровья требует тесного сотрудничества таких ведущих секторов, как здравоохранение и охрана окружающей среды с сопутствующими секторами, включая градостроительство, промышленность, энергетику, горнодобывающую отрасль, сельское хозяйство, транспорт, туризм.  </w:t>
      </w:r>
    </w:p>
    <w:p w:rsidR="00000000" w:rsidRDefault="00000000"/>
    <w:p w:rsidR="00000000" w:rsidRDefault="00000000">
      <w:r>
        <w:t>610.</w:t>
      </w:r>
      <w:r>
        <w:tab/>
        <w:t xml:space="preserve">В настоящее время ведется работа, связанная с принятием Национальной программы в области гигиены труда (ХЕСМЕ).  </w:t>
      </w:r>
    </w:p>
    <w:p w:rsidR="00000000" w:rsidRDefault="00000000"/>
    <w:p w:rsidR="00000000" w:rsidRDefault="00000000">
      <w:r>
        <w:t>611.</w:t>
      </w:r>
      <w:r>
        <w:tab/>
        <w:t>Подготовлен проект стратегии, основанной на относящихся к данной области международных документах и рекомендациях, принятых, в частности, ЕС, Всемирной организацией здравоохранения, Международной организацией труда, таких, как:</w:t>
      </w:r>
    </w:p>
    <w:p w:rsidR="00000000" w:rsidRDefault="00000000"/>
    <w:p w:rsidR="00000000" w:rsidRDefault="00000000">
      <w:pPr>
        <w:numPr>
          <w:ilvl w:val="0"/>
          <w:numId w:val="83"/>
        </w:numPr>
      </w:pPr>
      <w:r>
        <w:t>Стратегия ВОЗ "Здоровье для всех в ХХI веке";</w:t>
      </w:r>
    </w:p>
    <w:p w:rsidR="00000000" w:rsidRDefault="00000000">
      <w:pPr>
        <w:tabs>
          <w:tab w:val="clear" w:pos="1134"/>
        </w:tabs>
      </w:pPr>
    </w:p>
    <w:p w:rsidR="00000000" w:rsidRDefault="00000000">
      <w:pPr>
        <w:numPr>
          <w:ilvl w:val="0"/>
          <w:numId w:val="83"/>
        </w:numPr>
      </w:pPr>
      <w:r>
        <w:t>политика ЕС в области здравоохранения и важная Директива 391/89 ЕС;</w:t>
      </w:r>
    </w:p>
    <w:p w:rsidR="00000000" w:rsidRDefault="00000000">
      <w:pPr>
        <w:tabs>
          <w:tab w:val="clear" w:pos="1134"/>
        </w:tabs>
      </w:pPr>
    </w:p>
    <w:p w:rsidR="00000000" w:rsidRDefault="00000000">
      <w:pPr>
        <w:numPr>
          <w:ilvl w:val="0"/>
          <w:numId w:val="83"/>
        </w:numPr>
      </w:pPr>
      <w:r>
        <w:t xml:space="preserve">Программа ЕС в области общественного здравоохранения на 2001-2006 годы; </w:t>
      </w:r>
    </w:p>
    <w:p w:rsidR="00000000" w:rsidRDefault="00000000">
      <w:pPr>
        <w:tabs>
          <w:tab w:val="clear" w:pos="1134"/>
        </w:tabs>
      </w:pPr>
    </w:p>
    <w:p w:rsidR="00000000" w:rsidRDefault="00000000">
      <w:pPr>
        <w:numPr>
          <w:ilvl w:val="0"/>
          <w:numId w:val="83"/>
        </w:numPr>
      </w:pPr>
      <w:r>
        <w:t>принятая ЕС Программа действий Сообщества в области общественного здравоохранения (2003-2008 годы);</w:t>
      </w:r>
    </w:p>
    <w:p w:rsidR="00000000" w:rsidRDefault="00000000">
      <w:pPr>
        <w:tabs>
          <w:tab w:val="clear" w:pos="1134"/>
        </w:tabs>
      </w:pPr>
    </w:p>
    <w:p w:rsidR="00000000" w:rsidRDefault="00000000">
      <w:pPr>
        <w:numPr>
          <w:ilvl w:val="0"/>
          <w:numId w:val="83"/>
        </w:numPr>
      </w:pPr>
      <w:r>
        <w:t>Программа Международной организации труда по соблюдению производственной техники безопасности, включая конвенции № 164, 161 и 171;</w:t>
      </w:r>
    </w:p>
    <w:p w:rsidR="00000000" w:rsidRDefault="00000000">
      <w:pPr>
        <w:tabs>
          <w:tab w:val="clear" w:pos="1134"/>
        </w:tabs>
      </w:pPr>
    </w:p>
    <w:p w:rsidR="00000000" w:rsidRDefault="00000000">
      <w:pPr>
        <w:numPr>
          <w:ilvl w:val="0"/>
          <w:numId w:val="83"/>
        </w:numPr>
      </w:pPr>
      <w:r>
        <w:t>принятая Программой Организации Объединенных Наций по окружающей среде Стратегия экологически более чистого производства;</w:t>
      </w:r>
    </w:p>
    <w:p w:rsidR="00000000" w:rsidRDefault="00000000">
      <w:pPr>
        <w:tabs>
          <w:tab w:val="clear" w:pos="1134"/>
        </w:tabs>
      </w:pPr>
    </w:p>
    <w:p w:rsidR="00000000" w:rsidRDefault="00000000">
      <w:pPr>
        <w:numPr>
          <w:ilvl w:val="0"/>
          <w:numId w:val="83"/>
        </w:numPr>
      </w:pPr>
      <w:r>
        <w:t>Декларация тысячелетия Организации Объединенных Наций и сформулированные в ней цели в области развития (бывшая югославская Республика Македония должна выполнить цели 4, 5 и 6 в секторе здравоохранения к 2015 году);</w:t>
      </w:r>
    </w:p>
    <w:p w:rsidR="00000000" w:rsidRDefault="00000000">
      <w:pPr>
        <w:tabs>
          <w:tab w:val="clear" w:pos="1134"/>
        </w:tabs>
      </w:pPr>
    </w:p>
    <w:p w:rsidR="00000000" w:rsidRDefault="00000000">
      <w:pPr>
        <w:numPr>
          <w:ilvl w:val="0"/>
          <w:numId w:val="83"/>
        </w:numPr>
      </w:pPr>
      <w:r>
        <w:t>План действий и Политическая декларация Всемирной встречи на высшем уровне по устойчивому развитию (2002 год).</w:t>
      </w:r>
    </w:p>
    <w:p w:rsidR="00000000" w:rsidRDefault="00000000">
      <w:pPr>
        <w:tabs>
          <w:tab w:val="clear" w:pos="1134"/>
        </w:tabs>
      </w:pPr>
    </w:p>
    <w:p w:rsidR="00000000" w:rsidRDefault="00000000">
      <w:r>
        <w:t>612.</w:t>
      </w:r>
      <w:r>
        <w:tab/>
        <w:t xml:space="preserve">Основные принципы указанной стратегии, содержащиеся в вышеупомянутых документах, касаются следующего:  </w:t>
      </w:r>
    </w:p>
    <w:p w:rsidR="00000000" w:rsidRDefault="00000000"/>
    <w:p w:rsidR="00000000" w:rsidRDefault="00000000">
      <w:r>
        <w:tab/>
        <w:t>-</w:t>
      </w:r>
      <w:r>
        <w:tab/>
        <w:t>первичной профилактики и безопасной технологии;</w:t>
      </w:r>
    </w:p>
    <w:p w:rsidR="00000000" w:rsidRDefault="00000000"/>
    <w:p w:rsidR="00000000" w:rsidRDefault="00000000">
      <w:r>
        <w:tab/>
        <w:t>-</w:t>
      </w:r>
      <w:r>
        <w:tab/>
        <w:t>обновления и упорядочения законодательства и стандартов в данной области;</w:t>
      </w:r>
    </w:p>
    <w:p w:rsidR="00000000" w:rsidRDefault="00000000"/>
    <w:p w:rsidR="00000000" w:rsidRDefault="00000000">
      <w:r>
        <w:tab/>
        <w:t>-</w:t>
      </w:r>
      <w:r>
        <w:tab/>
        <w:t>оптимизации условий труда;</w:t>
      </w:r>
    </w:p>
    <w:p w:rsidR="00000000" w:rsidRDefault="00000000"/>
    <w:p w:rsidR="00000000" w:rsidRDefault="00000000">
      <w:r>
        <w:tab/>
        <w:t>-</w:t>
      </w:r>
      <w:r>
        <w:tab/>
        <w:t>интеграции всех мер и видов деятельности;</w:t>
      </w:r>
    </w:p>
    <w:p w:rsidR="00000000" w:rsidRDefault="00000000"/>
    <w:p w:rsidR="00000000" w:rsidRDefault="00000000">
      <w:r>
        <w:tab/>
        <w:t>-</w:t>
      </w:r>
      <w:r>
        <w:tab/>
        <w:t>трехстороннего принципа (правительство, работодатели, работники);</w:t>
      </w:r>
    </w:p>
    <w:p w:rsidR="00000000" w:rsidRDefault="00000000"/>
    <w:p w:rsidR="00000000" w:rsidRDefault="00000000">
      <w:r>
        <w:tab/>
        <w:t>-</w:t>
      </w:r>
      <w:r>
        <w:tab/>
        <w:t>взаимодействия работодателей и работников;</w:t>
      </w:r>
    </w:p>
    <w:p w:rsidR="00000000" w:rsidRDefault="00000000"/>
    <w:p w:rsidR="00000000" w:rsidRDefault="00000000">
      <w:pPr>
        <w:ind w:left="1134" w:hanging="1134"/>
      </w:pPr>
      <w:r>
        <w:tab/>
        <w:t>-</w:t>
      </w:r>
      <w:r>
        <w:tab/>
        <w:t>права работников корректировать информацию и участвовать в принятии решений в области безопасности и гигиены труды;</w:t>
      </w:r>
    </w:p>
    <w:p w:rsidR="00000000" w:rsidRDefault="00000000">
      <w:pPr>
        <w:ind w:left="567" w:hanging="567"/>
      </w:pPr>
    </w:p>
    <w:p w:rsidR="00000000" w:rsidRDefault="00000000">
      <w:pPr>
        <w:ind w:left="1134" w:hanging="1134"/>
      </w:pPr>
      <w:r>
        <w:tab/>
        <w:t>-</w:t>
      </w:r>
      <w:r>
        <w:tab/>
        <w:t>непрерывного мониторинга и совершенствования системы обеспечения безопасности и охраны труда на основе развития информационных технологий в данной области.</w:t>
      </w:r>
    </w:p>
    <w:p w:rsidR="00000000" w:rsidRDefault="00000000">
      <w:pPr>
        <w:ind w:left="567" w:hanging="567"/>
      </w:pPr>
    </w:p>
    <w:p w:rsidR="00000000" w:rsidRDefault="00000000">
      <w:r>
        <w:t>613.</w:t>
      </w:r>
      <w:r>
        <w:tab/>
        <w:t>Вышеуказанные принципы основаны на концепции передовой практики в области управления здоровьем, окружающей средой и техникой безопасности на предприятиях (ХЕСМЕ) Всемирной организации здравоохранения.</w:t>
      </w:r>
    </w:p>
    <w:p w:rsidR="00000000" w:rsidRDefault="00000000"/>
    <w:p w:rsidR="00000000" w:rsidRDefault="00000000">
      <w:r>
        <w:t>614.</w:t>
      </w:r>
      <w:r>
        <w:tab/>
        <w:t xml:space="preserve">В стратегии изложены руководящие принципы для осуществляемых в стране действий, которые должны выполняться в соответствии с национальным законодательством с учетом средств и возможностей страны, а также деятельности по линии регионального и международного сотрудничества в данной области.  Закрепляя стратегические руководящие принципы проводимых в стране мероприятий, данная стратегия способствует логическому установлению приоритетов в соответствии с потребностями ее осуществления.  </w:t>
      </w:r>
    </w:p>
    <w:p w:rsidR="00000000" w:rsidRDefault="00000000"/>
    <w:p w:rsidR="00000000" w:rsidRDefault="00000000">
      <w:r>
        <w:t>615.</w:t>
      </w:r>
      <w:r>
        <w:tab/>
        <w:t>Стратегия является документом, являющимся отправной точкой для процесса изменений.  Поэтому необходимо постоянно пересматривать данную стратегию, корректируя с учетом потребностей.  Ввиду этого будет проводиться мониторинг, контроль и оценка данного документа.</w:t>
      </w:r>
    </w:p>
    <w:p w:rsidR="00000000" w:rsidRDefault="00000000"/>
    <w:p w:rsidR="00000000" w:rsidRDefault="00000000">
      <w:r>
        <w:t>616.</w:t>
      </w:r>
      <w:r>
        <w:tab/>
        <w:t>Цели, обязательства и подход:  Стратегия призвана обеспечить национальные стратегические рамки для применения национальных мер в области охраны здоровья, гигиены окружающей среды и гигиены труда и безопасности на рабочем месте, а также достижения следующих стратегических целей:</w:t>
      </w:r>
    </w:p>
    <w:p w:rsidR="00000000" w:rsidRDefault="00000000"/>
    <w:p w:rsidR="00000000" w:rsidRDefault="00000000">
      <w:r>
        <w:tab/>
        <w:t>-</w:t>
      </w:r>
      <w:r>
        <w:tab/>
        <w:t>обеспечение безопасности и гигиены на рабочих местах;</w:t>
      </w:r>
    </w:p>
    <w:p w:rsidR="00000000" w:rsidRDefault="00000000"/>
    <w:p w:rsidR="00000000" w:rsidRDefault="00000000">
      <w:pPr>
        <w:ind w:left="1134" w:hanging="1134"/>
      </w:pPr>
      <w:r>
        <w:tab/>
        <w:t>-</w:t>
      </w:r>
      <w:r>
        <w:tab/>
        <w:t>сокращение числа заболеваний и травм работников, вызываемых или обусловленных условиями труда, окружающей средой, образом жизни и социальными факторами;</w:t>
      </w:r>
    </w:p>
    <w:p w:rsidR="00000000" w:rsidRDefault="00000000">
      <w:pPr>
        <w:ind w:left="567" w:hanging="567"/>
      </w:pPr>
    </w:p>
    <w:p w:rsidR="00000000" w:rsidRDefault="00000000">
      <w:pPr>
        <w:ind w:left="1134" w:hanging="1134"/>
      </w:pPr>
      <w:r>
        <w:tab/>
        <w:t>-</w:t>
      </w:r>
      <w:r>
        <w:tab/>
        <w:t>сохранение и укрепление здоровья работников (физического, психического и социального);</w:t>
      </w:r>
    </w:p>
    <w:p w:rsidR="00000000" w:rsidRDefault="00000000">
      <w:pPr>
        <w:ind w:left="567" w:hanging="567"/>
      </w:pPr>
    </w:p>
    <w:p w:rsidR="00000000" w:rsidRDefault="00000000">
      <w:pPr>
        <w:ind w:left="567" w:hanging="567"/>
      </w:pPr>
      <w:r>
        <w:tab/>
        <w:t>-</w:t>
      </w:r>
      <w:r>
        <w:tab/>
        <w:t>развитие и сохранение трудоспособности;</w:t>
      </w:r>
    </w:p>
    <w:p w:rsidR="00000000" w:rsidRDefault="00000000">
      <w:pPr>
        <w:ind w:left="567" w:hanging="567"/>
      </w:pPr>
    </w:p>
    <w:p w:rsidR="00000000" w:rsidRDefault="00000000">
      <w:pPr>
        <w:ind w:left="1134" w:hanging="1134"/>
      </w:pPr>
      <w:r>
        <w:tab/>
        <w:t>-</w:t>
      </w:r>
      <w:r>
        <w:tab/>
        <w:t>охрана окружающей среды и здоровья людей, проживающих вблизи производственных комплексов;</w:t>
      </w:r>
    </w:p>
    <w:p w:rsidR="00000000" w:rsidRDefault="00000000">
      <w:pPr>
        <w:ind w:left="567" w:hanging="567"/>
      </w:pPr>
    </w:p>
    <w:p w:rsidR="00000000" w:rsidRDefault="00000000">
      <w:pPr>
        <w:ind w:left="1134" w:hanging="1134"/>
      </w:pPr>
      <w:r>
        <w:tab/>
        <w:t>-</w:t>
      </w:r>
      <w:r>
        <w:tab/>
        <w:t>обеспечение оптимального соотношения между экономическими и предпринимательскими интересами, с одной стороны, и трудоспособностью и здоровьем работников, с другой стороны;</w:t>
      </w:r>
    </w:p>
    <w:p w:rsidR="00000000" w:rsidRDefault="00000000">
      <w:pPr>
        <w:ind w:left="567" w:hanging="567"/>
      </w:pPr>
    </w:p>
    <w:p w:rsidR="00000000" w:rsidRDefault="00000000">
      <w:pPr>
        <w:ind w:left="1134" w:hanging="1134"/>
      </w:pPr>
      <w:r>
        <w:tab/>
        <w:t>-</w:t>
      </w:r>
      <w:r>
        <w:tab/>
        <w:t>предоставление услуг и изготовление продукции, не причиняющих ущерба здоровью людей и окружающей среде.</w:t>
      </w:r>
    </w:p>
    <w:p w:rsidR="00000000" w:rsidRDefault="00000000"/>
    <w:p w:rsidR="00000000" w:rsidRDefault="00000000">
      <w:pPr>
        <w:rPr>
          <w:b/>
          <w:bCs/>
        </w:rPr>
      </w:pPr>
      <w:r>
        <w:rPr>
          <w:b/>
          <w:bCs/>
        </w:rPr>
        <w:t>Профилактика и лечение эпидемических, эндемических, профессиональных и других болезней и борьба с ними</w:t>
      </w:r>
    </w:p>
    <w:p w:rsidR="00000000" w:rsidRDefault="00000000">
      <w:pPr>
        <w:rPr>
          <w:b/>
          <w:bCs/>
        </w:rPr>
      </w:pPr>
    </w:p>
    <w:p w:rsidR="00000000" w:rsidRDefault="00000000">
      <w:r>
        <w:t>617.</w:t>
      </w:r>
      <w:r>
        <w:tab/>
        <w:t>В целях профилактики и лечения эпидемических, эндемических, профессиональных и других болезней и борьбы с ними в стране были приняты законодательные документы и иные меры (список соответствующих документов прилагается).</w:t>
      </w:r>
    </w:p>
    <w:p w:rsidR="00000000" w:rsidRDefault="00000000"/>
    <w:p w:rsidR="00000000" w:rsidRDefault="00000000">
      <w:r>
        <w:t>618.</w:t>
      </w:r>
      <w:r>
        <w:tab/>
        <w:t>Государство располагает необходимым административным потенциалом, включая людские и материальные ресурсы, высококвалифицированный медицинский персонал и других специалистов, а также лабораторное оборудование для выполнения условий, предусмотренных нормативами ЕС, используя при этом развитую сеть эпидемиологического мониторинга и борьбы с инфекционными болезнями.</w:t>
      </w:r>
    </w:p>
    <w:p w:rsidR="00000000" w:rsidRDefault="00000000"/>
    <w:p w:rsidR="00000000" w:rsidRDefault="00000000">
      <w:r>
        <w:t>619.</w:t>
      </w:r>
      <w:r>
        <w:tab/>
        <w:t>Эпидемиологический мониторинг и борьба с инфекционными болезнями включают в себя следующие виды деятельности:  ранняя диагностика инфекционных болезней;  регистрация;  эпидемиологические исследования;  мониторинг состояния здоровья, изоляция и транспортировка больных, а также установление карантина;  иммунопрофилактика и химиопрофилактика;  дезинфекция, дезинсекция, санитарно-эпидемиологические инспекции;  мероприятия по уничтожению членистоногих, являющихся переносчиками возбудителей инфекционных болезней, и санитарно-медицинское просвещение.</w:t>
      </w:r>
    </w:p>
    <w:p w:rsidR="00000000" w:rsidRDefault="00000000"/>
    <w:p w:rsidR="00000000" w:rsidRDefault="00000000">
      <w:r>
        <w:t>620.</w:t>
      </w:r>
      <w:r>
        <w:tab/>
        <w:t>В соответствии с применяемым законодательством врачи системы первичной и вторичной медицинской помощи обязаны незамедлительно сообщать о случаях инфекционных болезней, включенных в Перечень болезней, подлежащих обязательной регистрации.</w:t>
      </w:r>
    </w:p>
    <w:p w:rsidR="00000000" w:rsidRDefault="00000000"/>
    <w:p w:rsidR="00000000" w:rsidRDefault="00000000">
      <w:r>
        <w:t>621.</w:t>
      </w:r>
      <w:r>
        <w:tab/>
        <w:t>Эпидемиологические мероприятия в медицинских учреждениях и их региональных  подразделениях проводятся специалистами-эпидемиологами, прошедшими подготовку в области мониторинга инфекционных и неинфекционных болезней и прикладной эпидемиологии.</w:t>
      </w:r>
    </w:p>
    <w:p w:rsidR="00000000" w:rsidRDefault="00000000"/>
    <w:p w:rsidR="00000000" w:rsidRDefault="00000000">
      <w:r>
        <w:t>622.</w:t>
      </w:r>
      <w:r>
        <w:tab/>
        <w:t>Отчеты об инфекционных болезнях представляются в региональные подразделения институтов здравоохранения (21 региональное подразделение).  После их обработки и регистрации они поступают в соответствующий институт здравоохранения (10 учреждений).</w:t>
      </w:r>
    </w:p>
    <w:p w:rsidR="00000000" w:rsidRDefault="00000000"/>
    <w:p w:rsidR="00000000" w:rsidRDefault="00000000">
      <w:r>
        <w:t>623.</w:t>
      </w:r>
      <w:r>
        <w:tab/>
        <w:t>В этих 10 учреждениях проводится работа по регистрации, анализу и обработке данных, на основании которых осуществляется подготовка ежемесячных отчетов.</w:t>
      </w:r>
    </w:p>
    <w:p w:rsidR="00000000" w:rsidRDefault="00000000"/>
    <w:p w:rsidR="00000000" w:rsidRDefault="00000000">
      <w:r>
        <w:t>624.</w:t>
      </w:r>
      <w:r>
        <w:tab/>
        <w:t>Отчеты об инфекционных болезнях, в которых содержатся зарегистрированные данные об инфицированных лицах, представляются в Государственный институт здравоохранения для дальнейшего компьютерного анализа (в разбивке по полу, возрастным группам, месту проживания, диагнозу заболеваний, итогам болезней), после чего проводится составление еженедельных, ежемесячных и ежегодных отчетов.</w:t>
      </w:r>
    </w:p>
    <w:p w:rsidR="00000000" w:rsidRDefault="00000000"/>
    <w:p w:rsidR="00000000" w:rsidRDefault="00000000">
      <w:r>
        <w:t>625.</w:t>
      </w:r>
      <w:r>
        <w:tab/>
        <w:t>Государственный институт здравоохранения ежегодно занимается подготовкой проектов программ (для профилактической медицины, эпидемиологический раздел которых касается бруцелеза, СПИДа и иммунизации) и представляет их в министерство здравоохранения.</w:t>
      </w:r>
    </w:p>
    <w:p w:rsidR="00000000" w:rsidRDefault="00000000"/>
    <w:p w:rsidR="00000000" w:rsidRDefault="00000000">
      <w:r>
        <w:t>626.</w:t>
      </w:r>
      <w:r>
        <w:tab/>
        <w:t>Каждый случай инфекционного заболевания также подлежит обязательной регистрации.  Используются специальные бланки (отчета и уведомления о прекращении эпидемии инфекционной болезни), и оба документа в установленные сроки представляются в Государственный институт здравоохранения.  В обязательном порядке регистрируются случаи побочного действия вакцин и противомикробной резистентности.</w:t>
      </w:r>
    </w:p>
    <w:p w:rsidR="00000000" w:rsidRDefault="00000000"/>
    <w:p w:rsidR="00000000" w:rsidRDefault="00000000">
      <w:pPr>
        <w:jc w:val="center"/>
        <w:rPr>
          <w:b/>
          <w:bCs/>
        </w:rPr>
      </w:pPr>
      <w:r>
        <w:rPr>
          <w:b/>
          <w:bCs/>
        </w:rPr>
        <w:t>Региональные учреждения</w:t>
      </w:r>
    </w:p>
    <w:p w:rsidR="00000000" w:rsidRDefault="00000000">
      <w:pPr>
        <w:jc w:val="center"/>
        <w:rPr>
          <w:b/>
          <w:bCs/>
        </w:rPr>
      </w:pPr>
    </w:p>
    <w:bookmarkStart w:id="53" w:name="_MON_1211956233"/>
    <w:bookmarkStart w:id="54" w:name="_MON_1211956256"/>
    <w:bookmarkStart w:id="55" w:name="_MON_1211956838"/>
    <w:bookmarkStart w:id="56" w:name="_MON_1211956898"/>
    <w:bookmarkStart w:id="57" w:name="_MON_1211957065"/>
    <w:bookmarkStart w:id="58" w:name="_MON_1222154299"/>
    <w:bookmarkStart w:id="59" w:name="_MON_1222154772"/>
    <w:bookmarkStart w:id="60" w:name="_MON_1222155524"/>
    <w:bookmarkEnd w:id="53"/>
    <w:bookmarkEnd w:id="54"/>
    <w:bookmarkEnd w:id="55"/>
    <w:bookmarkEnd w:id="56"/>
    <w:bookmarkEnd w:id="57"/>
    <w:bookmarkEnd w:id="58"/>
    <w:bookmarkEnd w:id="59"/>
    <w:bookmarkEnd w:id="60"/>
    <w:p w:rsidR="00000000" w:rsidRDefault="00000000">
      <w:r>
        <w:rPr>
          <w:b/>
          <w:caps/>
        </w:rPr>
        <w:object w:dxaOrig="9345" w:dyaOrig="6631">
          <v:shape id="_x0000_i1041" type="#_x0000_t75" alt="" style="width:467.25pt;height:331.5pt" o:ole="" fillcolor="window">
            <v:imagedata r:id="rId41" o:title=""/>
          </v:shape>
          <o:OLEObject Type="Embed" ProgID="Word.Picture.8" ShapeID="_x0000_i1041" DrawAspect="Content" ObjectID="_1395883184" r:id="rId42"/>
        </w:object>
      </w:r>
    </w:p>
    <w:p w:rsidR="00000000" w:rsidRDefault="00000000"/>
    <w:p w:rsidR="00000000" w:rsidRDefault="00000000">
      <w:r>
        <w:t>627.</w:t>
      </w:r>
      <w:r>
        <w:tab/>
        <w:t>В стране установлены правовые основы для регулирования системы раннего оповещения и реагирования.  В 2004 году министерство здравоохранения при техническом содействии Европейского регионального бюро ВОЗ в Копенгагене учредило систему раннего оповещения и реагирования и провело подготовку 200 медицинских специалистов.</w:t>
      </w:r>
    </w:p>
    <w:p w:rsidR="00000000" w:rsidRDefault="00000000"/>
    <w:p w:rsidR="00000000" w:rsidRDefault="00000000">
      <w:r>
        <w:t>628.</w:t>
      </w:r>
      <w:r>
        <w:tab/>
        <w:t>В целях успешного мониторинга острых инфекционных болезней, их оперативной регистрации и быстрого реагирования был подготовлен перечень клинических определений различных состояний здоровья, подлежащих регистрации, в рамках системы уведомления.  К их числу относятся:</w:t>
      </w:r>
    </w:p>
    <w:p w:rsidR="00000000" w:rsidRDefault="00000000"/>
    <w:p w:rsidR="00000000" w:rsidRDefault="00000000">
      <w:r>
        <w:tab/>
        <w:t>-</w:t>
      </w:r>
      <w:r>
        <w:tab/>
        <w:t>подозрения на наличие инфекции верхней части дыхательной системы;</w:t>
      </w:r>
    </w:p>
    <w:p w:rsidR="00000000" w:rsidRDefault="00000000"/>
    <w:p w:rsidR="00000000" w:rsidRDefault="00000000">
      <w:r>
        <w:tab/>
        <w:t>-</w:t>
      </w:r>
      <w:r>
        <w:tab/>
        <w:t>подозрения на наличие инфекции нижней части дыхательной системы;</w:t>
      </w:r>
    </w:p>
    <w:p w:rsidR="00000000" w:rsidRDefault="00000000"/>
    <w:p w:rsidR="00000000" w:rsidRDefault="00000000">
      <w:r>
        <w:tab/>
        <w:t>-</w:t>
      </w:r>
      <w:r>
        <w:tab/>
        <w:t>подозрения на наличие высыпаний при лихорадке, исключая ветряную оспу;</w:t>
      </w:r>
    </w:p>
    <w:p w:rsidR="00000000" w:rsidRDefault="00000000"/>
    <w:p w:rsidR="00000000" w:rsidRDefault="00000000">
      <w:r>
        <w:tab/>
        <w:t>-</w:t>
      </w:r>
      <w:r>
        <w:tab/>
        <w:t>подозрение на наличие менингоэнцефалита;</w:t>
      </w:r>
    </w:p>
    <w:p w:rsidR="00000000" w:rsidRDefault="00000000"/>
    <w:p w:rsidR="00000000" w:rsidRDefault="00000000">
      <w:r>
        <w:tab/>
        <w:t>-</w:t>
      </w:r>
      <w:r>
        <w:tab/>
        <w:t>острая слизистая диарея;</w:t>
      </w:r>
    </w:p>
    <w:p w:rsidR="00000000" w:rsidRDefault="00000000"/>
    <w:p w:rsidR="00000000" w:rsidRDefault="00000000">
      <w:r>
        <w:tab/>
        <w:t>-</w:t>
      </w:r>
      <w:r>
        <w:tab/>
        <w:t>острая кровавая диарея;</w:t>
      </w:r>
    </w:p>
    <w:p w:rsidR="00000000" w:rsidRDefault="00000000"/>
    <w:p w:rsidR="00000000" w:rsidRDefault="00000000">
      <w:r>
        <w:tab/>
        <w:t>-</w:t>
      </w:r>
      <w:r>
        <w:tab/>
        <w:t>подозрения на наличие острого инфекционного гепатита;</w:t>
      </w:r>
    </w:p>
    <w:p w:rsidR="00000000" w:rsidRDefault="00000000"/>
    <w:p w:rsidR="00000000" w:rsidRDefault="00000000">
      <w:pPr>
        <w:ind w:left="1134" w:hanging="1134"/>
      </w:pPr>
      <w:r>
        <w:tab/>
        <w:t>-</w:t>
      </w:r>
      <w:r>
        <w:tab/>
        <w:t>подозрения на наличие различных проявлений острой геморрагической лихорадки.</w:t>
      </w:r>
    </w:p>
    <w:p w:rsidR="00000000" w:rsidRDefault="00000000">
      <w:pPr>
        <w:ind w:left="1134" w:hanging="1134"/>
      </w:pPr>
    </w:p>
    <w:p w:rsidR="00000000" w:rsidRDefault="00000000">
      <w:r>
        <w:t>629.</w:t>
      </w:r>
      <w:r>
        <w:tab/>
        <w:t>Полученные данные проходят обработку, анализ и оценку с целью подготовки еженедельных отчетов для представления в министерство здравоохранения и в медицинские учреждения, занимающиеся данным проектом.</w:t>
      </w:r>
    </w:p>
    <w:p w:rsidR="00000000" w:rsidRDefault="00000000"/>
    <w:p w:rsidR="00000000" w:rsidRDefault="00000000">
      <w:r>
        <w:t>630.</w:t>
      </w:r>
      <w:r>
        <w:tab/>
        <w:t>Данные по эпидемическим, эндемическим, профессиональным и другим болезням прилагаются.</w:t>
      </w:r>
    </w:p>
    <w:p w:rsidR="00000000" w:rsidRDefault="00000000"/>
    <w:p w:rsidR="00000000" w:rsidRDefault="00000000">
      <w:pPr>
        <w:rPr>
          <w:b/>
          <w:bCs/>
        </w:rPr>
      </w:pPr>
      <w:r>
        <w:rPr>
          <w:b/>
          <w:bCs/>
        </w:rPr>
        <w:t xml:space="preserve">Создание условий для предоставления в случае заболевания медицинского ухода и помощи всем нуждающимся лицам </w:t>
      </w:r>
    </w:p>
    <w:p w:rsidR="00000000" w:rsidRDefault="00000000">
      <w:pPr>
        <w:rPr>
          <w:b/>
          <w:bCs/>
        </w:rPr>
      </w:pPr>
    </w:p>
    <w:p w:rsidR="00000000" w:rsidRDefault="00000000">
      <w:pPr>
        <w:tabs>
          <w:tab w:val="left" w:pos="7083"/>
          <w:tab w:val="left" w:pos="7293"/>
        </w:tabs>
      </w:pPr>
      <w:r>
        <w:t>631.</w:t>
      </w:r>
      <w:r>
        <w:tab/>
        <w:t>Система охраны здоровья граждан страны предусмотрена в Конституции, а в принятом в августе 1991 года Законе о здравоохранении заложены основы действующей в Македонии системы здравоохранения.  В нем закреплены основы системы медицинского страхования, права и обязанности бенефициаров, права и обязанности поставщиков услуг, организационная структура здравоохранения и порядок использования фондов медицинской помощи.  Кроме того, Закон определяет области ответственности отдельных лиц, работодателей и государства в отношении здоровья и медицинской помощи.  Каждый человек обязан следить за состоянием своего здоровья, в то время как компании несут ответственность за обеспечение здоровых условий труда, включая оказание конкретной медицинской помощи работникам за счет работодателя, при этом государство отвечает за предоставление профилактической медицинской помощи населению и обеспечение доступности медицинских услуг.  В Конституции четко определен принцип всеобщей доступности медицинской помощи.  В упомянутом законе, а также в одном из более поздних законов (2000 год) установлен принцип обязательного медицинского страхования, которое позволяет охватить все население страны.</w:t>
      </w:r>
    </w:p>
    <w:p w:rsidR="00000000" w:rsidRDefault="00000000">
      <w:pPr>
        <w:tabs>
          <w:tab w:val="left" w:pos="7083"/>
          <w:tab w:val="left" w:pos="7293"/>
        </w:tabs>
      </w:pPr>
    </w:p>
    <w:p w:rsidR="00000000" w:rsidRDefault="00000000">
      <w:pPr>
        <w:tabs>
          <w:tab w:val="left" w:pos="7083"/>
          <w:tab w:val="left" w:pos="7293"/>
        </w:tabs>
      </w:pPr>
      <w:r>
        <w:t>632.</w:t>
      </w:r>
      <w:r>
        <w:tab/>
        <w:t>Право на охрану здоровья осуществляется в рамках существующей системы здравоохранения государственными и частными медицинскими учреждениями.  Медицинская помощь является широко доступной для населения, поскольку она предоставляется разветвленной сетью медицинских учреждений, обеспечивающих 90</w:t>
      </w:r>
      <w:r>
        <w:noBreakHyphen/>
        <w:t>процентный охват населения предоставлением медицинской помощи в течение менее чем 30 минут.  В 2002 году в государственном секторе было занято 24 428 работников, в том числе 4 573 врача.  В частном секторе было занято 487 врачей, что позволило обеспечить такой уровень охвата, при котором на 399 жителей приходился один врач, или 2,5 врача на 1 000 жителей.</w:t>
      </w:r>
    </w:p>
    <w:p w:rsidR="00000000" w:rsidRDefault="00000000">
      <w:pPr>
        <w:tabs>
          <w:tab w:val="left" w:pos="7083"/>
          <w:tab w:val="left" w:pos="7293"/>
        </w:tabs>
      </w:pPr>
    </w:p>
    <w:p w:rsidR="00000000" w:rsidRDefault="00000000">
      <w:pPr>
        <w:tabs>
          <w:tab w:val="left" w:pos="7083"/>
          <w:tab w:val="left" w:pos="7293"/>
        </w:tabs>
      </w:pPr>
      <w:r>
        <w:t>633.</w:t>
      </w:r>
      <w:r>
        <w:tab/>
        <w:t>Медицинская помощь организована на трех уровнях:  первичная, вторичная и третичная медицинская помощь, предоставляемая в 77 учреждениях государственного сектора, или в так называемых государственных медицинских учреждениях, в состав которых входят 11 институтов здравоохранения, 3 медицинские клиники, 18 центров здравоохранения, оказывающих преимущественно первичную медицинскую помощь и сосредоточенных прежде всего в небольших городах, 16 медицинских центров, предоставляющих первичную и вторичную медицинскую помощь, 15 специализированных больниц, одна больница общего профиля, шесть аптек, являющихся независимыми юридическими лицами, и Клинический центр (университетская больница), имеющий 22 специализированные клиники и ряд других центров для оказания третичной медицинской помощи в области общего медицинского и стоматологического обслуживания.  С организационной точки зрения медицинские центры включают в себя стационары и поликлиники, а также пункты первичной медицинской помощи.  Медицинские клиники предоставляют первичную помощь и частичную поликлиническую вторичную медицинскую помощь, например, в рамках услуг по профилю офтальмологии, лечения внутренних болезней и отоларингологии, а также других услуг.</w:t>
      </w:r>
    </w:p>
    <w:p w:rsidR="00000000" w:rsidRDefault="00000000">
      <w:pPr>
        <w:tabs>
          <w:tab w:val="left" w:pos="7083"/>
          <w:tab w:val="left" w:pos="7293"/>
        </w:tabs>
      </w:pPr>
    </w:p>
    <w:p w:rsidR="00000000" w:rsidRDefault="00000000">
      <w:r>
        <w:t>634.</w:t>
      </w:r>
      <w:r>
        <w:tab/>
        <w:t>Первичная медико-санитарная помощь составляет основу всей системы здравоохранения и обеспечивает фундамент для медицинского обслуживания на уровне муниципалитетов.  Оказание первичной медико-санитарной помощи производится в трех станциях медицинской помощи, 18 медицинских клиниках и 16 медицинских центрах, некоторые из которых являются клиниками (после принятия поправок к Закону о здравоохранении медицинские центры в качестве организационных подразделений были упразднены, и медицинские клиники стали автономными организационными подразделениями для оказания первичной медико-санитарной помощи), при этом имеется 462 учреждения общего медицинского профиля, 77 учреждений производственной медицины, 84 медицинских учреждения, обслуживающих детей в возрасте до 6 лет;  63 учреждения медицинского обслуживания детей школьного возраста, 50 учреждений по охране здоровья женщин, 334 - для оказания стоматологической помощи;  первичная медико-санитарная помощь в сельских районах предоставляется на базе 293 медицинских пунктов, 152 из которых имеют постоянно работающих врачей.  Более половины из общего числа врачей заняты в системе первичной медико-санитарной помощи (приблизительно 56%), а одну четверть составляют врачи специализированной помощи.</w:t>
      </w:r>
    </w:p>
    <w:p w:rsidR="00000000" w:rsidRDefault="00000000"/>
    <w:p w:rsidR="00000000" w:rsidRDefault="00000000">
      <w:r>
        <w:t>635.</w:t>
      </w:r>
      <w:r>
        <w:tab/>
        <w:t>В процессе предоставления медицинской помощи также участвуют частные медицинские учреждения.  Наиболее распространенными из них являются врачебные кабинеты первичной медицинской помощи или кабинеты специализированной медицинской помощи.  Имеется небольшое число частных больниц, предоставляющих вторичную медицинскую помощь.</w:t>
      </w:r>
    </w:p>
    <w:p w:rsidR="00000000" w:rsidRDefault="00000000"/>
    <w:p w:rsidR="00000000" w:rsidRDefault="00000000">
      <w:r>
        <w:t>636.</w:t>
      </w:r>
      <w:r>
        <w:tab/>
        <w:t>Учитывая небольшие размеры страны, медицинская помощь в целом является доступной для населения, за исключением некоторых горных районов, где из-за плохих дорог и удаленности существующих клиник возникает особая необходимость в обеспечении доступности первичной медико-санитарной помощи для местного населения.</w:t>
      </w:r>
    </w:p>
    <w:p w:rsidR="00000000" w:rsidRDefault="00000000"/>
    <w:p w:rsidR="00000000" w:rsidRDefault="00000000">
      <w:r>
        <w:rPr>
          <w:b/>
          <w:bCs/>
        </w:rPr>
        <w:t>Финансирование системы здравоохранения</w:t>
      </w:r>
    </w:p>
    <w:p w:rsidR="00000000" w:rsidRDefault="00000000"/>
    <w:p w:rsidR="00000000" w:rsidRDefault="00000000">
      <w:r>
        <w:t>637.</w:t>
      </w:r>
      <w:r>
        <w:tab/>
        <w:t>Система здравоохранения в бывшей югославской Республике Македонии финансируется из нескольких источников.  Самым важным источником финансирования являются средства, поступающие от взносов в рамках обязательного медицинского страхования, которые обеспечивают более 90% всех предназначенных для здравоохранения средств, а также другие связанные с медицинским страхованием права.  В дополнение к этим средствам имеются другие виды поступлений:  участие в покрытии расходов застрахованными лицами, государственный бюджет, предприятия и организации, граждане, пользующиеся медицинскими услугами, дотации и другие источники.</w:t>
      </w:r>
    </w:p>
    <w:p w:rsidR="00000000" w:rsidRDefault="00000000"/>
    <w:p w:rsidR="00000000" w:rsidRDefault="00000000">
      <w:r>
        <w:t>638.</w:t>
      </w:r>
      <w:r>
        <w:tab/>
        <w:t>Медицинское страхование установлено в соответствии с Законом о медицинском страховании.  Обязательное медицинское страхование предусмотрено для всех граждан бывшей югославской Республики Македонии на основе принципов всеобщности, солидарности, равенства и эффективного использования средств.  Вопросами обязательного медицинского страхования занимается Фонд медицинского страхования бывшей югославской Республики Македонии.  Он является независимым и единственным финансовым учреждением для осуществления обязательного медицинского страхования.  Помимо обязательного медицинского страхования, Закон предусматривает добровольное медицинское страхование в связи с предоставлением услуг, не покрываемых за счет обязательного медицинского страхования.</w:t>
      </w:r>
    </w:p>
    <w:p w:rsidR="00000000" w:rsidRDefault="00000000"/>
    <w:p w:rsidR="00000000" w:rsidRDefault="00000000">
      <w:r>
        <w:t>639.</w:t>
      </w:r>
      <w:r>
        <w:tab/>
        <w:t>Обязательное медицинское страхование охватывает практически все население, либо в качестве застрахованных лиц, либо в качестве членов семей застрахованных лиц.  Оно охватывает работающих лиц, лиц, занимающихся индивидуальной трудовой деятельностью, лиц, занятых в сельскохозяйственном секторе, лиц, получающих пенсию, а также лиц, имеющих дополнительные права на получение пенсии и страховки по инвалидности, ветеранов, временно неработающих лиц, инвалидов из числа военнослужащих и гражданских лиц и лиц, получающих социальные пособия.</w:t>
      </w:r>
    </w:p>
    <w:p w:rsidR="00000000" w:rsidRDefault="00000000"/>
    <w:p w:rsidR="00000000" w:rsidRDefault="00000000">
      <w:r>
        <w:t>640.</w:t>
      </w:r>
      <w:r>
        <w:tab/>
        <w:t>Застрахованные лица, охваченные системой обязательного медицинского страхования, выплачивают взносы.  Ставки взносов устанавливаются в соответствии с Постановление о ставках, базе и сумме взноса на обязательное медицинское страхование ("Официальный вестник" бывшей югославской Республики Македонии № 4/2001, 50/2001).</w:t>
      </w:r>
    </w:p>
    <w:p w:rsidR="00000000" w:rsidRDefault="00000000"/>
    <w:p w:rsidR="00000000" w:rsidRDefault="00000000">
      <w:r>
        <w:t>641.</w:t>
      </w:r>
      <w:r>
        <w:tab/>
        <w:t>Ставка взносов по обязательному медицинскому страхованию устанавливается для каждой категории застрахованных лиц.  Застрахованные лица, работающие по найму, занимающиеся индивидуальной трудовой деятельностью или занятые в сельском хозяйстве, либо занимающиеся аналогичной профессиональной деятельностью, выплачивают взносы в размере 9,2% от заработной платы брутто, лица, получающие пенсии (14 694), - с чистой суммы пенсии, временно неработающие лица, ветераны, инвалиды из числа военнослужащих и гражданских лиц и лица, получающие социальные пособия, - в соответствии с положениями о социальной защите - выплачивают взносы в размере 8,6% от суммы, составляющей 65% средней чистой заработной платы, выплачиваемой на каждого работника.</w:t>
      </w:r>
    </w:p>
    <w:p w:rsidR="00000000" w:rsidRDefault="00000000"/>
    <w:p w:rsidR="00000000" w:rsidRDefault="00000000">
      <w:r>
        <w:t>642.</w:t>
      </w:r>
      <w:r>
        <w:tab/>
        <w:t>Застрахованные лица из первой группы выплачивают дополнительный взнос по обязательному медицинскому страхованию в случае производственной травмы или профессионального заболевания в размере 0,5% от заработной платы брутто и от суммы, выплачиваемой в качестве компенсации заработной платы.  Дополнительный взнос выплачивается из-за повышенных рисков, которые возникают в результате производственного травматизма или профессиональных заболеваний при работе с представляющими угрозу средствами труда, либо в условиях, причиняющих ущерб здоровью работников.</w:t>
      </w:r>
    </w:p>
    <w:p w:rsidR="00000000" w:rsidRDefault="00000000"/>
    <w:p w:rsidR="00000000" w:rsidRDefault="00000000">
      <w:r>
        <w:t>643.</w:t>
      </w:r>
      <w:r>
        <w:tab/>
        <w:t>Выплата взносов по обязательному медицинскому страхованию производится через платежные счета региональных служб на единый счет Фонда медицинского страхования.  В дополнение к этим средствам на счет Фонда перечисляются средства из государственного бюджета, которые обеспечивают часть средств, предусмотренных для проведения конкретных медицинских программ, а также процентные начисления и другие поступления, сбор которых осуществляется в соответствии со специальными положениями.</w:t>
      </w:r>
    </w:p>
    <w:p w:rsidR="00000000" w:rsidRDefault="00000000"/>
    <w:p w:rsidR="00000000" w:rsidRDefault="00000000">
      <w:r>
        <w:t>644.</w:t>
      </w:r>
      <w:r>
        <w:tab/>
        <w:t>Застрахованные лица обязаны участвовать в покрытии расходов на медицинское обслуживание и лекарственные средства.  Доля средств от участия в покрытии расходов составляет порядка 3-4% от общей суммы средств социального страхования.</w:t>
      </w:r>
    </w:p>
    <w:p w:rsidR="00000000" w:rsidRDefault="00000000"/>
    <w:p w:rsidR="00000000" w:rsidRDefault="00000000">
      <w:r>
        <w:t>645.</w:t>
      </w:r>
      <w:r>
        <w:tab/>
        <w:t>Из государственного бюджета выделяются средства на осуществление конкретных программ в области профилактической медицины, в целях защиты от конкретных болезней, представляющих собой социальную проблему, лечение лиц, не охваченных обязательным медицинским страхованием, и на цели медицинского страхования особых категорий населения.  Доля таких средств в общей смете расходов на здравоохранение составляет менее 1%.</w:t>
      </w:r>
    </w:p>
    <w:p w:rsidR="00000000" w:rsidRDefault="00000000"/>
    <w:p w:rsidR="00000000" w:rsidRDefault="00000000">
      <w:r>
        <w:t>646.</w:t>
      </w:r>
      <w:r>
        <w:tab/>
        <w:t>В объеме поступлений, собираемых на нужды медицинской помощи, также присутствуют средства, выплачиваемые предприятиями и другими организациями на основе контрактов, заключаемых с медицинскими учреждениями в целях предоставления своим работникам медицинских услуг, выходящих за рамки первичной медицинской помощи, медицинских услуг, предусмотренных условиями специальных механизмов охраны здоровья трудящихся, занятых на работах, сопряженных с особыми условиями, на трудоемких работах, либо связанных с выполнением служебных обязанностей, в отношении которых медицинские учреждения должны предоставлять медицинскую помощь на льготных условиях.</w:t>
      </w:r>
    </w:p>
    <w:p w:rsidR="00000000" w:rsidRDefault="00000000"/>
    <w:p w:rsidR="00000000" w:rsidRDefault="00000000">
      <w:r>
        <w:t>647.</w:t>
      </w:r>
      <w:r>
        <w:tab/>
        <w:t>Медицинские учреждения получают дополнительные поступления непосредственно от граждан, пользующихся медицинскими услугами, которые не покрываются медицинской страховкой, а также от лиц, имеющих медицинскую страховку, если они пользуются медицинскими услугами, которые не входят в основной набор медицинских услуг.</w:t>
      </w:r>
    </w:p>
    <w:p w:rsidR="00000000" w:rsidRDefault="00000000"/>
    <w:p w:rsidR="00000000" w:rsidRDefault="00000000">
      <w:r>
        <w:t>648.</w:t>
      </w:r>
      <w:r>
        <w:tab/>
        <w:t>Медицинские учреждения получают дополнительные поступления в виде международной помощи, пожертвований гуманитарных организаций, пожертвований и взносов от организаций и частных лиц, проживающих в стране и за рубежом.</w:t>
      </w:r>
    </w:p>
    <w:p w:rsidR="00000000" w:rsidRDefault="00000000"/>
    <w:p w:rsidR="00000000" w:rsidRDefault="00000000">
      <w:r>
        <w:t>649.</w:t>
      </w:r>
      <w:r>
        <w:tab/>
        <w:t>Закон о медицинском страховании предусматривает возможность использования добровольного медицинского страхования в отношении медицинских услуг, не входящих в основной набор услуг, покрываемых обязательным медицинским страхованием.  Таким страхованием занимаются другие страховые компании, созданные в соответствии с нормативными положениями о страховании, в порядке и на условиях, которые страховые компании устанавливают для предоставления добровольного страхования.  На практике этот вид страхования еще не получил широкого использования, очевидно из-за широкого набора медицинских услуг, покрываемых обязательным медицинским страхованием, а также из-за невысокого уровня жизни населения и все еще недостаточной заинтересованности застрахованных граждан или страховых компаний.</w:t>
      </w:r>
    </w:p>
    <w:p w:rsidR="00000000" w:rsidRDefault="00000000"/>
    <w:p w:rsidR="00000000" w:rsidRDefault="00000000">
      <w:r>
        <w:t>650.</w:t>
      </w:r>
      <w:r>
        <w:tab/>
        <w:t>Обязательное медицинское страхование обеспечивает застрахованному лицу базовую медицинскую помощь в рамках первичного, специализированного консультативного и стационарного обслуживания.</w:t>
      </w:r>
    </w:p>
    <w:p w:rsidR="00000000" w:rsidRDefault="00000000"/>
    <w:p w:rsidR="00000000" w:rsidRDefault="00000000">
      <w:r>
        <w:t>651.</w:t>
      </w:r>
      <w:r>
        <w:tab/>
        <w:t>В дополнение к основному набору медицинских услуг система обязательного медицинского страхования предоставляет финансовую компенсацию по заработной плате в период отсутствия на рабочем месте в результате болезни или травмы;  компенсацию заработной платы во время отпуска по беременности, родам и воспитанию ребенка, а также компенсацию понесенных транспортных расходов при обращении в медицинские службы.</w:t>
      </w:r>
    </w:p>
    <w:p w:rsidR="00000000" w:rsidRDefault="00000000"/>
    <w:p w:rsidR="00000000" w:rsidRDefault="00000000">
      <w:r>
        <w:t>652.</w:t>
      </w:r>
      <w:r>
        <w:tab/>
        <w:t>Компенсация заработной платы (в период болезни) предоставляется застрахованным наемным работникам и лицам, занимающимся индивидуальной трудовой деятельностью.  Помимо компенсации заработной платы, застрахованные лица и члены их семей имеют право на компенсацию ежедневных расходов (связанных с профессиональным сопровождением) лишь в случае направления на получение медицинской помощи в зарубежные медицинские учреждения, при этом им также предоставляется право на компенсацию транспортных расходов, если у них имеется направление для получения предоставляемых на амбулаторной основе услуг, связанных с диализом, а также восстановлением зрения, слуха и речи за пределами места их проживания.</w:t>
      </w:r>
    </w:p>
    <w:p w:rsidR="00000000" w:rsidRDefault="00000000"/>
    <w:p w:rsidR="00000000" w:rsidRDefault="00000000">
      <w:r>
        <w:t>653.</w:t>
      </w:r>
      <w:r>
        <w:tab/>
        <w:t>Медицинские услуги предоставляются в государственных и частных медицинских учреждениях.  В соответствии с Законом Фонд медицинского страхования перечисляет средства на основании контрактов о предоставлении медицинских услуг застрахованным лицам.  В контрактах определяется вид, объем и качество медицинских услуг, предоставляемых застрахованным лицам, предусмотренная к выплате компенсация за оговоренные услуги и порядок начисления и выплаты компенсации за медицинские услуги.  Обязанность заключать такие контракты распространяется и на частные медицинские учреждения.</w:t>
      </w:r>
    </w:p>
    <w:p w:rsidR="00000000" w:rsidRDefault="00000000"/>
    <w:p w:rsidR="00000000" w:rsidRDefault="00000000">
      <w:pPr>
        <w:jc w:val="center"/>
        <w:rPr>
          <w:b/>
          <w:bCs/>
        </w:rPr>
      </w:pPr>
      <w:r>
        <w:rPr>
          <w:b/>
          <w:bCs/>
        </w:rPr>
        <w:t>Статья 13 Пакта</w:t>
      </w:r>
    </w:p>
    <w:p w:rsidR="00000000" w:rsidRDefault="00000000">
      <w:pPr>
        <w:jc w:val="center"/>
        <w:rPr>
          <w:b/>
          <w:bCs/>
        </w:rPr>
      </w:pPr>
    </w:p>
    <w:p w:rsidR="00000000" w:rsidRDefault="00000000">
      <w:r>
        <w:t>654.</w:t>
      </w:r>
      <w:r>
        <w:tab/>
        <w:t>В соответствии со статьями 9 и 44 Конституции начальное образование является обязательным и бесплатным, в то время как образование (на других уровнях) доступно каждому на равных условиях.</w:t>
      </w:r>
    </w:p>
    <w:p w:rsidR="00000000" w:rsidRDefault="00000000"/>
    <w:p w:rsidR="00000000" w:rsidRDefault="00000000">
      <w:pPr>
        <w:rPr>
          <w:b/>
          <w:bCs/>
        </w:rPr>
      </w:pPr>
      <w:r>
        <w:rPr>
          <w:b/>
          <w:bCs/>
        </w:rPr>
        <w:t>Начальное образование</w:t>
      </w:r>
    </w:p>
    <w:p w:rsidR="00000000" w:rsidRDefault="00000000">
      <w:pPr>
        <w:rPr>
          <w:b/>
          <w:bCs/>
        </w:rPr>
      </w:pPr>
    </w:p>
    <w:p w:rsidR="00000000" w:rsidRDefault="00000000">
      <w:r>
        <w:t>655.</w:t>
      </w:r>
      <w:r>
        <w:tab/>
        <w:t>Закон о поправках к Закону о начальном образовании ("Официальный вестник" бывшей югославской Республики Македонии № 63/04) предусматривает, что год обучения до зачисления в первый класс начальной школы является обязательным для всех детей в возрасте шести лет начиная с 2005/06 учебного года.  Это означает, что все дети дошкольного возраста, а также дети, посещающие старшие группы детских садов, должны пройти так называемое подготовительное годичное обучение.  Это позволит обеспечить более равные стартовые возможности для детей, поступающих в систему начального обучения.</w:t>
      </w:r>
    </w:p>
    <w:p w:rsidR="00000000" w:rsidRDefault="00000000"/>
    <w:p w:rsidR="00000000" w:rsidRDefault="00000000">
      <w:r>
        <w:t>656.</w:t>
      </w:r>
      <w:r>
        <w:tab/>
        <w:t xml:space="preserve">Начальное образование является обязательным и бесплатным, и, по данным Государственного статистического управления, общий охват начальным образованием в 2002 году составил </w:t>
      </w:r>
      <w:proofErr w:type="spellStart"/>
      <w:r>
        <w:t>97,1%</w:t>
      </w:r>
      <w:proofErr w:type="spellEnd"/>
      <w:r>
        <w:t>.</w:t>
      </w:r>
    </w:p>
    <w:p w:rsidR="00000000" w:rsidRDefault="00000000"/>
    <w:p w:rsidR="00000000" w:rsidRDefault="00000000">
      <w:r>
        <w:t>657.</w:t>
      </w:r>
      <w:r>
        <w:tab/>
        <w:t>В соответствии со статьями 1, 22 и 73 Закона о поправках к Закону о начальном образовании начальное образование рассчитано на девять лет начиная с шестилетнего возраста.  Каждому ребенку от 7 до 14 лет предоставляются условия для регулярного посещения начальной школы и получения обязательного начального образования в объеме восьми классов.  Это правовое обязательство способствовало кардинальному повышению образовательного уровня населения.</w:t>
      </w:r>
    </w:p>
    <w:p w:rsidR="00000000" w:rsidRDefault="00000000"/>
    <w:p w:rsidR="00000000" w:rsidRDefault="00000000">
      <w:r>
        <w:t>658.</w:t>
      </w:r>
      <w:r>
        <w:tab/>
        <w:t>Дети приступают к обучению в начальной школе, если до окончания календарного года, в котором они зачисляются в первый класс, им исполняется семь лет.  При этом учащимися также становятся и дети, если им исполняется шесть лет до 1 сентября (начало учебного года), если имеется положительное заключение врача, педагога или психолога.</w:t>
      </w:r>
    </w:p>
    <w:p w:rsidR="00000000" w:rsidRDefault="00000000"/>
    <w:p w:rsidR="00000000" w:rsidRDefault="00000000">
      <w:r>
        <w:t>659.</w:t>
      </w:r>
      <w:r>
        <w:tab/>
        <w:t>В соответствии со статьей 8 Закона о начальном образовании ("Официальный вестник" бывшей югославской Республики Македонии № 52/02 - сводный текст, № 40/03, 42/03 и 63/04) преподавание ведется на македонском языке, а используемым алфавитом является кириллица.  Для членов этнических общин процесс образования осуществляется на языке и с использованием алфавита общины в предусмотренном законом порядке.  Учащиеся из числа таких общин изучают македонский язык в качестве официального языка бывшей югославской Республики Македонии.</w:t>
      </w:r>
    </w:p>
    <w:p w:rsidR="00000000" w:rsidRDefault="00000000"/>
    <w:p w:rsidR="00000000" w:rsidRDefault="00000000">
      <w:r>
        <w:t>660.</w:t>
      </w:r>
      <w:r>
        <w:tab/>
        <w:t>Внутренняя структура восьмилетнего обязательного образования, учитывая возраст детей, составляет два периода:  с первого по четвертый класс - так называемое классное преподавание и с пятого по восьмой класс - так называемое преподавание по предметам.  По четвертый класс включительно обучение, как правило, проводится одним преподавателем (учителем).  В старших классах (с пятого по восьмой) дети, как правило, остаются в тех же классах, однако новые классы могут создаваться по мере необходимости.  В стране имеется 327 начальных школ, занимающих 1 070 школьных помещений, что наглядно свидетельствует об усилиях министерства образования, направленных на предоставление доступа к образованию всем детям.</w:t>
      </w:r>
    </w:p>
    <w:p w:rsidR="00000000" w:rsidRDefault="00000000"/>
    <w:p w:rsidR="00000000" w:rsidRDefault="00000000">
      <w:r>
        <w:t>661.</w:t>
      </w:r>
      <w:r>
        <w:tab/>
        <w:t>В районах, где число учащихся невелико, организуются региональные школы.  Организационно они входят в состав обычных начальных школ (с классами, начиная с первого по восьмой).  В небольших населенных пунктах, если число детей является недостаточным, в начальных школах создаются комбинированные классы.  В таких школах один учитель одновременно проводит занятия для детей с первого по четвертый класс, используя различную методику.  По завершении такого периода дети продолжают свое образование в школах с отдельными классами начиная с пятого по восьмой класс.</w:t>
      </w:r>
    </w:p>
    <w:p w:rsidR="00000000" w:rsidRDefault="00000000"/>
    <w:p w:rsidR="00000000" w:rsidRDefault="00000000">
      <w:r>
        <w:t>662.</w:t>
      </w:r>
      <w:r>
        <w:tab/>
        <w:t>На основе соглашений, заключенных со странами, где в течение длительного времени проживают граждане бывшей югославской Республики Македонии, организовано дополнительное обучение для изучения родного языка и культуры в соответствии с программами, подготовленными Управлением образования и развития.  Дополнительное обучение организовано в ряде стран Западной Европы, а именно:  в Австрии, Германии, Швеции, Швейцарии и Франции, а также в Австралии, Канаде, Словении и Хорватии.</w:t>
      </w:r>
    </w:p>
    <w:p w:rsidR="00000000" w:rsidRDefault="00000000"/>
    <w:p w:rsidR="00000000" w:rsidRDefault="00000000">
      <w:r>
        <w:t>663.</w:t>
      </w:r>
      <w:r>
        <w:tab/>
        <w:t>В соответствии со статьей 64 Закона о начальном образовании и статьей 63 Закона о среднем образовании, а также с учетом педагогической практики талантливые дети и подростки, наделенные исключительными способностями, имеют возможность для более быстрого продвижения в своем образовании.  Талантливые дети могут зачисляться в начальную школу по достижении шестилетнего возраста (до начала учебного года), и затем они могут осваивать более быстрыми темпами учебную программу (выдержав экзамены для зачисления в следующий класс).  На протяжении обучения в начальной школе дети имеют две возможности воспользоваться этим правом.  Талантливые учащиеся средних школ, демонстрирующие исключительные способности, также могут ускорить свое образование (выдержав экзамены за следующий учебный год).</w:t>
      </w:r>
    </w:p>
    <w:p w:rsidR="00000000" w:rsidRDefault="00000000"/>
    <w:p w:rsidR="00000000" w:rsidRDefault="00000000">
      <w:pPr>
        <w:rPr>
          <w:b/>
          <w:bCs/>
        </w:rPr>
      </w:pPr>
      <w:r>
        <w:rPr>
          <w:b/>
          <w:bCs/>
        </w:rPr>
        <w:t>Среднее образование</w:t>
      </w:r>
    </w:p>
    <w:p w:rsidR="00000000" w:rsidRDefault="00000000">
      <w:pPr>
        <w:rPr>
          <w:b/>
          <w:bCs/>
        </w:rPr>
      </w:pPr>
    </w:p>
    <w:p w:rsidR="00000000" w:rsidRDefault="00000000">
      <w:r>
        <w:t>664.</w:t>
      </w:r>
      <w:r>
        <w:tab/>
        <w:t xml:space="preserve">После завершения начального образования учащиеся имеют право быть зачисленными в средние школы.  Этим правом в первую очередь пользуются молодые люди из городских районов, и, таким образом, приблизительно </w:t>
      </w:r>
      <w:proofErr w:type="spellStart"/>
      <w:r>
        <w:t>85%</w:t>
      </w:r>
      <w:proofErr w:type="spellEnd"/>
      <w:r>
        <w:t xml:space="preserve"> учащихся, завершивших обязательное образование, сразу же зачисляются для получения в том или ином виде среднего образования.  Среднее образование не является обязательным.  Ученики обучаются в средних школах бесплатно.</w:t>
      </w:r>
    </w:p>
    <w:p w:rsidR="00000000" w:rsidRDefault="00000000"/>
    <w:p w:rsidR="00000000" w:rsidRDefault="00000000">
      <w:r>
        <w:t>665.</w:t>
      </w:r>
      <w:r>
        <w:tab/>
        <w:t>Закон о среднем образовании ("Официальный вестник" бывшей югославской Республики Македонии № 44/1995) содействует дальнейшей демократизации данного сегмента образования.  Он предоставляет право получать среднее образование не только в государственных, муниципальных (публичных) средних школах, но также и в частных школах.</w:t>
      </w:r>
    </w:p>
    <w:p w:rsidR="00000000" w:rsidRDefault="00000000"/>
    <w:p w:rsidR="00000000" w:rsidRDefault="00000000">
      <w:r>
        <w:t>666.</w:t>
      </w:r>
      <w:r>
        <w:tab/>
        <w:t>Преподавание в средних учебных заведениях осуществляется на македонском языке, а используемым алфавитом является кириллица.  Для лиц, принадлежащих к национальным общинам, учебный процесс в публичных школах организуется на языке и с использованием алфавита соответствующей общины в предусмотренном в настоящем Законе порядке и при выполнении содержащихся в нем условий.  Учащиеся из числа этнических общин изучают македонский язык.</w:t>
      </w:r>
    </w:p>
    <w:p w:rsidR="00000000" w:rsidRDefault="00000000"/>
    <w:p w:rsidR="00000000" w:rsidRDefault="00000000">
      <w:pPr>
        <w:jc w:val="center"/>
        <w:rPr>
          <w:b/>
          <w:bCs/>
        </w:rPr>
      </w:pPr>
      <w:r>
        <w:rPr>
          <w:b/>
          <w:bCs/>
        </w:rPr>
        <w:t>Виды средних школ</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25"/>
        <w:gridCol w:w="3586"/>
      </w:tblGrid>
      <w:tr w:rsidR="00000000">
        <w:tblPrEx>
          <w:tblCellMar>
            <w:top w:w="0" w:type="dxa"/>
            <w:bottom w:w="0" w:type="dxa"/>
          </w:tblCellMar>
        </w:tblPrEx>
        <w:trPr>
          <w:cantSplit/>
        </w:trPr>
        <w:tc>
          <w:tcPr>
            <w:tcW w:w="5825" w:type="dxa"/>
            <w:tcBorders>
              <w:bottom w:val="single" w:sz="4" w:space="0" w:color="auto"/>
            </w:tcBorders>
          </w:tcPr>
          <w:p w:rsidR="00000000" w:rsidRDefault="00000000">
            <w:pPr>
              <w:jc w:val="center"/>
            </w:pPr>
            <w:r>
              <w:t>Вид средней школы</w:t>
            </w:r>
          </w:p>
        </w:tc>
        <w:tc>
          <w:tcPr>
            <w:tcW w:w="3586" w:type="dxa"/>
            <w:tcBorders>
              <w:bottom w:val="single" w:sz="4" w:space="0" w:color="auto"/>
            </w:tcBorders>
          </w:tcPr>
          <w:p w:rsidR="00000000" w:rsidRDefault="00000000">
            <w:pPr>
              <w:jc w:val="center"/>
            </w:pPr>
            <w:r>
              <w:t>Количество учащихся в классе</w:t>
            </w:r>
          </w:p>
        </w:tc>
      </w:tr>
      <w:tr w:rsidR="00000000">
        <w:tblPrEx>
          <w:tblCellMar>
            <w:top w:w="0" w:type="dxa"/>
            <w:bottom w:w="0" w:type="dxa"/>
          </w:tblCellMar>
        </w:tblPrEx>
        <w:trPr>
          <w:cantSplit/>
        </w:trPr>
        <w:tc>
          <w:tcPr>
            <w:tcW w:w="5825" w:type="dxa"/>
            <w:tcBorders>
              <w:bottom w:val="nil"/>
            </w:tcBorders>
          </w:tcPr>
          <w:p w:rsidR="00000000" w:rsidRDefault="00000000">
            <w:r>
              <w:t>Средние школы</w:t>
            </w:r>
          </w:p>
        </w:tc>
        <w:tc>
          <w:tcPr>
            <w:tcW w:w="3586" w:type="dxa"/>
            <w:tcBorders>
              <w:bottom w:val="nil"/>
            </w:tcBorders>
          </w:tcPr>
          <w:p w:rsidR="00000000" w:rsidRDefault="00000000">
            <w:pPr>
              <w:jc w:val="center"/>
            </w:pPr>
            <w:r>
              <w:t>15</w:t>
            </w:r>
          </w:p>
        </w:tc>
      </w:tr>
      <w:tr w:rsidR="00000000">
        <w:tblPrEx>
          <w:tblCellMar>
            <w:top w:w="0" w:type="dxa"/>
            <w:bottom w:w="0" w:type="dxa"/>
          </w:tblCellMar>
        </w:tblPrEx>
        <w:trPr>
          <w:cantSplit/>
        </w:trPr>
        <w:tc>
          <w:tcPr>
            <w:tcW w:w="5825" w:type="dxa"/>
            <w:tcBorders>
              <w:top w:val="nil"/>
              <w:bottom w:val="nil"/>
            </w:tcBorders>
          </w:tcPr>
          <w:p w:rsidR="00000000" w:rsidRDefault="00000000">
            <w:r>
              <w:t>Профессионально-технические училища</w:t>
            </w:r>
          </w:p>
        </w:tc>
        <w:tc>
          <w:tcPr>
            <w:tcW w:w="3586" w:type="dxa"/>
            <w:tcBorders>
              <w:top w:val="nil"/>
              <w:bottom w:val="nil"/>
            </w:tcBorders>
          </w:tcPr>
          <w:p w:rsidR="00000000" w:rsidRDefault="00000000">
            <w:pPr>
              <w:jc w:val="center"/>
            </w:pPr>
            <w:r>
              <w:t>26</w:t>
            </w:r>
          </w:p>
        </w:tc>
      </w:tr>
      <w:tr w:rsidR="00000000">
        <w:tblPrEx>
          <w:tblCellMar>
            <w:top w:w="0" w:type="dxa"/>
            <w:bottom w:w="0" w:type="dxa"/>
          </w:tblCellMar>
        </w:tblPrEx>
        <w:trPr>
          <w:cantSplit/>
        </w:trPr>
        <w:tc>
          <w:tcPr>
            <w:tcW w:w="5825" w:type="dxa"/>
            <w:tcBorders>
              <w:top w:val="nil"/>
            </w:tcBorders>
          </w:tcPr>
          <w:p w:rsidR="00000000" w:rsidRDefault="00000000">
            <w:r>
              <w:t>Смешанные (средние и профессионально-технические)</w:t>
            </w:r>
          </w:p>
        </w:tc>
        <w:tc>
          <w:tcPr>
            <w:tcW w:w="3586" w:type="dxa"/>
            <w:tcBorders>
              <w:top w:val="nil"/>
            </w:tcBorders>
          </w:tcPr>
          <w:p w:rsidR="00000000" w:rsidRDefault="00000000">
            <w:pPr>
              <w:jc w:val="center"/>
            </w:pPr>
            <w:r>
              <w:t>50</w:t>
            </w:r>
          </w:p>
        </w:tc>
      </w:tr>
    </w:tbl>
    <w:p w:rsidR="00000000" w:rsidRDefault="00000000"/>
    <w:p w:rsidR="00000000" w:rsidRDefault="00000000">
      <w:pPr>
        <w:pStyle w:val="Heading2"/>
        <w:keepNext w:val="0"/>
        <w:jc w:val="center"/>
        <w:rPr>
          <w:b/>
          <w:bCs/>
          <w:u w:val="none"/>
        </w:rPr>
      </w:pPr>
      <w:r>
        <w:rPr>
          <w:b/>
          <w:bCs/>
          <w:u w:val="none"/>
        </w:rPr>
        <w:t>Охват учащихся средним образованием</w:t>
      </w:r>
    </w:p>
    <w:p w:rsidR="00000000" w:rsidRDefault="00000000"/>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693"/>
        <w:gridCol w:w="2633"/>
        <w:gridCol w:w="1692"/>
        <w:gridCol w:w="2633"/>
        <w:gridCol w:w="760"/>
      </w:tblGrid>
      <w:tr w:rsidR="00000000">
        <w:tblPrEx>
          <w:tblCellMar>
            <w:top w:w="0" w:type="dxa"/>
            <w:bottom w:w="0" w:type="dxa"/>
          </w:tblCellMar>
        </w:tblPrEx>
        <w:trPr>
          <w:cantSplit/>
        </w:trPr>
        <w:tc>
          <w:tcPr>
            <w:tcW w:w="1693" w:type="dxa"/>
            <w:tcBorders>
              <w:top w:val="single" w:sz="4" w:space="0" w:color="auto"/>
              <w:bottom w:val="single" w:sz="4" w:space="0" w:color="auto"/>
              <w:right w:val="single" w:sz="4" w:space="0" w:color="auto"/>
            </w:tcBorders>
          </w:tcPr>
          <w:p w:rsidR="00000000" w:rsidRDefault="00000000">
            <w:pPr>
              <w:pStyle w:val="Header"/>
              <w:rPr>
                <w:szCs w:val="22"/>
              </w:rPr>
            </w:pPr>
            <w:r>
              <w:rPr>
                <w:szCs w:val="22"/>
              </w:rPr>
              <w:t>Учебный год</w:t>
            </w:r>
          </w:p>
        </w:tc>
        <w:tc>
          <w:tcPr>
            <w:tcW w:w="263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Закончили начальную</w:t>
            </w:r>
          </w:p>
          <w:p w:rsidR="00000000" w:rsidRDefault="00000000">
            <w:pPr>
              <w:jc w:val="center"/>
              <w:rPr>
                <w:szCs w:val="22"/>
              </w:rPr>
            </w:pPr>
            <w:r>
              <w:rPr>
                <w:szCs w:val="22"/>
              </w:rPr>
              <w:t>школу</w:t>
            </w:r>
          </w:p>
        </w:tc>
        <w:tc>
          <w:tcPr>
            <w:tcW w:w="169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Учебный год</w:t>
            </w:r>
          </w:p>
        </w:tc>
        <w:tc>
          <w:tcPr>
            <w:tcW w:w="263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Зачислены в среднюю</w:t>
            </w:r>
          </w:p>
          <w:p w:rsidR="00000000" w:rsidRDefault="00000000">
            <w:pPr>
              <w:jc w:val="center"/>
              <w:rPr>
                <w:szCs w:val="22"/>
              </w:rPr>
            </w:pPr>
            <w:r>
              <w:rPr>
                <w:szCs w:val="22"/>
              </w:rPr>
              <w:t>школу</w:t>
            </w:r>
          </w:p>
        </w:tc>
        <w:tc>
          <w:tcPr>
            <w:tcW w:w="760" w:type="dxa"/>
            <w:tcBorders>
              <w:top w:val="single" w:sz="4" w:space="0" w:color="auto"/>
              <w:left w:val="single" w:sz="4" w:space="0" w:color="auto"/>
              <w:bottom w:val="single" w:sz="4" w:space="0" w:color="auto"/>
            </w:tcBorders>
          </w:tcPr>
          <w:p w:rsidR="00000000" w:rsidRDefault="00000000">
            <w:pPr>
              <w:jc w:val="center"/>
              <w:rPr>
                <w:szCs w:val="22"/>
                <w:lang w:val="en-US"/>
              </w:rPr>
            </w:pPr>
            <w:r>
              <w:rPr>
                <w:szCs w:val="22"/>
              </w:rPr>
              <w:t>в %</w:t>
            </w:r>
          </w:p>
        </w:tc>
      </w:tr>
      <w:tr w:rsidR="00000000">
        <w:tblPrEx>
          <w:tblCellMar>
            <w:top w:w="0" w:type="dxa"/>
            <w:bottom w:w="0" w:type="dxa"/>
          </w:tblCellMar>
        </w:tblPrEx>
        <w:trPr>
          <w:cantSplit/>
        </w:trPr>
        <w:tc>
          <w:tcPr>
            <w:tcW w:w="1693" w:type="dxa"/>
            <w:tcBorders>
              <w:top w:val="single" w:sz="4" w:space="0" w:color="auto"/>
              <w:right w:val="single" w:sz="4" w:space="0" w:color="auto"/>
            </w:tcBorders>
          </w:tcPr>
          <w:p w:rsidR="00000000" w:rsidRDefault="00000000">
            <w:pPr>
              <w:rPr>
                <w:szCs w:val="22"/>
                <w:lang w:val="en-US"/>
              </w:rPr>
            </w:pPr>
            <w:r>
              <w:rPr>
                <w:szCs w:val="22"/>
                <w:lang w:val="en-US"/>
              </w:rPr>
              <w:t>2002/</w:t>
            </w:r>
            <w:r>
              <w:rPr>
                <w:szCs w:val="22"/>
              </w:rPr>
              <w:t>0</w:t>
            </w:r>
            <w:r>
              <w:rPr>
                <w:szCs w:val="22"/>
                <w:lang w:val="en-US"/>
              </w:rPr>
              <w:t>3</w:t>
            </w:r>
          </w:p>
        </w:tc>
        <w:tc>
          <w:tcPr>
            <w:tcW w:w="2633" w:type="dxa"/>
            <w:tcBorders>
              <w:top w:val="single" w:sz="4" w:space="0" w:color="auto"/>
              <w:left w:val="single" w:sz="4" w:space="0" w:color="auto"/>
              <w:bottom w:val="nil"/>
              <w:right w:val="single" w:sz="4" w:space="0" w:color="auto"/>
            </w:tcBorders>
          </w:tcPr>
          <w:p w:rsidR="00000000" w:rsidRDefault="00000000">
            <w:pPr>
              <w:jc w:val="center"/>
              <w:rPr>
                <w:szCs w:val="22"/>
                <w:lang w:val="en-US"/>
              </w:rPr>
            </w:pPr>
            <w:r>
              <w:rPr>
                <w:szCs w:val="22"/>
                <w:lang w:val="en-US"/>
              </w:rPr>
              <w:t>30 863</w:t>
            </w:r>
          </w:p>
        </w:tc>
        <w:tc>
          <w:tcPr>
            <w:tcW w:w="1692" w:type="dxa"/>
            <w:tcBorders>
              <w:top w:val="single" w:sz="4" w:space="0" w:color="auto"/>
              <w:left w:val="single" w:sz="4" w:space="0" w:color="auto"/>
              <w:right w:val="single" w:sz="4" w:space="0" w:color="auto"/>
            </w:tcBorders>
          </w:tcPr>
          <w:p w:rsidR="00000000" w:rsidRDefault="00000000">
            <w:pPr>
              <w:jc w:val="center"/>
              <w:rPr>
                <w:szCs w:val="22"/>
                <w:lang w:val="en-US"/>
              </w:rPr>
            </w:pPr>
            <w:r>
              <w:rPr>
                <w:szCs w:val="22"/>
                <w:lang w:val="en-US"/>
              </w:rPr>
              <w:t>2003/04</w:t>
            </w:r>
          </w:p>
        </w:tc>
        <w:tc>
          <w:tcPr>
            <w:tcW w:w="2633" w:type="dxa"/>
            <w:tcBorders>
              <w:top w:val="single" w:sz="4" w:space="0" w:color="auto"/>
              <w:left w:val="single" w:sz="4" w:space="0" w:color="auto"/>
              <w:bottom w:val="nil"/>
              <w:right w:val="single" w:sz="4" w:space="0" w:color="auto"/>
            </w:tcBorders>
          </w:tcPr>
          <w:p w:rsidR="00000000" w:rsidRDefault="00000000">
            <w:pPr>
              <w:jc w:val="center"/>
              <w:rPr>
                <w:szCs w:val="22"/>
                <w:lang w:val="en-US"/>
              </w:rPr>
            </w:pPr>
            <w:r>
              <w:rPr>
                <w:szCs w:val="22"/>
                <w:lang w:val="en-US"/>
              </w:rPr>
              <w:t>26 293</w:t>
            </w:r>
          </w:p>
        </w:tc>
        <w:tc>
          <w:tcPr>
            <w:tcW w:w="760" w:type="dxa"/>
            <w:tcBorders>
              <w:top w:val="single" w:sz="4" w:space="0" w:color="auto"/>
              <w:left w:val="single" w:sz="4" w:space="0" w:color="auto"/>
            </w:tcBorders>
          </w:tcPr>
          <w:p w:rsidR="00000000" w:rsidRDefault="00000000">
            <w:pPr>
              <w:jc w:val="center"/>
              <w:rPr>
                <w:szCs w:val="22"/>
                <w:lang w:val="en-US"/>
              </w:rPr>
            </w:pPr>
            <w:r>
              <w:rPr>
                <w:szCs w:val="22"/>
                <w:lang w:val="en-US"/>
              </w:rPr>
              <w:t>85</w:t>
            </w:r>
            <w:r>
              <w:rPr>
                <w:szCs w:val="22"/>
              </w:rPr>
              <w:t>,</w:t>
            </w:r>
            <w:r>
              <w:rPr>
                <w:szCs w:val="22"/>
                <w:lang w:val="en-US"/>
              </w:rPr>
              <w:t>26</w:t>
            </w:r>
          </w:p>
        </w:tc>
      </w:tr>
      <w:tr w:rsidR="00000000">
        <w:tblPrEx>
          <w:tblCellMar>
            <w:top w:w="0" w:type="dxa"/>
            <w:bottom w:w="0" w:type="dxa"/>
          </w:tblCellMar>
        </w:tblPrEx>
        <w:trPr>
          <w:cantSplit/>
        </w:trPr>
        <w:tc>
          <w:tcPr>
            <w:tcW w:w="1693" w:type="dxa"/>
            <w:tcBorders>
              <w:right w:val="single" w:sz="4" w:space="0" w:color="auto"/>
            </w:tcBorders>
          </w:tcPr>
          <w:p w:rsidR="00000000" w:rsidRDefault="00000000">
            <w:pPr>
              <w:rPr>
                <w:szCs w:val="22"/>
                <w:lang w:val="en-US"/>
              </w:rPr>
            </w:pPr>
            <w:r>
              <w:rPr>
                <w:szCs w:val="22"/>
                <w:lang w:val="en-US"/>
              </w:rPr>
              <w:t>2003/04</w:t>
            </w:r>
          </w:p>
        </w:tc>
        <w:tc>
          <w:tcPr>
            <w:tcW w:w="2633" w:type="dxa"/>
            <w:tcBorders>
              <w:top w:val="nil"/>
              <w:left w:val="single" w:sz="4" w:space="0" w:color="auto"/>
              <w:bottom w:val="single" w:sz="4" w:space="0" w:color="auto"/>
              <w:right w:val="single" w:sz="4" w:space="0" w:color="auto"/>
            </w:tcBorders>
          </w:tcPr>
          <w:p w:rsidR="00000000" w:rsidRDefault="00000000">
            <w:pPr>
              <w:jc w:val="center"/>
              <w:rPr>
                <w:szCs w:val="22"/>
                <w:lang w:val="en-US"/>
              </w:rPr>
            </w:pPr>
            <w:r>
              <w:rPr>
                <w:szCs w:val="22"/>
                <w:lang w:val="en-US"/>
              </w:rPr>
              <w:t>29 599</w:t>
            </w:r>
          </w:p>
        </w:tc>
        <w:tc>
          <w:tcPr>
            <w:tcW w:w="1692" w:type="dxa"/>
            <w:tcBorders>
              <w:left w:val="single" w:sz="4" w:space="0" w:color="auto"/>
              <w:right w:val="single" w:sz="4" w:space="0" w:color="auto"/>
            </w:tcBorders>
          </w:tcPr>
          <w:p w:rsidR="00000000" w:rsidRDefault="00000000">
            <w:pPr>
              <w:jc w:val="center"/>
              <w:rPr>
                <w:szCs w:val="22"/>
                <w:lang w:val="en-US"/>
              </w:rPr>
            </w:pPr>
            <w:r>
              <w:rPr>
                <w:szCs w:val="22"/>
                <w:lang w:val="en-US"/>
              </w:rPr>
              <w:t>2004/</w:t>
            </w:r>
            <w:r>
              <w:rPr>
                <w:szCs w:val="22"/>
              </w:rPr>
              <w:t>0</w:t>
            </w:r>
            <w:r>
              <w:rPr>
                <w:szCs w:val="22"/>
                <w:lang w:val="en-US"/>
              </w:rPr>
              <w:t>5</w:t>
            </w:r>
          </w:p>
        </w:tc>
        <w:tc>
          <w:tcPr>
            <w:tcW w:w="2633" w:type="dxa"/>
            <w:tcBorders>
              <w:top w:val="nil"/>
              <w:left w:val="single" w:sz="4" w:space="0" w:color="auto"/>
              <w:bottom w:val="single" w:sz="4" w:space="0" w:color="auto"/>
              <w:right w:val="single" w:sz="4" w:space="0" w:color="auto"/>
            </w:tcBorders>
          </w:tcPr>
          <w:p w:rsidR="00000000" w:rsidRDefault="00000000">
            <w:pPr>
              <w:jc w:val="center"/>
              <w:rPr>
                <w:szCs w:val="22"/>
                <w:lang w:val="en-US"/>
              </w:rPr>
            </w:pPr>
            <w:r>
              <w:rPr>
                <w:szCs w:val="22"/>
                <w:lang w:val="en-US"/>
              </w:rPr>
              <w:t>25 545</w:t>
            </w:r>
          </w:p>
        </w:tc>
        <w:tc>
          <w:tcPr>
            <w:tcW w:w="760" w:type="dxa"/>
            <w:tcBorders>
              <w:left w:val="single" w:sz="4" w:space="0" w:color="auto"/>
            </w:tcBorders>
          </w:tcPr>
          <w:p w:rsidR="00000000" w:rsidRDefault="00000000">
            <w:pPr>
              <w:jc w:val="center"/>
              <w:rPr>
                <w:szCs w:val="22"/>
                <w:lang w:val="en-US"/>
              </w:rPr>
            </w:pPr>
            <w:r>
              <w:rPr>
                <w:szCs w:val="22"/>
                <w:lang w:val="en-US"/>
              </w:rPr>
              <w:t>86</w:t>
            </w:r>
          </w:p>
        </w:tc>
      </w:tr>
    </w:tbl>
    <w:p w:rsidR="00000000" w:rsidRDefault="00000000">
      <w:pPr>
        <w:pStyle w:val="Heading2"/>
        <w:keepNext w:val="0"/>
      </w:pPr>
    </w:p>
    <w:p w:rsidR="00000000" w:rsidRDefault="00000000">
      <w:pPr>
        <w:pStyle w:val="Heading2"/>
        <w:keepNext w:val="0"/>
        <w:jc w:val="center"/>
        <w:rPr>
          <w:b/>
          <w:bCs/>
          <w:u w:val="none"/>
        </w:rPr>
      </w:pPr>
      <w:r>
        <w:rPr>
          <w:b/>
          <w:bCs/>
          <w:u w:val="none"/>
        </w:rPr>
        <w:t xml:space="preserve">Количество учащихся, зачисленных в начальные школы, в разбивке </w:t>
      </w:r>
    </w:p>
    <w:p w:rsidR="00000000" w:rsidRDefault="00000000">
      <w:pPr>
        <w:pStyle w:val="Heading2"/>
        <w:keepNext w:val="0"/>
        <w:jc w:val="center"/>
        <w:rPr>
          <w:b/>
          <w:bCs/>
          <w:u w:val="none"/>
        </w:rPr>
      </w:pPr>
      <w:r>
        <w:rPr>
          <w:b/>
          <w:bCs/>
          <w:u w:val="none"/>
        </w:rPr>
        <w:t>по языку обучения</w:t>
      </w:r>
    </w:p>
    <w:p w:rsidR="00000000" w:rsidRDefault="00000000"/>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882"/>
        <w:gridCol w:w="2067"/>
        <w:gridCol w:w="1880"/>
        <w:gridCol w:w="1880"/>
        <w:gridCol w:w="1702"/>
      </w:tblGrid>
      <w:tr w:rsidR="00000000">
        <w:tblPrEx>
          <w:tblCellMar>
            <w:top w:w="0" w:type="dxa"/>
            <w:bottom w:w="0" w:type="dxa"/>
          </w:tblCellMar>
        </w:tblPrEx>
        <w:trPr>
          <w:cantSplit/>
        </w:trPr>
        <w:tc>
          <w:tcPr>
            <w:tcW w:w="1882" w:type="dxa"/>
            <w:tcBorders>
              <w:top w:val="single" w:sz="4" w:space="0" w:color="auto"/>
              <w:bottom w:val="single" w:sz="4" w:space="0" w:color="auto"/>
              <w:right w:val="single" w:sz="4" w:space="0" w:color="auto"/>
            </w:tcBorders>
          </w:tcPr>
          <w:p w:rsidR="00000000" w:rsidRDefault="00000000">
            <w:pPr>
              <w:rPr>
                <w:szCs w:val="22"/>
              </w:rPr>
            </w:pPr>
            <w:r>
              <w:rPr>
                <w:szCs w:val="22"/>
              </w:rPr>
              <w:t>Учебный год</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Всего зачислено</w:t>
            </w:r>
          </w:p>
        </w:tc>
        <w:tc>
          <w:tcPr>
            <w:tcW w:w="18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Македонский</w:t>
            </w:r>
          </w:p>
        </w:tc>
        <w:tc>
          <w:tcPr>
            <w:tcW w:w="18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Албанский</w:t>
            </w:r>
          </w:p>
        </w:tc>
        <w:tc>
          <w:tcPr>
            <w:tcW w:w="1702" w:type="dxa"/>
            <w:tcBorders>
              <w:top w:val="single" w:sz="4" w:space="0" w:color="auto"/>
              <w:left w:val="single" w:sz="4" w:space="0" w:color="auto"/>
              <w:bottom w:val="single" w:sz="4" w:space="0" w:color="auto"/>
            </w:tcBorders>
          </w:tcPr>
          <w:p w:rsidR="00000000" w:rsidRDefault="00000000">
            <w:pPr>
              <w:jc w:val="center"/>
              <w:rPr>
                <w:szCs w:val="22"/>
              </w:rPr>
            </w:pPr>
            <w:r>
              <w:rPr>
                <w:szCs w:val="22"/>
              </w:rPr>
              <w:t>Турецкий</w:t>
            </w:r>
          </w:p>
        </w:tc>
      </w:tr>
      <w:tr w:rsidR="00000000">
        <w:tblPrEx>
          <w:tblCellMar>
            <w:top w:w="0" w:type="dxa"/>
            <w:bottom w:w="0" w:type="dxa"/>
          </w:tblCellMar>
        </w:tblPrEx>
        <w:trPr>
          <w:cantSplit/>
        </w:trPr>
        <w:tc>
          <w:tcPr>
            <w:tcW w:w="1882" w:type="dxa"/>
            <w:tcBorders>
              <w:top w:val="single" w:sz="4" w:space="0" w:color="auto"/>
              <w:right w:val="single" w:sz="4" w:space="0" w:color="auto"/>
            </w:tcBorders>
          </w:tcPr>
          <w:p w:rsidR="00000000" w:rsidRDefault="00000000">
            <w:pPr>
              <w:rPr>
                <w:szCs w:val="22"/>
              </w:rPr>
            </w:pPr>
            <w:r>
              <w:rPr>
                <w:szCs w:val="22"/>
              </w:rPr>
              <w:t>2003/04</w:t>
            </w:r>
          </w:p>
        </w:tc>
        <w:tc>
          <w:tcPr>
            <w:tcW w:w="2067"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26 293</w:t>
            </w:r>
          </w:p>
        </w:tc>
        <w:tc>
          <w:tcPr>
            <w:tcW w:w="1880" w:type="dxa"/>
            <w:tcBorders>
              <w:top w:val="single" w:sz="4" w:space="0" w:color="auto"/>
              <w:left w:val="single" w:sz="4" w:space="0" w:color="auto"/>
              <w:right w:val="single" w:sz="4" w:space="0" w:color="auto"/>
            </w:tcBorders>
          </w:tcPr>
          <w:p w:rsidR="00000000" w:rsidRDefault="00000000">
            <w:pPr>
              <w:jc w:val="center"/>
              <w:rPr>
                <w:szCs w:val="22"/>
              </w:rPr>
            </w:pPr>
            <w:r>
              <w:rPr>
                <w:szCs w:val="22"/>
              </w:rPr>
              <w:t>20 215</w:t>
            </w:r>
          </w:p>
        </w:tc>
        <w:tc>
          <w:tcPr>
            <w:tcW w:w="1880"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5 724</w:t>
            </w:r>
          </w:p>
        </w:tc>
        <w:tc>
          <w:tcPr>
            <w:tcW w:w="1702" w:type="dxa"/>
            <w:tcBorders>
              <w:top w:val="single" w:sz="4" w:space="0" w:color="auto"/>
              <w:left w:val="single" w:sz="4" w:space="0" w:color="auto"/>
            </w:tcBorders>
          </w:tcPr>
          <w:p w:rsidR="00000000" w:rsidRDefault="00000000">
            <w:pPr>
              <w:jc w:val="center"/>
              <w:rPr>
                <w:szCs w:val="22"/>
              </w:rPr>
            </w:pPr>
            <w:r>
              <w:rPr>
                <w:szCs w:val="22"/>
              </w:rPr>
              <w:t>354</w:t>
            </w:r>
          </w:p>
        </w:tc>
      </w:tr>
      <w:tr w:rsidR="00000000">
        <w:tblPrEx>
          <w:tblCellMar>
            <w:top w:w="0" w:type="dxa"/>
            <w:bottom w:w="0" w:type="dxa"/>
          </w:tblCellMar>
        </w:tblPrEx>
        <w:trPr>
          <w:cantSplit/>
        </w:trPr>
        <w:tc>
          <w:tcPr>
            <w:tcW w:w="1882" w:type="dxa"/>
            <w:tcBorders>
              <w:right w:val="single" w:sz="4" w:space="0" w:color="auto"/>
            </w:tcBorders>
          </w:tcPr>
          <w:p w:rsidR="00000000" w:rsidRDefault="00000000">
            <w:pPr>
              <w:rPr>
                <w:szCs w:val="22"/>
              </w:rPr>
            </w:pPr>
            <w:r>
              <w:rPr>
                <w:szCs w:val="22"/>
              </w:rPr>
              <w:t>2004/05</w:t>
            </w:r>
          </w:p>
        </w:tc>
        <w:tc>
          <w:tcPr>
            <w:tcW w:w="2067"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25 545</w:t>
            </w:r>
          </w:p>
        </w:tc>
        <w:tc>
          <w:tcPr>
            <w:tcW w:w="1880" w:type="dxa"/>
            <w:tcBorders>
              <w:left w:val="single" w:sz="4" w:space="0" w:color="auto"/>
              <w:right w:val="single" w:sz="4" w:space="0" w:color="auto"/>
            </w:tcBorders>
          </w:tcPr>
          <w:p w:rsidR="00000000" w:rsidRDefault="00000000">
            <w:pPr>
              <w:jc w:val="center"/>
              <w:rPr>
                <w:szCs w:val="22"/>
              </w:rPr>
            </w:pPr>
            <w:r>
              <w:rPr>
                <w:szCs w:val="22"/>
              </w:rPr>
              <w:t>19 492</w:t>
            </w:r>
          </w:p>
        </w:tc>
        <w:tc>
          <w:tcPr>
            <w:tcW w:w="1880" w:type="dxa"/>
            <w:tcBorders>
              <w:top w:val="nil"/>
              <w:left w:val="single" w:sz="4" w:space="0" w:color="auto"/>
              <w:bottom w:val="single" w:sz="4" w:space="0" w:color="auto"/>
              <w:right w:val="single" w:sz="4" w:space="0" w:color="auto"/>
            </w:tcBorders>
          </w:tcPr>
          <w:p w:rsidR="00000000" w:rsidRDefault="00000000">
            <w:pPr>
              <w:jc w:val="center"/>
              <w:rPr>
                <w:szCs w:val="22"/>
              </w:rPr>
            </w:pPr>
            <w:r>
              <w:rPr>
                <w:szCs w:val="22"/>
              </w:rPr>
              <w:t>5 753</w:t>
            </w:r>
          </w:p>
        </w:tc>
        <w:tc>
          <w:tcPr>
            <w:tcW w:w="1702" w:type="dxa"/>
            <w:tcBorders>
              <w:left w:val="single" w:sz="4" w:space="0" w:color="auto"/>
            </w:tcBorders>
          </w:tcPr>
          <w:p w:rsidR="00000000" w:rsidRDefault="00000000">
            <w:pPr>
              <w:jc w:val="center"/>
              <w:rPr>
                <w:szCs w:val="22"/>
              </w:rPr>
            </w:pPr>
            <w:r>
              <w:rPr>
                <w:szCs w:val="22"/>
              </w:rPr>
              <w:t>300</w:t>
            </w:r>
          </w:p>
        </w:tc>
      </w:tr>
    </w:tbl>
    <w:p w:rsidR="00000000" w:rsidRDefault="00000000">
      <w:pPr>
        <w:rPr>
          <w:b/>
          <w:bCs/>
        </w:rPr>
      </w:pPr>
    </w:p>
    <w:p w:rsidR="00000000" w:rsidRDefault="00000000">
      <w:r>
        <w:t>667.</w:t>
      </w:r>
      <w:r>
        <w:tab/>
        <w:t>Обучение в старших классах средней школы носит общеобразовательный характер.  Оно продолжается в течение четырех лет и завершается выпускными экзаменами.  В соответствии с Законом о поправках к Закону о среднем образовании ("Официальный вестник" бывшей югославской Республики Македонии № 67/04) и новой концепцией завершения школьного образования и выпускных экзаменов на аттестат зрелости начиная с 2006/07 школьного года обучение в средней школе будет завершаться государственными или выпускными школьными экзаменами.  Сдача государственного выпускного экзамена предоставит право на поступление в высшее учебное заведение, а школьного выпускного экзамена - возможность для поступления на рынок труда.  Основная функция среднего образования заключается в подготовке молодых людей к успешной интеграции в систему высшего образования.</w:t>
      </w:r>
    </w:p>
    <w:p w:rsidR="00000000" w:rsidRDefault="00000000"/>
    <w:p w:rsidR="00000000" w:rsidRDefault="00000000">
      <w:r>
        <w:t>668.</w:t>
      </w:r>
      <w:r>
        <w:tab/>
        <w:t>В систему высшего образования зачисляются приблизительно 35% учащихся одного поколения.</w:t>
      </w:r>
    </w:p>
    <w:p w:rsidR="00000000" w:rsidRDefault="00000000"/>
    <w:p w:rsidR="00000000" w:rsidRDefault="00000000">
      <w:r>
        <w:t>669.</w:t>
      </w:r>
      <w:r>
        <w:tab/>
        <w:t>Среднюю школу посещают 85% от общего числа учащихся, зарегистрированных в 2004/05 учебном году, а из их числа 61,36% получают профессионально-техническое образование.  Профессионально-техническое обучение и подготовка предоставляются после завершения начального образования и предусматривают приобретение знаний, навыков и опыта в области прикладных наук, имеющих практическое значение.  Основной функцией среднего профессионального обучения является подготовка учащихся к трудовой деятельности, учитывая при этом возможности для дальнейшего образования.  В</w:t>
      </w:r>
      <w:r>
        <w:rPr>
          <w:lang w:val="en-US"/>
        </w:rPr>
        <w:t> </w:t>
      </w:r>
      <w:r>
        <w:t xml:space="preserve">конце обучения проводится выпускной экзамен по специальности.  </w:t>
      </w:r>
    </w:p>
    <w:p w:rsidR="00000000" w:rsidRDefault="00000000"/>
    <w:p w:rsidR="00000000" w:rsidRDefault="00000000">
      <w:r>
        <w:t>670.</w:t>
      </w:r>
      <w:r>
        <w:tab/>
        <w:t>В соответствии с вышеупомянутой концепцией, начиная с 2006/07 учебного года, по завершении четырехлетнего среднего профессионального образования будет проводиться государственный экзамен на аттестат зрелости или выпускной школьный экзамен.  Государственный экзамен на аттестат зрелости (Матура) предоставляет возможность для получения высшего образования, а выпускной школьный экзамен - доступ на рынок труда.</w:t>
      </w:r>
    </w:p>
    <w:p w:rsidR="00000000" w:rsidRDefault="00000000"/>
    <w:p w:rsidR="00000000" w:rsidRDefault="00000000">
      <w:r>
        <w:t>671.</w:t>
      </w:r>
      <w:r>
        <w:tab/>
        <w:t>Трехгодичная профессионально-техническая подготовка завершается выпускным экзаменом, открывающим доступ на рынок труда, а также предоставляющим возможность (при определенных условиях) для продолжения образования в системе четырехгодичного профессионального или специализированного обучения.</w:t>
      </w:r>
    </w:p>
    <w:p w:rsidR="00000000" w:rsidRDefault="00000000"/>
    <w:p w:rsidR="00000000" w:rsidRDefault="00000000">
      <w:r>
        <w:t>672.</w:t>
      </w:r>
      <w:r>
        <w:tab/>
        <w:t>Образовательные профили сгруппированы по 26 профессиональным категориям:  сельское хозяйство, ветеринарные науки, питание, лесоводство, плотничное дело, геология, добыча полезных ископаемых, металлургия, машиностроение, электромеханика, химия и технология, текстильное и кожевенное производство, графический дизайн, бытовые услуги, геодезия, проектирование и строительство, транспорт, торговля, общественное питание и туризм, экономика, право, делопроизводство, искусство, медицинское обслуживание и физическая культура.</w:t>
      </w:r>
    </w:p>
    <w:p w:rsidR="00000000" w:rsidRDefault="00000000"/>
    <w:p w:rsidR="00000000" w:rsidRDefault="00000000">
      <w:r>
        <w:t>673.</w:t>
      </w:r>
      <w:r>
        <w:tab/>
        <w:t>В рамках профессионально-технического образования имеется около 260 учебных профилей, включая 80, предусматривающих четырехгодичное обучение;  90 </w:t>
      </w:r>
      <w:r>
        <w:noBreakHyphen/>
        <w:t xml:space="preserve"> трехгодичное обучение;  50 </w:t>
      </w:r>
      <w:r>
        <w:noBreakHyphen/>
        <w:t xml:space="preserve"> двухгодичное обучение;  40 учебных профилей для получения специализированного образования.</w:t>
      </w:r>
    </w:p>
    <w:p w:rsidR="00000000" w:rsidRDefault="00000000"/>
    <w:p w:rsidR="00000000" w:rsidRDefault="00000000">
      <w:r>
        <w:t>674.</w:t>
      </w:r>
      <w:r>
        <w:tab/>
        <w:t>Среднее художественное образование рассчитано на учащихся, наделенных особыми художественными способностями;  поэтому до зачисления учащиеся проходят специальное тестирование.</w:t>
      </w:r>
    </w:p>
    <w:p w:rsidR="00000000" w:rsidRDefault="00000000"/>
    <w:p w:rsidR="00000000" w:rsidRDefault="00000000">
      <w:r>
        <w:t>675.</w:t>
      </w:r>
      <w:r>
        <w:tab/>
        <w:t>Среднее художественное образование организовано по трем направлениям, а именно:  прикладные изящные искусства (шесть образовательных профилей), музыка (три образовательных профиля) и балет (два образовательных профиля).  По завершении образования предусмотрен выпускной экзамен (Матура).</w:t>
      </w:r>
    </w:p>
    <w:p w:rsidR="00000000" w:rsidRDefault="00000000"/>
    <w:p w:rsidR="00000000" w:rsidRDefault="00000000">
      <w:r>
        <w:t>676.</w:t>
      </w:r>
      <w:r>
        <w:tab/>
        <w:t>Среднее образование для учащихся с особыми потребностями по существу является средним профессиональным образованием, адаптированным к их нуждам.  Адаптация программ начинается с выбора профилей обучения, которые являются наиболее насущными для той профессии, по которой учащиеся с особыми потребностями могут приобрести необходимые навыки.  Для лиц с более значительными потребностями предусмотрена только подготовка по повышению трудоспособности.  Еще один вид адаптации проводится в отношении учебной программы и программ подготовки в отношении рамок общего образования.  Как правило, исключаются или сокращаются те предметы, которые необходимы для подготовки к обучению в системе высшего образования, и сохраняются те, которые обеспечивают культурную и социальную функцию среднего образования.</w:t>
      </w:r>
    </w:p>
    <w:p w:rsidR="00000000" w:rsidRDefault="00000000"/>
    <w:p w:rsidR="00000000" w:rsidRDefault="00000000">
      <w:pPr>
        <w:rPr>
          <w:b/>
          <w:bCs/>
        </w:rPr>
      </w:pPr>
      <w:r>
        <w:rPr>
          <w:b/>
          <w:bCs/>
        </w:rPr>
        <w:t>Высшее образование</w:t>
      </w:r>
    </w:p>
    <w:p w:rsidR="00000000" w:rsidRDefault="00000000">
      <w:pPr>
        <w:rPr>
          <w:b/>
          <w:bCs/>
        </w:rPr>
      </w:pPr>
    </w:p>
    <w:p w:rsidR="00000000" w:rsidRDefault="00000000">
      <w:r>
        <w:t>677.</w:t>
      </w:r>
      <w:r>
        <w:tab/>
        <w:t>Высшее образование состоит из студенческих занятий продолжительностью от четырех до шести лет, которые проводятся в четырех университетах и в частных высших учебных заведениях.  Помимо академической подготовки, в различных областях осуществляется научно-техническая деятельность, а также проводится непрерывная подготовка преподавательского состава.</w:t>
      </w:r>
    </w:p>
    <w:p w:rsidR="00000000" w:rsidRDefault="00000000"/>
    <w:p w:rsidR="00000000" w:rsidRDefault="00000000">
      <w:r>
        <w:t>678.</w:t>
      </w:r>
      <w:r>
        <w:tab/>
        <w:t>Учащиеся зачисляются в качестве очных или заочных студентов на первый курс высших учебных заведений.  В университеты зачисляются приблизительно 27% выпускников средних школ.  Условия и критерии отбора и зачисления новых студентов устанавливаются высшими учебными заведениями и координируются университетами.  К участию в конкурсе допускаются абитуриенты с законченным средним образованием, а также абитуриенты, получившие четырехгодичное профессиональное и среднее художественное образование.</w:t>
      </w:r>
    </w:p>
    <w:p w:rsidR="00000000" w:rsidRDefault="00000000"/>
    <w:p w:rsidR="00000000" w:rsidRDefault="00000000">
      <w:r>
        <w:t>679.</w:t>
      </w:r>
      <w:r>
        <w:tab/>
        <w:t xml:space="preserve">Из-за ограниченного количества мест применяется процедура оценки абитуриентов по степени успешности их среднего образования, а также по результатам, полученным на вступительных экзаменах.  Критерии набора студентов на заочное и очное обучение являются одинаковыми. </w:t>
      </w:r>
    </w:p>
    <w:p w:rsidR="00000000" w:rsidRDefault="00000000"/>
    <w:p w:rsidR="00000000" w:rsidRDefault="00000000">
      <w:r>
        <w:t>680.</w:t>
      </w:r>
      <w:r>
        <w:tab/>
        <w:t xml:space="preserve">Высшее образование предоставляется четырьмя университетами:  Университетом Св. Кирилла и Св. Мефодия в Скопье, Университетом  Св. Климента </w:t>
      </w:r>
      <w:proofErr w:type="spellStart"/>
      <w:r>
        <w:t>Охридского</w:t>
      </w:r>
      <w:proofErr w:type="spellEnd"/>
      <w:r>
        <w:t xml:space="preserve"> в Битоле, Университетом Юго-Восточной Европы в Тетово и Государственным университетом в Тетово, а также на частном Факультете социальных наук в Скопье.  Все эти заведения объединены в Межуниверситетскую конференцию.</w:t>
      </w:r>
    </w:p>
    <w:p w:rsidR="00000000" w:rsidRDefault="00000000"/>
    <w:p w:rsidR="00000000" w:rsidRDefault="00000000">
      <w:r>
        <w:t>681.</w:t>
      </w:r>
      <w:r>
        <w:tab/>
        <w:t>В университетах организованы специальные программы для получения так называемого высшего специального образования.  В соответствии с законом срок такого образования не должен превышать трех лет.  Этот вид обучения, очевидно, станет более распространенным в будущем, учитывая потребности рынка труда в высоко квалифицированном персонале, особенно в таких областях, как технические и биотехнические науки.</w:t>
      </w:r>
    </w:p>
    <w:p w:rsidR="00000000" w:rsidRDefault="00000000"/>
    <w:p w:rsidR="00000000" w:rsidRDefault="00000000">
      <w:r>
        <w:t>682.</w:t>
      </w:r>
      <w:r>
        <w:tab/>
        <w:t xml:space="preserve">После завершения образования учащиеся, отвечающие предусмотренным уставами высших учебных заведений требованиям, могут продолжить свою специализацию в рамках подготовки для получения степени специалиста или магистра.  Постдипломное обучение организовано в виде постдипломной научной или художественной учебной подготовки (подготовка к получению степени магистра), а также постдипломной профессиональной учебной подготовки (подготовка для получения звания специалиста) (Закон о высшем образовании, "Официальный вестник" бывшей югославской Республики Македонии" № 64/00).  Курс постдипломного научного или художественного обучения рассчитан по крайней мере на три семестра, из которых два семестра предусмотрены для обучения, а один </w:t>
      </w:r>
      <w:r>
        <w:noBreakHyphen/>
        <w:t xml:space="preserve"> для подготовки диссертации на соискание степени магистра.  Курс постдипломного профессионального обучения продолжается в течение девяти месяцев, из которых один семестр отводится на обучение, а три семестра </w:t>
      </w:r>
      <w:r>
        <w:noBreakHyphen/>
        <w:t xml:space="preserve"> на трудовую деятельность в качестве специалиста.  В настоящее время программы послевузовсого образования существуют в Университете Св. Кирилла и Св. Мефодия в Скопье и в Университете Св. Климента Охридского в Битоле.</w:t>
      </w:r>
    </w:p>
    <w:p w:rsidR="00000000" w:rsidRDefault="00000000"/>
    <w:p w:rsidR="00000000" w:rsidRDefault="00000000">
      <w:r>
        <w:t>683.</w:t>
      </w:r>
      <w:r>
        <w:tab/>
        <w:t>После завершения специализированного обучения кандидат получает диплом специалиста.</w:t>
      </w:r>
    </w:p>
    <w:p w:rsidR="00000000" w:rsidRDefault="00000000"/>
    <w:p w:rsidR="00000000" w:rsidRDefault="00000000">
      <w:r>
        <w:t>684.</w:t>
      </w:r>
      <w:r>
        <w:tab/>
        <w:t>Послевузовское образование завершается защитой диссертации на соискание степени магистра, и кандидат получает звание магистра наук или магистра искусств.</w:t>
      </w:r>
    </w:p>
    <w:p w:rsidR="00000000" w:rsidRDefault="00000000"/>
    <w:p w:rsidR="00000000" w:rsidRDefault="00000000">
      <w:r>
        <w:t>685.</w:t>
      </w:r>
      <w:r>
        <w:tab/>
        <w:t>В соответствии с рекомендацией Болонской декларации, содержащей обязательство 29 европейских стран реформировать систему высшего образования, высшие учебные заведения бывшей югославской Республики Македонии в настоящее время предлагают курсы программы вузовского и послевузовского образования.  Таким образом будет увеличено количество студентов, которые получат доступ к послевузовскому образованию.</w:t>
      </w:r>
    </w:p>
    <w:p w:rsidR="00000000" w:rsidRDefault="00000000"/>
    <w:p w:rsidR="00000000" w:rsidRDefault="00000000">
      <w:r>
        <w:t>686.</w:t>
      </w:r>
      <w:r>
        <w:tab/>
        <w:t>Высшей научной и ученой степенью в бывшей югославской Республике Македонии является степень доктора наук.  Подготовка к получению этой степени организована преимущественно на основе принципов научного руководства, а не организованных занятий.  Она присуждается по итогам защиты докторской диссертации перед комиссией в составе пяти экспертов в соответствующей области и после предварительного заключения, полученного по меньше мере от трех профильных организаций или учреждений.  Более подробные правила, касающиеся защиты докторских диссертаций, предусмотрены в уставах высших учебных заведений, а также государственных научных и учебных институтов, в которые могут обращаться соискатели степени доктора наук.</w:t>
      </w:r>
    </w:p>
    <w:p w:rsidR="00000000" w:rsidRDefault="00000000"/>
    <w:p w:rsidR="00000000" w:rsidRDefault="00000000">
      <w:r>
        <w:t>687.</w:t>
      </w:r>
      <w:r>
        <w:tab/>
        <w:t xml:space="preserve">Правительство обеспечивает развитие процесса, инициированного в </w:t>
      </w:r>
      <w:proofErr w:type="spellStart"/>
      <w:r>
        <w:t>Сорбоннской</w:t>
      </w:r>
      <w:proofErr w:type="spellEnd"/>
      <w:r>
        <w:t xml:space="preserve"> декларации, и координирует реформы в области высшего образования с Болонским процессом по созданию к 2010 году единого пространства европейского образования.  Реформы активизировались после официального присоединения к Болонскому процессу на Берлинской конференции европейских министров, отвечающих за высшее образование, состоявшейся в сентябре 2003 года.</w:t>
      </w:r>
    </w:p>
    <w:p w:rsidR="00000000" w:rsidRDefault="00000000"/>
    <w:p w:rsidR="00000000" w:rsidRDefault="00000000">
      <w:r>
        <w:t>688.</w:t>
      </w:r>
      <w:r>
        <w:tab/>
        <w:t>Правовую базу для осуществления этого процесса составляют Закон о высшем образовании ("Официальный вестник" бывшей югославской Республики Македонии № 64/00) и Закон о поправках к Закону о высшем образовании ("Официальный вестник" бывшей югославской Республики Македонии № 49/03).  Законодательство регулирует правовой статус и независимость университетов, создание государственных и частных высших учебных заведений, систему гарантии качества (оценка и аккредитация), методы финансирования, структуру званий, институциональные рамки для признания званий и квалификаций и т.п.  В 2003 году были утверждены нормы и стандарты, в соответствии с которыми осуществляется необходимая для создания высшего учебного заведения аккредитация.  Принятие Закона об учреждении Государственного университета в Тетово ("Официальный вестник" бывшей югославской Республики Македонии № 8/2004) заложило нормативно-правовую основу улучшения доступа к высшему образованию для общин меньшинств, таких, как албанская и другие общины.</w:t>
      </w:r>
    </w:p>
    <w:p w:rsidR="00000000" w:rsidRDefault="00000000"/>
    <w:p w:rsidR="00000000" w:rsidRDefault="00000000">
      <w:r>
        <w:t>689.</w:t>
      </w:r>
      <w:r>
        <w:tab/>
        <w:t>Создание в ноябре 2003 года Совета по развитию и финансированию высшего образования обеспечило структуру партнерства органов государственного управления и высших учебных заведений в процессе проведения реформ.  Значительная часть деятельности комиссий Совета ориентирована на определение критериев финансирования высшего образования и подготовку программы развития высшего образования.</w:t>
      </w:r>
    </w:p>
    <w:p w:rsidR="00000000" w:rsidRDefault="00000000"/>
    <w:p w:rsidR="00000000" w:rsidRDefault="00000000">
      <w:r>
        <w:t>690.</w:t>
      </w:r>
      <w:r>
        <w:tab/>
        <w:t>Министр образования и науки сформировал Комитет по мониторингу Болонского процесса, в состав которого вошли представители университетов бывшей югославской Республики Македонии, студенческих организаций и министерства.  Комитет подготовил Национальный доклад о ходе выполнения Болонского процесса в 2004</w:t>
      </w:r>
      <w:r>
        <w:noBreakHyphen/>
        <w:t>2005 годах.</w:t>
      </w:r>
    </w:p>
    <w:p w:rsidR="00000000" w:rsidRDefault="00000000"/>
    <w:p w:rsidR="00000000" w:rsidRDefault="00000000">
      <w:r>
        <w:t>691.</w:t>
      </w:r>
      <w:r>
        <w:tab/>
        <w:t>В качестве структур, ответственных за обеспечение качества высшего образования, были созданы Совет по аккредитации и Управление по оценке.  В 2002 году был осуществлен национальный проект, позволивший высшим учебным заведениям провести первую оценку своей деятельности.  В сотрудничестве с Ассоциацией европейских университетов в университетах страны состоялась внешняя оценка, проведенная такими учреждениями, как Совет ректоров Германии, посольство Франции, министерство иностранных дел Австрии, Фонд Института открытого общества "Македония".  Дальнейшие мероприятия в области обеспечения качества будут направлены на присоединение к Европейской сети обеспечения качества в высшем образовании (</w:t>
      </w:r>
      <w:r>
        <w:rPr>
          <w:lang w:val="en-US"/>
        </w:rPr>
        <w:t>E</w:t>
      </w:r>
      <w:r>
        <w:t xml:space="preserve">НКА), принятие и применение стандартов, процедур и руководящих принципов, подготовленных </w:t>
      </w:r>
      <w:r>
        <w:rPr>
          <w:lang w:val="en-US"/>
        </w:rPr>
        <w:t>E</w:t>
      </w:r>
      <w:r>
        <w:t>НКА, а также на сотрудничество с органами по обеспечению качества из стран Юго-Восточной Европы.</w:t>
      </w:r>
    </w:p>
    <w:p w:rsidR="00000000" w:rsidRDefault="00000000"/>
    <w:p w:rsidR="00000000" w:rsidRDefault="00000000">
      <w:r>
        <w:t>692.</w:t>
      </w:r>
      <w:r>
        <w:tab/>
        <w:t>Бывшая югославская Республика Македония является участником Сети учреждений Юго-Восточной Европы (ЮВЕ) по аккредитации и оценке.</w:t>
      </w:r>
    </w:p>
    <w:p w:rsidR="00000000" w:rsidRDefault="00000000"/>
    <w:p w:rsidR="00000000" w:rsidRDefault="00000000">
      <w:r>
        <w:t>693.</w:t>
      </w:r>
      <w:r>
        <w:tab/>
        <w:t>Ключевым элементом реформы является адаптация существующей системы.  Необходимо провести переориентацию первого и второго уровней, которые должны образовать различные профили, с тем чтобы соответствовать индивидуальным потребностям, академическим потребностям и потребностям рынка труда.  В начале 2004 года в сотрудничестве с Советом ректоров Германии министерство образования и науки организовало конференцию по вопросам высшего профессионального образования и прикладной науки.  В 2004/05 учебном году большинство технических факультетов университетов Скопье и Битолы открыли курсы трехгодичного обучения, ориентированного на потребности рынка труда.  Бывшая югославская Республика Македония принимает во внимание деятельность "Европейской сети квалификаций" и намеревается создать национальную сеть квалификаций.  Ожидается, что в рамках проекта ТЕМПУС Европейская комиссия предоставит финансовые средства для участия в третьем этапе проекта ТЮНИНГ.</w:t>
      </w:r>
    </w:p>
    <w:p w:rsidR="00000000" w:rsidRDefault="00000000"/>
    <w:p w:rsidR="00000000" w:rsidRDefault="00000000">
      <w:r>
        <w:t>694.</w:t>
      </w:r>
      <w:r>
        <w:tab/>
        <w:t>Учитывая необходимость более тесных отношений с Европой в области высшего образования и научных исследований, на конференции в Берлине министры расширили рамки обучения, предусмотренного Болонским процессом, включив в него подготовку докторов наук.  Особое внимание уделяется необходимости научных исследований, а также подготовке исследователей и содействию высшему образованию по междисциплинарным областям.  Мобильность на уровне подготовки докторов наук и их последующей научной деятельности является оправданной, и высшим учебным заведениям предлагается расширить сотрудничество в области подготовки докторов наук и молодых ученых.  Стимулируется развитие сетей подготовки докторов наук, а также развитие центров подготовки высококвалифицированных специалистов, как проводников концепции "Европа Знаний".  Бывшая югославская Республика Македония использует результаты деятельности Шестой рамочной программы научных исследований ЕС на 2002</w:t>
      </w:r>
      <w:r>
        <w:noBreakHyphen/>
        <w:t>2006 годы;  Программы европейского сотрудничества в области научно-технических исследований;  Программы Организации Объединенных Наций в области образования, науки и культуры (ЮНЕСКО);  Программы развития Организации Объединенных Наций (ПРООН);  Международного агентства по атомной энергии (МАГАТЭ), а также поддерживает двустороннее сотрудничество со странами ЕС, Соединенными Штатами Америки, Японией и другими странами в целях укрепления научно-исследовательской деятельности и развития.  Новые программы ЕС, такие, как "Сократ", "Темпус" и "Эразмус Мундус", расширили возможности для мобильности специалистов на послевузовском уровне и на уровне докторов наук.</w:t>
      </w:r>
    </w:p>
    <w:p w:rsidR="00000000" w:rsidRDefault="00000000"/>
    <w:p w:rsidR="00000000" w:rsidRDefault="00000000">
      <w:r>
        <w:t>695.</w:t>
      </w:r>
      <w:r>
        <w:tab/>
        <w:t>Правительство уделяет особое внимание созданию таких систем зачета баллов, которые соответствовали бы требованиям Европейской системы зачетных единиц (</w:t>
      </w:r>
      <w:proofErr w:type="spellStart"/>
      <w:r>
        <w:t>ЕСЗЕ</w:t>
      </w:r>
      <w:proofErr w:type="spellEnd"/>
      <w:r>
        <w:t xml:space="preserve">).  Ведется работа по реструктурированию учебных программ, их перевода на модульный принцип и внедрению системы зачетных единиц.  Составной частью реформ должны стать развитие таких систем посредством охвата ими профессионально-технического и непрерывного обучения.  Многие проекты </w:t>
      </w:r>
      <w:proofErr w:type="spellStart"/>
      <w:r>
        <w:t>ТЕМПУС</w:t>
      </w:r>
      <w:proofErr w:type="spellEnd"/>
      <w:r>
        <w:t xml:space="preserve"> помогают в создании типовых систем зачетных единиц и их внедрении в высших учебных заведениях в Скопье и </w:t>
      </w:r>
      <w:proofErr w:type="spellStart"/>
      <w:r>
        <w:t>Битоле</w:t>
      </w:r>
      <w:proofErr w:type="spellEnd"/>
      <w:r>
        <w:t xml:space="preserve">.  С 2005 года использование </w:t>
      </w:r>
      <w:proofErr w:type="spellStart"/>
      <w:r>
        <w:t>ЕСЗЕ</w:t>
      </w:r>
      <w:proofErr w:type="spellEnd"/>
      <w:r>
        <w:t xml:space="preserve"> в этих университетах станет обязательным.  Университет Юго-Восточной Европы в </w:t>
      </w:r>
      <w:proofErr w:type="spellStart"/>
      <w:r>
        <w:t>Тетово</w:t>
      </w:r>
      <w:proofErr w:type="spellEnd"/>
      <w:r>
        <w:t xml:space="preserve"> перешел на </w:t>
      </w:r>
      <w:proofErr w:type="spellStart"/>
      <w:r>
        <w:t>ЕСЗЕ</w:t>
      </w:r>
      <w:proofErr w:type="spellEnd"/>
      <w:r>
        <w:t xml:space="preserve"> в 2001 году.  Государственный университет </w:t>
      </w:r>
      <w:proofErr w:type="spellStart"/>
      <w:r>
        <w:t>Тетово</w:t>
      </w:r>
      <w:proofErr w:type="spellEnd"/>
      <w:r>
        <w:t xml:space="preserve">, открытый в октябре 2004 года, обязан разрабатывать свои учебные программы на принципах </w:t>
      </w:r>
      <w:proofErr w:type="spellStart"/>
      <w:r>
        <w:t>ЕСЗЕ</w:t>
      </w:r>
      <w:proofErr w:type="spellEnd"/>
      <w:r>
        <w:t xml:space="preserve">.  Переход на </w:t>
      </w:r>
      <w:proofErr w:type="spellStart"/>
      <w:r>
        <w:t>ЕСЗЕ</w:t>
      </w:r>
      <w:proofErr w:type="spellEnd"/>
      <w:r>
        <w:t xml:space="preserve"> должен облегчить для студентов перевод из одних высших учебных заведений в другие в рамках страны, региона и за его пределами.  Дополнительные усилия будут прилагаться для выполнения требований Руководства по </w:t>
      </w:r>
      <w:proofErr w:type="spellStart"/>
      <w:r>
        <w:t>ЕСЗЕ</w:t>
      </w:r>
      <w:proofErr w:type="spellEnd"/>
      <w:r>
        <w:t xml:space="preserve"> Европейской комиссии, а также мониторинга разработки и внедрения </w:t>
      </w:r>
      <w:proofErr w:type="spellStart"/>
      <w:r>
        <w:t>ЕСЗЕ</w:t>
      </w:r>
      <w:proofErr w:type="spellEnd"/>
      <w:r>
        <w:t xml:space="preserve"> как системы накопления и переноса зачетных единиц в официальной и неофициальной системе образования.</w:t>
      </w:r>
    </w:p>
    <w:p w:rsidR="00000000" w:rsidRDefault="00000000"/>
    <w:p w:rsidR="00000000" w:rsidRDefault="00000000">
      <w:r>
        <w:t>696.</w:t>
      </w:r>
      <w:r>
        <w:tab/>
        <w:t xml:space="preserve">Бывшая югославская Республика Македония ратифицировала Лиссабонскую конвенцию в 2003 году.  Страна является членом сети центров взаимного признания учебных курсов, научных степеней и дипломов </w:t>
      </w:r>
      <w:proofErr w:type="spellStart"/>
      <w:r>
        <w:rPr>
          <w:lang w:val="en-US"/>
        </w:rPr>
        <w:t>ENIC</w:t>
      </w:r>
      <w:proofErr w:type="spellEnd"/>
      <w:r>
        <w:t>/</w:t>
      </w:r>
      <w:proofErr w:type="spellStart"/>
      <w:r>
        <w:rPr>
          <w:lang w:val="en-US"/>
        </w:rPr>
        <w:t>NARIC</w:t>
      </w:r>
      <w:proofErr w:type="spellEnd"/>
      <w:r>
        <w:t>.  Национальный информационный центр действует под эгидой министерства образования и науки.  До 2005 года должны быть созданы условия для того, чтобы все выпускники помимо диплома получали и бесплатное дополнительное приложение к нему.  Бывшая югославская Республика Македония должна активно участвовать в проекте создания в Европе глобальной сети признания квалификаций в сфере высшего образования.</w:t>
      </w:r>
    </w:p>
    <w:p w:rsidR="00000000" w:rsidRDefault="00000000"/>
    <w:p w:rsidR="00000000" w:rsidRDefault="00000000">
      <w:r>
        <w:t>697.</w:t>
      </w:r>
      <w:r>
        <w:tab/>
        <w:t>В 2003 году правительство принимало региональную конференцию по непрерывному обучению.  На протяжении вот уже трех лет подряд Фонд Конрада Аденауэра является спонсором фестиваля непрерывного обучения, в котором помимо высших учебных заведений принимают участие и целый ряд НПО.  Министерство образования и науки создало рабочую группу для разработки стратегии в области непрерывного обучения.</w:t>
      </w:r>
    </w:p>
    <w:p w:rsidR="00000000" w:rsidRDefault="00000000"/>
    <w:p w:rsidR="00000000" w:rsidRDefault="00000000">
      <w:r>
        <w:t>698.</w:t>
      </w:r>
      <w:r>
        <w:tab/>
        <w:t xml:space="preserve">В проведении реформы системы высшего образования бывшей югославской Республики Македонии большую поддержку оказывает Европейская комиссия (главным образом через программу </w:t>
      </w:r>
      <w:proofErr w:type="spellStart"/>
      <w:r>
        <w:t>ТЕМПУС</w:t>
      </w:r>
      <w:proofErr w:type="spellEnd"/>
      <w:r>
        <w:t>), Совет Европы, Ассоциация европейских университетов, Европейский центр высшего образования ЮНЕСКО, Администрация ректоратов Германии, Всемирный банк, Фонд Института открытого общества "Македония" и другие учреждения, с которыми Республика наладила тесное сотрудничество.  На двустороннем уровне активное сотрудничество осуществляется с европейскими странами, в первую очередь с Австрией, Францией, Нидерландами, Словенией и Швейцарией, а на региональном уровне - со странами западной части Балканского полуострова, Албанией, Боснией и Герцеговиной, Хорватией, Сербией и Черногорией.</w:t>
      </w:r>
    </w:p>
    <w:p w:rsidR="00000000" w:rsidRDefault="00000000"/>
    <w:p w:rsidR="00000000" w:rsidRDefault="00000000">
      <w:pPr>
        <w:rPr>
          <w:b/>
          <w:bCs/>
        </w:rPr>
      </w:pPr>
      <w:r>
        <w:rPr>
          <w:b/>
          <w:bCs/>
        </w:rPr>
        <w:t>Плата за учебу</w:t>
      </w:r>
    </w:p>
    <w:p w:rsidR="00000000" w:rsidRDefault="00000000">
      <w:pPr>
        <w:rPr>
          <w:b/>
          <w:bCs/>
        </w:rPr>
      </w:pPr>
    </w:p>
    <w:p w:rsidR="00000000" w:rsidRDefault="00000000">
      <w:r>
        <w:t>699.</w:t>
      </w:r>
      <w:r>
        <w:tab/>
        <w:t>Студенты, зачисленные в высшие учебные заведения по государственной квоте, чье обучение субсидируется министерством образования и науки, платят во всех государственных университетах взнос в размере 200 </w:t>
      </w:r>
      <w:proofErr w:type="spellStart"/>
      <w:r>
        <w:t>евро</w:t>
      </w:r>
      <w:proofErr w:type="spellEnd"/>
      <w:r>
        <w:t>.</w:t>
      </w:r>
    </w:p>
    <w:p w:rsidR="00000000" w:rsidRDefault="00000000"/>
    <w:p w:rsidR="00000000" w:rsidRDefault="00000000">
      <w:r>
        <w:t>700.</w:t>
      </w:r>
      <w:r>
        <w:tab/>
        <w:t>Студенты, оплачивающие свою учебу самостоятельно, а также студенты, совмещающие учебу с работой, платят от 400 до 1 000 </w:t>
      </w:r>
      <w:proofErr w:type="spellStart"/>
      <w:r>
        <w:t>евро</w:t>
      </w:r>
      <w:proofErr w:type="spellEnd"/>
      <w:r>
        <w:t xml:space="preserve"> (в зависимости от факультета).  Студенты этих двух категорий могут быть освобождены от уплаты таких сумм, если они демонстрируют высокие учебные результаты.</w:t>
      </w:r>
    </w:p>
    <w:p w:rsidR="00000000" w:rsidRDefault="00000000"/>
    <w:p w:rsidR="00000000" w:rsidRDefault="00000000">
      <w:pPr>
        <w:rPr>
          <w:b/>
          <w:bCs/>
        </w:rPr>
      </w:pPr>
      <w:r>
        <w:rPr>
          <w:b/>
          <w:bCs/>
        </w:rPr>
        <w:t>Образование для взрослых</w:t>
      </w:r>
    </w:p>
    <w:p w:rsidR="00000000" w:rsidRDefault="00000000">
      <w:pPr>
        <w:rPr>
          <w:b/>
          <w:bCs/>
        </w:rPr>
      </w:pPr>
    </w:p>
    <w:p w:rsidR="00000000" w:rsidRDefault="00000000">
      <w:r>
        <w:t>701.</w:t>
      </w:r>
      <w:r>
        <w:tab/>
        <w:t>Лица старше 15 лет, которые по той или иной причине своевременно не получили начального образования, в соответствии с Законом о начальном образовании могут по их просьбе, а также по просьбе родителей (опекунов) и с согласия школьного учителя и психолога получить начальное образование в этой же школе до достижения ими 17 лет или же в начальной школе и других учебных заведениях для взрослых.</w:t>
      </w:r>
    </w:p>
    <w:p w:rsidR="00000000" w:rsidRDefault="00000000"/>
    <w:p w:rsidR="00000000" w:rsidRDefault="00000000">
      <w:r>
        <w:t>702.</w:t>
      </w:r>
      <w:r>
        <w:tab/>
        <w:t>Начальное образование для взрослых является составной частью общей системы образования.  Оно позволяет учащимся получить необходимые навыки, знания и опыт для скорейшего внедрения в социальную среду и трудоустройства, более гибкой адаптации и нахождения своего места в трудовой жизни.</w:t>
      </w:r>
    </w:p>
    <w:p w:rsidR="00000000" w:rsidRDefault="00000000"/>
    <w:p w:rsidR="00000000" w:rsidRDefault="00000000">
      <w:r>
        <w:t>703.</w:t>
      </w:r>
      <w:r>
        <w:tab/>
        <w:t xml:space="preserve">Согласно Закону о начальном образовании (статья 6), начальное образование для взрослых может быть организовано в начальных школах, а также в школах для взрослых и других учебных заведениях в соответствии с требованиями настоящего закона.  Однако на </w:t>
      </w:r>
    </w:p>
    <w:p w:rsidR="00000000" w:rsidRDefault="00000000">
      <w:r>
        <w:br w:type="page"/>
        <w:t>практике общеобразовательные начальные школы не организуют подобных курсов и не стремятся удовлетворять потребности взрослых учащихся.  Обучение в школах для взрослых ведется на македонском и албанском языках.</w:t>
      </w:r>
    </w:p>
    <w:p w:rsidR="00000000" w:rsidRDefault="00000000"/>
    <w:p w:rsidR="00000000" w:rsidRDefault="00000000">
      <w:r>
        <w:t>704.</w:t>
      </w:r>
      <w:r>
        <w:tab/>
        <w:t>Начальное образование доступно и взрослым старше 15 лет, не получившим такого образования, и по закону больше не обязанным получать его.  Для них разрабатываются и предлагаются особые учебные программы и курсы.  Обучение организуется в рамках обычной или подготовительной учебной программы в зависимости от возраста, психических и физических особенностей учащихся и их способностей к самообразованию.</w:t>
      </w:r>
    </w:p>
    <w:p w:rsidR="00000000" w:rsidRDefault="00000000"/>
    <w:p w:rsidR="00000000" w:rsidRDefault="00000000">
      <w:r>
        <w:t>705.</w:t>
      </w:r>
      <w:r>
        <w:tab/>
        <w:t>Среднее образование взрослые учащиеся получают в рамках обычного учебного процесса в общеобразовательных средних школах (без отрыва от производства).</w:t>
      </w:r>
    </w:p>
    <w:p w:rsidR="00000000" w:rsidRDefault="00000000"/>
    <w:p w:rsidR="00000000" w:rsidRDefault="00000000">
      <w:r>
        <w:t>706.</w:t>
      </w:r>
      <w:r>
        <w:tab/>
        <w:t>Образование для взрослых, являющееся структурной составляющей системы образования, еще недостаточно четко проработано в законодательных и подзаконных актах в этой области.</w:t>
      </w:r>
    </w:p>
    <w:p w:rsidR="00000000" w:rsidRDefault="00000000"/>
    <w:p w:rsidR="00000000" w:rsidRDefault="00000000">
      <w:r>
        <w:t>707.</w:t>
      </w:r>
      <w:r>
        <w:tab/>
        <w:t>Согласно Закону о среднем образовании (статья 52), лица, получившие начальное образование, могут быть зачислены в профессионально-технические средние школы для получения образования с отрывом и без отрыва от производства.  Государственные программы профессионально-технического образования рассчитаны на два, три и четыре года.  При этом существуют и специализированные программы, позволяющие получать специальное образование.  Кандидаты на участие в таких программах должны завершить четырехлетние программы и иметь трудовой стаж от двух до пяти лет в зависимости от курса или разновидности специального образования.</w:t>
      </w:r>
    </w:p>
    <w:p w:rsidR="00000000" w:rsidRDefault="00000000"/>
    <w:p w:rsidR="00000000" w:rsidRDefault="00000000">
      <w:r>
        <w:t>708.</w:t>
      </w:r>
      <w:r>
        <w:tab/>
        <w:t xml:space="preserve">Учащиеся, не получившие полного начального образования, могут поступать на двухгодичные профессионально-технические курсы.  Однако при этом они одновременно должны пройти и полную программу начального образования. </w:t>
      </w:r>
    </w:p>
    <w:p w:rsidR="00000000" w:rsidRDefault="00000000"/>
    <w:p w:rsidR="00000000" w:rsidRDefault="00000000">
      <w:r>
        <w:t>709.</w:t>
      </w:r>
      <w:r>
        <w:tab/>
        <w:t>В то же время образование и профессиональная подготовка для взрослых предлагаются главным образом в рамках следующих программ:</w:t>
      </w:r>
    </w:p>
    <w:p w:rsidR="00000000" w:rsidRDefault="00000000"/>
    <w:p w:rsidR="00000000" w:rsidRDefault="00000000">
      <w:pPr>
        <w:ind w:left="1134" w:hanging="1134"/>
      </w:pPr>
      <w:r>
        <w:tab/>
        <w:t>-</w:t>
      </w:r>
      <w:r>
        <w:tab/>
        <w:t>профессионально-техническое образование в школах в рамках программ, утвержденных государственными органами;</w:t>
      </w:r>
    </w:p>
    <w:p w:rsidR="00000000" w:rsidRDefault="00000000">
      <w:pPr>
        <w:ind w:left="1134" w:hanging="1134"/>
      </w:pPr>
    </w:p>
    <w:p w:rsidR="00000000" w:rsidRDefault="00000000">
      <w:pPr>
        <w:ind w:left="1134" w:hanging="1134"/>
      </w:pPr>
      <w:r>
        <w:br w:type="page"/>
      </w:r>
      <w:r>
        <w:tab/>
        <w:t>-</w:t>
      </w:r>
      <w:r>
        <w:tab/>
        <w:t>программы и курсы в центрах профессионально-технической подготовки работников, которые составлены на базе информации, полученной в ходе мониторинга рынка труда, а также индивидуальных потребностей кандидатов.  В таких центрах профессионально-технической подготовки предлагаются программы и курсы различной продолжительности;</w:t>
      </w:r>
    </w:p>
    <w:p w:rsidR="00000000" w:rsidRDefault="00000000">
      <w:pPr>
        <w:ind w:left="1134" w:hanging="1134"/>
      </w:pPr>
    </w:p>
    <w:p w:rsidR="00000000" w:rsidRDefault="00000000">
      <w:pPr>
        <w:ind w:left="1134" w:hanging="1134"/>
      </w:pPr>
      <w:r>
        <w:tab/>
        <w:t>-</w:t>
      </w:r>
      <w:r>
        <w:tab/>
        <w:t>программы профессионально-технической подготовки, повышения квалификации и специализации после получения среднего профессионально-технического образования.</w:t>
      </w:r>
    </w:p>
    <w:p w:rsidR="00000000" w:rsidRDefault="00000000">
      <w:pPr>
        <w:ind w:left="1134" w:hanging="1134"/>
      </w:pPr>
    </w:p>
    <w:p w:rsidR="00000000" w:rsidRDefault="00000000">
      <w:r>
        <w:t>710.</w:t>
      </w:r>
      <w:r>
        <w:tab/>
        <w:t>Организации образования для взрослых, которому посвящена глава 6 принятой национальной программы в области образования на 2005-2015 годы, а также соответствующая стратегия, отводится первостепенное значение в деле решения такой важнейшей задачи предстоящего периода, как повышение уровня образованности населения.  Особый акцент делается на повышении качества профессиональных/трудовых и социальных навыков.</w:t>
      </w:r>
    </w:p>
    <w:p w:rsidR="00000000" w:rsidRDefault="00000000"/>
    <w:p w:rsidR="00000000" w:rsidRDefault="00000000">
      <w:pPr>
        <w:rPr>
          <w:b/>
          <w:bCs/>
        </w:rPr>
      </w:pPr>
      <w:r>
        <w:rPr>
          <w:b/>
          <w:bCs/>
        </w:rPr>
        <w:t>Равный доступ к образованию для всех</w:t>
      </w:r>
    </w:p>
    <w:p w:rsidR="00000000" w:rsidRDefault="00000000">
      <w:pPr>
        <w:rPr>
          <w:b/>
          <w:bCs/>
        </w:rPr>
      </w:pPr>
    </w:p>
    <w:p w:rsidR="00000000" w:rsidRDefault="00000000">
      <w:r>
        <w:t>711.</w:t>
      </w:r>
      <w:r>
        <w:tab/>
        <w:t xml:space="preserve">Равный доступ к образованию в бывшей югославской Республике Македонии гарантируется Конституцией и вытекающими из нее законами о начальном, среднем и высшем образовании.  Статья 44 Конституции гарантирует равное право всех на получение образования с особым акцентом на начальное образование, которое является обязательным и бесплатным.  </w:t>
      </w:r>
    </w:p>
    <w:p w:rsidR="00000000" w:rsidRDefault="00000000"/>
    <w:p w:rsidR="00000000" w:rsidRDefault="00000000">
      <w:r>
        <w:t>712.</w:t>
      </w:r>
      <w:r>
        <w:tab/>
        <w:t>Согласно статьям 9 и 44 Конституции, равное право на образование имеют все граждане;  они обладают одинаковыми свободами и правами независимо от пола, расы, цвета кожи, национального или социального происхождения, политических или религиозных убеждений, а также имущественного и социального статуса.  Граждане равны перед Конституцией и законом.  В статье 44 подчеркивается, в частности, что все граждане имеют право на образование.  Ничто не мешает осуществлению этого конституционного положения на практике;  напротив для реализации этого права принимаются необходимые меры.  Начальное образование является обязательным и бесплатным, а среднее </w:t>
      </w:r>
      <w:r>
        <w:noBreakHyphen/>
        <w:t xml:space="preserve"> бесплатным.</w:t>
      </w:r>
    </w:p>
    <w:p w:rsidR="00000000" w:rsidRDefault="00000000"/>
    <w:p w:rsidR="00000000" w:rsidRDefault="00000000">
      <w:r>
        <w:br w:type="page"/>
        <w:t>713.</w:t>
      </w:r>
      <w:r>
        <w:tab/>
        <w:t>Согласно статье 45, на всех уровнях, за исключением начального, могут организовываться частные учебные заведения.</w:t>
      </w:r>
    </w:p>
    <w:p w:rsidR="00000000" w:rsidRDefault="00000000"/>
    <w:p w:rsidR="00000000" w:rsidRDefault="00000000">
      <w:r>
        <w:t>714.</w:t>
      </w:r>
      <w:r>
        <w:tab/>
        <w:t>Равный доступ к образованию обеспечивается также уже принятой национальной программой развития образования на 2005</w:t>
      </w:r>
      <w:r>
        <w:noBreakHyphen/>
        <w:t xml:space="preserve">2015 годы, а также национальным планом действий по защите прав ребенка в бывшей югославкой Республике Македонии.  Этот план действий в настоящее время находится на стадии утверждения с учетом положений Конвенции о правах ребенка и целей развития, закрепленных в Декларации тысячелетия.  </w:t>
      </w:r>
    </w:p>
    <w:p w:rsidR="00000000" w:rsidRDefault="00000000"/>
    <w:p w:rsidR="00000000" w:rsidRDefault="00000000">
      <w:r>
        <w:t>715.</w:t>
      </w:r>
      <w:r>
        <w:tab/>
        <w:t xml:space="preserve">Начальное образование организуется в начальных школах, а в ряде случаев, оговоренных в законодательстве, также в медицинских, пенитенциарных и исправительных учреждениях.  В Законе о начальном образовании (статьи 3, 4, 5, 6, 7 и 45) говорится, что все дети в возрасте от 7 до 14 лет должны в обязательном порядке посещать учебные заведения.  В первый класс начальной школы могут зачисляться и шестилетние дети, которым до начала учебного года не исполнилось семи лет, если они имеют на это положительное заключение врача, психолога или учителя.  Все начальные школы обязаны своевременно организовывать обучение для всех детей, проживающих в районе, к которому эта школа прикреплена министерством образования и науки.  Все родители/опекуны обязаны записывать своих детей в начальную школу и следить за тем, чтобы они регулярно посещали ее.  В случае, если дети в начальную школу не записаны или без объяснения причин отсутствуют на уроках свыше 30 дней, начальная школа обязана информировать об этом министерство образования и науки.  </w:t>
      </w:r>
    </w:p>
    <w:p w:rsidR="00000000" w:rsidRDefault="00000000"/>
    <w:p w:rsidR="00000000" w:rsidRDefault="00000000">
      <w:r>
        <w:t>716.</w:t>
      </w:r>
      <w:r>
        <w:tab/>
        <w:t xml:space="preserve">Учащиеся с особыми потребностями в зависимости от степени инвалидности обучаются в обычных классах начальной школы или в отдельных (специальных) школах.  Эти дети имеют право на бесплатный транспорт.  Для них учебный процесс организуется таким образом, чтобы они могли приобретать знания и готовиться к жизни в обществе.  </w:t>
      </w:r>
    </w:p>
    <w:p w:rsidR="00000000" w:rsidRDefault="00000000"/>
    <w:p w:rsidR="00000000" w:rsidRDefault="00000000">
      <w:r>
        <w:t>717.</w:t>
      </w:r>
      <w:r>
        <w:tab/>
        <w:t xml:space="preserve">Иностранные граждане и лица без гражданства на оговоренных в законе условиях также имеют в бывшей югославской Республике Македонии доступ к начальному образованию.  Государственные учреждения обеспечивают обязательное образование для внутренне перемещенных лиц с предоставлением бесплатного жилья и учебников.  Бюро развития образования готовит для них сокращенные учебные курсы.  </w:t>
      </w:r>
    </w:p>
    <w:p w:rsidR="00000000" w:rsidRDefault="00000000"/>
    <w:p w:rsidR="00000000" w:rsidRDefault="00000000">
      <w:r>
        <w:t>718.</w:t>
      </w:r>
      <w:r>
        <w:tab/>
        <w:t xml:space="preserve">Запись в средние школы проводится на основе конкурса, ежегодно объявляемого министерством образования и науки не позднее 31 марта.  Если число заявлений в государственные школы превышает количество объявленных мест, применяются </w:t>
      </w:r>
    </w:p>
    <w:p w:rsidR="00000000" w:rsidRDefault="00000000">
      <w:r>
        <w:br w:type="page"/>
        <w:t xml:space="preserve">дополнительные критерии (сертификаты международных и государственных конкурсов, конкурсные экзамены), утверждаемые с учетом мнения соответствующей государственной школы.  Среднее образование дают как государственные школы (государственные, муниципальные или школы города Скопье), так и частные школы.  Выпускники начальной школы могут поступать в среднюю школу или в профессионально-технические училища без отрыва и с отрывом от производства.  Лица, не окончившие начальной школы, проходят двухлетнюю профессионально-техническую подготовку, однако одновременно с этим они должны завершить обучение по программе начального образования.  В других учебных заведениях, созданных на основании действующего законодательства, может организовываться профессионально-техническая подготовка для взрослых и трехлетние профессионально-технические курсы.  Обучение в средних школах ведется на македонском языке на базе кириллицы, в то время как для представителей этнических общин преподавание в государственных школах организуется на их языке в установленном законом порядке, но с обязательным изучением македонского языка.  Представители этнических общин, обучающиеся на своем родном языке, используют учебники, написанные на этом же языке.  </w:t>
      </w:r>
    </w:p>
    <w:p w:rsidR="00000000" w:rsidRDefault="00000000"/>
    <w:p w:rsidR="00000000" w:rsidRDefault="00000000">
      <w:r>
        <w:t>719.</w:t>
      </w:r>
      <w:r>
        <w:tab/>
        <w:t>В государственные художественные школы могут поступать выпускники начальной школы и талантливые учащиеся, не получившие полного начального образования.  Учащиеся, не получившие полного начального образования, могут поступать в такие школы с разрешения министерства при условии, что одновременно они пройдут и программу начального образования.  Учащимся предоставляется также возможность поступать в старшие классы средней школы, готовящие учащихся к сдаче международных выпускных экзаменов.</w:t>
      </w:r>
    </w:p>
    <w:p w:rsidR="00000000" w:rsidRDefault="00000000"/>
    <w:p w:rsidR="00000000" w:rsidRDefault="00000000">
      <w:r>
        <w:t>720.</w:t>
      </w:r>
      <w:r>
        <w:tab/>
        <w:t>Государственные средние школы могут вести преподавание на одном из языков международного общения, а частные школы </w:t>
      </w:r>
      <w:r>
        <w:noBreakHyphen/>
        <w:t xml:space="preserve"> на иностранном языке.  Нормы преподавания на одном из языков международного общения утверждает министр.  В статье 5 Закона о среднем образовании предусматривается, что иностранные граждане и лица без гражданства могут получать среднее образование в установленном законом порядке.  </w:t>
      </w:r>
    </w:p>
    <w:p w:rsidR="00000000" w:rsidRDefault="00000000"/>
    <w:p w:rsidR="00000000" w:rsidRDefault="00000000">
      <w:r>
        <w:t>721.</w:t>
      </w:r>
      <w:r>
        <w:tab/>
        <w:t>Дети с особыми потребностями имеют возможность получать среднее образование в специальных или обычных средних школах, если они имеют обязательное начальное образование.  При этом они регистрируются и группируются в зависимости от типа и степени инвалидности.</w:t>
      </w:r>
    </w:p>
    <w:p w:rsidR="00000000" w:rsidRDefault="00000000"/>
    <w:p w:rsidR="00000000" w:rsidRDefault="00000000">
      <w:r>
        <w:br w:type="page"/>
        <w:t>722.</w:t>
      </w:r>
      <w:r>
        <w:tab/>
        <w:t>Поскольку выбор средних школ учащимися по</w:t>
      </w:r>
      <w:r>
        <w:noBreakHyphen/>
        <w:t>прежнему зависит от традиционного разделения профессий на мужские и женские, половая структура учащихся является несбалансированной.  В некоторых средних школах преобладают учащиеся женского пола (экономика или медицина), а в других </w:t>
      </w:r>
      <w:r>
        <w:noBreakHyphen/>
        <w:t xml:space="preserve"> мужского (механика или электротехника).  </w:t>
      </w:r>
    </w:p>
    <w:p w:rsidR="00000000" w:rsidRDefault="00000000"/>
    <w:p w:rsidR="00000000" w:rsidRDefault="00000000">
      <w:r>
        <w:t>723.</w:t>
      </w:r>
      <w:r>
        <w:tab/>
        <w:t>В рамках таких проектов, как "Десятилетие интеграции рома 2005</w:t>
      </w:r>
      <w:r>
        <w:noBreakHyphen/>
        <w:t>2015 годов" и "Образование для всех к 2015 году", осуществляющихся под эгидой ЮНЕСКО, Бюро развития образования прилагает усилия к увеличению числа учащихся в средних школах (особенно учащихся рома и в сельских районах).  Проводя работу среди родителей, группы экспертов пропагандируют значение образования.</w:t>
      </w:r>
    </w:p>
    <w:p w:rsidR="00000000" w:rsidRDefault="00000000"/>
    <w:p w:rsidR="00000000" w:rsidRDefault="00000000">
      <w:r>
        <w:t>724.</w:t>
      </w:r>
      <w:r>
        <w:tab/>
        <w:t>Лица, получившие полное начальное образование за рубежом, могут поступить в среднюю школу в случае подтверждения полученного ими за рубежом аттестата.</w:t>
      </w:r>
    </w:p>
    <w:p w:rsidR="00000000" w:rsidRDefault="00000000"/>
    <w:p w:rsidR="00000000" w:rsidRDefault="00000000">
      <w:r>
        <w:t>725.</w:t>
      </w:r>
      <w:r>
        <w:tab/>
        <w:t>Доступ к высшему образованию открыт для всех и регулируется Законом о высшем образовании (статьи 6, 95 и 157).  В этом законе определены основные условия зачисления в вузы, программы послевузовского образования и докторантуру.  В нем говорится, что граждане бывшей югославской Республики Македонии пользуются одинаковыми условиями и правами для обучения в высших учебных заведениях.  Поступление в вузы проводится на основе конкурса, объявляемого соответствующим учебным заведением.  Оно определяет критерии и условия поступления, которые одинаковы для всех граждан.  Это делается для того, чтобы обеспечить равный доступ к высшему образованию.  Опираясь на предложение Государственного университета, в основе которого лежит мнение университетского совета, правительство принимает решение о численности абитуриентов, которые могут быть приняты в государственные высшие учебные заведения (где обучение финансируется из государственного бюджета).  Решение о числе абитуриентов, принимаемых в государственные вузы сверх установленной квоты, поднимается соответствующими учебными заведениями на определенных законом условиях.</w:t>
      </w:r>
    </w:p>
    <w:p w:rsidR="00000000" w:rsidRDefault="00000000"/>
    <w:p w:rsidR="00000000" w:rsidRDefault="00000000">
      <w:r>
        <w:t>726.</w:t>
      </w:r>
      <w:r>
        <w:tab/>
        <w:t>Лица, окончившие четырехлетнюю среднюю школу и удовлетворяющие условиям и критериям, предъявляемым к абитуриентам, могут быть зачислены в высшие учебные заведения.</w:t>
      </w:r>
    </w:p>
    <w:p w:rsidR="00000000" w:rsidRDefault="00000000"/>
    <w:p w:rsidR="00000000" w:rsidRDefault="00000000">
      <w:r>
        <w:t>727.</w:t>
      </w:r>
      <w:r>
        <w:tab/>
        <w:t>Закон предусматривает справедливые и равные условия доступа к высшему образованию для граждан, представляющих меньшинства.  Предпосылкой эффективного осуществления этого права является применение принципа так называемой "позитивной дискриминации".  Этот принцип позволяет зачислять на первые куры вузов бывшей югославской Республики Македонии представителей меньшинств в рамках так называемых дополнительных квот при условии выполнения ими определенных конкурсных требований.  Такие дополнительные квоты утверждает правительство.  Этот принцип с поправками, внесенными в него на основании Закона о высшем образовании 2003 года ("Официальный вестник" бывшей югославской Республики Македонии № 49/2003), носит обязательный характер и закреплен в пункте 9 статьи 95 Закона.</w:t>
      </w:r>
    </w:p>
    <w:p w:rsidR="00000000" w:rsidRDefault="00000000"/>
    <w:p w:rsidR="00000000" w:rsidRDefault="00000000">
      <w:r>
        <w:t>728.</w:t>
      </w:r>
      <w:r>
        <w:tab/>
        <w:t>Иностранные граждане пользуются доступом к высшему образованию на основе принципов взаимности (студентам из страны должны предоставляться равные условия за рубежом).  Лицам без гражданства доступ предоставляется на условиях, определяемых в законе, в соответствии с ратифицированными международными соглашениями.</w:t>
      </w:r>
    </w:p>
    <w:p w:rsidR="00000000" w:rsidRDefault="00000000"/>
    <w:p w:rsidR="00000000" w:rsidRDefault="00000000">
      <w:r>
        <w:t>729.</w:t>
      </w:r>
      <w:r>
        <w:tab/>
        <w:t>Лица, не окончившие четырехлетнюю программу среднего образования, могут быть зачислены для обучения по вузовской программе продолжительностью менее четырех лет или в высшие профессионально-технические училища в том случае, если они удовлетворяют другим требованиям и критериям, определенным в уставе высших учебных заведений или установленным для абитуриентов.</w:t>
      </w:r>
    </w:p>
    <w:p w:rsidR="00000000" w:rsidRDefault="00000000"/>
    <w:p w:rsidR="00000000" w:rsidRDefault="00000000">
      <w:r>
        <w:t>730.</w:t>
      </w:r>
      <w:r>
        <w:tab/>
        <w:t>Особо талантливые учащиеся могут быть зачислены в театрально-художественные вузы даже не имея полного среднего образования при условии, что они получат его до конца второго года обучения в соответствии с условиями, определенными в уставе вуза.</w:t>
      </w:r>
    </w:p>
    <w:p w:rsidR="00000000" w:rsidRDefault="00000000"/>
    <w:p w:rsidR="00000000" w:rsidRDefault="00000000">
      <w:r>
        <w:t>731.</w:t>
      </w:r>
      <w:r>
        <w:tab/>
        <w:t>Помимо государственных университетов услуги высшего образования могут оказывать и частные учебные заведения при условии, что они выполняют установленные в законе требования и имеют соответствующее разрешение от правительства.  Согласно Закону о высшем образовании и Постановлению о нормах и стандартах, основатели таких учебных заведений должны обеспечивать условия и оборудование, необходимые для учебной, научной или художественной деятельности.</w:t>
      </w:r>
    </w:p>
    <w:p w:rsidR="00000000" w:rsidRDefault="00000000"/>
    <w:p w:rsidR="00000000" w:rsidRDefault="00000000">
      <w:r>
        <w:t>732.</w:t>
      </w:r>
      <w:r>
        <w:tab/>
        <w:t xml:space="preserve">С принятием Закона о создании Государственного университета Тетово ("Официальный вестник" бывшей югославской Республики Македонии № 8/2004) был основан Государственный университет Тетово, который с 1 октября 2004 года в соответствии с положениями Закона о высшем образовании начал свою работу.  Этот университет насчитывает пять факультетов:  факультет естественных наук и математики, факультет гуманитарных наук и искусств, факультет экономики, факультет права и центр политехнических исследований, являющийся высшей профессионально-технической школой.  В этом университете, свыше 90% учащихся которого являются представителями албанской общины, преподавание ведется на албанском языке.  В решении правительства о дополнительных квотах для абитуриентов </w:t>
      </w:r>
      <w:r>
        <w:noBreakHyphen/>
        <w:t xml:space="preserve"> представителей этнических общин на 2004/05 учебный год предусматривается, что представители албанской общины могут поступать в государственные университеты, предлагающие такие же учебные программы, как и Государственный университет Тетово, лишь в рамках обычных квот.</w:t>
      </w:r>
    </w:p>
    <w:p w:rsidR="00000000" w:rsidRDefault="00000000"/>
    <w:p w:rsidR="00000000" w:rsidRDefault="00000000">
      <w:r>
        <w:t>733.</w:t>
      </w:r>
      <w:r>
        <w:tab/>
        <w:t>Статус студента, а соответственно и члена академического сообщества, доступен всем на равных условиях, определяемых в законодательстве, уставе вузов и учебной программе.  Согласно статье 157, студент имеет право учиться полный учебный день и являться полноценным студентом либо учиться не полный рабочий день и иметь соответствующий статус.  Студенты имеют право выбирать учебные программы и одновременно учитываться по нескольким учебным программам в разных областях, а также слушать разные курсы.  Поступив в вуз, студент имеет право продолжить учебу в другом высшем учебном заведении, если тот вуз, куда он поступил, закроется.  Студенты имеют право пользоваться помещениями, оборудованием (приспособлениями), библиотеками, программным обеспечением и всеми другими компонентами научной и учебной инфраструктуры вузов.  Студенты имеют также право на получение полагающихся им услуг.  Сироты, слепые и глухие лица, инвалиды первой и второй степеней, матери с детьми в возрасте до шести лет, а также лица, находящиеся на стационарном лечении, также могут стать студентами или аспирантами для получения звания доктора наук или специалиста.  Статус студентов вузов дает им особые льготы.</w:t>
      </w:r>
    </w:p>
    <w:p w:rsidR="00000000" w:rsidRDefault="00000000"/>
    <w:p w:rsidR="00000000" w:rsidRDefault="00000000">
      <w:r>
        <w:t>734.</w:t>
      </w:r>
      <w:r>
        <w:tab/>
        <w:t>Обучение в высших учебных заведениях ведется на македонском языке.  В то же время в статье 95 Закона предусматривается возможность обучения и на языках представителей этнических общин на условиях, определенных в законодательстве.  Обучение может вестись и на одном из языков международного общения, например в рамках учебных программ преподавания иностранных языков, учебных программ, в которых участвуют иностранные преподаватели, а также учебных программ, преподаваемых на македонском языке.</w:t>
      </w:r>
    </w:p>
    <w:p w:rsidR="00000000" w:rsidRDefault="00000000"/>
    <w:p w:rsidR="00000000" w:rsidRDefault="00000000">
      <w:r>
        <w:t>735.</w:t>
      </w:r>
      <w:r>
        <w:tab/>
        <w:t>Большое число НПО проводят учебные программы и другие мероприятия на равных для всех условиях.</w:t>
      </w:r>
    </w:p>
    <w:p w:rsidR="00000000" w:rsidRDefault="00000000"/>
    <w:p w:rsidR="00000000" w:rsidRDefault="00000000">
      <w:pPr>
        <w:keepNext/>
        <w:spacing w:line="720" w:lineRule="auto"/>
        <w:rPr>
          <w:lang w:val="en-US"/>
        </w:rPr>
      </w:pPr>
      <w:r>
        <w:br w:type="page"/>
      </w:r>
      <w:bookmarkStart w:id="61" w:name="_MON_1222159399"/>
      <w:bookmarkStart w:id="62" w:name="_MON_1222164459"/>
      <w:bookmarkStart w:id="63" w:name="_MON_1222164646"/>
      <w:bookmarkStart w:id="64" w:name="_MON_1222164961"/>
      <w:bookmarkStart w:id="65" w:name="_MON_1222165005"/>
      <w:bookmarkStart w:id="66" w:name="_MON_1222165063"/>
      <w:bookmarkStart w:id="67" w:name="_MON_1222167566"/>
      <w:bookmarkEnd w:id="61"/>
      <w:bookmarkEnd w:id="62"/>
      <w:bookmarkEnd w:id="63"/>
      <w:bookmarkEnd w:id="64"/>
      <w:bookmarkEnd w:id="65"/>
      <w:bookmarkEnd w:id="66"/>
      <w:bookmarkEnd w:id="67"/>
      <w:r>
        <w:object w:dxaOrig="9294" w:dyaOrig="12552">
          <v:shape id="_x0000_i1042" type="#_x0000_t75" style="width:465pt;height:604.5pt" o:ole="">
            <v:imagedata r:id="rId43" o:title=""/>
          </v:shape>
          <o:OLEObject Type="Embed" ProgID="Word.Picture.8" ShapeID="_x0000_i1042" DrawAspect="Content" ObjectID="_1395883185" r:id="rId44"/>
        </w:object>
      </w:r>
    </w:p>
    <w:p w:rsidR="00000000" w:rsidRDefault="00000000">
      <w:pPr>
        <w:spacing w:line="720" w:lineRule="auto"/>
        <w:jc w:val="center"/>
        <w:rPr>
          <w:b/>
          <w:bCs/>
        </w:rPr>
      </w:pPr>
      <w:r>
        <w:rPr>
          <w:b/>
          <w:bCs/>
        </w:rPr>
        <w:t>Школьная сеть на всех уровнях образования</w:t>
      </w:r>
    </w:p>
    <w:p w:rsidR="00000000" w:rsidRDefault="00000000">
      <w:pPr>
        <w:pStyle w:val="Heading2"/>
        <w:jc w:val="center"/>
        <w:rPr>
          <w:b/>
          <w:bCs/>
          <w:u w:val="none"/>
        </w:rPr>
      </w:pPr>
      <w:r>
        <w:rPr>
          <w:b/>
          <w:bCs/>
          <w:u w:val="none"/>
        </w:rPr>
        <w:t>Число учащихся начальной, средней и высшей школы</w:t>
      </w:r>
      <w:r>
        <w:rPr>
          <w:b/>
          <w:bCs/>
          <w:u w:val="none"/>
        </w:rPr>
        <w:br/>
        <w:t>по данным Государственного статистического управления</w:t>
      </w:r>
    </w:p>
    <w:p w:rsidR="00000000" w:rsidRDefault="00000000"/>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701"/>
        <w:gridCol w:w="1871"/>
        <w:gridCol w:w="1871"/>
        <w:gridCol w:w="2041"/>
        <w:gridCol w:w="1871"/>
      </w:tblGrid>
      <w:tr w:rsidR="00000000">
        <w:trPr>
          <w:cantSplit/>
        </w:trPr>
        <w:tc>
          <w:tcPr>
            <w:tcW w:w="1701" w:type="dxa"/>
            <w:tcBorders>
              <w:bottom w:val="single" w:sz="4" w:space="0" w:color="auto"/>
            </w:tcBorders>
          </w:tcPr>
          <w:p w:rsidR="00000000" w:rsidRDefault="00000000">
            <w:pPr>
              <w:spacing w:line="240" w:lineRule="auto"/>
              <w:jc w:val="center"/>
              <w:rPr>
                <w:bCs/>
                <w:szCs w:val="22"/>
              </w:rPr>
            </w:pPr>
            <w:r>
              <w:rPr>
                <w:bCs/>
                <w:szCs w:val="22"/>
              </w:rPr>
              <w:t>Год</w:t>
            </w:r>
          </w:p>
        </w:tc>
        <w:tc>
          <w:tcPr>
            <w:tcW w:w="1871" w:type="dxa"/>
            <w:tcBorders>
              <w:bottom w:val="single" w:sz="4" w:space="0" w:color="auto"/>
            </w:tcBorders>
          </w:tcPr>
          <w:p w:rsidR="00000000" w:rsidRDefault="00000000">
            <w:pPr>
              <w:pStyle w:val="Heading1"/>
              <w:spacing w:line="240" w:lineRule="auto"/>
              <w:jc w:val="center"/>
              <w:rPr>
                <w:b w:val="0"/>
                <w:bCs/>
                <w:caps/>
                <w:szCs w:val="22"/>
              </w:rPr>
            </w:pPr>
            <w:r>
              <w:rPr>
                <w:b w:val="0"/>
                <w:bCs/>
                <w:szCs w:val="22"/>
              </w:rPr>
              <w:t>Начальная школа</w:t>
            </w:r>
          </w:p>
        </w:tc>
        <w:tc>
          <w:tcPr>
            <w:tcW w:w="1871" w:type="dxa"/>
            <w:tcBorders>
              <w:bottom w:val="single" w:sz="4" w:space="0" w:color="auto"/>
            </w:tcBorders>
          </w:tcPr>
          <w:p w:rsidR="00000000" w:rsidRDefault="00000000">
            <w:pPr>
              <w:spacing w:line="240" w:lineRule="auto"/>
              <w:jc w:val="center"/>
              <w:rPr>
                <w:bCs/>
                <w:szCs w:val="22"/>
              </w:rPr>
            </w:pPr>
            <w:r>
              <w:rPr>
                <w:bCs/>
                <w:szCs w:val="22"/>
              </w:rPr>
              <w:t>Средняя</w:t>
            </w:r>
            <w:r>
              <w:rPr>
                <w:bCs/>
                <w:szCs w:val="22"/>
              </w:rPr>
              <w:br/>
              <w:t>школа</w:t>
            </w:r>
          </w:p>
        </w:tc>
        <w:tc>
          <w:tcPr>
            <w:tcW w:w="2041" w:type="dxa"/>
            <w:tcBorders>
              <w:bottom w:val="single" w:sz="4" w:space="0" w:color="auto"/>
            </w:tcBorders>
          </w:tcPr>
          <w:p w:rsidR="00000000" w:rsidRDefault="00000000">
            <w:pPr>
              <w:spacing w:line="240" w:lineRule="auto"/>
              <w:jc w:val="center"/>
              <w:rPr>
                <w:bCs/>
                <w:szCs w:val="22"/>
              </w:rPr>
            </w:pPr>
            <w:r>
              <w:rPr>
                <w:bCs/>
                <w:szCs w:val="22"/>
              </w:rPr>
              <w:t>Высшее профессионально-техническое образование</w:t>
            </w:r>
          </w:p>
        </w:tc>
        <w:tc>
          <w:tcPr>
            <w:tcW w:w="1871" w:type="dxa"/>
            <w:tcBorders>
              <w:bottom w:val="single" w:sz="4" w:space="0" w:color="auto"/>
            </w:tcBorders>
          </w:tcPr>
          <w:p w:rsidR="00000000" w:rsidRDefault="00000000">
            <w:pPr>
              <w:spacing w:line="240" w:lineRule="auto"/>
              <w:jc w:val="center"/>
              <w:rPr>
                <w:bCs/>
                <w:szCs w:val="22"/>
              </w:rPr>
            </w:pPr>
            <w:r>
              <w:rPr>
                <w:bCs/>
                <w:szCs w:val="22"/>
              </w:rPr>
              <w:t>Высшее образование</w:t>
            </w:r>
          </w:p>
        </w:tc>
      </w:tr>
      <w:tr w:rsidR="00000000">
        <w:trPr>
          <w:cantSplit/>
        </w:trPr>
        <w:tc>
          <w:tcPr>
            <w:tcW w:w="1701" w:type="dxa"/>
            <w:tcBorders>
              <w:bottom w:val="nil"/>
            </w:tcBorders>
            <w:vAlign w:val="center"/>
          </w:tcPr>
          <w:p w:rsidR="00000000" w:rsidRDefault="00000000">
            <w:pPr>
              <w:ind w:left="317"/>
              <w:rPr>
                <w:szCs w:val="22"/>
              </w:rPr>
            </w:pPr>
            <w:r>
              <w:rPr>
                <w:szCs w:val="22"/>
              </w:rPr>
              <w:t>1995/96</w:t>
            </w:r>
          </w:p>
        </w:tc>
        <w:tc>
          <w:tcPr>
            <w:tcW w:w="1871" w:type="dxa"/>
            <w:tcBorders>
              <w:bottom w:val="nil"/>
            </w:tcBorders>
            <w:vAlign w:val="center"/>
          </w:tcPr>
          <w:p w:rsidR="00000000" w:rsidRDefault="00000000">
            <w:pPr>
              <w:jc w:val="center"/>
              <w:rPr>
                <w:szCs w:val="22"/>
              </w:rPr>
            </w:pPr>
            <w:r>
              <w:rPr>
                <w:szCs w:val="22"/>
              </w:rPr>
              <w:t>259 515</w:t>
            </w:r>
          </w:p>
        </w:tc>
        <w:tc>
          <w:tcPr>
            <w:tcW w:w="1871" w:type="dxa"/>
            <w:tcBorders>
              <w:bottom w:val="nil"/>
            </w:tcBorders>
            <w:vAlign w:val="center"/>
          </w:tcPr>
          <w:p w:rsidR="00000000" w:rsidRDefault="00000000">
            <w:pPr>
              <w:jc w:val="center"/>
              <w:rPr>
                <w:szCs w:val="22"/>
              </w:rPr>
            </w:pPr>
            <w:r>
              <w:rPr>
                <w:szCs w:val="22"/>
              </w:rPr>
              <w:t>77 817</w:t>
            </w:r>
          </w:p>
        </w:tc>
        <w:tc>
          <w:tcPr>
            <w:tcW w:w="2041" w:type="dxa"/>
            <w:tcBorders>
              <w:bottom w:val="nil"/>
            </w:tcBorders>
            <w:vAlign w:val="center"/>
          </w:tcPr>
          <w:p w:rsidR="00000000" w:rsidRDefault="00000000">
            <w:pPr>
              <w:tabs>
                <w:tab w:val="clear" w:pos="567"/>
                <w:tab w:val="clear" w:pos="1701"/>
                <w:tab w:val="clear" w:pos="2268"/>
                <w:tab w:val="clear" w:pos="6237"/>
                <w:tab w:val="decimal" w:pos="1134"/>
              </w:tabs>
              <w:ind w:right="572"/>
              <w:rPr>
                <w:szCs w:val="22"/>
              </w:rPr>
            </w:pPr>
            <w:r>
              <w:rPr>
                <w:szCs w:val="22"/>
              </w:rPr>
              <w:t>1 510</w:t>
            </w:r>
          </w:p>
        </w:tc>
        <w:tc>
          <w:tcPr>
            <w:tcW w:w="1871" w:type="dxa"/>
            <w:tcBorders>
              <w:bottom w:val="nil"/>
            </w:tcBorders>
            <w:vAlign w:val="center"/>
          </w:tcPr>
          <w:p w:rsidR="00000000" w:rsidRDefault="00000000">
            <w:pPr>
              <w:jc w:val="center"/>
              <w:rPr>
                <w:szCs w:val="22"/>
              </w:rPr>
            </w:pPr>
            <w:r>
              <w:rPr>
                <w:szCs w:val="22"/>
              </w:rPr>
              <w:t>28 073</w:t>
            </w:r>
          </w:p>
        </w:tc>
      </w:tr>
      <w:tr w:rsidR="00000000">
        <w:trPr>
          <w:cantSplit/>
        </w:trPr>
        <w:tc>
          <w:tcPr>
            <w:tcW w:w="1701" w:type="dxa"/>
            <w:tcBorders>
              <w:top w:val="nil"/>
              <w:bottom w:val="nil"/>
            </w:tcBorders>
            <w:vAlign w:val="center"/>
          </w:tcPr>
          <w:p w:rsidR="00000000" w:rsidRDefault="00000000">
            <w:pPr>
              <w:ind w:left="317"/>
              <w:rPr>
                <w:szCs w:val="22"/>
              </w:rPr>
            </w:pPr>
            <w:r>
              <w:rPr>
                <w:szCs w:val="22"/>
              </w:rPr>
              <w:t>1996/97</w:t>
            </w:r>
          </w:p>
        </w:tc>
        <w:tc>
          <w:tcPr>
            <w:tcW w:w="1871" w:type="dxa"/>
            <w:tcBorders>
              <w:top w:val="nil"/>
              <w:bottom w:val="nil"/>
            </w:tcBorders>
            <w:vAlign w:val="center"/>
          </w:tcPr>
          <w:p w:rsidR="00000000" w:rsidRDefault="00000000">
            <w:pPr>
              <w:jc w:val="center"/>
              <w:rPr>
                <w:szCs w:val="22"/>
              </w:rPr>
            </w:pPr>
            <w:r>
              <w:rPr>
                <w:szCs w:val="22"/>
              </w:rPr>
              <w:t>258 587</w:t>
            </w:r>
          </w:p>
        </w:tc>
        <w:tc>
          <w:tcPr>
            <w:tcW w:w="1871" w:type="dxa"/>
            <w:tcBorders>
              <w:top w:val="nil"/>
              <w:bottom w:val="nil"/>
            </w:tcBorders>
            <w:vAlign w:val="center"/>
          </w:tcPr>
          <w:p w:rsidR="00000000" w:rsidRDefault="00000000">
            <w:pPr>
              <w:jc w:val="center"/>
              <w:rPr>
                <w:szCs w:val="22"/>
              </w:rPr>
            </w:pPr>
            <w:r>
              <w:rPr>
                <w:szCs w:val="22"/>
              </w:rPr>
              <w:t>80 903</w:t>
            </w:r>
          </w:p>
        </w:tc>
        <w:tc>
          <w:tcPr>
            <w:tcW w:w="2041" w:type="dxa"/>
            <w:tcBorders>
              <w:top w:val="nil"/>
              <w:bottom w:val="nil"/>
            </w:tcBorders>
            <w:vAlign w:val="center"/>
          </w:tcPr>
          <w:p w:rsidR="00000000" w:rsidRDefault="00000000">
            <w:pPr>
              <w:tabs>
                <w:tab w:val="clear" w:pos="567"/>
                <w:tab w:val="clear" w:pos="1701"/>
                <w:tab w:val="clear" w:pos="2268"/>
                <w:tab w:val="clear" w:pos="6237"/>
                <w:tab w:val="decimal" w:pos="1134"/>
              </w:tabs>
              <w:ind w:right="572"/>
              <w:rPr>
                <w:szCs w:val="22"/>
              </w:rPr>
            </w:pPr>
            <w:r>
              <w:rPr>
                <w:szCs w:val="22"/>
              </w:rPr>
              <w:t>886</w:t>
            </w:r>
          </w:p>
        </w:tc>
        <w:tc>
          <w:tcPr>
            <w:tcW w:w="1871" w:type="dxa"/>
            <w:tcBorders>
              <w:top w:val="nil"/>
              <w:bottom w:val="nil"/>
            </w:tcBorders>
            <w:vAlign w:val="center"/>
          </w:tcPr>
          <w:p w:rsidR="00000000" w:rsidRDefault="00000000">
            <w:pPr>
              <w:jc w:val="center"/>
              <w:rPr>
                <w:szCs w:val="22"/>
              </w:rPr>
            </w:pPr>
            <w:r>
              <w:rPr>
                <w:szCs w:val="22"/>
              </w:rPr>
              <w:t>29 868</w:t>
            </w:r>
          </w:p>
        </w:tc>
      </w:tr>
      <w:tr w:rsidR="00000000">
        <w:trPr>
          <w:cantSplit/>
        </w:trPr>
        <w:tc>
          <w:tcPr>
            <w:tcW w:w="1701" w:type="dxa"/>
            <w:tcBorders>
              <w:top w:val="nil"/>
              <w:bottom w:val="nil"/>
            </w:tcBorders>
            <w:vAlign w:val="center"/>
          </w:tcPr>
          <w:p w:rsidR="00000000" w:rsidRDefault="00000000">
            <w:pPr>
              <w:ind w:left="317"/>
              <w:rPr>
                <w:szCs w:val="22"/>
              </w:rPr>
            </w:pPr>
            <w:r>
              <w:rPr>
                <w:szCs w:val="22"/>
              </w:rPr>
              <w:t>1997/98</w:t>
            </w:r>
          </w:p>
        </w:tc>
        <w:tc>
          <w:tcPr>
            <w:tcW w:w="1871" w:type="dxa"/>
            <w:tcBorders>
              <w:top w:val="nil"/>
              <w:bottom w:val="nil"/>
            </w:tcBorders>
            <w:vAlign w:val="center"/>
          </w:tcPr>
          <w:p w:rsidR="00000000" w:rsidRDefault="00000000">
            <w:pPr>
              <w:jc w:val="center"/>
              <w:rPr>
                <w:szCs w:val="22"/>
              </w:rPr>
            </w:pPr>
            <w:r>
              <w:rPr>
                <w:szCs w:val="22"/>
              </w:rPr>
              <w:t>256 275</w:t>
            </w:r>
          </w:p>
        </w:tc>
        <w:tc>
          <w:tcPr>
            <w:tcW w:w="1871" w:type="dxa"/>
            <w:tcBorders>
              <w:top w:val="nil"/>
              <w:bottom w:val="nil"/>
            </w:tcBorders>
            <w:vAlign w:val="center"/>
          </w:tcPr>
          <w:p w:rsidR="00000000" w:rsidRDefault="00000000">
            <w:pPr>
              <w:jc w:val="center"/>
              <w:rPr>
                <w:szCs w:val="22"/>
              </w:rPr>
            </w:pPr>
            <w:r>
              <w:rPr>
                <w:szCs w:val="22"/>
              </w:rPr>
              <w:t>84 059</w:t>
            </w:r>
          </w:p>
        </w:tc>
        <w:tc>
          <w:tcPr>
            <w:tcW w:w="2041" w:type="dxa"/>
            <w:tcBorders>
              <w:top w:val="nil"/>
              <w:bottom w:val="nil"/>
            </w:tcBorders>
            <w:vAlign w:val="center"/>
          </w:tcPr>
          <w:p w:rsidR="00000000" w:rsidRDefault="00000000">
            <w:pPr>
              <w:tabs>
                <w:tab w:val="clear" w:pos="567"/>
                <w:tab w:val="clear" w:pos="1701"/>
                <w:tab w:val="clear" w:pos="2268"/>
                <w:tab w:val="clear" w:pos="6237"/>
                <w:tab w:val="decimal" w:pos="1134"/>
              </w:tabs>
              <w:ind w:right="572"/>
              <w:rPr>
                <w:szCs w:val="22"/>
              </w:rPr>
            </w:pPr>
            <w:r>
              <w:rPr>
                <w:szCs w:val="22"/>
              </w:rPr>
              <w:t>995</w:t>
            </w:r>
          </w:p>
        </w:tc>
        <w:tc>
          <w:tcPr>
            <w:tcW w:w="1871" w:type="dxa"/>
            <w:tcBorders>
              <w:top w:val="nil"/>
              <w:bottom w:val="nil"/>
            </w:tcBorders>
            <w:vAlign w:val="center"/>
          </w:tcPr>
          <w:p w:rsidR="00000000" w:rsidRDefault="00000000">
            <w:pPr>
              <w:jc w:val="center"/>
              <w:rPr>
                <w:szCs w:val="22"/>
              </w:rPr>
            </w:pPr>
            <w:r>
              <w:rPr>
                <w:szCs w:val="22"/>
              </w:rPr>
              <w:t>32 048</w:t>
            </w:r>
          </w:p>
        </w:tc>
      </w:tr>
      <w:tr w:rsidR="00000000">
        <w:trPr>
          <w:cantSplit/>
        </w:trPr>
        <w:tc>
          <w:tcPr>
            <w:tcW w:w="1701" w:type="dxa"/>
            <w:tcBorders>
              <w:top w:val="nil"/>
              <w:bottom w:val="nil"/>
            </w:tcBorders>
            <w:vAlign w:val="center"/>
          </w:tcPr>
          <w:p w:rsidR="00000000" w:rsidRDefault="00000000">
            <w:pPr>
              <w:ind w:left="317"/>
              <w:rPr>
                <w:szCs w:val="22"/>
              </w:rPr>
            </w:pPr>
            <w:r>
              <w:rPr>
                <w:szCs w:val="22"/>
              </w:rPr>
              <w:t>1998/99</w:t>
            </w:r>
          </w:p>
        </w:tc>
        <w:tc>
          <w:tcPr>
            <w:tcW w:w="1871" w:type="dxa"/>
            <w:tcBorders>
              <w:top w:val="nil"/>
              <w:bottom w:val="nil"/>
            </w:tcBorders>
            <w:vAlign w:val="center"/>
          </w:tcPr>
          <w:p w:rsidR="00000000" w:rsidRDefault="00000000">
            <w:pPr>
              <w:jc w:val="center"/>
              <w:rPr>
                <w:szCs w:val="22"/>
              </w:rPr>
            </w:pPr>
            <w:r>
              <w:rPr>
                <w:szCs w:val="22"/>
              </w:rPr>
              <w:t>255 150</w:t>
            </w:r>
          </w:p>
        </w:tc>
        <w:tc>
          <w:tcPr>
            <w:tcW w:w="1871" w:type="dxa"/>
            <w:tcBorders>
              <w:top w:val="nil"/>
              <w:bottom w:val="nil"/>
            </w:tcBorders>
            <w:vAlign w:val="center"/>
          </w:tcPr>
          <w:p w:rsidR="00000000" w:rsidRDefault="00000000">
            <w:pPr>
              <w:jc w:val="center"/>
              <w:rPr>
                <w:szCs w:val="22"/>
              </w:rPr>
            </w:pPr>
            <w:r>
              <w:rPr>
                <w:szCs w:val="22"/>
              </w:rPr>
              <w:t>87 420</w:t>
            </w:r>
          </w:p>
        </w:tc>
        <w:tc>
          <w:tcPr>
            <w:tcW w:w="2041" w:type="dxa"/>
            <w:tcBorders>
              <w:top w:val="nil"/>
              <w:bottom w:val="nil"/>
            </w:tcBorders>
            <w:vAlign w:val="center"/>
          </w:tcPr>
          <w:p w:rsidR="00000000" w:rsidRDefault="00000000">
            <w:pPr>
              <w:tabs>
                <w:tab w:val="clear" w:pos="567"/>
                <w:tab w:val="clear" w:pos="1701"/>
                <w:tab w:val="clear" w:pos="2268"/>
                <w:tab w:val="clear" w:pos="6237"/>
                <w:tab w:val="decimal" w:pos="1134"/>
              </w:tabs>
              <w:ind w:right="572"/>
              <w:rPr>
                <w:szCs w:val="22"/>
              </w:rPr>
            </w:pPr>
            <w:r>
              <w:rPr>
                <w:szCs w:val="22"/>
              </w:rPr>
              <w:t>1 026</w:t>
            </w:r>
          </w:p>
        </w:tc>
        <w:tc>
          <w:tcPr>
            <w:tcW w:w="1871" w:type="dxa"/>
            <w:tcBorders>
              <w:top w:val="nil"/>
              <w:bottom w:val="nil"/>
            </w:tcBorders>
            <w:vAlign w:val="center"/>
          </w:tcPr>
          <w:p w:rsidR="00000000" w:rsidRDefault="00000000">
            <w:pPr>
              <w:jc w:val="center"/>
              <w:rPr>
                <w:szCs w:val="22"/>
              </w:rPr>
            </w:pPr>
            <w:r>
              <w:rPr>
                <w:szCs w:val="22"/>
              </w:rPr>
              <w:t>35 141</w:t>
            </w:r>
          </w:p>
        </w:tc>
      </w:tr>
      <w:tr w:rsidR="00000000">
        <w:trPr>
          <w:cantSplit/>
        </w:trPr>
        <w:tc>
          <w:tcPr>
            <w:tcW w:w="1701" w:type="dxa"/>
            <w:tcBorders>
              <w:top w:val="nil"/>
              <w:bottom w:val="nil"/>
            </w:tcBorders>
            <w:vAlign w:val="center"/>
          </w:tcPr>
          <w:p w:rsidR="00000000" w:rsidRDefault="00000000">
            <w:pPr>
              <w:ind w:left="317"/>
              <w:rPr>
                <w:szCs w:val="22"/>
              </w:rPr>
            </w:pPr>
            <w:r>
              <w:rPr>
                <w:szCs w:val="22"/>
              </w:rPr>
              <w:t>1999/2000</w:t>
            </w:r>
          </w:p>
        </w:tc>
        <w:tc>
          <w:tcPr>
            <w:tcW w:w="1871" w:type="dxa"/>
            <w:tcBorders>
              <w:top w:val="nil"/>
              <w:bottom w:val="nil"/>
            </w:tcBorders>
            <w:vAlign w:val="center"/>
          </w:tcPr>
          <w:p w:rsidR="00000000" w:rsidRDefault="00000000">
            <w:pPr>
              <w:jc w:val="center"/>
              <w:rPr>
                <w:szCs w:val="22"/>
              </w:rPr>
            </w:pPr>
            <w:r>
              <w:rPr>
                <w:szCs w:val="22"/>
              </w:rPr>
              <w:t>252 212</w:t>
            </w:r>
          </w:p>
        </w:tc>
        <w:tc>
          <w:tcPr>
            <w:tcW w:w="1871" w:type="dxa"/>
            <w:tcBorders>
              <w:top w:val="nil"/>
              <w:bottom w:val="nil"/>
            </w:tcBorders>
            <w:vAlign w:val="center"/>
          </w:tcPr>
          <w:p w:rsidR="00000000" w:rsidRDefault="00000000">
            <w:pPr>
              <w:jc w:val="center"/>
              <w:rPr>
                <w:szCs w:val="22"/>
              </w:rPr>
            </w:pPr>
            <w:r>
              <w:rPr>
                <w:szCs w:val="22"/>
              </w:rPr>
              <w:t>89 775</w:t>
            </w:r>
          </w:p>
        </w:tc>
        <w:tc>
          <w:tcPr>
            <w:tcW w:w="2041" w:type="dxa"/>
            <w:tcBorders>
              <w:top w:val="nil"/>
              <w:bottom w:val="nil"/>
            </w:tcBorders>
            <w:vAlign w:val="center"/>
          </w:tcPr>
          <w:p w:rsidR="00000000" w:rsidRDefault="00000000">
            <w:pPr>
              <w:tabs>
                <w:tab w:val="clear" w:pos="567"/>
                <w:tab w:val="clear" w:pos="1701"/>
                <w:tab w:val="clear" w:pos="2268"/>
                <w:tab w:val="clear" w:pos="6237"/>
                <w:tab w:val="decimal" w:pos="1134"/>
              </w:tabs>
              <w:ind w:right="572"/>
              <w:rPr>
                <w:szCs w:val="22"/>
              </w:rPr>
            </w:pPr>
            <w:r>
              <w:rPr>
                <w:szCs w:val="22"/>
              </w:rPr>
              <w:t>927</w:t>
            </w:r>
          </w:p>
        </w:tc>
        <w:tc>
          <w:tcPr>
            <w:tcW w:w="1871" w:type="dxa"/>
            <w:tcBorders>
              <w:top w:val="nil"/>
              <w:bottom w:val="nil"/>
            </w:tcBorders>
            <w:vAlign w:val="center"/>
          </w:tcPr>
          <w:p w:rsidR="00000000" w:rsidRDefault="00000000">
            <w:pPr>
              <w:jc w:val="center"/>
              <w:rPr>
                <w:szCs w:val="22"/>
              </w:rPr>
            </w:pPr>
            <w:r>
              <w:rPr>
                <w:szCs w:val="22"/>
              </w:rPr>
              <w:t>35 995</w:t>
            </w:r>
          </w:p>
        </w:tc>
      </w:tr>
      <w:tr w:rsidR="00000000">
        <w:trPr>
          <w:cantSplit/>
        </w:trPr>
        <w:tc>
          <w:tcPr>
            <w:tcW w:w="1701" w:type="dxa"/>
            <w:tcBorders>
              <w:top w:val="nil"/>
              <w:bottom w:val="nil"/>
            </w:tcBorders>
            <w:vAlign w:val="center"/>
          </w:tcPr>
          <w:p w:rsidR="00000000" w:rsidRDefault="00000000">
            <w:pPr>
              <w:ind w:left="317"/>
              <w:rPr>
                <w:szCs w:val="22"/>
              </w:rPr>
            </w:pPr>
            <w:r>
              <w:rPr>
                <w:szCs w:val="22"/>
              </w:rPr>
              <w:t>2000/01</w:t>
            </w:r>
          </w:p>
        </w:tc>
        <w:tc>
          <w:tcPr>
            <w:tcW w:w="1871" w:type="dxa"/>
            <w:tcBorders>
              <w:top w:val="nil"/>
              <w:bottom w:val="nil"/>
            </w:tcBorders>
            <w:vAlign w:val="center"/>
          </w:tcPr>
          <w:p w:rsidR="00000000" w:rsidRDefault="00000000">
            <w:pPr>
              <w:jc w:val="center"/>
              <w:rPr>
                <w:szCs w:val="22"/>
              </w:rPr>
            </w:pPr>
            <w:r>
              <w:rPr>
                <w:szCs w:val="22"/>
              </w:rPr>
              <w:t>246 490</w:t>
            </w:r>
          </w:p>
        </w:tc>
        <w:tc>
          <w:tcPr>
            <w:tcW w:w="1871" w:type="dxa"/>
            <w:tcBorders>
              <w:top w:val="nil"/>
              <w:bottom w:val="nil"/>
            </w:tcBorders>
            <w:vAlign w:val="center"/>
          </w:tcPr>
          <w:p w:rsidR="00000000" w:rsidRDefault="00000000">
            <w:pPr>
              <w:jc w:val="center"/>
              <w:rPr>
                <w:szCs w:val="22"/>
              </w:rPr>
            </w:pPr>
            <w:r>
              <w:rPr>
                <w:szCs w:val="22"/>
              </w:rPr>
              <w:t>90 990</w:t>
            </w:r>
          </w:p>
        </w:tc>
        <w:tc>
          <w:tcPr>
            <w:tcW w:w="2041" w:type="dxa"/>
            <w:tcBorders>
              <w:top w:val="nil"/>
              <w:bottom w:val="nil"/>
            </w:tcBorders>
            <w:vAlign w:val="center"/>
          </w:tcPr>
          <w:p w:rsidR="00000000" w:rsidRDefault="00000000">
            <w:pPr>
              <w:tabs>
                <w:tab w:val="clear" w:pos="567"/>
                <w:tab w:val="clear" w:pos="1701"/>
                <w:tab w:val="clear" w:pos="2268"/>
                <w:tab w:val="clear" w:pos="6237"/>
                <w:tab w:val="decimal" w:pos="1134"/>
              </w:tabs>
              <w:ind w:right="572"/>
              <w:rPr>
                <w:szCs w:val="22"/>
              </w:rPr>
            </w:pPr>
            <w:r>
              <w:rPr>
                <w:szCs w:val="22"/>
              </w:rPr>
              <w:t>840</w:t>
            </w:r>
          </w:p>
        </w:tc>
        <w:tc>
          <w:tcPr>
            <w:tcW w:w="1871" w:type="dxa"/>
            <w:tcBorders>
              <w:top w:val="nil"/>
              <w:bottom w:val="nil"/>
            </w:tcBorders>
            <w:vAlign w:val="center"/>
          </w:tcPr>
          <w:p w:rsidR="00000000" w:rsidRDefault="00000000">
            <w:pPr>
              <w:jc w:val="center"/>
              <w:rPr>
                <w:szCs w:val="22"/>
              </w:rPr>
            </w:pPr>
            <w:r>
              <w:rPr>
                <w:szCs w:val="22"/>
              </w:rPr>
              <w:t>39 406</w:t>
            </w:r>
          </w:p>
        </w:tc>
      </w:tr>
      <w:tr w:rsidR="00000000">
        <w:trPr>
          <w:cantSplit/>
        </w:trPr>
        <w:tc>
          <w:tcPr>
            <w:tcW w:w="1701" w:type="dxa"/>
            <w:tcBorders>
              <w:top w:val="nil"/>
              <w:bottom w:val="nil"/>
            </w:tcBorders>
            <w:vAlign w:val="center"/>
          </w:tcPr>
          <w:p w:rsidR="00000000" w:rsidRDefault="00000000">
            <w:pPr>
              <w:ind w:left="317"/>
              <w:rPr>
                <w:szCs w:val="22"/>
              </w:rPr>
            </w:pPr>
            <w:r>
              <w:rPr>
                <w:szCs w:val="22"/>
              </w:rPr>
              <w:t>2001/02</w:t>
            </w:r>
          </w:p>
        </w:tc>
        <w:tc>
          <w:tcPr>
            <w:tcW w:w="1871" w:type="dxa"/>
            <w:tcBorders>
              <w:top w:val="nil"/>
              <w:bottom w:val="nil"/>
            </w:tcBorders>
            <w:vAlign w:val="center"/>
          </w:tcPr>
          <w:p w:rsidR="00000000" w:rsidRDefault="00000000">
            <w:pPr>
              <w:jc w:val="center"/>
              <w:rPr>
                <w:szCs w:val="22"/>
              </w:rPr>
            </w:pPr>
            <w:r>
              <w:rPr>
                <w:szCs w:val="22"/>
              </w:rPr>
              <w:t>242 707</w:t>
            </w:r>
          </w:p>
        </w:tc>
        <w:tc>
          <w:tcPr>
            <w:tcW w:w="1871" w:type="dxa"/>
            <w:tcBorders>
              <w:top w:val="nil"/>
              <w:bottom w:val="nil"/>
            </w:tcBorders>
            <w:vAlign w:val="center"/>
          </w:tcPr>
          <w:p w:rsidR="00000000" w:rsidRDefault="00000000">
            <w:pPr>
              <w:jc w:val="center"/>
              <w:rPr>
                <w:szCs w:val="22"/>
              </w:rPr>
            </w:pPr>
            <w:r>
              <w:rPr>
                <w:szCs w:val="22"/>
              </w:rPr>
              <w:t>92 068</w:t>
            </w:r>
          </w:p>
        </w:tc>
        <w:tc>
          <w:tcPr>
            <w:tcW w:w="2041" w:type="dxa"/>
            <w:tcBorders>
              <w:top w:val="nil"/>
              <w:bottom w:val="nil"/>
            </w:tcBorders>
            <w:vAlign w:val="center"/>
          </w:tcPr>
          <w:p w:rsidR="00000000" w:rsidRDefault="00000000">
            <w:pPr>
              <w:tabs>
                <w:tab w:val="clear" w:pos="567"/>
                <w:tab w:val="clear" w:pos="1701"/>
                <w:tab w:val="clear" w:pos="2268"/>
                <w:tab w:val="clear" w:pos="6237"/>
                <w:tab w:val="decimal" w:pos="1134"/>
              </w:tabs>
              <w:ind w:right="572"/>
              <w:rPr>
                <w:szCs w:val="22"/>
              </w:rPr>
            </w:pPr>
            <w:r>
              <w:rPr>
                <w:szCs w:val="22"/>
              </w:rPr>
              <w:t>1 123</w:t>
            </w:r>
          </w:p>
        </w:tc>
        <w:tc>
          <w:tcPr>
            <w:tcW w:w="1871" w:type="dxa"/>
            <w:tcBorders>
              <w:top w:val="nil"/>
              <w:bottom w:val="nil"/>
            </w:tcBorders>
            <w:vAlign w:val="center"/>
          </w:tcPr>
          <w:p w:rsidR="00000000" w:rsidRDefault="00000000">
            <w:pPr>
              <w:jc w:val="center"/>
              <w:rPr>
                <w:szCs w:val="22"/>
              </w:rPr>
            </w:pPr>
            <w:r>
              <w:rPr>
                <w:szCs w:val="22"/>
              </w:rPr>
              <w:t>43 567</w:t>
            </w:r>
          </w:p>
        </w:tc>
      </w:tr>
      <w:tr w:rsidR="00000000">
        <w:trPr>
          <w:cantSplit/>
        </w:trPr>
        <w:tc>
          <w:tcPr>
            <w:tcW w:w="1701" w:type="dxa"/>
            <w:tcBorders>
              <w:top w:val="nil"/>
            </w:tcBorders>
            <w:vAlign w:val="center"/>
          </w:tcPr>
          <w:p w:rsidR="00000000" w:rsidRDefault="00000000">
            <w:pPr>
              <w:ind w:left="317"/>
              <w:rPr>
                <w:szCs w:val="22"/>
              </w:rPr>
            </w:pPr>
            <w:r>
              <w:rPr>
                <w:szCs w:val="22"/>
              </w:rPr>
              <w:t>2002/03</w:t>
            </w:r>
          </w:p>
        </w:tc>
        <w:tc>
          <w:tcPr>
            <w:tcW w:w="1871" w:type="dxa"/>
            <w:tcBorders>
              <w:top w:val="nil"/>
            </w:tcBorders>
            <w:vAlign w:val="center"/>
          </w:tcPr>
          <w:p w:rsidR="00000000" w:rsidRDefault="00000000">
            <w:pPr>
              <w:jc w:val="center"/>
              <w:rPr>
                <w:szCs w:val="22"/>
              </w:rPr>
            </w:pPr>
            <w:r>
              <w:rPr>
                <w:szCs w:val="22"/>
              </w:rPr>
              <w:t>235 516</w:t>
            </w:r>
          </w:p>
        </w:tc>
        <w:tc>
          <w:tcPr>
            <w:tcW w:w="1871" w:type="dxa"/>
            <w:tcBorders>
              <w:top w:val="nil"/>
            </w:tcBorders>
            <w:vAlign w:val="center"/>
          </w:tcPr>
          <w:p w:rsidR="00000000" w:rsidRDefault="00000000">
            <w:pPr>
              <w:jc w:val="center"/>
              <w:rPr>
                <w:szCs w:val="22"/>
              </w:rPr>
            </w:pPr>
            <w:r>
              <w:rPr>
                <w:szCs w:val="22"/>
              </w:rPr>
              <w:t>93 526</w:t>
            </w:r>
          </w:p>
        </w:tc>
        <w:tc>
          <w:tcPr>
            <w:tcW w:w="2041" w:type="dxa"/>
            <w:tcBorders>
              <w:top w:val="nil"/>
            </w:tcBorders>
            <w:vAlign w:val="center"/>
          </w:tcPr>
          <w:p w:rsidR="00000000" w:rsidRDefault="00000000">
            <w:pPr>
              <w:tabs>
                <w:tab w:val="clear" w:pos="567"/>
                <w:tab w:val="clear" w:pos="1701"/>
                <w:tab w:val="clear" w:pos="2268"/>
                <w:tab w:val="clear" w:pos="6237"/>
                <w:tab w:val="decimal" w:pos="1134"/>
              </w:tabs>
              <w:ind w:right="572"/>
              <w:rPr>
                <w:szCs w:val="22"/>
              </w:rPr>
            </w:pPr>
            <w:r>
              <w:rPr>
                <w:szCs w:val="22"/>
              </w:rPr>
              <w:t>893</w:t>
            </w:r>
          </w:p>
        </w:tc>
        <w:tc>
          <w:tcPr>
            <w:tcW w:w="1871" w:type="dxa"/>
            <w:tcBorders>
              <w:top w:val="nil"/>
            </w:tcBorders>
            <w:vAlign w:val="center"/>
          </w:tcPr>
          <w:p w:rsidR="00000000" w:rsidRDefault="00000000">
            <w:pPr>
              <w:jc w:val="center"/>
              <w:rPr>
                <w:szCs w:val="22"/>
              </w:rPr>
            </w:pPr>
            <w:r>
              <w:rPr>
                <w:szCs w:val="22"/>
              </w:rPr>
              <w:t>44 731</w:t>
            </w:r>
          </w:p>
        </w:tc>
      </w:tr>
    </w:tbl>
    <w:p w:rsidR="00000000" w:rsidRDefault="00000000">
      <w:r>
        <w:br/>
      </w:r>
      <w:r>
        <w:tab/>
      </w:r>
      <w:r>
        <w:rPr>
          <w:i/>
          <w:iCs/>
        </w:rPr>
        <w:t>Источник</w:t>
      </w:r>
      <w:r>
        <w:t>:  Государственное статистическое управление.</w:t>
      </w:r>
    </w:p>
    <w:p w:rsidR="00000000" w:rsidRDefault="00000000"/>
    <w:p w:rsidR="00000000" w:rsidRDefault="00000000">
      <w:pPr>
        <w:pStyle w:val="Heading2"/>
        <w:jc w:val="center"/>
        <w:rPr>
          <w:b/>
          <w:bCs/>
          <w:u w:val="none"/>
        </w:rPr>
      </w:pPr>
      <w:r>
        <w:rPr>
          <w:b/>
          <w:bCs/>
          <w:u w:val="none"/>
        </w:rPr>
        <w:t>Штат преподавателей в начальной, средней и высшей школе</w:t>
      </w:r>
    </w:p>
    <w:p w:rsidR="00000000" w:rsidRDefault="00000000"/>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339"/>
        <w:gridCol w:w="2339"/>
        <w:gridCol w:w="2339"/>
        <w:gridCol w:w="2339"/>
      </w:tblGrid>
      <w:tr w:rsidR="00000000">
        <w:tc>
          <w:tcPr>
            <w:tcW w:w="2339" w:type="dxa"/>
            <w:tcBorders>
              <w:bottom w:val="single" w:sz="4" w:space="0" w:color="auto"/>
            </w:tcBorders>
            <w:vAlign w:val="center"/>
          </w:tcPr>
          <w:p w:rsidR="00000000" w:rsidRDefault="00000000">
            <w:pPr>
              <w:keepNext/>
              <w:jc w:val="center"/>
              <w:rPr>
                <w:bCs/>
                <w:szCs w:val="22"/>
              </w:rPr>
            </w:pPr>
            <w:r>
              <w:rPr>
                <w:bCs/>
                <w:szCs w:val="22"/>
              </w:rPr>
              <w:t>Год</w:t>
            </w:r>
          </w:p>
        </w:tc>
        <w:tc>
          <w:tcPr>
            <w:tcW w:w="2339" w:type="dxa"/>
            <w:tcBorders>
              <w:bottom w:val="single" w:sz="4" w:space="0" w:color="auto"/>
            </w:tcBorders>
            <w:vAlign w:val="center"/>
          </w:tcPr>
          <w:p w:rsidR="00000000" w:rsidRDefault="00000000">
            <w:pPr>
              <w:keepNext/>
              <w:jc w:val="center"/>
              <w:rPr>
                <w:bCs/>
                <w:szCs w:val="22"/>
              </w:rPr>
            </w:pPr>
            <w:r>
              <w:rPr>
                <w:bCs/>
                <w:szCs w:val="22"/>
              </w:rPr>
              <w:t>Начальное образование</w:t>
            </w:r>
          </w:p>
        </w:tc>
        <w:tc>
          <w:tcPr>
            <w:tcW w:w="2339" w:type="dxa"/>
            <w:tcBorders>
              <w:bottom w:val="single" w:sz="4" w:space="0" w:color="auto"/>
            </w:tcBorders>
            <w:vAlign w:val="center"/>
          </w:tcPr>
          <w:p w:rsidR="00000000" w:rsidRDefault="00000000">
            <w:pPr>
              <w:keepNext/>
              <w:jc w:val="center"/>
              <w:rPr>
                <w:bCs/>
                <w:szCs w:val="22"/>
              </w:rPr>
            </w:pPr>
            <w:r>
              <w:rPr>
                <w:bCs/>
                <w:szCs w:val="22"/>
              </w:rPr>
              <w:t>Среднее образование</w:t>
            </w:r>
          </w:p>
        </w:tc>
        <w:tc>
          <w:tcPr>
            <w:tcW w:w="2339" w:type="dxa"/>
            <w:tcBorders>
              <w:bottom w:val="single" w:sz="4" w:space="0" w:color="auto"/>
            </w:tcBorders>
            <w:vAlign w:val="center"/>
          </w:tcPr>
          <w:p w:rsidR="00000000" w:rsidRDefault="00000000">
            <w:pPr>
              <w:keepNext/>
              <w:jc w:val="center"/>
              <w:rPr>
                <w:bCs/>
                <w:szCs w:val="22"/>
              </w:rPr>
            </w:pPr>
            <w:r>
              <w:rPr>
                <w:bCs/>
                <w:szCs w:val="22"/>
              </w:rPr>
              <w:t>Высшее образование</w:t>
            </w:r>
          </w:p>
        </w:tc>
      </w:tr>
      <w:tr w:rsidR="00000000">
        <w:tc>
          <w:tcPr>
            <w:tcW w:w="2339" w:type="dxa"/>
            <w:tcBorders>
              <w:bottom w:val="nil"/>
            </w:tcBorders>
          </w:tcPr>
          <w:p w:rsidR="00000000" w:rsidRDefault="00000000">
            <w:pPr>
              <w:ind w:left="317"/>
              <w:rPr>
                <w:szCs w:val="22"/>
              </w:rPr>
            </w:pPr>
            <w:r>
              <w:rPr>
                <w:szCs w:val="22"/>
              </w:rPr>
              <w:t>1995/96</w:t>
            </w:r>
          </w:p>
        </w:tc>
        <w:tc>
          <w:tcPr>
            <w:tcW w:w="2339" w:type="dxa"/>
            <w:tcBorders>
              <w:bottom w:val="nil"/>
            </w:tcBorders>
          </w:tcPr>
          <w:p w:rsidR="00000000" w:rsidRDefault="00000000">
            <w:pPr>
              <w:jc w:val="center"/>
              <w:rPr>
                <w:szCs w:val="22"/>
              </w:rPr>
            </w:pPr>
            <w:r>
              <w:rPr>
                <w:szCs w:val="22"/>
              </w:rPr>
              <w:t>13 254</w:t>
            </w:r>
          </w:p>
        </w:tc>
        <w:tc>
          <w:tcPr>
            <w:tcW w:w="2339" w:type="dxa"/>
            <w:tcBorders>
              <w:bottom w:val="nil"/>
            </w:tcBorders>
          </w:tcPr>
          <w:p w:rsidR="00000000" w:rsidRDefault="00000000">
            <w:pPr>
              <w:jc w:val="center"/>
              <w:rPr>
                <w:szCs w:val="22"/>
              </w:rPr>
            </w:pPr>
            <w:r>
              <w:rPr>
                <w:szCs w:val="22"/>
              </w:rPr>
              <w:t>4 776</w:t>
            </w:r>
          </w:p>
        </w:tc>
        <w:tc>
          <w:tcPr>
            <w:tcW w:w="2339" w:type="dxa"/>
            <w:tcBorders>
              <w:bottom w:val="nil"/>
            </w:tcBorders>
          </w:tcPr>
          <w:p w:rsidR="00000000" w:rsidRDefault="00000000">
            <w:pPr>
              <w:jc w:val="center"/>
              <w:rPr>
                <w:szCs w:val="22"/>
              </w:rPr>
            </w:pPr>
            <w:r>
              <w:rPr>
                <w:szCs w:val="22"/>
              </w:rPr>
              <w:t>1 285</w:t>
            </w:r>
          </w:p>
        </w:tc>
      </w:tr>
      <w:tr w:rsidR="00000000">
        <w:tc>
          <w:tcPr>
            <w:tcW w:w="2339" w:type="dxa"/>
            <w:tcBorders>
              <w:top w:val="nil"/>
              <w:bottom w:val="nil"/>
            </w:tcBorders>
          </w:tcPr>
          <w:p w:rsidR="00000000" w:rsidRDefault="00000000">
            <w:pPr>
              <w:ind w:left="317"/>
              <w:rPr>
                <w:szCs w:val="22"/>
              </w:rPr>
            </w:pPr>
            <w:r>
              <w:rPr>
                <w:szCs w:val="22"/>
              </w:rPr>
              <w:t>1996/97</w:t>
            </w:r>
          </w:p>
        </w:tc>
        <w:tc>
          <w:tcPr>
            <w:tcW w:w="2339" w:type="dxa"/>
            <w:tcBorders>
              <w:top w:val="nil"/>
              <w:bottom w:val="nil"/>
            </w:tcBorders>
          </w:tcPr>
          <w:p w:rsidR="00000000" w:rsidRDefault="00000000">
            <w:pPr>
              <w:jc w:val="center"/>
              <w:rPr>
                <w:szCs w:val="22"/>
              </w:rPr>
            </w:pPr>
            <w:r>
              <w:rPr>
                <w:szCs w:val="22"/>
              </w:rPr>
              <w:t>13 310</w:t>
            </w:r>
          </w:p>
        </w:tc>
        <w:tc>
          <w:tcPr>
            <w:tcW w:w="2339" w:type="dxa"/>
            <w:tcBorders>
              <w:top w:val="nil"/>
              <w:bottom w:val="nil"/>
            </w:tcBorders>
          </w:tcPr>
          <w:p w:rsidR="00000000" w:rsidRDefault="00000000">
            <w:pPr>
              <w:jc w:val="center"/>
              <w:rPr>
                <w:szCs w:val="22"/>
              </w:rPr>
            </w:pPr>
            <w:r>
              <w:rPr>
                <w:szCs w:val="22"/>
              </w:rPr>
              <w:t>5 064</w:t>
            </w:r>
          </w:p>
        </w:tc>
        <w:tc>
          <w:tcPr>
            <w:tcW w:w="2339" w:type="dxa"/>
            <w:tcBorders>
              <w:top w:val="nil"/>
              <w:bottom w:val="nil"/>
            </w:tcBorders>
          </w:tcPr>
          <w:p w:rsidR="00000000" w:rsidRDefault="00000000">
            <w:pPr>
              <w:jc w:val="center"/>
              <w:rPr>
                <w:szCs w:val="22"/>
              </w:rPr>
            </w:pPr>
            <w:r>
              <w:rPr>
                <w:szCs w:val="22"/>
              </w:rPr>
              <w:t>1 341</w:t>
            </w:r>
          </w:p>
        </w:tc>
      </w:tr>
      <w:tr w:rsidR="00000000">
        <w:tc>
          <w:tcPr>
            <w:tcW w:w="2339" w:type="dxa"/>
            <w:tcBorders>
              <w:top w:val="nil"/>
              <w:bottom w:val="nil"/>
            </w:tcBorders>
          </w:tcPr>
          <w:p w:rsidR="00000000" w:rsidRDefault="00000000">
            <w:pPr>
              <w:ind w:left="317"/>
              <w:rPr>
                <w:szCs w:val="22"/>
              </w:rPr>
            </w:pPr>
            <w:r>
              <w:rPr>
                <w:szCs w:val="22"/>
              </w:rPr>
              <w:t>1997/98</w:t>
            </w:r>
          </w:p>
        </w:tc>
        <w:tc>
          <w:tcPr>
            <w:tcW w:w="2339" w:type="dxa"/>
            <w:tcBorders>
              <w:top w:val="nil"/>
              <w:bottom w:val="nil"/>
            </w:tcBorders>
          </w:tcPr>
          <w:p w:rsidR="00000000" w:rsidRDefault="00000000">
            <w:pPr>
              <w:jc w:val="center"/>
              <w:rPr>
                <w:szCs w:val="22"/>
              </w:rPr>
            </w:pPr>
            <w:r>
              <w:rPr>
                <w:szCs w:val="22"/>
              </w:rPr>
              <w:t>13 376</w:t>
            </w:r>
          </w:p>
        </w:tc>
        <w:tc>
          <w:tcPr>
            <w:tcW w:w="2339" w:type="dxa"/>
            <w:tcBorders>
              <w:top w:val="nil"/>
              <w:bottom w:val="nil"/>
            </w:tcBorders>
          </w:tcPr>
          <w:p w:rsidR="00000000" w:rsidRDefault="00000000">
            <w:pPr>
              <w:jc w:val="center"/>
              <w:rPr>
                <w:szCs w:val="22"/>
              </w:rPr>
            </w:pPr>
            <w:r>
              <w:rPr>
                <w:szCs w:val="22"/>
              </w:rPr>
              <w:t>5 226</w:t>
            </w:r>
          </w:p>
        </w:tc>
        <w:tc>
          <w:tcPr>
            <w:tcW w:w="2339" w:type="dxa"/>
            <w:tcBorders>
              <w:top w:val="nil"/>
              <w:bottom w:val="nil"/>
            </w:tcBorders>
          </w:tcPr>
          <w:p w:rsidR="00000000" w:rsidRDefault="00000000">
            <w:pPr>
              <w:jc w:val="center"/>
              <w:rPr>
                <w:szCs w:val="22"/>
              </w:rPr>
            </w:pPr>
            <w:r>
              <w:rPr>
                <w:szCs w:val="22"/>
              </w:rPr>
              <w:t>1 408</w:t>
            </w:r>
          </w:p>
        </w:tc>
      </w:tr>
      <w:tr w:rsidR="00000000">
        <w:tc>
          <w:tcPr>
            <w:tcW w:w="2339" w:type="dxa"/>
            <w:tcBorders>
              <w:top w:val="nil"/>
              <w:bottom w:val="nil"/>
            </w:tcBorders>
          </w:tcPr>
          <w:p w:rsidR="00000000" w:rsidRDefault="00000000">
            <w:pPr>
              <w:ind w:left="317"/>
              <w:rPr>
                <w:szCs w:val="22"/>
              </w:rPr>
            </w:pPr>
            <w:r>
              <w:rPr>
                <w:szCs w:val="22"/>
              </w:rPr>
              <w:t>1998/99</w:t>
            </w:r>
          </w:p>
        </w:tc>
        <w:tc>
          <w:tcPr>
            <w:tcW w:w="2339" w:type="dxa"/>
            <w:tcBorders>
              <w:top w:val="nil"/>
              <w:bottom w:val="nil"/>
            </w:tcBorders>
          </w:tcPr>
          <w:p w:rsidR="00000000" w:rsidRDefault="00000000">
            <w:pPr>
              <w:jc w:val="center"/>
              <w:rPr>
                <w:szCs w:val="22"/>
              </w:rPr>
            </w:pPr>
            <w:r>
              <w:rPr>
                <w:szCs w:val="22"/>
              </w:rPr>
              <w:t>13 604</w:t>
            </w:r>
          </w:p>
        </w:tc>
        <w:tc>
          <w:tcPr>
            <w:tcW w:w="2339" w:type="dxa"/>
            <w:tcBorders>
              <w:top w:val="nil"/>
              <w:bottom w:val="nil"/>
            </w:tcBorders>
          </w:tcPr>
          <w:p w:rsidR="00000000" w:rsidRDefault="00000000">
            <w:pPr>
              <w:jc w:val="center"/>
              <w:rPr>
                <w:szCs w:val="22"/>
              </w:rPr>
            </w:pPr>
            <w:r>
              <w:rPr>
                <w:szCs w:val="22"/>
              </w:rPr>
              <w:t>5 372</w:t>
            </w:r>
          </w:p>
        </w:tc>
        <w:tc>
          <w:tcPr>
            <w:tcW w:w="2339" w:type="dxa"/>
            <w:tcBorders>
              <w:top w:val="nil"/>
              <w:bottom w:val="nil"/>
            </w:tcBorders>
          </w:tcPr>
          <w:p w:rsidR="00000000" w:rsidRDefault="00000000">
            <w:pPr>
              <w:jc w:val="center"/>
              <w:rPr>
                <w:szCs w:val="22"/>
              </w:rPr>
            </w:pPr>
            <w:r>
              <w:rPr>
                <w:szCs w:val="22"/>
              </w:rPr>
              <w:t>1 385</w:t>
            </w:r>
          </w:p>
        </w:tc>
      </w:tr>
      <w:tr w:rsidR="00000000">
        <w:tc>
          <w:tcPr>
            <w:tcW w:w="2339" w:type="dxa"/>
            <w:tcBorders>
              <w:top w:val="nil"/>
              <w:bottom w:val="nil"/>
            </w:tcBorders>
          </w:tcPr>
          <w:p w:rsidR="00000000" w:rsidRDefault="00000000">
            <w:pPr>
              <w:ind w:left="317"/>
              <w:rPr>
                <w:szCs w:val="22"/>
              </w:rPr>
            </w:pPr>
            <w:r>
              <w:rPr>
                <w:szCs w:val="22"/>
              </w:rPr>
              <w:t>1999/2000</w:t>
            </w:r>
          </w:p>
        </w:tc>
        <w:tc>
          <w:tcPr>
            <w:tcW w:w="2339" w:type="dxa"/>
            <w:tcBorders>
              <w:top w:val="nil"/>
              <w:bottom w:val="nil"/>
            </w:tcBorders>
          </w:tcPr>
          <w:p w:rsidR="00000000" w:rsidRDefault="00000000">
            <w:pPr>
              <w:jc w:val="center"/>
              <w:rPr>
                <w:szCs w:val="22"/>
              </w:rPr>
            </w:pPr>
            <w:r>
              <w:rPr>
                <w:szCs w:val="22"/>
              </w:rPr>
              <w:t>13 782</w:t>
            </w:r>
          </w:p>
        </w:tc>
        <w:tc>
          <w:tcPr>
            <w:tcW w:w="2339" w:type="dxa"/>
            <w:tcBorders>
              <w:top w:val="nil"/>
              <w:bottom w:val="nil"/>
            </w:tcBorders>
          </w:tcPr>
          <w:p w:rsidR="00000000" w:rsidRDefault="00000000">
            <w:pPr>
              <w:jc w:val="center"/>
              <w:rPr>
                <w:szCs w:val="22"/>
              </w:rPr>
            </w:pPr>
            <w:r>
              <w:rPr>
                <w:szCs w:val="22"/>
              </w:rPr>
              <w:t>5 557</w:t>
            </w:r>
          </w:p>
        </w:tc>
        <w:tc>
          <w:tcPr>
            <w:tcW w:w="2339" w:type="dxa"/>
            <w:tcBorders>
              <w:top w:val="nil"/>
              <w:bottom w:val="nil"/>
            </w:tcBorders>
          </w:tcPr>
          <w:p w:rsidR="00000000" w:rsidRDefault="00000000">
            <w:pPr>
              <w:jc w:val="center"/>
              <w:rPr>
                <w:szCs w:val="22"/>
              </w:rPr>
            </w:pPr>
            <w:r>
              <w:rPr>
                <w:szCs w:val="22"/>
              </w:rPr>
              <w:t>1 483</w:t>
            </w:r>
          </w:p>
        </w:tc>
      </w:tr>
      <w:tr w:rsidR="00000000">
        <w:tc>
          <w:tcPr>
            <w:tcW w:w="2339" w:type="dxa"/>
            <w:tcBorders>
              <w:top w:val="nil"/>
              <w:bottom w:val="nil"/>
            </w:tcBorders>
          </w:tcPr>
          <w:p w:rsidR="00000000" w:rsidRDefault="00000000">
            <w:pPr>
              <w:ind w:left="317"/>
              <w:rPr>
                <w:szCs w:val="22"/>
              </w:rPr>
            </w:pPr>
            <w:r>
              <w:rPr>
                <w:szCs w:val="22"/>
              </w:rPr>
              <w:t>2000/01</w:t>
            </w:r>
          </w:p>
        </w:tc>
        <w:tc>
          <w:tcPr>
            <w:tcW w:w="2339" w:type="dxa"/>
            <w:tcBorders>
              <w:top w:val="nil"/>
              <w:bottom w:val="nil"/>
            </w:tcBorders>
          </w:tcPr>
          <w:p w:rsidR="00000000" w:rsidRDefault="00000000">
            <w:pPr>
              <w:jc w:val="center"/>
              <w:rPr>
                <w:szCs w:val="22"/>
              </w:rPr>
            </w:pPr>
            <w:r>
              <w:rPr>
                <w:szCs w:val="22"/>
              </w:rPr>
              <w:t>13 329</w:t>
            </w:r>
          </w:p>
        </w:tc>
        <w:tc>
          <w:tcPr>
            <w:tcW w:w="2339" w:type="dxa"/>
            <w:tcBorders>
              <w:top w:val="nil"/>
              <w:bottom w:val="nil"/>
            </w:tcBorders>
          </w:tcPr>
          <w:p w:rsidR="00000000" w:rsidRDefault="00000000">
            <w:pPr>
              <w:jc w:val="center"/>
              <w:rPr>
                <w:szCs w:val="22"/>
              </w:rPr>
            </w:pPr>
            <w:r>
              <w:rPr>
                <w:szCs w:val="22"/>
              </w:rPr>
              <w:t>5 467</w:t>
            </w:r>
          </w:p>
        </w:tc>
        <w:tc>
          <w:tcPr>
            <w:tcW w:w="2339" w:type="dxa"/>
            <w:tcBorders>
              <w:top w:val="nil"/>
              <w:bottom w:val="nil"/>
            </w:tcBorders>
          </w:tcPr>
          <w:p w:rsidR="00000000" w:rsidRDefault="00000000">
            <w:pPr>
              <w:jc w:val="center"/>
              <w:rPr>
                <w:szCs w:val="22"/>
              </w:rPr>
            </w:pPr>
            <w:r>
              <w:rPr>
                <w:szCs w:val="22"/>
              </w:rPr>
              <w:t>1 495</w:t>
            </w:r>
          </w:p>
        </w:tc>
      </w:tr>
      <w:tr w:rsidR="00000000">
        <w:tc>
          <w:tcPr>
            <w:tcW w:w="2339" w:type="dxa"/>
            <w:tcBorders>
              <w:top w:val="nil"/>
              <w:bottom w:val="nil"/>
            </w:tcBorders>
          </w:tcPr>
          <w:p w:rsidR="00000000" w:rsidRDefault="00000000">
            <w:pPr>
              <w:ind w:left="317"/>
              <w:rPr>
                <w:szCs w:val="22"/>
              </w:rPr>
            </w:pPr>
            <w:r>
              <w:rPr>
                <w:szCs w:val="22"/>
              </w:rPr>
              <w:t>2001/02</w:t>
            </w:r>
          </w:p>
        </w:tc>
        <w:tc>
          <w:tcPr>
            <w:tcW w:w="2339" w:type="dxa"/>
            <w:tcBorders>
              <w:top w:val="nil"/>
              <w:bottom w:val="nil"/>
            </w:tcBorders>
          </w:tcPr>
          <w:p w:rsidR="00000000" w:rsidRDefault="00000000">
            <w:pPr>
              <w:jc w:val="center"/>
              <w:rPr>
                <w:szCs w:val="22"/>
              </w:rPr>
            </w:pPr>
            <w:r>
              <w:rPr>
                <w:szCs w:val="22"/>
              </w:rPr>
              <w:t>13 508</w:t>
            </w:r>
          </w:p>
        </w:tc>
        <w:tc>
          <w:tcPr>
            <w:tcW w:w="2339" w:type="dxa"/>
            <w:tcBorders>
              <w:top w:val="nil"/>
              <w:bottom w:val="nil"/>
            </w:tcBorders>
          </w:tcPr>
          <w:p w:rsidR="00000000" w:rsidRDefault="00000000">
            <w:pPr>
              <w:jc w:val="center"/>
              <w:rPr>
                <w:szCs w:val="22"/>
              </w:rPr>
            </w:pPr>
            <w:r>
              <w:rPr>
                <w:szCs w:val="22"/>
              </w:rPr>
              <w:t>5 550</w:t>
            </w:r>
          </w:p>
        </w:tc>
        <w:tc>
          <w:tcPr>
            <w:tcW w:w="2339" w:type="dxa"/>
            <w:tcBorders>
              <w:top w:val="nil"/>
              <w:bottom w:val="nil"/>
            </w:tcBorders>
          </w:tcPr>
          <w:p w:rsidR="00000000" w:rsidRDefault="00000000">
            <w:pPr>
              <w:jc w:val="center"/>
              <w:rPr>
                <w:szCs w:val="22"/>
              </w:rPr>
            </w:pPr>
            <w:r>
              <w:rPr>
                <w:szCs w:val="22"/>
              </w:rPr>
              <w:t>1 561</w:t>
            </w:r>
          </w:p>
        </w:tc>
      </w:tr>
      <w:tr w:rsidR="00000000">
        <w:tc>
          <w:tcPr>
            <w:tcW w:w="2339" w:type="dxa"/>
            <w:tcBorders>
              <w:top w:val="nil"/>
            </w:tcBorders>
          </w:tcPr>
          <w:p w:rsidR="00000000" w:rsidRDefault="00000000">
            <w:pPr>
              <w:ind w:left="317"/>
              <w:rPr>
                <w:szCs w:val="22"/>
              </w:rPr>
            </w:pPr>
            <w:r>
              <w:rPr>
                <w:szCs w:val="22"/>
              </w:rPr>
              <w:t>2002/03</w:t>
            </w:r>
          </w:p>
        </w:tc>
        <w:tc>
          <w:tcPr>
            <w:tcW w:w="2339" w:type="dxa"/>
            <w:tcBorders>
              <w:top w:val="nil"/>
            </w:tcBorders>
          </w:tcPr>
          <w:p w:rsidR="00000000" w:rsidRDefault="00000000">
            <w:pPr>
              <w:jc w:val="center"/>
              <w:rPr>
                <w:szCs w:val="22"/>
              </w:rPr>
            </w:pPr>
            <w:r>
              <w:rPr>
                <w:szCs w:val="22"/>
              </w:rPr>
              <w:t>13 678</w:t>
            </w:r>
          </w:p>
        </w:tc>
        <w:tc>
          <w:tcPr>
            <w:tcW w:w="2339" w:type="dxa"/>
            <w:tcBorders>
              <w:top w:val="nil"/>
            </w:tcBorders>
          </w:tcPr>
          <w:p w:rsidR="00000000" w:rsidRDefault="00000000">
            <w:pPr>
              <w:jc w:val="center"/>
              <w:rPr>
                <w:szCs w:val="22"/>
              </w:rPr>
            </w:pPr>
            <w:r>
              <w:rPr>
                <w:szCs w:val="22"/>
              </w:rPr>
              <w:t>5 749</w:t>
            </w:r>
          </w:p>
        </w:tc>
        <w:tc>
          <w:tcPr>
            <w:tcW w:w="2339" w:type="dxa"/>
            <w:tcBorders>
              <w:top w:val="nil"/>
            </w:tcBorders>
          </w:tcPr>
          <w:p w:rsidR="00000000" w:rsidRDefault="00000000">
            <w:pPr>
              <w:jc w:val="center"/>
              <w:rPr>
                <w:szCs w:val="22"/>
              </w:rPr>
            </w:pPr>
            <w:r>
              <w:rPr>
                <w:szCs w:val="22"/>
              </w:rPr>
              <w:t>1 519</w:t>
            </w:r>
          </w:p>
        </w:tc>
      </w:tr>
    </w:tbl>
    <w:p w:rsidR="00000000" w:rsidRDefault="00000000">
      <w:r>
        <w:br/>
      </w:r>
      <w:r>
        <w:tab/>
      </w:r>
      <w:r>
        <w:rPr>
          <w:i/>
          <w:iCs/>
        </w:rPr>
        <w:t>Источник</w:t>
      </w:r>
      <w:r>
        <w:t>:  Государственное статистическое управление.</w:t>
      </w:r>
    </w:p>
    <w:p w:rsidR="00000000" w:rsidRDefault="00000000"/>
    <w:p w:rsidR="00000000" w:rsidRDefault="00000000">
      <w:r>
        <w:t>736.</w:t>
      </w:r>
      <w:r>
        <w:tab/>
        <w:t>При сравнении данных по начальной и средней школе можно отметить, что в последние восемь лет число учащихся начальной школы непрерывно сокращалось, а средней школы </w:t>
      </w:r>
      <w:r>
        <w:noBreakHyphen/>
        <w:t xml:space="preserve"> постоянно росло.</w:t>
      </w:r>
    </w:p>
    <w:p w:rsidR="00000000" w:rsidRDefault="00000000"/>
    <w:p w:rsidR="00000000" w:rsidRDefault="00000000">
      <w:r>
        <w:t>737.</w:t>
      </w:r>
      <w:r>
        <w:tab/>
        <w:t>На протяжении прошлого десятилетия число учащихся начальной школы по отношению к общему числу детей школьного возраста (7</w:t>
      </w:r>
      <w:r>
        <w:noBreakHyphen/>
        <w:t>14</w:t>
      </w:r>
      <w:r>
        <w:rPr>
          <w:lang w:val="en-US"/>
        </w:rPr>
        <w:t> </w:t>
      </w:r>
      <w:r>
        <w:t xml:space="preserve">лет) достигло </w:t>
      </w:r>
      <w:proofErr w:type="spellStart"/>
      <w:r>
        <w:t>96%</w:t>
      </w:r>
      <w:proofErr w:type="spellEnd"/>
      <w:r>
        <w:t>.</w:t>
      </w:r>
    </w:p>
    <w:p w:rsidR="00000000" w:rsidRDefault="00000000"/>
    <w:p w:rsidR="00000000" w:rsidRDefault="00000000">
      <w:pPr>
        <w:pStyle w:val="Heading4"/>
        <w:jc w:val="left"/>
        <w:rPr>
          <w:b w:val="0"/>
          <w:bCs/>
          <w:i/>
          <w:iCs/>
          <w:sz w:val="24"/>
        </w:rPr>
      </w:pPr>
      <w:r>
        <w:rPr>
          <w:b w:val="0"/>
          <w:bCs/>
          <w:i/>
          <w:iCs/>
          <w:sz w:val="24"/>
        </w:rPr>
        <w:t>Ожидается, что развитие системы обязательного образования даст следующие результаты:</w:t>
      </w:r>
    </w:p>
    <w:p w:rsidR="00000000" w:rsidRDefault="00000000">
      <w:pPr>
        <w:pStyle w:val="Heading4"/>
        <w:jc w:val="left"/>
        <w:rPr>
          <w:b w:val="0"/>
          <w:bCs/>
          <w:i/>
          <w:iCs/>
          <w:sz w:val="24"/>
        </w:rPr>
      </w:pPr>
    </w:p>
    <w:p w:rsidR="00000000" w:rsidRDefault="00000000">
      <w:pPr>
        <w:numPr>
          <w:ilvl w:val="0"/>
          <w:numId w:val="66"/>
        </w:numPr>
        <w:spacing w:after="240"/>
        <w:ind w:left="1134" w:hanging="567"/>
      </w:pPr>
      <w:r>
        <w:t xml:space="preserve">охват детей за год до поступления в школу возрастет с нынешних </w:t>
      </w:r>
      <w:proofErr w:type="spellStart"/>
      <w:r>
        <w:t>82,23%</w:t>
      </w:r>
      <w:proofErr w:type="spellEnd"/>
      <w:r>
        <w:t xml:space="preserve"> до </w:t>
      </w:r>
      <w:proofErr w:type="spellStart"/>
      <w:r>
        <w:t>100%</w:t>
      </w:r>
      <w:proofErr w:type="spellEnd"/>
      <w:r>
        <w:t>;</w:t>
      </w:r>
    </w:p>
    <w:p w:rsidR="00000000" w:rsidRDefault="00000000">
      <w:pPr>
        <w:numPr>
          <w:ilvl w:val="0"/>
          <w:numId w:val="66"/>
        </w:numPr>
        <w:spacing w:after="240"/>
        <w:ind w:left="1134" w:hanging="567"/>
      </w:pPr>
      <w:r>
        <w:t>улучшится структура образования населения;</w:t>
      </w:r>
    </w:p>
    <w:p w:rsidR="00000000" w:rsidRDefault="00000000">
      <w:pPr>
        <w:numPr>
          <w:ilvl w:val="0"/>
          <w:numId w:val="66"/>
        </w:numPr>
        <w:spacing w:after="240"/>
        <w:ind w:left="1134" w:hanging="567"/>
      </w:pPr>
      <w:r>
        <w:t>улучшится базовое образование;</w:t>
      </w:r>
    </w:p>
    <w:p w:rsidR="00000000" w:rsidRDefault="00000000">
      <w:pPr>
        <w:numPr>
          <w:ilvl w:val="0"/>
          <w:numId w:val="66"/>
        </w:numPr>
        <w:spacing w:after="240"/>
        <w:ind w:left="1134" w:hanging="567"/>
      </w:pPr>
      <w:r>
        <w:t>улучшатся возможности для профессиональной ориентации;</w:t>
      </w:r>
    </w:p>
    <w:p w:rsidR="00000000" w:rsidRDefault="00000000">
      <w:pPr>
        <w:numPr>
          <w:ilvl w:val="0"/>
          <w:numId w:val="66"/>
        </w:numPr>
        <w:spacing w:after="240"/>
        <w:ind w:left="1134" w:hanging="567"/>
      </w:pPr>
      <w:r>
        <w:t>облегчится переход из начальной в среднюю школу;</w:t>
      </w:r>
    </w:p>
    <w:p w:rsidR="00000000" w:rsidRDefault="00000000">
      <w:pPr>
        <w:numPr>
          <w:ilvl w:val="0"/>
          <w:numId w:val="66"/>
        </w:numPr>
        <w:spacing w:after="240"/>
        <w:ind w:left="1134" w:hanging="567"/>
      </w:pPr>
      <w:r>
        <w:t>укрепится преемственность программы;</w:t>
      </w:r>
    </w:p>
    <w:p w:rsidR="00000000" w:rsidRDefault="00000000">
      <w:pPr>
        <w:numPr>
          <w:ilvl w:val="0"/>
          <w:numId w:val="66"/>
        </w:numPr>
        <w:spacing w:after="240"/>
        <w:ind w:left="1134" w:hanging="567"/>
      </w:pPr>
      <w:r>
        <w:t>улучшатся возможности для получения образования на селе.</w:t>
      </w:r>
    </w:p>
    <w:p w:rsidR="00000000" w:rsidRDefault="00000000">
      <w:pPr>
        <w:keepNext/>
        <w:jc w:val="center"/>
        <w:rPr>
          <w:b/>
          <w:bCs/>
        </w:rPr>
      </w:pPr>
      <w:r>
        <w:rPr>
          <w:b/>
          <w:bCs/>
        </w:rPr>
        <w:t>Число учащихся, завершивших учебу в 1995/96–2002/03 учебных годах</w:t>
      </w:r>
    </w:p>
    <w:p w:rsidR="00000000" w:rsidRDefault="00000000">
      <w:pPr>
        <w:keepNext/>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021"/>
        <w:gridCol w:w="868"/>
        <w:gridCol w:w="945"/>
        <w:gridCol w:w="807"/>
        <w:gridCol w:w="839"/>
        <w:gridCol w:w="742"/>
        <w:gridCol w:w="685"/>
        <w:gridCol w:w="587"/>
        <w:gridCol w:w="728"/>
        <w:gridCol w:w="854"/>
        <w:gridCol w:w="672"/>
        <w:gridCol w:w="662"/>
      </w:tblGrid>
      <w:tr w:rsidR="00000000">
        <w:trPr>
          <w:cantSplit/>
          <w:trHeight w:val="458"/>
        </w:trPr>
        <w:tc>
          <w:tcPr>
            <w:tcW w:w="542" w:type="pct"/>
            <w:vMerge w:val="restart"/>
            <w:textDirection w:val="btLr"/>
            <w:vAlign w:val="center"/>
          </w:tcPr>
          <w:p w:rsidR="00000000" w:rsidRDefault="00000000">
            <w:pPr>
              <w:keepNext/>
              <w:spacing w:line="240" w:lineRule="auto"/>
              <w:ind w:left="113"/>
              <w:rPr>
                <w:sz w:val="20"/>
              </w:rPr>
            </w:pPr>
          </w:p>
        </w:tc>
        <w:tc>
          <w:tcPr>
            <w:tcW w:w="461" w:type="pct"/>
            <w:vMerge w:val="restart"/>
            <w:textDirection w:val="btLr"/>
            <w:vAlign w:val="center"/>
          </w:tcPr>
          <w:p w:rsidR="00000000" w:rsidRDefault="00000000">
            <w:pPr>
              <w:keepNext/>
              <w:spacing w:line="240" w:lineRule="auto"/>
              <w:ind w:left="113"/>
              <w:jc w:val="center"/>
              <w:rPr>
                <w:sz w:val="20"/>
              </w:rPr>
            </w:pPr>
            <w:r>
              <w:rPr>
                <w:sz w:val="20"/>
              </w:rPr>
              <w:t>Начальное образование</w:t>
            </w:r>
          </w:p>
        </w:tc>
        <w:tc>
          <w:tcPr>
            <w:tcW w:w="502" w:type="pct"/>
            <w:vMerge w:val="restart"/>
            <w:textDirection w:val="btLr"/>
            <w:vAlign w:val="center"/>
          </w:tcPr>
          <w:p w:rsidR="00000000" w:rsidRDefault="00000000">
            <w:pPr>
              <w:keepNext/>
              <w:spacing w:line="240" w:lineRule="auto"/>
              <w:ind w:left="113"/>
              <w:jc w:val="center"/>
              <w:rPr>
                <w:sz w:val="20"/>
              </w:rPr>
            </w:pPr>
            <w:r>
              <w:rPr>
                <w:sz w:val="20"/>
              </w:rPr>
              <w:t>Среднее образование</w:t>
            </w:r>
          </w:p>
        </w:tc>
        <w:tc>
          <w:tcPr>
            <w:tcW w:w="429" w:type="pct"/>
            <w:vMerge w:val="restart"/>
            <w:textDirection w:val="btLr"/>
            <w:vAlign w:val="center"/>
          </w:tcPr>
          <w:p w:rsidR="00000000" w:rsidRDefault="00000000">
            <w:pPr>
              <w:keepNext/>
              <w:spacing w:line="240" w:lineRule="auto"/>
              <w:ind w:left="113"/>
              <w:jc w:val="center"/>
              <w:rPr>
                <w:sz w:val="20"/>
              </w:rPr>
            </w:pPr>
            <w:r>
              <w:rPr>
                <w:sz w:val="20"/>
              </w:rPr>
              <w:t>Высшее профессионально-техническое образование</w:t>
            </w:r>
          </w:p>
        </w:tc>
        <w:tc>
          <w:tcPr>
            <w:tcW w:w="2357" w:type="pct"/>
            <w:gridSpan w:val="6"/>
            <w:vAlign w:val="center"/>
          </w:tcPr>
          <w:p w:rsidR="00000000" w:rsidRDefault="00000000">
            <w:pPr>
              <w:keepNext/>
              <w:spacing w:line="240" w:lineRule="auto"/>
              <w:jc w:val="center"/>
              <w:rPr>
                <w:sz w:val="20"/>
              </w:rPr>
            </w:pPr>
            <w:r>
              <w:rPr>
                <w:sz w:val="20"/>
              </w:rPr>
              <w:t>Высшее образование</w:t>
            </w:r>
          </w:p>
        </w:tc>
        <w:tc>
          <w:tcPr>
            <w:tcW w:w="357" w:type="pct"/>
            <w:vMerge w:val="restart"/>
            <w:textDirection w:val="btLr"/>
            <w:vAlign w:val="center"/>
          </w:tcPr>
          <w:p w:rsidR="00000000" w:rsidRDefault="00000000">
            <w:pPr>
              <w:keepNext/>
              <w:spacing w:line="240" w:lineRule="auto"/>
              <w:ind w:left="113"/>
              <w:jc w:val="center"/>
              <w:rPr>
                <w:sz w:val="20"/>
              </w:rPr>
            </w:pPr>
            <w:r>
              <w:rPr>
                <w:sz w:val="20"/>
              </w:rPr>
              <w:t>Кандидаты наук</w:t>
            </w:r>
          </w:p>
        </w:tc>
        <w:tc>
          <w:tcPr>
            <w:tcW w:w="352" w:type="pct"/>
            <w:vMerge w:val="restart"/>
            <w:textDirection w:val="btLr"/>
            <w:vAlign w:val="center"/>
          </w:tcPr>
          <w:p w:rsidR="00000000" w:rsidRDefault="00000000">
            <w:pPr>
              <w:keepNext/>
              <w:spacing w:line="240" w:lineRule="auto"/>
              <w:ind w:left="113"/>
              <w:rPr>
                <w:sz w:val="20"/>
              </w:rPr>
            </w:pPr>
            <w:r>
              <w:rPr>
                <w:sz w:val="20"/>
              </w:rPr>
              <w:t>Магистры наук и специалисты</w:t>
            </w:r>
          </w:p>
        </w:tc>
      </w:tr>
      <w:tr w:rsidR="00000000">
        <w:trPr>
          <w:cantSplit/>
          <w:trHeight w:val="2170"/>
        </w:trPr>
        <w:tc>
          <w:tcPr>
            <w:tcW w:w="542" w:type="pct"/>
            <w:vMerge/>
            <w:tcBorders>
              <w:bottom w:val="single" w:sz="4" w:space="0" w:color="auto"/>
            </w:tcBorders>
            <w:textDirection w:val="btLr"/>
            <w:vAlign w:val="center"/>
          </w:tcPr>
          <w:p w:rsidR="00000000" w:rsidRDefault="00000000">
            <w:pPr>
              <w:keepNext/>
              <w:rPr>
                <w:sz w:val="20"/>
              </w:rPr>
            </w:pPr>
          </w:p>
        </w:tc>
        <w:tc>
          <w:tcPr>
            <w:tcW w:w="461" w:type="pct"/>
            <w:vMerge/>
            <w:tcBorders>
              <w:bottom w:val="single" w:sz="4" w:space="0" w:color="auto"/>
            </w:tcBorders>
            <w:textDirection w:val="btLr"/>
            <w:vAlign w:val="center"/>
          </w:tcPr>
          <w:p w:rsidR="00000000" w:rsidRDefault="00000000">
            <w:pPr>
              <w:keepNext/>
              <w:jc w:val="center"/>
              <w:rPr>
                <w:sz w:val="20"/>
              </w:rPr>
            </w:pPr>
          </w:p>
        </w:tc>
        <w:tc>
          <w:tcPr>
            <w:tcW w:w="502" w:type="pct"/>
            <w:vMerge/>
            <w:tcBorders>
              <w:bottom w:val="single" w:sz="4" w:space="0" w:color="auto"/>
            </w:tcBorders>
            <w:textDirection w:val="btLr"/>
            <w:vAlign w:val="center"/>
          </w:tcPr>
          <w:p w:rsidR="00000000" w:rsidRDefault="00000000">
            <w:pPr>
              <w:keepNext/>
              <w:jc w:val="center"/>
              <w:rPr>
                <w:sz w:val="20"/>
              </w:rPr>
            </w:pPr>
          </w:p>
        </w:tc>
        <w:tc>
          <w:tcPr>
            <w:tcW w:w="429" w:type="pct"/>
            <w:vMerge/>
            <w:tcBorders>
              <w:bottom w:val="single" w:sz="4" w:space="0" w:color="auto"/>
            </w:tcBorders>
            <w:textDirection w:val="btLr"/>
            <w:vAlign w:val="center"/>
          </w:tcPr>
          <w:p w:rsidR="00000000" w:rsidRDefault="00000000">
            <w:pPr>
              <w:keepNext/>
              <w:jc w:val="center"/>
              <w:rPr>
                <w:sz w:val="20"/>
              </w:rPr>
            </w:pPr>
          </w:p>
        </w:tc>
        <w:tc>
          <w:tcPr>
            <w:tcW w:w="446" w:type="pct"/>
            <w:tcBorders>
              <w:bottom w:val="single" w:sz="4" w:space="0" w:color="auto"/>
            </w:tcBorders>
            <w:textDirection w:val="btLr"/>
            <w:vAlign w:val="center"/>
          </w:tcPr>
          <w:p w:rsidR="00000000" w:rsidRDefault="00000000">
            <w:pPr>
              <w:keepNext/>
              <w:ind w:left="113"/>
              <w:jc w:val="center"/>
              <w:rPr>
                <w:sz w:val="20"/>
              </w:rPr>
            </w:pPr>
            <w:r>
              <w:rPr>
                <w:sz w:val="20"/>
              </w:rPr>
              <w:t>Всего</w:t>
            </w:r>
          </w:p>
        </w:tc>
        <w:tc>
          <w:tcPr>
            <w:tcW w:w="394" w:type="pct"/>
            <w:tcBorders>
              <w:bottom w:val="single" w:sz="4" w:space="0" w:color="auto"/>
            </w:tcBorders>
            <w:textDirection w:val="btLr"/>
            <w:vAlign w:val="center"/>
          </w:tcPr>
          <w:p w:rsidR="00000000" w:rsidRDefault="00000000">
            <w:pPr>
              <w:keepNext/>
              <w:ind w:left="113"/>
              <w:jc w:val="center"/>
              <w:rPr>
                <w:sz w:val="20"/>
              </w:rPr>
            </w:pPr>
            <w:r>
              <w:rPr>
                <w:sz w:val="20"/>
              </w:rPr>
              <w:t>Естественные науки и математика</w:t>
            </w:r>
          </w:p>
        </w:tc>
        <w:tc>
          <w:tcPr>
            <w:tcW w:w="364" w:type="pct"/>
            <w:tcBorders>
              <w:bottom w:val="single" w:sz="4" w:space="0" w:color="auto"/>
            </w:tcBorders>
            <w:textDirection w:val="btLr"/>
            <w:vAlign w:val="center"/>
          </w:tcPr>
          <w:p w:rsidR="00000000" w:rsidRDefault="00000000">
            <w:pPr>
              <w:keepNext/>
              <w:ind w:left="113"/>
              <w:jc w:val="center"/>
              <w:rPr>
                <w:sz w:val="20"/>
              </w:rPr>
            </w:pPr>
            <w:r>
              <w:rPr>
                <w:sz w:val="20"/>
              </w:rPr>
              <w:t>Технические науки</w:t>
            </w:r>
          </w:p>
        </w:tc>
        <w:tc>
          <w:tcPr>
            <w:tcW w:w="312" w:type="pct"/>
            <w:tcBorders>
              <w:bottom w:val="single" w:sz="4" w:space="0" w:color="auto"/>
            </w:tcBorders>
            <w:textDirection w:val="btLr"/>
            <w:vAlign w:val="center"/>
          </w:tcPr>
          <w:p w:rsidR="00000000" w:rsidRDefault="00000000">
            <w:pPr>
              <w:keepNext/>
              <w:ind w:left="113"/>
              <w:jc w:val="center"/>
              <w:rPr>
                <w:sz w:val="20"/>
              </w:rPr>
            </w:pPr>
            <w:r>
              <w:rPr>
                <w:sz w:val="20"/>
              </w:rPr>
              <w:t>Медицина</w:t>
            </w:r>
          </w:p>
        </w:tc>
        <w:tc>
          <w:tcPr>
            <w:tcW w:w="387" w:type="pct"/>
            <w:tcBorders>
              <w:bottom w:val="single" w:sz="4" w:space="0" w:color="auto"/>
            </w:tcBorders>
            <w:textDirection w:val="btLr"/>
            <w:vAlign w:val="center"/>
          </w:tcPr>
          <w:p w:rsidR="00000000" w:rsidRDefault="00000000">
            <w:pPr>
              <w:keepNext/>
              <w:ind w:left="113"/>
              <w:jc w:val="center"/>
              <w:rPr>
                <w:sz w:val="20"/>
              </w:rPr>
            </w:pPr>
            <w:r>
              <w:rPr>
                <w:sz w:val="20"/>
              </w:rPr>
              <w:t>Биотехнические науки</w:t>
            </w:r>
          </w:p>
        </w:tc>
        <w:tc>
          <w:tcPr>
            <w:tcW w:w="454" w:type="pct"/>
            <w:tcBorders>
              <w:bottom w:val="single" w:sz="4" w:space="0" w:color="auto"/>
            </w:tcBorders>
            <w:textDirection w:val="btLr"/>
            <w:vAlign w:val="center"/>
          </w:tcPr>
          <w:p w:rsidR="00000000" w:rsidRDefault="00000000">
            <w:pPr>
              <w:keepNext/>
              <w:ind w:left="113"/>
              <w:jc w:val="center"/>
              <w:rPr>
                <w:sz w:val="20"/>
              </w:rPr>
            </w:pPr>
            <w:r>
              <w:rPr>
                <w:sz w:val="20"/>
              </w:rPr>
              <w:t>Социальные науки</w:t>
            </w:r>
          </w:p>
        </w:tc>
        <w:tc>
          <w:tcPr>
            <w:tcW w:w="357" w:type="pct"/>
            <w:vMerge/>
            <w:tcBorders>
              <w:bottom w:val="single" w:sz="4" w:space="0" w:color="auto"/>
            </w:tcBorders>
            <w:textDirection w:val="btLr"/>
            <w:vAlign w:val="center"/>
          </w:tcPr>
          <w:p w:rsidR="00000000" w:rsidRDefault="00000000">
            <w:pPr>
              <w:keepNext/>
              <w:jc w:val="center"/>
              <w:rPr>
                <w:sz w:val="20"/>
              </w:rPr>
            </w:pPr>
          </w:p>
        </w:tc>
        <w:tc>
          <w:tcPr>
            <w:tcW w:w="352" w:type="pct"/>
            <w:vMerge/>
            <w:tcBorders>
              <w:bottom w:val="single" w:sz="4" w:space="0" w:color="auto"/>
            </w:tcBorders>
            <w:textDirection w:val="btLr"/>
            <w:vAlign w:val="center"/>
          </w:tcPr>
          <w:p w:rsidR="00000000" w:rsidRDefault="00000000">
            <w:pPr>
              <w:keepNext/>
              <w:rPr>
                <w:sz w:val="20"/>
              </w:rPr>
            </w:pPr>
          </w:p>
        </w:tc>
      </w:tr>
      <w:tr w:rsidR="00000000">
        <w:trPr>
          <w:cantSplit/>
        </w:trPr>
        <w:tc>
          <w:tcPr>
            <w:tcW w:w="542" w:type="pct"/>
            <w:tcBorders>
              <w:bottom w:val="nil"/>
            </w:tcBorders>
            <w:vAlign w:val="center"/>
          </w:tcPr>
          <w:p w:rsidR="00000000" w:rsidRDefault="00000000">
            <w:pPr>
              <w:jc w:val="center"/>
              <w:rPr>
                <w:sz w:val="22"/>
              </w:rPr>
            </w:pPr>
            <w:r>
              <w:rPr>
                <w:sz w:val="22"/>
              </w:rPr>
              <w:t>1995/96</w:t>
            </w:r>
          </w:p>
        </w:tc>
        <w:tc>
          <w:tcPr>
            <w:tcW w:w="461" w:type="pct"/>
            <w:tcBorders>
              <w:bottom w:val="nil"/>
            </w:tcBorders>
            <w:vAlign w:val="center"/>
          </w:tcPr>
          <w:p w:rsidR="00000000" w:rsidRDefault="00000000">
            <w:pPr>
              <w:jc w:val="center"/>
              <w:rPr>
                <w:sz w:val="22"/>
              </w:rPr>
            </w:pPr>
            <w:r>
              <w:rPr>
                <w:sz w:val="22"/>
              </w:rPr>
              <w:t>29 871</w:t>
            </w:r>
          </w:p>
        </w:tc>
        <w:tc>
          <w:tcPr>
            <w:tcW w:w="502" w:type="pct"/>
            <w:tcBorders>
              <w:bottom w:val="nil"/>
            </w:tcBorders>
            <w:vAlign w:val="center"/>
          </w:tcPr>
          <w:p w:rsidR="00000000" w:rsidRDefault="00000000">
            <w:pPr>
              <w:jc w:val="center"/>
              <w:rPr>
                <w:sz w:val="22"/>
              </w:rPr>
            </w:pPr>
            <w:r>
              <w:rPr>
                <w:sz w:val="22"/>
              </w:rPr>
              <w:t>18 388</w:t>
            </w:r>
          </w:p>
        </w:tc>
        <w:tc>
          <w:tcPr>
            <w:tcW w:w="429" w:type="pct"/>
            <w:tcBorders>
              <w:bottom w:val="nil"/>
            </w:tcBorders>
            <w:vAlign w:val="center"/>
          </w:tcPr>
          <w:p w:rsidR="00000000" w:rsidRDefault="00000000">
            <w:pPr>
              <w:jc w:val="center"/>
              <w:rPr>
                <w:sz w:val="22"/>
              </w:rPr>
            </w:pPr>
            <w:r>
              <w:rPr>
                <w:sz w:val="22"/>
              </w:rPr>
              <w:t>671</w:t>
            </w:r>
          </w:p>
        </w:tc>
        <w:tc>
          <w:tcPr>
            <w:tcW w:w="446" w:type="pct"/>
            <w:tcBorders>
              <w:bottom w:val="nil"/>
            </w:tcBorders>
            <w:vAlign w:val="center"/>
          </w:tcPr>
          <w:p w:rsidR="00000000" w:rsidRDefault="00000000">
            <w:pPr>
              <w:jc w:val="center"/>
              <w:rPr>
                <w:sz w:val="22"/>
              </w:rPr>
            </w:pPr>
            <w:r>
              <w:rPr>
                <w:sz w:val="22"/>
              </w:rPr>
              <w:t>2 527</w:t>
            </w:r>
          </w:p>
        </w:tc>
        <w:tc>
          <w:tcPr>
            <w:tcW w:w="394" w:type="pct"/>
            <w:tcBorders>
              <w:bottom w:val="nil"/>
            </w:tcBorders>
            <w:vAlign w:val="center"/>
          </w:tcPr>
          <w:p w:rsidR="00000000" w:rsidRDefault="00000000">
            <w:pPr>
              <w:jc w:val="center"/>
              <w:rPr>
                <w:sz w:val="22"/>
              </w:rPr>
            </w:pPr>
            <w:r>
              <w:rPr>
                <w:sz w:val="22"/>
              </w:rPr>
              <w:t>153</w:t>
            </w:r>
          </w:p>
        </w:tc>
        <w:tc>
          <w:tcPr>
            <w:tcW w:w="364" w:type="pct"/>
            <w:tcBorders>
              <w:bottom w:val="nil"/>
            </w:tcBorders>
            <w:vAlign w:val="center"/>
          </w:tcPr>
          <w:p w:rsidR="00000000" w:rsidRDefault="00000000">
            <w:pPr>
              <w:jc w:val="center"/>
              <w:rPr>
                <w:sz w:val="22"/>
              </w:rPr>
            </w:pPr>
            <w:r>
              <w:rPr>
                <w:sz w:val="22"/>
              </w:rPr>
              <w:t>688</w:t>
            </w:r>
          </w:p>
        </w:tc>
        <w:tc>
          <w:tcPr>
            <w:tcW w:w="312" w:type="pct"/>
            <w:tcBorders>
              <w:bottom w:val="nil"/>
            </w:tcBorders>
            <w:vAlign w:val="center"/>
          </w:tcPr>
          <w:p w:rsidR="00000000" w:rsidRDefault="00000000">
            <w:pPr>
              <w:jc w:val="center"/>
              <w:rPr>
                <w:sz w:val="22"/>
              </w:rPr>
            </w:pPr>
            <w:r>
              <w:rPr>
                <w:sz w:val="22"/>
              </w:rPr>
              <w:t>259</w:t>
            </w:r>
          </w:p>
        </w:tc>
        <w:tc>
          <w:tcPr>
            <w:tcW w:w="387" w:type="pct"/>
            <w:tcBorders>
              <w:bottom w:val="nil"/>
            </w:tcBorders>
            <w:vAlign w:val="center"/>
          </w:tcPr>
          <w:p w:rsidR="00000000" w:rsidRDefault="00000000">
            <w:pPr>
              <w:jc w:val="center"/>
              <w:rPr>
                <w:sz w:val="22"/>
              </w:rPr>
            </w:pPr>
            <w:r>
              <w:rPr>
                <w:sz w:val="22"/>
              </w:rPr>
              <w:t>190</w:t>
            </w:r>
          </w:p>
        </w:tc>
        <w:tc>
          <w:tcPr>
            <w:tcW w:w="454" w:type="pct"/>
            <w:tcBorders>
              <w:bottom w:val="nil"/>
            </w:tcBorders>
            <w:vAlign w:val="center"/>
          </w:tcPr>
          <w:p w:rsidR="00000000" w:rsidRDefault="00000000">
            <w:pPr>
              <w:jc w:val="center"/>
              <w:rPr>
                <w:sz w:val="22"/>
              </w:rPr>
            </w:pPr>
            <w:r>
              <w:rPr>
                <w:sz w:val="22"/>
              </w:rPr>
              <w:t>1 237</w:t>
            </w:r>
          </w:p>
        </w:tc>
        <w:tc>
          <w:tcPr>
            <w:tcW w:w="357" w:type="pct"/>
            <w:tcBorders>
              <w:bottom w:val="nil"/>
            </w:tcBorders>
            <w:vAlign w:val="center"/>
          </w:tcPr>
          <w:p w:rsidR="00000000" w:rsidRDefault="00000000">
            <w:pPr>
              <w:jc w:val="center"/>
              <w:rPr>
                <w:sz w:val="22"/>
              </w:rPr>
            </w:pPr>
            <w:r>
              <w:rPr>
                <w:sz w:val="22"/>
              </w:rPr>
              <w:t>51</w:t>
            </w:r>
          </w:p>
        </w:tc>
        <w:tc>
          <w:tcPr>
            <w:tcW w:w="352" w:type="pct"/>
            <w:tcBorders>
              <w:bottom w:val="nil"/>
            </w:tcBorders>
            <w:vAlign w:val="center"/>
          </w:tcPr>
          <w:p w:rsidR="00000000" w:rsidRDefault="00000000">
            <w:pPr>
              <w:tabs>
                <w:tab w:val="clear" w:pos="567"/>
              </w:tabs>
              <w:ind w:right="-182"/>
              <w:rPr>
                <w:sz w:val="22"/>
              </w:rPr>
            </w:pPr>
            <w:r>
              <w:rPr>
                <w:sz w:val="22"/>
              </w:rPr>
              <w:t xml:space="preserve">    43</w:t>
            </w:r>
          </w:p>
        </w:tc>
      </w:tr>
      <w:tr w:rsidR="00000000">
        <w:trPr>
          <w:cantSplit/>
        </w:trPr>
        <w:tc>
          <w:tcPr>
            <w:tcW w:w="542" w:type="pct"/>
            <w:tcBorders>
              <w:top w:val="nil"/>
              <w:bottom w:val="nil"/>
            </w:tcBorders>
            <w:vAlign w:val="center"/>
          </w:tcPr>
          <w:p w:rsidR="00000000" w:rsidRDefault="00000000">
            <w:pPr>
              <w:jc w:val="center"/>
              <w:rPr>
                <w:sz w:val="22"/>
              </w:rPr>
            </w:pPr>
            <w:r>
              <w:rPr>
                <w:sz w:val="22"/>
              </w:rPr>
              <w:t>1996/97</w:t>
            </w:r>
          </w:p>
        </w:tc>
        <w:tc>
          <w:tcPr>
            <w:tcW w:w="461" w:type="pct"/>
            <w:tcBorders>
              <w:top w:val="nil"/>
              <w:bottom w:val="nil"/>
            </w:tcBorders>
            <w:vAlign w:val="center"/>
          </w:tcPr>
          <w:p w:rsidR="00000000" w:rsidRDefault="00000000">
            <w:pPr>
              <w:jc w:val="center"/>
              <w:rPr>
                <w:sz w:val="22"/>
              </w:rPr>
            </w:pPr>
            <w:r>
              <w:rPr>
                <w:sz w:val="22"/>
              </w:rPr>
              <w:t>30 522</w:t>
            </w:r>
          </w:p>
        </w:tc>
        <w:tc>
          <w:tcPr>
            <w:tcW w:w="502" w:type="pct"/>
            <w:tcBorders>
              <w:top w:val="nil"/>
              <w:bottom w:val="nil"/>
            </w:tcBorders>
            <w:vAlign w:val="center"/>
          </w:tcPr>
          <w:p w:rsidR="00000000" w:rsidRDefault="00000000">
            <w:pPr>
              <w:jc w:val="center"/>
              <w:rPr>
                <w:sz w:val="22"/>
              </w:rPr>
            </w:pPr>
            <w:r>
              <w:rPr>
                <w:sz w:val="22"/>
              </w:rPr>
              <w:t>18 787</w:t>
            </w:r>
          </w:p>
        </w:tc>
        <w:tc>
          <w:tcPr>
            <w:tcW w:w="429" w:type="pct"/>
            <w:tcBorders>
              <w:top w:val="nil"/>
              <w:bottom w:val="nil"/>
            </w:tcBorders>
            <w:vAlign w:val="center"/>
          </w:tcPr>
          <w:p w:rsidR="00000000" w:rsidRDefault="00000000">
            <w:pPr>
              <w:jc w:val="center"/>
              <w:rPr>
                <w:sz w:val="22"/>
              </w:rPr>
            </w:pPr>
            <w:r>
              <w:rPr>
                <w:sz w:val="22"/>
              </w:rPr>
              <w:t>528</w:t>
            </w:r>
          </w:p>
        </w:tc>
        <w:tc>
          <w:tcPr>
            <w:tcW w:w="446" w:type="pct"/>
            <w:tcBorders>
              <w:top w:val="nil"/>
              <w:bottom w:val="nil"/>
            </w:tcBorders>
            <w:vAlign w:val="center"/>
          </w:tcPr>
          <w:p w:rsidR="00000000" w:rsidRDefault="00000000">
            <w:pPr>
              <w:jc w:val="center"/>
              <w:rPr>
                <w:sz w:val="22"/>
              </w:rPr>
            </w:pPr>
            <w:r>
              <w:rPr>
                <w:sz w:val="22"/>
              </w:rPr>
              <w:t>2 597</w:t>
            </w:r>
          </w:p>
        </w:tc>
        <w:tc>
          <w:tcPr>
            <w:tcW w:w="394" w:type="pct"/>
            <w:tcBorders>
              <w:top w:val="nil"/>
              <w:bottom w:val="nil"/>
            </w:tcBorders>
            <w:vAlign w:val="center"/>
          </w:tcPr>
          <w:p w:rsidR="00000000" w:rsidRDefault="00000000">
            <w:pPr>
              <w:jc w:val="center"/>
              <w:rPr>
                <w:sz w:val="22"/>
              </w:rPr>
            </w:pPr>
            <w:r>
              <w:rPr>
                <w:sz w:val="22"/>
              </w:rPr>
              <w:t>165</w:t>
            </w:r>
          </w:p>
        </w:tc>
        <w:tc>
          <w:tcPr>
            <w:tcW w:w="364" w:type="pct"/>
            <w:tcBorders>
              <w:top w:val="nil"/>
              <w:bottom w:val="nil"/>
            </w:tcBorders>
            <w:vAlign w:val="center"/>
          </w:tcPr>
          <w:p w:rsidR="00000000" w:rsidRDefault="00000000">
            <w:pPr>
              <w:jc w:val="center"/>
              <w:rPr>
                <w:sz w:val="22"/>
              </w:rPr>
            </w:pPr>
            <w:r>
              <w:rPr>
                <w:sz w:val="22"/>
              </w:rPr>
              <w:t>743</w:t>
            </w:r>
          </w:p>
        </w:tc>
        <w:tc>
          <w:tcPr>
            <w:tcW w:w="312" w:type="pct"/>
            <w:tcBorders>
              <w:top w:val="nil"/>
              <w:bottom w:val="nil"/>
            </w:tcBorders>
            <w:vAlign w:val="center"/>
          </w:tcPr>
          <w:p w:rsidR="00000000" w:rsidRDefault="00000000">
            <w:pPr>
              <w:jc w:val="center"/>
              <w:rPr>
                <w:sz w:val="22"/>
              </w:rPr>
            </w:pPr>
            <w:r>
              <w:rPr>
                <w:sz w:val="22"/>
              </w:rPr>
              <w:t>380</w:t>
            </w:r>
          </w:p>
        </w:tc>
        <w:tc>
          <w:tcPr>
            <w:tcW w:w="387" w:type="pct"/>
            <w:tcBorders>
              <w:top w:val="nil"/>
              <w:bottom w:val="nil"/>
            </w:tcBorders>
            <w:vAlign w:val="center"/>
          </w:tcPr>
          <w:p w:rsidR="00000000" w:rsidRDefault="00000000">
            <w:pPr>
              <w:jc w:val="center"/>
              <w:rPr>
                <w:sz w:val="22"/>
              </w:rPr>
            </w:pPr>
            <w:r>
              <w:rPr>
                <w:sz w:val="22"/>
              </w:rPr>
              <w:t>169</w:t>
            </w:r>
          </w:p>
        </w:tc>
        <w:tc>
          <w:tcPr>
            <w:tcW w:w="454" w:type="pct"/>
            <w:tcBorders>
              <w:top w:val="nil"/>
              <w:bottom w:val="nil"/>
            </w:tcBorders>
            <w:vAlign w:val="center"/>
          </w:tcPr>
          <w:p w:rsidR="00000000" w:rsidRDefault="00000000">
            <w:pPr>
              <w:jc w:val="center"/>
              <w:rPr>
                <w:sz w:val="22"/>
              </w:rPr>
            </w:pPr>
            <w:r>
              <w:rPr>
                <w:sz w:val="22"/>
              </w:rPr>
              <w:t>1 067</w:t>
            </w:r>
          </w:p>
        </w:tc>
        <w:tc>
          <w:tcPr>
            <w:tcW w:w="357" w:type="pct"/>
            <w:tcBorders>
              <w:top w:val="nil"/>
              <w:bottom w:val="nil"/>
            </w:tcBorders>
            <w:vAlign w:val="center"/>
          </w:tcPr>
          <w:p w:rsidR="00000000" w:rsidRDefault="00000000">
            <w:pPr>
              <w:jc w:val="center"/>
              <w:rPr>
                <w:sz w:val="22"/>
              </w:rPr>
            </w:pPr>
            <w:r>
              <w:rPr>
                <w:sz w:val="22"/>
              </w:rPr>
              <w:t>56</w:t>
            </w:r>
          </w:p>
        </w:tc>
        <w:tc>
          <w:tcPr>
            <w:tcW w:w="352" w:type="pct"/>
            <w:tcBorders>
              <w:top w:val="nil"/>
              <w:bottom w:val="nil"/>
            </w:tcBorders>
            <w:vAlign w:val="center"/>
          </w:tcPr>
          <w:p w:rsidR="00000000" w:rsidRDefault="00000000">
            <w:pPr>
              <w:tabs>
                <w:tab w:val="clear" w:pos="567"/>
              </w:tabs>
              <w:ind w:right="5"/>
              <w:rPr>
                <w:sz w:val="22"/>
              </w:rPr>
            </w:pPr>
            <w:r>
              <w:rPr>
                <w:sz w:val="22"/>
              </w:rPr>
              <w:t xml:space="preserve">    77</w:t>
            </w:r>
          </w:p>
        </w:tc>
      </w:tr>
      <w:tr w:rsidR="00000000">
        <w:trPr>
          <w:cantSplit/>
        </w:trPr>
        <w:tc>
          <w:tcPr>
            <w:tcW w:w="542" w:type="pct"/>
            <w:tcBorders>
              <w:top w:val="nil"/>
              <w:bottom w:val="nil"/>
            </w:tcBorders>
            <w:vAlign w:val="center"/>
          </w:tcPr>
          <w:p w:rsidR="00000000" w:rsidRDefault="00000000">
            <w:pPr>
              <w:jc w:val="center"/>
              <w:rPr>
                <w:sz w:val="22"/>
              </w:rPr>
            </w:pPr>
            <w:r>
              <w:rPr>
                <w:sz w:val="22"/>
              </w:rPr>
              <w:t>1997/98</w:t>
            </w:r>
          </w:p>
        </w:tc>
        <w:tc>
          <w:tcPr>
            <w:tcW w:w="461" w:type="pct"/>
            <w:tcBorders>
              <w:top w:val="nil"/>
              <w:bottom w:val="nil"/>
            </w:tcBorders>
            <w:vAlign w:val="center"/>
          </w:tcPr>
          <w:p w:rsidR="00000000" w:rsidRDefault="00000000">
            <w:pPr>
              <w:jc w:val="center"/>
              <w:rPr>
                <w:sz w:val="22"/>
              </w:rPr>
            </w:pPr>
            <w:r>
              <w:rPr>
                <w:sz w:val="22"/>
              </w:rPr>
              <w:t>30 252</w:t>
            </w:r>
          </w:p>
        </w:tc>
        <w:tc>
          <w:tcPr>
            <w:tcW w:w="502" w:type="pct"/>
            <w:tcBorders>
              <w:top w:val="nil"/>
              <w:bottom w:val="nil"/>
            </w:tcBorders>
            <w:vAlign w:val="center"/>
          </w:tcPr>
          <w:p w:rsidR="00000000" w:rsidRDefault="00000000">
            <w:pPr>
              <w:jc w:val="center"/>
              <w:rPr>
                <w:sz w:val="22"/>
              </w:rPr>
            </w:pPr>
            <w:r>
              <w:rPr>
                <w:sz w:val="22"/>
              </w:rPr>
              <w:t>19 790</w:t>
            </w:r>
          </w:p>
        </w:tc>
        <w:tc>
          <w:tcPr>
            <w:tcW w:w="429" w:type="pct"/>
            <w:tcBorders>
              <w:top w:val="nil"/>
              <w:bottom w:val="nil"/>
            </w:tcBorders>
            <w:vAlign w:val="center"/>
          </w:tcPr>
          <w:p w:rsidR="00000000" w:rsidRDefault="00000000">
            <w:pPr>
              <w:jc w:val="center"/>
              <w:rPr>
                <w:sz w:val="22"/>
              </w:rPr>
            </w:pPr>
            <w:r>
              <w:rPr>
                <w:sz w:val="22"/>
              </w:rPr>
              <w:t>436</w:t>
            </w:r>
          </w:p>
        </w:tc>
        <w:tc>
          <w:tcPr>
            <w:tcW w:w="446" w:type="pct"/>
            <w:tcBorders>
              <w:top w:val="nil"/>
              <w:bottom w:val="nil"/>
            </w:tcBorders>
            <w:vAlign w:val="center"/>
          </w:tcPr>
          <w:p w:rsidR="00000000" w:rsidRDefault="00000000">
            <w:pPr>
              <w:jc w:val="center"/>
              <w:rPr>
                <w:sz w:val="22"/>
              </w:rPr>
            </w:pPr>
            <w:r>
              <w:rPr>
                <w:sz w:val="22"/>
              </w:rPr>
              <w:t>2 564</w:t>
            </w:r>
          </w:p>
        </w:tc>
        <w:tc>
          <w:tcPr>
            <w:tcW w:w="394" w:type="pct"/>
            <w:tcBorders>
              <w:top w:val="nil"/>
              <w:bottom w:val="nil"/>
            </w:tcBorders>
            <w:vAlign w:val="center"/>
          </w:tcPr>
          <w:p w:rsidR="00000000" w:rsidRDefault="00000000">
            <w:pPr>
              <w:jc w:val="center"/>
              <w:rPr>
                <w:sz w:val="22"/>
              </w:rPr>
            </w:pPr>
            <w:r>
              <w:rPr>
                <w:sz w:val="22"/>
              </w:rPr>
              <w:t>246</w:t>
            </w:r>
          </w:p>
        </w:tc>
        <w:tc>
          <w:tcPr>
            <w:tcW w:w="364" w:type="pct"/>
            <w:tcBorders>
              <w:top w:val="nil"/>
              <w:bottom w:val="nil"/>
            </w:tcBorders>
            <w:vAlign w:val="center"/>
          </w:tcPr>
          <w:p w:rsidR="00000000" w:rsidRDefault="00000000">
            <w:pPr>
              <w:jc w:val="center"/>
              <w:rPr>
                <w:sz w:val="22"/>
              </w:rPr>
            </w:pPr>
            <w:r>
              <w:rPr>
                <w:sz w:val="22"/>
              </w:rPr>
              <w:t>722</w:t>
            </w:r>
          </w:p>
        </w:tc>
        <w:tc>
          <w:tcPr>
            <w:tcW w:w="312" w:type="pct"/>
            <w:tcBorders>
              <w:top w:val="nil"/>
              <w:bottom w:val="nil"/>
            </w:tcBorders>
            <w:vAlign w:val="center"/>
          </w:tcPr>
          <w:p w:rsidR="00000000" w:rsidRDefault="00000000">
            <w:pPr>
              <w:jc w:val="center"/>
              <w:rPr>
                <w:sz w:val="22"/>
              </w:rPr>
            </w:pPr>
            <w:r>
              <w:rPr>
                <w:sz w:val="22"/>
              </w:rPr>
              <w:t>315</w:t>
            </w:r>
          </w:p>
        </w:tc>
        <w:tc>
          <w:tcPr>
            <w:tcW w:w="387" w:type="pct"/>
            <w:tcBorders>
              <w:top w:val="nil"/>
              <w:bottom w:val="nil"/>
            </w:tcBorders>
            <w:vAlign w:val="center"/>
          </w:tcPr>
          <w:p w:rsidR="00000000" w:rsidRDefault="00000000">
            <w:pPr>
              <w:jc w:val="center"/>
              <w:rPr>
                <w:sz w:val="22"/>
              </w:rPr>
            </w:pPr>
            <w:r>
              <w:rPr>
                <w:sz w:val="22"/>
              </w:rPr>
              <w:t>139</w:t>
            </w:r>
          </w:p>
        </w:tc>
        <w:tc>
          <w:tcPr>
            <w:tcW w:w="454" w:type="pct"/>
            <w:tcBorders>
              <w:top w:val="nil"/>
              <w:bottom w:val="nil"/>
            </w:tcBorders>
            <w:vAlign w:val="center"/>
          </w:tcPr>
          <w:p w:rsidR="00000000" w:rsidRDefault="00000000">
            <w:pPr>
              <w:jc w:val="center"/>
              <w:rPr>
                <w:sz w:val="22"/>
              </w:rPr>
            </w:pPr>
            <w:r>
              <w:rPr>
                <w:sz w:val="22"/>
              </w:rPr>
              <w:t>1 142</w:t>
            </w:r>
          </w:p>
        </w:tc>
        <w:tc>
          <w:tcPr>
            <w:tcW w:w="357" w:type="pct"/>
            <w:tcBorders>
              <w:top w:val="nil"/>
              <w:bottom w:val="nil"/>
            </w:tcBorders>
            <w:vAlign w:val="center"/>
          </w:tcPr>
          <w:p w:rsidR="00000000" w:rsidRDefault="00000000">
            <w:pPr>
              <w:jc w:val="center"/>
              <w:rPr>
                <w:sz w:val="22"/>
              </w:rPr>
            </w:pPr>
            <w:r>
              <w:rPr>
                <w:sz w:val="22"/>
              </w:rPr>
              <w:t>51</w:t>
            </w:r>
          </w:p>
        </w:tc>
        <w:tc>
          <w:tcPr>
            <w:tcW w:w="352" w:type="pct"/>
            <w:tcBorders>
              <w:top w:val="nil"/>
              <w:bottom w:val="nil"/>
            </w:tcBorders>
            <w:vAlign w:val="center"/>
          </w:tcPr>
          <w:p w:rsidR="00000000" w:rsidRDefault="00000000">
            <w:pPr>
              <w:tabs>
                <w:tab w:val="clear" w:pos="567"/>
              </w:tabs>
              <w:ind w:right="5"/>
              <w:rPr>
                <w:sz w:val="22"/>
              </w:rPr>
            </w:pPr>
            <w:r>
              <w:rPr>
                <w:sz w:val="22"/>
              </w:rPr>
              <w:t xml:space="preserve">    76</w:t>
            </w:r>
          </w:p>
        </w:tc>
      </w:tr>
      <w:tr w:rsidR="00000000">
        <w:trPr>
          <w:cantSplit/>
        </w:trPr>
        <w:tc>
          <w:tcPr>
            <w:tcW w:w="542" w:type="pct"/>
            <w:tcBorders>
              <w:top w:val="nil"/>
              <w:bottom w:val="nil"/>
            </w:tcBorders>
            <w:vAlign w:val="center"/>
          </w:tcPr>
          <w:p w:rsidR="00000000" w:rsidRDefault="00000000">
            <w:pPr>
              <w:jc w:val="center"/>
              <w:rPr>
                <w:sz w:val="22"/>
              </w:rPr>
            </w:pPr>
            <w:r>
              <w:rPr>
                <w:sz w:val="22"/>
              </w:rPr>
              <w:t>1998/99</w:t>
            </w:r>
          </w:p>
        </w:tc>
        <w:tc>
          <w:tcPr>
            <w:tcW w:w="461" w:type="pct"/>
            <w:tcBorders>
              <w:top w:val="nil"/>
              <w:bottom w:val="nil"/>
            </w:tcBorders>
            <w:vAlign w:val="center"/>
          </w:tcPr>
          <w:p w:rsidR="00000000" w:rsidRDefault="00000000">
            <w:pPr>
              <w:jc w:val="center"/>
              <w:rPr>
                <w:sz w:val="22"/>
              </w:rPr>
            </w:pPr>
            <w:r>
              <w:rPr>
                <w:sz w:val="22"/>
              </w:rPr>
              <w:t>30 389</w:t>
            </w:r>
          </w:p>
        </w:tc>
        <w:tc>
          <w:tcPr>
            <w:tcW w:w="502" w:type="pct"/>
            <w:tcBorders>
              <w:top w:val="nil"/>
              <w:bottom w:val="nil"/>
            </w:tcBorders>
            <w:vAlign w:val="center"/>
          </w:tcPr>
          <w:p w:rsidR="00000000" w:rsidRDefault="00000000">
            <w:pPr>
              <w:jc w:val="center"/>
              <w:rPr>
                <w:sz w:val="22"/>
              </w:rPr>
            </w:pPr>
            <w:r>
              <w:rPr>
                <w:sz w:val="22"/>
              </w:rPr>
              <w:t>20 515</w:t>
            </w:r>
          </w:p>
        </w:tc>
        <w:tc>
          <w:tcPr>
            <w:tcW w:w="429" w:type="pct"/>
            <w:tcBorders>
              <w:top w:val="nil"/>
              <w:bottom w:val="nil"/>
            </w:tcBorders>
            <w:vAlign w:val="center"/>
          </w:tcPr>
          <w:p w:rsidR="00000000" w:rsidRDefault="00000000">
            <w:pPr>
              <w:jc w:val="center"/>
              <w:rPr>
                <w:sz w:val="22"/>
              </w:rPr>
            </w:pPr>
            <w:r>
              <w:rPr>
                <w:sz w:val="22"/>
              </w:rPr>
              <w:t>447</w:t>
            </w:r>
          </w:p>
        </w:tc>
        <w:tc>
          <w:tcPr>
            <w:tcW w:w="446" w:type="pct"/>
            <w:tcBorders>
              <w:top w:val="nil"/>
              <w:bottom w:val="nil"/>
            </w:tcBorders>
            <w:vAlign w:val="center"/>
          </w:tcPr>
          <w:p w:rsidR="00000000" w:rsidRDefault="00000000">
            <w:pPr>
              <w:jc w:val="center"/>
              <w:rPr>
                <w:sz w:val="22"/>
              </w:rPr>
            </w:pPr>
            <w:r>
              <w:rPr>
                <w:sz w:val="22"/>
              </w:rPr>
              <w:t>3 288</w:t>
            </w:r>
          </w:p>
        </w:tc>
        <w:tc>
          <w:tcPr>
            <w:tcW w:w="394" w:type="pct"/>
            <w:tcBorders>
              <w:top w:val="nil"/>
              <w:bottom w:val="nil"/>
            </w:tcBorders>
            <w:vAlign w:val="center"/>
          </w:tcPr>
          <w:p w:rsidR="00000000" w:rsidRDefault="00000000">
            <w:pPr>
              <w:jc w:val="center"/>
              <w:rPr>
                <w:sz w:val="22"/>
              </w:rPr>
            </w:pPr>
            <w:r>
              <w:rPr>
                <w:sz w:val="22"/>
              </w:rPr>
              <w:t>205</w:t>
            </w:r>
          </w:p>
        </w:tc>
        <w:tc>
          <w:tcPr>
            <w:tcW w:w="364" w:type="pct"/>
            <w:tcBorders>
              <w:top w:val="nil"/>
              <w:bottom w:val="nil"/>
            </w:tcBorders>
            <w:vAlign w:val="center"/>
          </w:tcPr>
          <w:p w:rsidR="00000000" w:rsidRDefault="00000000">
            <w:pPr>
              <w:jc w:val="center"/>
              <w:rPr>
                <w:sz w:val="22"/>
              </w:rPr>
            </w:pPr>
            <w:r>
              <w:rPr>
                <w:sz w:val="22"/>
              </w:rPr>
              <w:t>688</w:t>
            </w:r>
          </w:p>
        </w:tc>
        <w:tc>
          <w:tcPr>
            <w:tcW w:w="312" w:type="pct"/>
            <w:tcBorders>
              <w:top w:val="nil"/>
              <w:bottom w:val="nil"/>
            </w:tcBorders>
            <w:vAlign w:val="center"/>
          </w:tcPr>
          <w:p w:rsidR="00000000" w:rsidRDefault="00000000">
            <w:pPr>
              <w:jc w:val="center"/>
              <w:rPr>
                <w:sz w:val="22"/>
              </w:rPr>
            </w:pPr>
            <w:r>
              <w:rPr>
                <w:sz w:val="22"/>
              </w:rPr>
              <w:t>292</w:t>
            </w:r>
          </w:p>
        </w:tc>
        <w:tc>
          <w:tcPr>
            <w:tcW w:w="387" w:type="pct"/>
            <w:tcBorders>
              <w:top w:val="nil"/>
              <w:bottom w:val="nil"/>
            </w:tcBorders>
            <w:vAlign w:val="center"/>
          </w:tcPr>
          <w:p w:rsidR="00000000" w:rsidRDefault="00000000">
            <w:pPr>
              <w:jc w:val="center"/>
              <w:rPr>
                <w:sz w:val="22"/>
              </w:rPr>
            </w:pPr>
            <w:r>
              <w:rPr>
                <w:sz w:val="22"/>
              </w:rPr>
              <w:t>168</w:t>
            </w:r>
          </w:p>
        </w:tc>
        <w:tc>
          <w:tcPr>
            <w:tcW w:w="454" w:type="pct"/>
            <w:tcBorders>
              <w:top w:val="nil"/>
              <w:bottom w:val="nil"/>
            </w:tcBorders>
            <w:vAlign w:val="center"/>
          </w:tcPr>
          <w:p w:rsidR="00000000" w:rsidRDefault="00000000">
            <w:pPr>
              <w:jc w:val="center"/>
              <w:rPr>
                <w:sz w:val="22"/>
              </w:rPr>
            </w:pPr>
            <w:r>
              <w:rPr>
                <w:sz w:val="22"/>
              </w:rPr>
              <w:t>1 935</w:t>
            </w:r>
          </w:p>
        </w:tc>
        <w:tc>
          <w:tcPr>
            <w:tcW w:w="357" w:type="pct"/>
            <w:tcBorders>
              <w:top w:val="nil"/>
              <w:bottom w:val="nil"/>
            </w:tcBorders>
            <w:vAlign w:val="center"/>
          </w:tcPr>
          <w:p w:rsidR="00000000" w:rsidRDefault="00000000">
            <w:pPr>
              <w:jc w:val="center"/>
              <w:rPr>
                <w:sz w:val="22"/>
              </w:rPr>
            </w:pPr>
            <w:r>
              <w:rPr>
                <w:sz w:val="22"/>
              </w:rPr>
              <w:t>34</w:t>
            </w:r>
          </w:p>
        </w:tc>
        <w:tc>
          <w:tcPr>
            <w:tcW w:w="352" w:type="pct"/>
            <w:tcBorders>
              <w:top w:val="nil"/>
              <w:bottom w:val="nil"/>
            </w:tcBorders>
            <w:vAlign w:val="center"/>
          </w:tcPr>
          <w:p w:rsidR="00000000" w:rsidRDefault="00000000">
            <w:pPr>
              <w:tabs>
                <w:tab w:val="clear" w:pos="567"/>
              </w:tabs>
              <w:ind w:right="5"/>
              <w:rPr>
                <w:sz w:val="22"/>
              </w:rPr>
            </w:pPr>
            <w:r>
              <w:rPr>
                <w:sz w:val="22"/>
              </w:rPr>
              <w:t xml:space="preserve">  106</w:t>
            </w:r>
          </w:p>
        </w:tc>
      </w:tr>
      <w:tr w:rsidR="00000000">
        <w:trPr>
          <w:cantSplit/>
        </w:trPr>
        <w:tc>
          <w:tcPr>
            <w:tcW w:w="542" w:type="pct"/>
            <w:tcBorders>
              <w:top w:val="nil"/>
              <w:bottom w:val="nil"/>
            </w:tcBorders>
            <w:vAlign w:val="center"/>
          </w:tcPr>
          <w:p w:rsidR="00000000" w:rsidRDefault="00000000">
            <w:pPr>
              <w:jc w:val="center"/>
              <w:rPr>
                <w:sz w:val="22"/>
              </w:rPr>
            </w:pPr>
            <w:r>
              <w:rPr>
                <w:sz w:val="22"/>
              </w:rPr>
              <w:t>1999/00</w:t>
            </w:r>
          </w:p>
        </w:tc>
        <w:tc>
          <w:tcPr>
            <w:tcW w:w="461" w:type="pct"/>
            <w:tcBorders>
              <w:top w:val="nil"/>
              <w:bottom w:val="nil"/>
            </w:tcBorders>
            <w:vAlign w:val="center"/>
          </w:tcPr>
          <w:p w:rsidR="00000000" w:rsidRDefault="00000000">
            <w:pPr>
              <w:jc w:val="center"/>
              <w:rPr>
                <w:sz w:val="22"/>
              </w:rPr>
            </w:pPr>
            <w:r>
              <w:rPr>
                <w:sz w:val="22"/>
              </w:rPr>
              <w:t>30 564</w:t>
            </w:r>
          </w:p>
        </w:tc>
        <w:tc>
          <w:tcPr>
            <w:tcW w:w="502" w:type="pct"/>
            <w:tcBorders>
              <w:top w:val="nil"/>
              <w:bottom w:val="nil"/>
            </w:tcBorders>
            <w:vAlign w:val="center"/>
          </w:tcPr>
          <w:p w:rsidR="00000000" w:rsidRDefault="00000000">
            <w:pPr>
              <w:jc w:val="center"/>
              <w:rPr>
                <w:sz w:val="22"/>
              </w:rPr>
            </w:pPr>
            <w:r>
              <w:rPr>
                <w:sz w:val="22"/>
              </w:rPr>
              <w:t>21 510</w:t>
            </w:r>
          </w:p>
        </w:tc>
        <w:tc>
          <w:tcPr>
            <w:tcW w:w="429" w:type="pct"/>
            <w:tcBorders>
              <w:top w:val="nil"/>
              <w:bottom w:val="nil"/>
            </w:tcBorders>
            <w:vAlign w:val="center"/>
          </w:tcPr>
          <w:p w:rsidR="00000000" w:rsidRDefault="00000000">
            <w:pPr>
              <w:jc w:val="center"/>
              <w:rPr>
                <w:sz w:val="22"/>
              </w:rPr>
            </w:pPr>
            <w:r>
              <w:rPr>
                <w:sz w:val="22"/>
              </w:rPr>
              <w:t>402</w:t>
            </w:r>
          </w:p>
        </w:tc>
        <w:tc>
          <w:tcPr>
            <w:tcW w:w="446" w:type="pct"/>
            <w:tcBorders>
              <w:top w:val="nil"/>
              <w:bottom w:val="nil"/>
            </w:tcBorders>
            <w:vAlign w:val="center"/>
          </w:tcPr>
          <w:p w:rsidR="00000000" w:rsidRDefault="00000000">
            <w:pPr>
              <w:jc w:val="center"/>
              <w:rPr>
                <w:sz w:val="22"/>
              </w:rPr>
            </w:pPr>
            <w:r>
              <w:rPr>
                <w:sz w:val="22"/>
              </w:rPr>
              <w:t>3 338</w:t>
            </w:r>
          </w:p>
        </w:tc>
        <w:tc>
          <w:tcPr>
            <w:tcW w:w="394" w:type="pct"/>
            <w:tcBorders>
              <w:top w:val="nil"/>
              <w:bottom w:val="nil"/>
            </w:tcBorders>
            <w:vAlign w:val="center"/>
          </w:tcPr>
          <w:p w:rsidR="00000000" w:rsidRDefault="00000000">
            <w:pPr>
              <w:jc w:val="center"/>
              <w:rPr>
                <w:sz w:val="22"/>
              </w:rPr>
            </w:pPr>
            <w:r>
              <w:rPr>
                <w:sz w:val="22"/>
              </w:rPr>
              <w:t>248</w:t>
            </w:r>
          </w:p>
        </w:tc>
        <w:tc>
          <w:tcPr>
            <w:tcW w:w="364" w:type="pct"/>
            <w:tcBorders>
              <w:top w:val="nil"/>
              <w:bottom w:val="nil"/>
            </w:tcBorders>
            <w:vAlign w:val="center"/>
          </w:tcPr>
          <w:p w:rsidR="00000000" w:rsidRDefault="00000000">
            <w:pPr>
              <w:jc w:val="center"/>
              <w:rPr>
                <w:sz w:val="22"/>
              </w:rPr>
            </w:pPr>
            <w:r>
              <w:rPr>
                <w:sz w:val="22"/>
              </w:rPr>
              <w:t>678</w:t>
            </w:r>
          </w:p>
        </w:tc>
        <w:tc>
          <w:tcPr>
            <w:tcW w:w="312" w:type="pct"/>
            <w:tcBorders>
              <w:top w:val="nil"/>
              <w:bottom w:val="nil"/>
            </w:tcBorders>
            <w:vAlign w:val="center"/>
          </w:tcPr>
          <w:p w:rsidR="00000000" w:rsidRDefault="00000000">
            <w:pPr>
              <w:jc w:val="center"/>
              <w:rPr>
                <w:sz w:val="22"/>
              </w:rPr>
            </w:pPr>
            <w:r>
              <w:rPr>
                <w:sz w:val="22"/>
              </w:rPr>
              <w:t>323</w:t>
            </w:r>
          </w:p>
        </w:tc>
        <w:tc>
          <w:tcPr>
            <w:tcW w:w="387" w:type="pct"/>
            <w:tcBorders>
              <w:top w:val="nil"/>
              <w:bottom w:val="nil"/>
            </w:tcBorders>
            <w:vAlign w:val="center"/>
          </w:tcPr>
          <w:p w:rsidR="00000000" w:rsidRDefault="00000000">
            <w:pPr>
              <w:jc w:val="center"/>
              <w:rPr>
                <w:sz w:val="22"/>
              </w:rPr>
            </w:pPr>
            <w:r>
              <w:rPr>
                <w:sz w:val="22"/>
              </w:rPr>
              <w:t>142</w:t>
            </w:r>
          </w:p>
        </w:tc>
        <w:tc>
          <w:tcPr>
            <w:tcW w:w="454" w:type="pct"/>
            <w:tcBorders>
              <w:top w:val="nil"/>
              <w:bottom w:val="nil"/>
            </w:tcBorders>
            <w:vAlign w:val="center"/>
          </w:tcPr>
          <w:p w:rsidR="00000000" w:rsidRDefault="00000000">
            <w:pPr>
              <w:jc w:val="center"/>
              <w:rPr>
                <w:sz w:val="22"/>
              </w:rPr>
            </w:pPr>
            <w:r>
              <w:rPr>
                <w:sz w:val="22"/>
              </w:rPr>
              <w:t>1 947</w:t>
            </w:r>
          </w:p>
        </w:tc>
        <w:tc>
          <w:tcPr>
            <w:tcW w:w="357" w:type="pct"/>
            <w:tcBorders>
              <w:top w:val="nil"/>
              <w:bottom w:val="nil"/>
            </w:tcBorders>
            <w:vAlign w:val="center"/>
          </w:tcPr>
          <w:p w:rsidR="00000000" w:rsidRDefault="00000000">
            <w:pPr>
              <w:jc w:val="center"/>
              <w:rPr>
                <w:sz w:val="22"/>
              </w:rPr>
            </w:pPr>
            <w:r>
              <w:rPr>
                <w:sz w:val="22"/>
              </w:rPr>
              <w:t>46</w:t>
            </w:r>
          </w:p>
        </w:tc>
        <w:tc>
          <w:tcPr>
            <w:tcW w:w="352" w:type="pct"/>
            <w:tcBorders>
              <w:top w:val="nil"/>
              <w:bottom w:val="nil"/>
            </w:tcBorders>
            <w:vAlign w:val="center"/>
          </w:tcPr>
          <w:p w:rsidR="00000000" w:rsidRDefault="00000000">
            <w:pPr>
              <w:tabs>
                <w:tab w:val="clear" w:pos="567"/>
              </w:tabs>
              <w:ind w:right="5"/>
              <w:rPr>
                <w:sz w:val="22"/>
              </w:rPr>
            </w:pPr>
            <w:r>
              <w:rPr>
                <w:sz w:val="22"/>
              </w:rPr>
              <w:t xml:space="preserve">    74</w:t>
            </w:r>
          </w:p>
        </w:tc>
      </w:tr>
      <w:tr w:rsidR="00000000">
        <w:trPr>
          <w:cantSplit/>
        </w:trPr>
        <w:tc>
          <w:tcPr>
            <w:tcW w:w="542" w:type="pct"/>
            <w:tcBorders>
              <w:top w:val="nil"/>
              <w:bottom w:val="nil"/>
            </w:tcBorders>
            <w:vAlign w:val="center"/>
          </w:tcPr>
          <w:p w:rsidR="00000000" w:rsidRDefault="00000000">
            <w:pPr>
              <w:jc w:val="center"/>
              <w:rPr>
                <w:sz w:val="22"/>
              </w:rPr>
            </w:pPr>
            <w:r>
              <w:rPr>
                <w:sz w:val="22"/>
              </w:rPr>
              <w:t>2000/01</w:t>
            </w:r>
          </w:p>
        </w:tc>
        <w:tc>
          <w:tcPr>
            <w:tcW w:w="461" w:type="pct"/>
            <w:tcBorders>
              <w:top w:val="nil"/>
              <w:bottom w:val="nil"/>
            </w:tcBorders>
            <w:vAlign w:val="center"/>
          </w:tcPr>
          <w:p w:rsidR="00000000" w:rsidRDefault="00000000">
            <w:pPr>
              <w:jc w:val="center"/>
              <w:rPr>
                <w:sz w:val="22"/>
              </w:rPr>
            </w:pPr>
            <w:r>
              <w:rPr>
                <w:sz w:val="22"/>
              </w:rPr>
              <w:t>30 252</w:t>
            </w:r>
          </w:p>
        </w:tc>
        <w:tc>
          <w:tcPr>
            <w:tcW w:w="502" w:type="pct"/>
            <w:tcBorders>
              <w:top w:val="nil"/>
              <w:bottom w:val="nil"/>
            </w:tcBorders>
            <w:vAlign w:val="center"/>
          </w:tcPr>
          <w:p w:rsidR="00000000" w:rsidRDefault="00000000">
            <w:pPr>
              <w:jc w:val="center"/>
              <w:rPr>
                <w:sz w:val="22"/>
              </w:rPr>
            </w:pPr>
            <w:r>
              <w:rPr>
                <w:sz w:val="22"/>
              </w:rPr>
              <w:t>22 724</w:t>
            </w:r>
          </w:p>
        </w:tc>
        <w:tc>
          <w:tcPr>
            <w:tcW w:w="429" w:type="pct"/>
            <w:tcBorders>
              <w:top w:val="nil"/>
              <w:bottom w:val="nil"/>
            </w:tcBorders>
            <w:vAlign w:val="center"/>
          </w:tcPr>
          <w:p w:rsidR="00000000" w:rsidRDefault="00000000">
            <w:pPr>
              <w:jc w:val="center"/>
              <w:rPr>
                <w:sz w:val="22"/>
              </w:rPr>
            </w:pPr>
            <w:r>
              <w:rPr>
                <w:sz w:val="22"/>
              </w:rPr>
              <w:t>300</w:t>
            </w:r>
          </w:p>
        </w:tc>
        <w:tc>
          <w:tcPr>
            <w:tcW w:w="446" w:type="pct"/>
            <w:tcBorders>
              <w:top w:val="nil"/>
              <w:bottom w:val="nil"/>
            </w:tcBorders>
            <w:vAlign w:val="center"/>
          </w:tcPr>
          <w:p w:rsidR="00000000" w:rsidRDefault="00000000">
            <w:pPr>
              <w:jc w:val="center"/>
              <w:rPr>
                <w:sz w:val="22"/>
              </w:rPr>
            </w:pPr>
            <w:r>
              <w:rPr>
                <w:sz w:val="22"/>
              </w:rPr>
              <w:t>3 180</w:t>
            </w:r>
          </w:p>
        </w:tc>
        <w:tc>
          <w:tcPr>
            <w:tcW w:w="394" w:type="pct"/>
            <w:tcBorders>
              <w:top w:val="nil"/>
              <w:bottom w:val="nil"/>
            </w:tcBorders>
            <w:vAlign w:val="center"/>
          </w:tcPr>
          <w:p w:rsidR="00000000" w:rsidRDefault="00000000">
            <w:pPr>
              <w:jc w:val="center"/>
              <w:rPr>
                <w:sz w:val="22"/>
              </w:rPr>
            </w:pPr>
            <w:r>
              <w:rPr>
                <w:sz w:val="22"/>
              </w:rPr>
              <w:t>236</w:t>
            </w:r>
          </w:p>
        </w:tc>
        <w:tc>
          <w:tcPr>
            <w:tcW w:w="364" w:type="pct"/>
            <w:tcBorders>
              <w:top w:val="nil"/>
              <w:bottom w:val="nil"/>
            </w:tcBorders>
            <w:vAlign w:val="center"/>
          </w:tcPr>
          <w:p w:rsidR="00000000" w:rsidRDefault="00000000">
            <w:pPr>
              <w:jc w:val="center"/>
              <w:rPr>
                <w:sz w:val="22"/>
              </w:rPr>
            </w:pPr>
            <w:r>
              <w:rPr>
                <w:sz w:val="22"/>
              </w:rPr>
              <w:t>573</w:t>
            </w:r>
          </w:p>
        </w:tc>
        <w:tc>
          <w:tcPr>
            <w:tcW w:w="312" w:type="pct"/>
            <w:tcBorders>
              <w:top w:val="nil"/>
              <w:bottom w:val="nil"/>
            </w:tcBorders>
            <w:vAlign w:val="center"/>
          </w:tcPr>
          <w:p w:rsidR="00000000" w:rsidRDefault="00000000">
            <w:pPr>
              <w:jc w:val="center"/>
              <w:rPr>
                <w:sz w:val="22"/>
              </w:rPr>
            </w:pPr>
            <w:r>
              <w:rPr>
                <w:sz w:val="22"/>
              </w:rPr>
              <w:t>295</w:t>
            </w:r>
          </w:p>
        </w:tc>
        <w:tc>
          <w:tcPr>
            <w:tcW w:w="387" w:type="pct"/>
            <w:tcBorders>
              <w:top w:val="nil"/>
              <w:bottom w:val="nil"/>
            </w:tcBorders>
            <w:vAlign w:val="center"/>
          </w:tcPr>
          <w:p w:rsidR="00000000" w:rsidRDefault="00000000">
            <w:pPr>
              <w:jc w:val="center"/>
              <w:rPr>
                <w:sz w:val="22"/>
              </w:rPr>
            </w:pPr>
            <w:r>
              <w:rPr>
                <w:sz w:val="22"/>
              </w:rPr>
              <w:t>132</w:t>
            </w:r>
          </w:p>
        </w:tc>
        <w:tc>
          <w:tcPr>
            <w:tcW w:w="454" w:type="pct"/>
            <w:tcBorders>
              <w:top w:val="nil"/>
              <w:bottom w:val="nil"/>
            </w:tcBorders>
            <w:vAlign w:val="center"/>
          </w:tcPr>
          <w:p w:rsidR="00000000" w:rsidRDefault="00000000">
            <w:pPr>
              <w:jc w:val="center"/>
              <w:rPr>
                <w:sz w:val="22"/>
              </w:rPr>
            </w:pPr>
            <w:r>
              <w:rPr>
                <w:sz w:val="22"/>
              </w:rPr>
              <w:t>1 944</w:t>
            </w:r>
          </w:p>
        </w:tc>
        <w:tc>
          <w:tcPr>
            <w:tcW w:w="357" w:type="pct"/>
            <w:tcBorders>
              <w:top w:val="nil"/>
              <w:bottom w:val="nil"/>
            </w:tcBorders>
            <w:vAlign w:val="center"/>
          </w:tcPr>
          <w:p w:rsidR="00000000" w:rsidRDefault="00000000">
            <w:pPr>
              <w:jc w:val="center"/>
              <w:rPr>
                <w:sz w:val="22"/>
              </w:rPr>
            </w:pPr>
            <w:r>
              <w:rPr>
                <w:sz w:val="22"/>
              </w:rPr>
              <w:t>68</w:t>
            </w:r>
          </w:p>
        </w:tc>
        <w:tc>
          <w:tcPr>
            <w:tcW w:w="352" w:type="pct"/>
            <w:tcBorders>
              <w:top w:val="nil"/>
              <w:bottom w:val="nil"/>
            </w:tcBorders>
            <w:vAlign w:val="center"/>
          </w:tcPr>
          <w:p w:rsidR="00000000" w:rsidRDefault="00000000">
            <w:pPr>
              <w:tabs>
                <w:tab w:val="clear" w:pos="567"/>
              </w:tabs>
              <w:ind w:right="5"/>
              <w:rPr>
                <w:sz w:val="22"/>
              </w:rPr>
            </w:pPr>
            <w:r>
              <w:rPr>
                <w:sz w:val="22"/>
              </w:rPr>
              <w:t xml:space="preserve">  156</w:t>
            </w:r>
          </w:p>
        </w:tc>
      </w:tr>
      <w:tr w:rsidR="00000000">
        <w:trPr>
          <w:cantSplit/>
        </w:trPr>
        <w:tc>
          <w:tcPr>
            <w:tcW w:w="542" w:type="pct"/>
            <w:tcBorders>
              <w:top w:val="nil"/>
              <w:bottom w:val="nil"/>
            </w:tcBorders>
            <w:vAlign w:val="center"/>
          </w:tcPr>
          <w:p w:rsidR="00000000" w:rsidRDefault="00000000">
            <w:pPr>
              <w:jc w:val="center"/>
              <w:rPr>
                <w:sz w:val="22"/>
              </w:rPr>
            </w:pPr>
            <w:r>
              <w:rPr>
                <w:sz w:val="22"/>
              </w:rPr>
              <w:t>2001/02</w:t>
            </w:r>
          </w:p>
        </w:tc>
        <w:tc>
          <w:tcPr>
            <w:tcW w:w="461" w:type="pct"/>
            <w:tcBorders>
              <w:top w:val="nil"/>
              <w:bottom w:val="nil"/>
            </w:tcBorders>
            <w:vAlign w:val="center"/>
          </w:tcPr>
          <w:p w:rsidR="00000000" w:rsidRDefault="00000000">
            <w:pPr>
              <w:jc w:val="center"/>
              <w:rPr>
                <w:sz w:val="22"/>
              </w:rPr>
            </w:pPr>
            <w:r>
              <w:rPr>
                <w:sz w:val="22"/>
              </w:rPr>
              <w:t>31 090</w:t>
            </w:r>
          </w:p>
        </w:tc>
        <w:tc>
          <w:tcPr>
            <w:tcW w:w="502" w:type="pct"/>
            <w:tcBorders>
              <w:top w:val="nil"/>
              <w:bottom w:val="nil"/>
            </w:tcBorders>
            <w:vAlign w:val="center"/>
          </w:tcPr>
          <w:p w:rsidR="00000000" w:rsidRDefault="00000000">
            <w:pPr>
              <w:jc w:val="center"/>
              <w:rPr>
                <w:sz w:val="22"/>
              </w:rPr>
            </w:pPr>
            <w:r>
              <w:rPr>
                <w:sz w:val="22"/>
              </w:rPr>
              <w:t>23 051</w:t>
            </w:r>
          </w:p>
        </w:tc>
        <w:tc>
          <w:tcPr>
            <w:tcW w:w="429" w:type="pct"/>
            <w:tcBorders>
              <w:top w:val="nil"/>
              <w:bottom w:val="nil"/>
            </w:tcBorders>
            <w:vAlign w:val="center"/>
          </w:tcPr>
          <w:p w:rsidR="00000000" w:rsidRDefault="00000000">
            <w:pPr>
              <w:jc w:val="center"/>
              <w:rPr>
                <w:sz w:val="22"/>
              </w:rPr>
            </w:pPr>
            <w:r>
              <w:rPr>
                <w:sz w:val="22"/>
              </w:rPr>
              <w:t>324</w:t>
            </w:r>
          </w:p>
        </w:tc>
        <w:tc>
          <w:tcPr>
            <w:tcW w:w="446" w:type="pct"/>
            <w:tcBorders>
              <w:top w:val="nil"/>
              <w:bottom w:val="nil"/>
            </w:tcBorders>
            <w:vAlign w:val="center"/>
          </w:tcPr>
          <w:p w:rsidR="00000000" w:rsidRDefault="00000000">
            <w:pPr>
              <w:jc w:val="center"/>
              <w:rPr>
                <w:sz w:val="22"/>
              </w:rPr>
            </w:pPr>
            <w:r>
              <w:rPr>
                <w:sz w:val="22"/>
              </w:rPr>
              <w:t>3 294</w:t>
            </w:r>
          </w:p>
        </w:tc>
        <w:tc>
          <w:tcPr>
            <w:tcW w:w="394" w:type="pct"/>
            <w:tcBorders>
              <w:top w:val="nil"/>
              <w:bottom w:val="nil"/>
            </w:tcBorders>
            <w:vAlign w:val="center"/>
          </w:tcPr>
          <w:p w:rsidR="00000000" w:rsidRDefault="00000000">
            <w:pPr>
              <w:jc w:val="center"/>
              <w:rPr>
                <w:sz w:val="22"/>
              </w:rPr>
            </w:pPr>
            <w:r>
              <w:rPr>
                <w:sz w:val="22"/>
              </w:rPr>
              <w:t>246</w:t>
            </w:r>
          </w:p>
        </w:tc>
        <w:tc>
          <w:tcPr>
            <w:tcW w:w="364" w:type="pct"/>
            <w:tcBorders>
              <w:top w:val="nil"/>
              <w:bottom w:val="nil"/>
            </w:tcBorders>
            <w:vAlign w:val="center"/>
          </w:tcPr>
          <w:p w:rsidR="00000000" w:rsidRDefault="00000000">
            <w:pPr>
              <w:jc w:val="center"/>
              <w:rPr>
                <w:sz w:val="22"/>
              </w:rPr>
            </w:pPr>
            <w:r>
              <w:rPr>
                <w:sz w:val="22"/>
              </w:rPr>
              <w:t>530</w:t>
            </w:r>
          </w:p>
        </w:tc>
        <w:tc>
          <w:tcPr>
            <w:tcW w:w="312" w:type="pct"/>
            <w:tcBorders>
              <w:top w:val="nil"/>
              <w:bottom w:val="nil"/>
            </w:tcBorders>
            <w:vAlign w:val="center"/>
          </w:tcPr>
          <w:p w:rsidR="00000000" w:rsidRDefault="00000000">
            <w:pPr>
              <w:jc w:val="center"/>
              <w:rPr>
                <w:sz w:val="22"/>
              </w:rPr>
            </w:pPr>
            <w:r>
              <w:rPr>
                <w:sz w:val="22"/>
              </w:rPr>
              <w:t>287</w:t>
            </w:r>
          </w:p>
        </w:tc>
        <w:tc>
          <w:tcPr>
            <w:tcW w:w="387" w:type="pct"/>
            <w:tcBorders>
              <w:top w:val="nil"/>
              <w:bottom w:val="nil"/>
            </w:tcBorders>
            <w:vAlign w:val="center"/>
          </w:tcPr>
          <w:p w:rsidR="00000000" w:rsidRDefault="00000000">
            <w:pPr>
              <w:jc w:val="center"/>
              <w:rPr>
                <w:sz w:val="22"/>
              </w:rPr>
            </w:pPr>
            <w:r>
              <w:rPr>
                <w:sz w:val="22"/>
              </w:rPr>
              <w:t>147</w:t>
            </w:r>
          </w:p>
        </w:tc>
        <w:tc>
          <w:tcPr>
            <w:tcW w:w="454" w:type="pct"/>
            <w:tcBorders>
              <w:top w:val="nil"/>
              <w:bottom w:val="nil"/>
            </w:tcBorders>
            <w:vAlign w:val="center"/>
          </w:tcPr>
          <w:p w:rsidR="00000000" w:rsidRDefault="00000000">
            <w:pPr>
              <w:jc w:val="center"/>
              <w:rPr>
                <w:sz w:val="22"/>
              </w:rPr>
            </w:pPr>
            <w:r>
              <w:rPr>
                <w:sz w:val="22"/>
              </w:rPr>
              <w:t>2 084</w:t>
            </w:r>
          </w:p>
        </w:tc>
        <w:tc>
          <w:tcPr>
            <w:tcW w:w="357" w:type="pct"/>
            <w:tcBorders>
              <w:top w:val="nil"/>
              <w:bottom w:val="nil"/>
            </w:tcBorders>
            <w:vAlign w:val="center"/>
          </w:tcPr>
          <w:p w:rsidR="00000000" w:rsidRDefault="00000000">
            <w:pPr>
              <w:jc w:val="center"/>
              <w:rPr>
                <w:sz w:val="22"/>
              </w:rPr>
            </w:pPr>
            <w:r>
              <w:rPr>
                <w:sz w:val="22"/>
              </w:rPr>
              <w:t>51</w:t>
            </w:r>
          </w:p>
        </w:tc>
        <w:tc>
          <w:tcPr>
            <w:tcW w:w="352" w:type="pct"/>
            <w:tcBorders>
              <w:top w:val="nil"/>
              <w:bottom w:val="nil"/>
            </w:tcBorders>
            <w:vAlign w:val="center"/>
          </w:tcPr>
          <w:p w:rsidR="00000000" w:rsidRDefault="00000000">
            <w:pPr>
              <w:tabs>
                <w:tab w:val="clear" w:pos="567"/>
              </w:tabs>
              <w:ind w:right="5"/>
              <w:rPr>
                <w:sz w:val="22"/>
              </w:rPr>
            </w:pPr>
            <w:r>
              <w:rPr>
                <w:sz w:val="22"/>
              </w:rPr>
              <w:t xml:space="preserve">    96</w:t>
            </w:r>
          </w:p>
        </w:tc>
      </w:tr>
      <w:tr w:rsidR="00000000">
        <w:trPr>
          <w:cantSplit/>
        </w:trPr>
        <w:tc>
          <w:tcPr>
            <w:tcW w:w="542" w:type="pct"/>
            <w:tcBorders>
              <w:top w:val="nil"/>
            </w:tcBorders>
            <w:vAlign w:val="center"/>
          </w:tcPr>
          <w:p w:rsidR="00000000" w:rsidRDefault="00000000">
            <w:pPr>
              <w:jc w:val="center"/>
              <w:rPr>
                <w:sz w:val="22"/>
              </w:rPr>
            </w:pPr>
            <w:r>
              <w:rPr>
                <w:sz w:val="22"/>
              </w:rPr>
              <w:t>2002/03</w:t>
            </w:r>
          </w:p>
        </w:tc>
        <w:tc>
          <w:tcPr>
            <w:tcW w:w="461" w:type="pct"/>
            <w:tcBorders>
              <w:top w:val="nil"/>
            </w:tcBorders>
            <w:vAlign w:val="center"/>
          </w:tcPr>
          <w:p w:rsidR="00000000" w:rsidRDefault="00000000">
            <w:pPr>
              <w:jc w:val="center"/>
              <w:rPr>
                <w:sz w:val="22"/>
              </w:rPr>
            </w:pPr>
            <w:r>
              <w:rPr>
                <w:sz w:val="22"/>
              </w:rPr>
              <w:t>30 095</w:t>
            </w:r>
          </w:p>
        </w:tc>
        <w:tc>
          <w:tcPr>
            <w:tcW w:w="502" w:type="pct"/>
            <w:tcBorders>
              <w:top w:val="nil"/>
            </w:tcBorders>
            <w:vAlign w:val="center"/>
          </w:tcPr>
          <w:p w:rsidR="00000000" w:rsidRDefault="00000000">
            <w:pPr>
              <w:jc w:val="center"/>
              <w:rPr>
                <w:sz w:val="22"/>
              </w:rPr>
            </w:pPr>
            <w:r>
              <w:rPr>
                <w:sz w:val="22"/>
              </w:rPr>
              <w:t>23 851</w:t>
            </w:r>
          </w:p>
        </w:tc>
        <w:tc>
          <w:tcPr>
            <w:tcW w:w="429" w:type="pct"/>
            <w:tcBorders>
              <w:top w:val="nil"/>
            </w:tcBorders>
            <w:vAlign w:val="center"/>
          </w:tcPr>
          <w:p w:rsidR="00000000" w:rsidRDefault="00000000">
            <w:pPr>
              <w:jc w:val="center"/>
              <w:rPr>
                <w:sz w:val="22"/>
              </w:rPr>
            </w:pPr>
            <w:r>
              <w:rPr>
                <w:sz w:val="22"/>
              </w:rPr>
              <w:t>226</w:t>
            </w:r>
          </w:p>
        </w:tc>
        <w:tc>
          <w:tcPr>
            <w:tcW w:w="446" w:type="pct"/>
            <w:tcBorders>
              <w:top w:val="nil"/>
            </w:tcBorders>
            <w:vAlign w:val="center"/>
          </w:tcPr>
          <w:p w:rsidR="00000000" w:rsidRDefault="00000000">
            <w:pPr>
              <w:jc w:val="center"/>
              <w:rPr>
                <w:sz w:val="22"/>
              </w:rPr>
            </w:pPr>
            <w:r>
              <w:rPr>
                <w:sz w:val="22"/>
              </w:rPr>
              <w:t>4 178</w:t>
            </w:r>
          </w:p>
        </w:tc>
        <w:tc>
          <w:tcPr>
            <w:tcW w:w="394" w:type="pct"/>
            <w:tcBorders>
              <w:top w:val="nil"/>
            </w:tcBorders>
            <w:vAlign w:val="center"/>
          </w:tcPr>
          <w:p w:rsidR="00000000" w:rsidRDefault="00000000">
            <w:pPr>
              <w:jc w:val="center"/>
              <w:rPr>
                <w:sz w:val="22"/>
              </w:rPr>
            </w:pPr>
            <w:r>
              <w:rPr>
                <w:sz w:val="22"/>
              </w:rPr>
              <w:t>280</w:t>
            </w:r>
          </w:p>
        </w:tc>
        <w:tc>
          <w:tcPr>
            <w:tcW w:w="364" w:type="pct"/>
            <w:tcBorders>
              <w:top w:val="nil"/>
            </w:tcBorders>
            <w:vAlign w:val="center"/>
          </w:tcPr>
          <w:p w:rsidR="00000000" w:rsidRDefault="00000000">
            <w:pPr>
              <w:jc w:val="center"/>
              <w:rPr>
                <w:sz w:val="22"/>
              </w:rPr>
            </w:pPr>
            <w:r>
              <w:rPr>
                <w:sz w:val="22"/>
              </w:rPr>
              <w:t>612</w:t>
            </w:r>
          </w:p>
        </w:tc>
        <w:tc>
          <w:tcPr>
            <w:tcW w:w="312" w:type="pct"/>
            <w:tcBorders>
              <w:top w:val="nil"/>
            </w:tcBorders>
            <w:vAlign w:val="center"/>
          </w:tcPr>
          <w:p w:rsidR="00000000" w:rsidRDefault="00000000">
            <w:pPr>
              <w:jc w:val="center"/>
              <w:rPr>
                <w:sz w:val="22"/>
              </w:rPr>
            </w:pPr>
            <w:r>
              <w:rPr>
                <w:sz w:val="22"/>
              </w:rPr>
              <w:t>306</w:t>
            </w:r>
          </w:p>
        </w:tc>
        <w:tc>
          <w:tcPr>
            <w:tcW w:w="387" w:type="pct"/>
            <w:tcBorders>
              <w:top w:val="nil"/>
            </w:tcBorders>
            <w:vAlign w:val="center"/>
          </w:tcPr>
          <w:p w:rsidR="00000000" w:rsidRDefault="00000000">
            <w:pPr>
              <w:jc w:val="center"/>
              <w:rPr>
                <w:sz w:val="22"/>
              </w:rPr>
            </w:pPr>
            <w:r>
              <w:rPr>
                <w:sz w:val="22"/>
              </w:rPr>
              <w:t>213</w:t>
            </w:r>
          </w:p>
        </w:tc>
        <w:tc>
          <w:tcPr>
            <w:tcW w:w="454" w:type="pct"/>
            <w:tcBorders>
              <w:top w:val="nil"/>
            </w:tcBorders>
            <w:vAlign w:val="center"/>
          </w:tcPr>
          <w:p w:rsidR="00000000" w:rsidRDefault="00000000">
            <w:pPr>
              <w:jc w:val="center"/>
              <w:rPr>
                <w:sz w:val="22"/>
              </w:rPr>
            </w:pPr>
            <w:r>
              <w:rPr>
                <w:sz w:val="22"/>
              </w:rPr>
              <w:t>2 767</w:t>
            </w:r>
          </w:p>
        </w:tc>
        <w:tc>
          <w:tcPr>
            <w:tcW w:w="357" w:type="pct"/>
            <w:tcBorders>
              <w:top w:val="nil"/>
            </w:tcBorders>
            <w:vAlign w:val="center"/>
          </w:tcPr>
          <w:p w:rsidR="00000000" w:rsidRDefault="00000000">
            <w:pPr>
              <w:jc w:val="center"/>
              <w:rPr>
                <w:sz w:val="22"/>
              </w:rPr>
            </w:pPr>
            <w:r>
              <w:rPr>
                <w:sz w:val="22"/>
              </w:rPr>
              <w:t>59</w:t>
            </w:r>
          </w:p>
        </w:tc>
        <w:tc>
          <w:tcPr>
            <w:tcW w:w="352" w:type="pct"/>
            <w:tcBorders>
              <w:top w:val="nil"/>
            </w:tcBorders>
            <w:vAlign w:val="center"/>
          </w:tcPr>
          <w:p w:rsidR="00000000" w:rsidRDefault="00000000">
            <w:pPr>
              <w:tabs>
                <w:tab w:val="clear" w:pos="567"/>
              </w:tabs>
              <w:ind w:right="5"/>
              <w:rPr>
                <w:sz w:val="22"/>
              </w:rPr>
            </w:pPr>
            <w:r>
              <w:rPr>
                <w:sz w:val="22"/>
              </w:rPr>
              <w:t xml:space="preserve">      1</w:t>
            </w:r>
          </w:p>
        </w:tc>
      </w:tr>
    </w:tbl>
    <w:p w:rsidR="00000000" w:rsidRDefault="00000000">
      <w:r>
        <w:rPr>
          <w:i/>
          <w:iCs/>
        </w:rPr>
        <w:br/>
      </w:r>
      <w:r>
        <w:rPr>
          <w:i/>
          <w:iCs/>
        </w:rPr>
        <w:tab/>
        <w:t>Источник</w:t>
      </w:r>
      <w:r>
        <w:t>:  Государственное статистическое управление.</w:t>
      </w:r>
    </w:p>
    <w:p w:rsidR="00000000" w:rsidRDefault="00000000"/>
    <w:p w:rsidR="00000000" w:rsidRDefault="00000000">
      <w:r>
        <w:t>Из вышеуказанной таблицы видно, что в последние годы неизменно росло число учащихся, которые после восьмилетнего начального образования продолжали учебу.</w:t>
      </w:r>
    </w:p>
    <w:p w:rsidR="00000000" w:rsidRDefault="00000000"/>
    <w:p w:rsidR="00000000" w:rsidRDefault="00000000">
      <w:pPr>
        <w:pStyle w:val="Heading2"/>
        <w:jc w:val="center"/>
        <w:rPr>
          <w:b/>
          <w:bCs/>
          <w:u w:val="none"/>
        </w:rPr>
      </w:pPr>
      <w:r>
        <w:rPr>
          <w:b/>
          <w:bCs/>
          <w:u w:val="none"/>
        </w:rPr>
        <w:t>Число учащихся в специальных начальных школах</w:t>
      </w:r>
    </w:p>
    <w:p w:rsidR="00000000" w:rsidRDefault="00000000"/>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567"/>
        <w:gridCol w:w="1559"/>
        <w:gridCol w:w="1560"/>
        <w:gridCol w:w="1559"/>
        <w:gridCol w:w="1560"/>
        <w:gridCol w:w="1560"/>
      </w:tblGrid>
      <w:tr w:rsidR="00000000">
        <w:trPr>
          <w:cantSplit/>
        </w:trPr>
        <w:tc>
          <w:tcPr>
            <w:tcW w:w="1567" w:type="dxa"/>
            <w:tcBorders>
              <w:bottom w:val="single" w:sz="4" w:space="0" w:color="auto"/>
            </w:tcBorders>
            <w:vAlign w:val="center"/>
          </w:tcPr>
          <w:p w:rsidR="00000000" w:rsidRDefault="00000000">
            <w:pPr>
              <w:jc w:val="center"/>
              <w:rPr>
                <w:b/>
              </w:rPr>
            </w:pPr>
          </w:p>
        </w:tc>
        <w:tc>
          <w:tcPr>
            <w:tcW w:w="1559" w:type="dxa"/>
            <w:tcBorders>
              <w:bottom w:val="single" w:sz="4" w:space="0" w:color="auto"/>
            </w:tcBorders>
            <w:vAlign w:val="center"/>
          </w:tcPr>
          <w:p w:rsidR="00000000" w:rsidRDefault="00000000">
            <w:pPr>
              <w:jc w:val="center"/>
              <w:rPr>
                <w:bCs/>
              </w:rPr>
            </w:pPr>
            <w:r>
              <w:rPr>
                <w:bCs/>
              </w:rPr>
              <w:t>Всего</w:t>
            </w:r>
          </w:p>
        </w:tc>
        <w:tc>
          <w:tcPr>
            <w:tcW w:w="1560" w:type="dxa"/>
            <w:tcBorders>
              <w:bottom w:val="single" w:sz="4" w:space="0" w:color="auto"/>
            </w:tcBorders>
            <w:vAlign w:val="center"/>
          </w:tcPr>
          <w:p w:rsidR="00000000" w:rsidRDefault="00000000">
            <w:pPr>
              <w:jc w:val="center"/>
              <w:rPr>
                <w:bCs/>
              </w:rPr>
            </w:pPr>
            <w:r>
              <w:rPr>
                <w:bCs/>
              </w:rPr>
              <w:t>Македонцы</w:t>
            </w:r>
          </w:p>
        </w:tc>
        <w:tc>
          <w:tcPr>
            <w:tcW w:w="1559" w:type="dxa"/>
            <w:tcBorders>
              <w:bottom w:val="single" w:sz="4" w:space="0" w:color="auto"/>
            </w:tcBorders>
            <w:vAlign w:val="center"/>
          </w:tcPr>
          <w:p w:rsidR="00000000" w:rsidRDefault="00000000">
            <w:pPr>
              <w:jc w:val="center"/>
              <w:rPr>
                <w:bCs/>
              </w:rPr>
            </w:pPr>
            <w:r>
              <w:rPr>
                <w:bCs/>
              </w:rPr>
              <w:t>Албанцы</w:t>
            </w:r>
          </w:p>
        </w:tc>
        <w:tc>
          <w:tcPr>
            <w:tcW w:w="1560" w:type="dxa"/>
            <w:tcBorders>
              <w:bottom w:val="single" w:sz="4" w:space="0" w:color="auto"/>
            </w:tcBorders>
            <w:vAlign w:val="center"/>
          </w:tcPr>
          <w:p w:rsidR="00000000" w:rsidRDefault="00000000">
            <w:pPr>
              <w:jc w:val="center"/>
              <w:rPr>
                <w:bCs/>
              </w:rPr>
            </w:pPr>
            <w:r>
              <w:rPr>
                <w:bCs/>
              </w:rPr>
              <w:t>Турки</w:t>
            </w:r>
          </w:p>
        </w:tc>
        <w:tc>
          <w:tcPr>
            <w:tcW w:w="1560" w:type="dxa"/>
            <w:tcBorders>
              <w:bottom w:val="single" w:sz="4" w:space="0" w:color="auto"/>
            </w:tcBorders>
            <w:vAlign w:val="center"/>
          </w:tcPr>
          <w:p w:rsidR="00000000" w:rsidRDefault="00000000">
            <w:pPr>
              <w:jc w:val="center"/>
              <w:rPr>
                <w:bCs/>
              </w:rPr>
            </w:pPr>
            <w:r>
              <w:rPr>
                <w:bCs/>
              </w:rPr>
              <w:t>Сербы</w:t>
            </w:r>
          </w:p>
        </w:tc>
      </w:tr>
      <w:tr w:rsidR="00000000">
        <w:trPr>
          <w:cantSplit/>
        </w:trPr>
        <w:tc>
          <w:tcPr>
            <w:tcW w:w="1567" w:type="dxa"/>
            <w:tcBorders>
              <w:bottom w:val="nil"/>
            </w:tcBorders>
            <w:vAlign w:val="center"/>
          </w:tcPr>
          <w:p w:rsidR="00000000" w:rsidRDefault="00000000">
            <w:pPr>
              <w:ind w:firstLine="317"/>
              <w:rPr>
                <w:bCs/>
              </w:rPr>
            </w:pPr>
            <w:r>
              <w:rPr>
                <w:bCs/>
              </w:rPr>
              <w:t>1996/97</w:t>
            </w:r>
          </w:p>
        </w:tc>
        <w:tc>
          <w:tcPr>
            <w:tcW w:w="1559" w:type="dxa"/>
            <w:tcBorders>
              <w:bottom w:val="nil"/>
            </w:tcBorders>
            <w:vAlign w:val="center"/>
          </w:tcPr>
          <w:p w:rsidR="00000000" w:rsidRDefault="00000000">
            <w:pPr>
              <w:jc w:val="center"/>
            </w:pPr>
            <w:r>
              <w:t>1 370</w:t>
            </w:r>
          </w:p>
        </w:tc>
        <w:tc>
          <w:tcPr>
            <w:tcW w:w="1560" w:type="dxa"/>
            <w:tcBorders>
              <w:bottom w:val="nil"/>
            </w:tcBorders>
            <w:vAlign w:val="center"/>
          </w:tcPr>
          <w:p w:rsidR="00000000" w:rsidRDefault="00000000">
            <w:pPr>
              <w:jc w:val="center"/>
            </w:pPr>
            <w:r>
              <w:t>1 311</w:t>
            </w:r>
          </w:p>
        </w:tc>
        <w:tc>
          <w:tcPr>
            <w:tcW w:w="1559" w:type="dxa"/>
            <w:tcBorders>
              <w:bottom w:val="nil"/>
            </w:tcBorders>
            <w:vAlign w:val="center"/>
          </w:tcPr>
          <w:p w:rsidR="00000000" w:rsidRDefault="00000000">
            <w:pPr>
              <w:ind w:right="578"/>
              <w:jc w:val="right"/>
            </w:pPr>
            <w:r>
              <w:t>59</w:t>
            </w:r>
          </w:p>
        </w:tc>
        <w:tc>
          <w:tcPr>
            <w:tcW w:w="1560" w:type="dxa"/>
            <w:tcBorders>
              <w:bottom w:val="nil"/>
            </w:tcBorders>
            <w:vAlign w:val="center"/>
          </w:tcPr>
          <w:p w:rsidR="00000000" w:rsidRDefault="00000000">
            <w:pPr>
              <w:jc w:val="center"/>
            </w:pPr>
            <w:r>
              <w:noBreakHyphen/>
            </w:r>
          </w:p>
        </w:tc>
        <w:tc>
          <w:tcPr>
            <w:tcW w:w="1560" w:type="dxa"/>
            <w:tcBorders>
              <w:bottom w:val="nil"/>
            </w:tcBorders>
            <w:vAlign w:val="center"/>
          </w:tcPr>
          <w:p w:rsidR="00000000" w:rsidRDefault="00000000">
            <w:pPr>
              <w:jc w:val="center"/>
            </w:pPr>
            <w:r>
              <w:noBreakHyphen/>
            </w:r>
          </w:p>
        </w:tc>
      </w:tr>
      <w:tr w:rsidR="00000000">
        <w:trPr>
          <w:cantSplit/>
        </w:trPr>
        <w:tc>
          <w:tcPr>
            <w:tcW w:w="1567" w:type="dxa"/>
            <w:tcBorders>
              <w:top w:val="nil"/>
              <w:bottom w:val="nil"/>
            </w:tcBorders>
            <w:vAlign w:val="center"/>
          </w:tcPr>
          <w:p w:rsidR="00000000" w:rsidRDefault="00000000">
            <w:pPr>
              <w:ind w:firstLine="317"/>
              <w:rPr>
                <w:bCs/>
              </w:rPr>
            </w:pPr>
            <w:r>
              <w:rPr>
                <w:bCs/>
              </w:rPr>
              <w:t>1997/98</w:t>
            </w:r>
          </w:p>
        </w:tc>
        <w:tc>
          <w:tcPr>
            <w:tcW w:w="1559" w:type="dxa"/>
            <w:tcBorders>
              <w:top w:val="nil"/>
              <w:bottom w:val="nil"/>
            </w:tcBorders>
            <w:vAlign w:val="center"/>
          </w:tcPr>
          <w:p w:rsidR="00000000" w:rsidRDefault="00000000">
            <w:pPr>
              <w:jc w:val="center"/>
            </w:pPr>
            <w:r>
              <w:t>1 429</w:t>
            </w:r>
          </w:p>
        </w:tc>
        <w:tc>
          <w:tcPr>
            <w:tcW w:w="1560" w:type="dxa"/>
            <w:tcBorders>
              <w:top w:val="nil"/>
              <w:bottom w:val="nil"/>
            </w:tcBorders>
            <w:vAlign w:val="center"/>
          </w:tcPr>
          <w:p w:rsidR="00000000" w:rsidRDefault="00000000">
            <w:pPr>
              <w:jc w:val="center"/>
            </w:pPr>
            <w:r>
              <w:t>1 362</w:t>
            </w:r>
          </w:p>
        </w:tc>
        <w:tc>
          <w:tcPr>
            <w:tcW w:w="1559" w:type="dxa"/>
            <w:tcBorders>
              <w:top w:val="nil"/>
              <w:bottom w:val="nil"/>
            </w:tcBorders>
            <w:vAlign w:val="center"/>
          </w:tcPr>
          <w:p w:rsidR="00000000" w:rsidRDefault="00000000">
            <w:pPr>
              <w:ind w:right="578"/>
              <w:jc w:val="right"/>
            </w:pPr>
            <w:r>
              <w:t>67</w:t>
            </w:r>
          </w:p>
        </w:tc>
        <w:tc>
          <w:tcPr>
            <w:tcW w:w="1560" w:type="dxa"/>
            <w:tcBorders>
              <w:top w:val="nil"/>
              <w:bottom w:val="nil"/>
            </w:tcBorders>
            <w:vAlign w:val="center"/>
          </w:tcPr>
          <w:p w:rsidR="00000000" w:rsidRDefault="00000000">
            <w:pPr>
              <w:jc w:val="center"/>
            </w:pPr>
            <w:r>
              <w:noBreakHyphen/>
            </w:r>
          </w:p>
        </w:tc>
        <w:tc>
          <w:tcPr>
            <w:tcW w:w="1560" w:type="dxa"/>
            <w:tcBorders>
              <w:top w:val="nil"/>
              <w:bottom w:val="nil"/>
            </w:tcBorders>
            <w:vAlign w:val="center"/>
          </w:tcPr>
          <w:p w:rsidR="00000000" w:rsidRDefault="00000000">
            <w:pPr>
              <w:jc w:val="center"/>
            </w:pPr>
            <w:r>
              <w:noBreakHyphen/>
            </w:r>
          </w:p>
        </w:tc>
      </w:tr>
      <w:tr w:rsidR="00000000">
        <w:trPr>
          <w:cantSplit/>
        </w:trPr>
        <w:tc>
          <w:tcPr>
            <w:tcW w:w="1567" w:type="dxa"/>
            <w:tcBorders>
              <w:top w:val="nil"/>
              <w:bottom w:val="nil"/>
            </w:tcBorders>
            <w:vAlign w:val="center"/>
          </w:tcPr>
          <w:p w:rsidR="00000000" w:rsidRDefault="00000000">
            <w:pPr>
              <w:ind w:firstLine="317"/>
              <w:rPr>
                <w:bCs/>
              </w:rPr>
            </w:pPr>
            <w:r>
              <w:rPr>
                <w:bCs/>
              </w:rPr>
              <w:t>1998/99</w:t>
            </w:r>
          </w:p>
        </w:tc>
        <w:tc>
          <w:tcPr>
            <w:tcW w:w="1559" w:type="dxa"/>
            <w:tcBorders>
              <w:top w:val="nil"/>
              <w:bottom w:val="nil"/>
            </w:tcBorders>
            <w:vAlign w:val="center"/>
          </w:tcPr>
          <w:p w:rsidR="00000000" w:rsidRDefault="00000000">
            <w:pPr>
              <w:jc w:val="center"/>
            </w:pPr>
            <w:r>
              <w:t>1 353</w:t>
            </w:r>
          </w:p>
        </w:tc>
        <w:tc>
          <w:tcPr>
            <w:tcW w:w="1560" w:type="dxa"/>
            <w:tcBorders>
              <w:top w:val="nil"/>
              <w:bottom w:val="nil"/>
            </w:tcBorders>
            <w:vAlign w:val="center"/>
          </w:tcPr>
          <w:p w:rsidR="00000000" w:rsidRDefault="00000000">
            <w:pPr>
              <w:jc w:val="center"/>
            </w:pPr>
            <w:r>
              <w:t>1 269</w:t>
            </w:r>
          </w:p>
        </w:tc>
        <w:tc>
          <w:tcPr>
            <w:tcW w:w="1559" w:type="dxa"/>
            <w:tcBorders>
              <w:top w:val="nil"/>
              <w:bottom w:val="nil"/>
            </w:tcBorders>
            <w:vAlign w:val="center"/>
          </w:tcPr>
          <w:p w:rsidR="00000000" w:rsidRDefault="00000000">
            <w:pPr>
              <w:ind w:right="578"/>
              <w:jc w:val="right"/>
            </w:pPr>
            <w:r>
              <w:t>84</w:t>
            </w:r>
          </w:p>
        </w:tc>
        <w:tc>
          <w:tcPr>
            <w:tcW w:w="1560" w:type="dxa"/>
            <w:tcBorders>
              <w:top w:val="nil"/>
              <w:bottom w:val="nil"/>
            </w:tcBorders>
            <w:vAlign w:val="center"/>
          </w:tcPr>
          <w:p w:rsidR="00000000" w:rsidRDefault="00000000">
            <w:pPr>
              <w:jc w:val="center"/>
            </w:pPr>
            <w:r>
              <w:noBreakHyphen/>
            </w:r>
          </w:p>
        </w:tc>
        <w:tc>
          <w:tcPr>
            <w:tcW w:w="1560" w:type="dxa"/>
            <w:tcBorders>
              <w:top w:val="nil"/>
              <w:bottom w:val="nil"/>
            </w:tcBorders>
            <w:vAlign w:val="center"/>
          </w:tcPr>
          <w:p w:rsidR="00000000" w:rsidRDefault="00000000">
            <w:pPr>
              <w:jc w:val="center"/>
            </w:pPr>
            <w:r>
              <w:noBreakHyphen/>
            </w:r>
          </w:p>
        </w:tc>
      </w:tr>
      <w:tr w:rsidR="00000000">
        <w:trPr>
          <w:cantSplit/>
        </w:trPr>
        <w:tc>
          <w:tcPr>
            <w:tcW w:w="1567" w:type="dxa"/>
            <w:tcBorders>
              <w:top w:val="nil"/>
              <w:bottom w:val="nil"/>
            </w:tcBorders>
            <w:vAlign w:val="center"/>
          </w:tcPr>
          <w:p w:rsidR="00000000" w:rsidRDefault="00000000">
            <w:pPr>
              <w:ind w:firstLine="317"/>
              <w:rPr>
                <w:bCs/>
              </w:rPr>
            </w:pPr>
            <w:r>
              <w:rPr>
                <w:bCs/>
              </w:rPr>
              <w:t>1999/2000</w:t>
            </w:r>
          </w:p>
        </w:tc>
        <w:tc>
          <w:tcPr>
            <w:tcW w:w="1559" w:type="dxa"/>
            <w:tcBorders>
              <w:top w:val="nil"/>
              <w:bottom w:val="nil"/>
            </w:tcBorders>
            <w:vAlign w:val="center"/>
          </w:tcPr>
          <w:p w:rsidR="00000000" w:rsidRDefault="00000000">
            <w:pPr>
              <w:jc w:val="center"/>
            </w:pPr>
            <w:r>
              <w:t>1 281</w:t>
            </w:r>
          </w:p>
        </w:tc>
        <w:tc>
          <w:tcPr>
            <w:tcW w:w="1560" w:type="dxa"/>
            <w:tcBorders>
              <w:top w:val="nil"/>
              <w:bottom w:val="nil"/>
            </w:tcBorders>
            <w:vAlign w:val="center"/>
          </w:tcPr>
          <w:p w:rsidR="00000000" w:rsidRDefault="00000000">
            <w:pPr>
              <w:jc w:val="center"/>
            </w:pPr>
            <w:r>
              <w:t>1 171</w:t>
            </w:r>
          </w:p>
        </w:tc>
        <w:tc>
          <w:tcPr>
            <w:tcW w:w="1559" w:type="dxa"/>
            <w:tcBorders>
              <w:top w:val="nil"/>
              <w:bottom w:val="nil"/>
            </w:tcBorders>
            <w:vAlign w:val="center"/>
          </w:tcPr>
          <w:p w:rsidR="00000000" w:rsidRDefault="00000000">
            <w:pPr>
              <w:ind w:right="578"/>
              <w:jc w:val="right"/>
            </w:pPr>
            <w:r>
              <w:t>110</w:t>
            </w:r>
          </w:p>
        </w:tc>
        <w:tc>
          <w:tcPr>
            <w:tcW w:w="1560" w:type="dxa"/>
            <w:tcBorders>
              <w:top w:val="nil"/>
              <w:bottom w:val="nil"/>
            </w:tcBorders>
            <w:vAlign w:val="center"/>
          </w:tcPr>
          <w:p w:rsidR="00000000" w:rsidRDefault="00000000">
            <w:pPr>
              <w:jc w:val="center"/>
            </w:pPr>
            <w:r>
              <w:noBreakHyphen/>
            </w:r>
          </w:p>
        </w:tc>
        <w:tc>
          <w:tcPr>
            <w:tcW w:w="1560" w:type="dxa"/>
            <w:tcBorders>
              <w:top w:val="nil"/>
              <w:bottom w:val="nil"/>
            </w:tcBorders>
            <w:vAlign w:val="center"/>
          </w:tcPr>
          <w:p w:rsidR="00000000" w:rsidRDefault="00000000">
            <w:pPr>
              <w:jc w:val="center"/>
            </w:pPr>
            <w:r>
              <w:noBreakHyphen/>
            </w:r>
          </w:p>
        </w:tc>
      </w:tr>
      <w:tr w:rsidR="00000000">
        <w:trPr>
          <w:cantSplit/>
        </w:trPr>
        <w:tc>
          <w:tcPr>
            <w:tcW w:w="1567" w:type="dxa"/>
            <w:tcBorders>
              <w:top w:val="nil"/>
              <w:bottom w:val="nil"/>
            </w:tcBorders>
            <w:vAlign w:val="center"/>
          </w:tcPr>
          <w:p w:rsidR="00000000" w:rsidRDefault="00000000">
            <w:pPr>
              <w:ind w:firstLine="317"/>
              <w:rPr>
                <w:bCs/>
              </w:rPr>
            </w:pPr>
            <w:r>
              <w:rPr>
                <w:bCs/>
              </w:rPr>
              <w:t>2000/01</w:t>
            </w:r>
          </w:p>
        </w:tc>
        <w:tc>
          <w:tcPr>
            <w:tcW w:w="1559" w:type="dxa"/>
            <w:tcBorders>
              <w:top w:val="nil"/>
              <w:bottom w:val="nil"/>
            </w:tcBorders>
            <w:vAlign w:val="center"/>
          </w:tcPr>
          <w:p w:rsidR="00000000" w:rsidRDefault="00000000">
            <w:pPr>
              <w:jc w:val="center"/>
            </w:pPr>
            <w:r>
              <w:t>1 342</w:t>
            </w:r>
          </w:p>
        </w:tc>
        <w:tc>
          <w:tcPr>
            <w:tcW w:w="1560" w:type="dxa"/>
            <w:tcBorders>
              <w:top w:val="nil"/>
              <w:bottom w:val="nil"/>
            </w:tcBorders>
            <w:vAlign w:val="center"/>
          </w:tcPr>
          <w:p w:rsidR="00000000" w:rsidRDefault="00000000">
            <w:pPr>
              <w:jc w:val="center"/>
            </w:pPr>
            <w:r>
              <w:t>1 144</w:t>
            </w:r>
          </w:p>
        </w:tc>
        <w:tc>
          <w:tcPr>
            <w:tcW w:w="1559" w:type="dxa"/>
            <w:tcBorders>
              <w:top w:val="nil"/>
              <w:bottom w:val="nil"/>
            </w:tcBorders>
            <w:vAlign w:val="center"/>
          </w:tcPr>
          <w:p w:rsidR="00000000" w:rsidRDefault="00000000">
            <w:pPr>
              <w:ind w:right="578"/>
              <w:jc w:val="right"/>
            </w:pPr>
            <w:r>
              <w:t>198</w:t>
            </w:r>
          </w:p>
        </w:tc>
        <w:tc>
          <w:tcPr>
            <w:tcW w:w="1560" w:type="dxa"/>
            <w:tcBorders>
              <w:top w:val="nil"/>
              <w:bottom w:val="nil"/>
            </w:tcBorders>
            <w:vAlign w:val="center"/>
          </w:tcPr>
          <w:p w:rsidR="00000000" w:rsidRDefault="00000000">
            <w:pPr>
              <w:jc w:val="center"/>
            </w:pPr>
            <w:r>
              <w:noBreakHyphen/>
            </w:r>
          </w:p>
        </w:tc>
        <w:tc>
          <w:tcPr>
            <w:tcW w:w="1560" w:type="dxa"/>
            <w:tcBorders>
              <w:top w:val="nil"/>
              <w:bottom w:val="nil"/>
            </w:tcBorders>
            <w:vAlign w:val="center"/>
          </w:tcPr>
          <w:p w:rsidR="00000000" w:rsidRDefault="00000000">
            <w:pPr>
              <w:jc w:val="center"/>
            </w:pPr>
            <w:r>
              <w:noBreakHyphen/>
            </w:r>
          </w:p>
        </w:tc>
      </w:tr>
      <w:tr w:rsidR="00000000">
        <w:trPr>
          <w:cantSplit/>
        </w:trPr>
        <w:tc>
          <w:tcPr>
            <w:tcW w:w="1567" w:type="dxa"/>
            <w:tcBorders>
              <w:top w:val="nil"/>
              <w:bottom w:val="nil"/>
            </w:tcBorders>
            <w:vAlign w:val="center"/>
          </w:tcPr>
          <w:p w:rsidR="00000000" w:rsidRDefault="00000000">
            <w:pPr>
              <w:ind w:firstLine="317"/>
              <w:rPr>
                <w:bCs/>
              </w:rPr>
            </w:pPr>
            <w:r>
              <w:rPr>
                <w:bCs/>
              </w:rPr>
              <w:t>2001/02</w:t>
            </w:r>
          </w:p>
        </w:tc>
        <w:tc>
          <w:tcPr>
            <w:tcW w:w="1559" w:type="dxa"/>
            <w:tcBorders>
              <w:top w:val="nil"/>
              <w:bottom w:val="nil"/>
            </w:tcBorders>
            <w:vAlign w:val="center"/>
          </w:tcPr>
          <w:p w:rsidR="00000000" w:rsidRDefault="00000000">
            <w:pPr>
              <w:jc w:val="center"/>
            </w:pPr>
            <w:r>
              <w:t>1 290</w:t>
            </w:r>
          </w:p>
        </w:tc>
        <w:tc>
          <w:tcPr>
            <w:tcW w:w="1560" w:type="dxa"/>
            <w:tcBorders>
              <w:top w:val="nil"/>
              <w:bottom w:val="nil"/>
            </w:tcBorders>
            <w:vAlign w:val="center"/>
          </w:tcPr>
          <w:p w:rsidR="00000000" w:rsidRDefault="00000000">
            <w:pPr>
              <w:jc w:val="center"/>
            </w:pPr>
            <w:r>
              <w:t>1 097</w:t>
            </w:r>
          </w:p>
        </w:tc>
        <w:tc>
          <w:tcPr>
            <w:tcW w:w="1559" w:type="dxa"/>
            <w:tcBorders>
              <w:top w:val="nil"/>
              <w:bottom w:val="nil"/>
            </w:tcBorders>
            <w:vAlign w:val="center"/>
          </w:tcPr>
          <w:p w:rsidR="00000000" w:rsidRDefault="00000000">
            <w:pPr>
              <w:ind w:right="578"/>
              <w:jc w:val="right"/>
            </w:pPr>
            <w:r>
              <w:t>193</w:t>
            </w:r>
          </w:p>
        </w:tc>
        <w:tc>
          <w:tcPr>
            <w:tcW w:w="1560" w:type="dxa"/>
            <w:tcBorders>
              <w:top w:val="nil"/>
              <w:bottom w:val="nil"/>
            </w:tcBorders>
            <w:vAlign w:val="center"/>
          </w:tcPr>
          <w:p w:rsidR="00000000" w:rsidRDefault="00000000">
            <w:pPr>
              <w:jc w:val="center"/>
            </w:pPr>
            <w:r>
              <w:noBreakHyphen/>
            </w:r>
          </w:p>
        </w:tc>
        <w:tc>
          <w:tcPr>
            <w:tcW w:w="1560" w:type="dxa"/>
            <w:tcBorders>
              <w:top w:val="nil"/>
              <w:bottom w:val="nil"/>
            </w:tcBorders>
            <w:vAlign w:val="center"/>
          </w:tcPr>
          <w:p w:rsidR="00000000" w:rsidRDefault="00000000">
            <w:pPr>
              <w:jc w:val="center"/>
            </w:pPr>
            <w:r>
              <w:noBreakHyphen/>
            </w:r>
          </w:p>
        </w:tc>
      </w:tr>
      <w:tr w:rsidR="00000000">
        <w:trPr>
          <w:cantSplit/>
        </w:trPr>
        <w:tc>
          <w:tcPr>
            <w:tcW w:w="1567" w:type="dxa"/>
            <w:tcBorders>
              <w:top w:val="nil"/>
            </w:tcBorders>
            <w:vAlign w:val="center"/>
          </w:tcPr>
          <w:p w:rsidR="00000000" w:rsidRDefault="00000000">
            <w:pPr>
              <w:ind w:firstLine="317"/>
              <w:rPr>
                <w:bCs/>
              </w:rPr>
            </w:pPr>
            <w:r>
              <w:rPr>
                <w:bCs/>
              </w:rPr>
              <w:t>2002/03</w:t>
            </w:r>
          </w:p>
        </w:tc>
        <w:tc>
          <w:tcPr>
            <w:tcW w:w="1559" w:type="dxa"/>
            <w:tcBorders>
              <w:top w:val="nil"/>
            </w:tcBorders>
            <w:vAlign w:val="center"/>
          </w:tcPr>
          <w:p w:rsidR="00000000" w:rsidRDefault="00000000">
            <w:pPr>
              <w:jc w:val="center"/>
            </w:pPr>
            <w:r>
              <w:t>1 198</w:t>
            </w:r>
          </w:p>
        </w:tc>
        <w:tc>
          <w:tcPr>
            <w:tcW w:w="1560" w:type="dxa"/>
            <w:tcBorders>
              <w:top w:val="nil"/>
            </w:tcBorders>
            <w:vAlign w:val="center"/>
          </w:tcPr>
          <w:p w:rsidR="00000000" w:rsidRDefault="00000000">
            <w:pPr>
              <w:jc w:val="center"/>
            </w:pPr>
            <w:r>
              <w:t>1 093</w:t>
            </w:r>
          </w:p>
        </w:tc>
        <w:tc>
          <w:tcPr>
            <w:tcW w:w="1559" w:type="dxa"/>
            <w:tcBorders>
              <w:top w:val="nil"/>
            </w:tcBorders>
            <w:vAlign w:val="center"/>
          </w:tcPr>
          <w:p w:rsidR="00000000" w:rsidRDefault="00000000">
            <w:pPr>
              <w:ind w:right="578"/>
              <w:jc w:val="right"/>
            </w:pPr>
            <w:r>
              <w:t>105</w:t>
            </w:r>
          </w:p>
        </w:tc>
        <w:tc>
          <w:tcPr>
            <w:tcW w:w="1560" w:type="dxa"/>
            <w:tcBorders>
              <w:top w:val="nil"/>
            </w:tcBorders>
            <w:vAlign w:val="center"/>
          </w:tcPr>
          <w:p w:rsidR="00000000" w:rsidRDefault="00000000">
            <w:pPr>
              <w:jc w:val="center"/>
            </w:pPr>
            <w:r>
              <w:noBreakHyphen/>
            </w:r>
          </w:p>
        </w:tc>
        <w:tc>
          <w:tcPr>
            <w:tcW w:w="1560" w:type="dxa"/>
            <w:tcBorders>
              <w:top w:val="nil"/>
            </w:tcBorders>
            <w:vAlign w:val="center"/>
          </w:tcPr>
          <w:p w:rsidR="00000000" w:rsidRDefault="00000000">
            <w:pPr>
              <w:jc w:val="center"/>
            </w:pPr>
            <w:r>
              <w:noBreakHyphen/>
            </w:r>
          </w:p>
        </w:tc>
      </w:tr>
    </w:tbl>
    <w:p w:rsidR="00000000" w:rsidRDefault="00000000">
      <w:pPr>
        <w:pStyle w:val="Heading2"/>
        <w:keepNext w:val="0"/>
      </w:pPr>
    </w:p>
    <w:p w:rsidR="00000000" w:rsidRDefault="00000000">
      <w:pPr>
        <w:jc w:val="center"/>
        <w:rPr>
          <w:b/>
          <w:bCs/>
        </w:rPr>
      </w:pPr>
      <w:r>
        <w:rPr>
          <w:b/>
          <w:bCs/>
        </w:rPr>
        <w:t>Число учащихся в школах для взрослых</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587"/>
        <w:gridCol w:w="1588"/>
        <w:gridCol w:w="1587"/>
        <w:gridCol w:w="1588"/>
        <w:gridCol w:w="1588"/>
      </w:tblGrid>
      <w:tr w:rsidR="00000000">
        <w:tblPrEx>
          <w:tblCellMar>
            <w:top w:w="0" w:type="dxa"/>
            <w:bottom w:w="0" w:type="dxa"/>
          </w:tblCellMar>
        </w:tblPrEx>
        <w:tc>
          <w:tcPr>
            <w:tcW w:w="1418" w:type="dxa"/>
            <w:tcBorders>
              <w:bottom w:val="single" w:sz="4" w:space="0" w:color="auto"/>
            </w:tcBorders>
            <w:vAlign w:val="center"/>
          </w:tcPr>
          <w:p w:rsidR="00000000" w:rsidRDefault="00000000">
            <w:pPr>
              <w:rPr>
                <w:bCs/>
              </w:rPr>
            </w:pPr>
          </w:p>
        </w:tc>
        <w:tc>
          <w:tcPr>
            <w:tcW w:w="1587" w:type="dxa"/>
            <w:tcBorders>
              <w:bottom w:val="single" w:sz="4" w:space="0" w:color="auto"/>
            </w:tcBorders>
            <w:vAlign w:val="center"/>
          </w:tcPr>
          <w:p w:rsidR="00000000" w:rsidRDefault="00000000">
            <w:pPr>
              <w:jc w:val="center"/>
              <w:rPr>
                <w:bCs/>
              </w:rPr>
            </w:pPr>
            <w:r>
              <w:rPr>
                <w:bCs/>
              </w:rPr>
              <w:t xml:space="preserve">Всего </w:t>
            </w:r>
          </w:p>
        </w:tc>
        <w:tc>
          <w:tcPr>
            <w:tcW w:w="1588" w:type="dxa"/>
            <w:tcBorders>
              <w:bottom w:val="single" w:sz="4" w:space="0" w:color="auto"/>
            </w:tcBorders>
            <w:vAlign w:val="center"/>
          </w:tcPr>
          <w:p w:rsidR="00000000" w:rsidRDefault="00000000">
            <w:pPr>
              <w:jc w:val="center"/>
              <w:rPr>
                <w:bCs/>
              </w:rPr>
            </w:pPr>
            <w:r>
              <w:rPr>
                <w:bCs/>
              </w:rPr>
              <w:t>Македонцы</w:t>
            </w:r>
          </w:p>
        </w:tc>
        <w:tc>
          <w:tcPr>
            <w:tcW w:w="1587" w:type="dxa"/>
            <w:tcBorders>
              <w:bottom w:val="single" w:sz="4" w:space="0" w:color="auto"/>
            </w:tcBorders>
            <w:vAlign w:val="center"/>
          </w:tcPr>
          <w:p w:rsidR="00000000" w:rsidRDefault="00000000">
            <w:pPr>
              <w:jc w:val="center"/>
              <w:rPr>
                <w:bCs/>
              </w:rPr>
            </w:pPr>
            <w:r>
              <w:rPr>
                <w:bCs/>
              </w:rPr>
              <w:t>Албанцы</w:t>
            </w:r>
          </w:p>
        </w:tc>
        <w:tc>
          <w:tcPr>
            <w:tcW w:w="1588" w:type="dxa"/>
            <w:tcBorders>
              <w:bottom w:val="single" w:sz="4" w:space="0" w:color="auto"/>
            </w:tcBorders>
            <w:vAlign w:val="center"/>
          </w:tcPr>
          <w:p w:rsidR="00000000" w:rsidRDefault="00000000">
            <w:pPr>
              <w:jc w:val="center"/>
              <w:rPr>
                <w:bCs/>
              </w:rPr>
            </w:pPr>
            <w:r>
              <w:rPr>
                <w:bCs/>
              </w:rPr>
              <w:t>Турки</w:t>
            </w:r>
          </w:p>
        </w:tc>
        <w:tc>
          <w:tcPr>
            <w:tcW w:w="1588" w:type="dxa"/>
            <w:tcBorders>
              <w:bottom w:val="single" w:sz="4" w:space="0" w:color="auto"/>
            </w:tcBorders>
            <w:vAlign w:val="center"/>
          </w:tcPr>
          <w:p w:rsidR="00000000" w:rsidRDefault="00000000">
            <w:pPr>
              <w:jc w:val="center"/>
              <w:rPr>
                <w:bCs/>
              </w:rPr>
            </w:pPr>
            <w:r>
              <w:rPr>
                <w:bCs/>
              </w:rPr>
              <w:t>Сербы</w:t>
            </w:r>
          </w:p>
        </w:tc>
      </w:tr>
      <w:tr w:rsidR="00000000">
        <w:tblPrEx>
          <w:tblCellMar>
            <w:top w:w="0" w:type="dxa"/>
            <w:bottom w:w="0" w:type="dxa"/>
          </w:tblCellMar>
        </w:tblPrEx>
        <w:tc>
          <w:tcPr>
            <w:tcW w:w="1418" w:type="dxa"/>
            <w:tcBorders>
              <w:bottom w:val="nil"/>
            </w:tcBorders>
            <w:vAlign w:val="center"/>
          </w:tcPr>
          <w:p w:rsidR="00000000" w:rsidRDefault="00000000">
            <w:pPr>
              <w:pStyle w:val="Header"/>
              <w:rPr>
                <w:bCs/>
              </w:rPr>
            </w:pPr>
            <w:r>
              <w:rPr>
                <w:bCs/>
              </w:rPr>
              <w:t>1996/97</w:t>
            </w:r>
          </w:p>
        </w:tc>
        <w:tc>
          <w:tcPr>
            <w:tcW w:w="1587" w:type="dxa"/>
            <w:tcBorders>
              <w:bottom w:val="nil"/>
            </w:tcBorders>
            <w:vAlign w:val="center"/>
          </w:tcPr>
          <w:p w:rsidR="00000000" w:rsidRDefault="00000000">
            <w:pPr>
              <w:pStyle w:val="Header"/>
              <w:ind w:right="433"/>
              <w:jc w:val="right"/>
              <w:rPr>
                <w:bCs/>
                <w:lang w:val="en-US"/>
              </w:rPr>
            </w:pPr>
            <w:r>
              <w:rPr>
                <w:bCs/>
                <w:lang w:val="en-US"/>
              </w:rPr>
              <w:t>1 127</w:t>
            </w:r>
          </w:p>
        </w:tc>
        <w:tc>
          <w:tcPr>
            <w:tcW w:w="1588" w:type="dxa"/>
            <w:tcBorders>
              <w:bottom w:val="nil"/>
            </w:tcBorders>
            <w:vAlign w:val="center"/>
          </w:tcPr>
          <w:p w:rsidR="00000000" w:rsidRDefault="00000000">
            <w:pPr>
              <w:pStyle w:val="Header"/>
              <w:ind w:right="453"/>
              <w:jc w:val="right"/>
              <w:rPr>
                <w:bCs/>
              </w:rPr>
            </w:pPr>
            <w:r>
              <w:rPr>
                <w:bCs/>
              </w:rPr>
              <w:t>892</w:t>
            </w:r>
          </w:p>
        </w:tc>
        <w:tc>
          <w:tcPr>
            <w:tcW w:w="1587" w:type="dxa"/>
            <w:tcBorders>
              <w:bottom w:val="nil"/>
            </w:tcBorders>
            <w:vAlign w:val="center"/>
          </w:tcPr>
          <w:p w:rsidR="00000000" w:rsidRDefault="00000000">
            <w:pPr>
              <w:ind w:right="500"/>
              <w:jc w:val="right"/>
              <w:rPr>
                <w:bCs/>
              </w:rPr>
            </w:pPr>
            <w:r>
              <w:rPr>
                <w:bCs/>
              </w:rPr>
              <w:t>235</w:t>
            </w:r>
          </w:p>
        </w:tc>
        <w:tc>
          <w:tcPr>
            <w:tcW w:w="1588" w:type="dxa"/>
            <w:tcBorders>
              <w:bottom w:val="nil"/>
            </w:tcBorders>
            <w:vAlign w:val="center"/>
          </w:tcPr>
          <w:p w:rsidR="00000000" w:rsidRDefault="00000000">
            <w:pPr>
              <w:jc w:val="center"/>
              <w:rPr>
                <w:bCs/>
              </w:rPr>
            </w:pPr>
            <w:r>
              <w:rPr>
                <w:bCs/>
              </w:rPr>
              <w:noBreakHyphen/>
            </w:r>
          </w:p>
        </w:tc>
        <w:tc>
          <w:tcPr>
            <w:tcW w:w="1588" w:type="dxa"/>
            <w:tcBorders>
              <w:bottom w:val="nil"/>
            </w:tcBorders>
            <w:vAlign w:val="center"/>
          </w:tcPr>
          <w:p w:rsidR="00000000" w:rsidRDefault="00000000">
            <w:pPr>
              <w:jc w:val="center"/>
              <w:rPr>
                <w:bCs/>
              </w:rPr>
            </w:pPr>
            <w:r>
              <w:rPr>
                <w:bCs/>
              </w:rPr>
              <w:noBreakHyphen/>
            </w:r>
          </w:p>
        </w:tc>
      </w:tr>
      <w:tr w:rsidR="00000000">
        <w:tblPrEx>
          <w:tblCellMar>
            <w:top w:w="0" w:type="dxa"/>
            <w:bottom w:w="0" w:type="dxa"/>
          </w:tblCellMar>
        </w:tblPrEx>
        <w:tc>
          <w:tcPr>
            <w:tcW w:w="1418" w:type="dxa"/>
            <w:tcBorders>
              <w:top w:val="nil"/>
              <w:bottom w:val="nil"/>
            </w:tcBorders>
            <w:vAlign w:val="center"/>
          </w:tcPr>
          <w:p w:rsidR="00000000" w:rsidRDefault="00000000">
            <w:pPr>
              <w:rPr>
                <w:bCs/>
              </w:rPr>
            </w:pPr>
            <w:r>
              <w:rPr>
                <w:bCs/>
              </w:rPr>
              <w:t>1997/98</w:t>
            </w:r>
          </w:p>
        </w:tc>
        <w:tc>
          <w:tcPr>
            <w:tcW w:w="1587" w:type="dxa"/>
            <w:tcBorders>
              <w:top w:val="nil"/>
              <w:bottom w:val="nil"/>
            </w:tcBorders>
            <w:vAlign w:val="center"/>
          </w:tcPr>
          <w:p w:rsidR="00000000" w:rsidRDefault="00000000">
            <w:pPr>
              <w:ind w:right="433"/>
              <w:jc w:val="right"/>
              <w:rPr>
                <w:bCs/>
              </w:rPr>
            </w:pPr>
            <w:r>
              <w:rPr>
                <w:bCs/>
              </w:rPr>
              <w:t>1 682</w:t>
            </w:r>
          </w:p>
        </w:tc>
        <w:tc>
          <w:tcPr>
            <w:tcW w:w="1588" w:type="dxa"/>
            <w:tcBorders>
              <w:top w:val="nil"/>
              <w:bottom w:val="nil"/>
            </w:tcBorders>
            <w:vAlign w:val="center"/>
          </w:tcPr>
          <w:p w:rsidR="00000000" w:rsidRDefault="00000000">
            <w:pPr>
              <w:ind w:right="453"/>
              <w:jc w:val="right"/>
              <w:rPr>
                <w:bCs/>
              </w:rPr>
            </w:pPr>
            <w:r>
              <w:rPr>
                <w:bCs/>
              </w:rPr>
              <w:t>1 084</w:t>
            </w:r>
          </w:p>
        </w:tc>
        <w:tc>
          <w:tcPr>
            <w:tcW w:w="1587" w:type="dxa"/>
            <w:tcBorders>
              <w:top w:val="nil"/>
              <w:bottom w:val="nil"/>
            </w:tcBorders>
            <w:vAlign w:val="center"/>
          </w:tcPr>
          <w:p w:rsidR="00000000" w:rsidRDefault="00000000">
            <w:pPr>
              <w:ind w:right="500"/>
              <w:jc w:val="right"/>
              <w:rPr>
                <w:bCs/>
              </w:rPr>
            </w:pPr>
            <w:r>
              <w:rPr>
                <w:bCs/>
              </w:rPr>
              <w:t>598</w:t>
            </w:r>
          </w:p>
        </w:tc>
        <w:tc>
          <w:tcPr>
            <w:tcW w:w="1588" w:type="dxa"/>
            <w:tcBorders>
              <w:top w:val="nil"/>
              <w:bottom w:val="nil"/>
            </w:tcBorders>
            <w:vAlign w:val="center"/>
          </w:tcPr>
          <w:p w:rsidR="00000000" w:rsidRDefault="00000000">
            <w:pPr>
              <w:jc w:val="center"/>
              <w:rPr>
                <w:bCs/>
              </w:rPr>
            </w:pPr>
            <w:r>
              <w:rPr>
                <w:bCs/>
              </w:rPr>
              <w:noBreakHyphen/>
            </w:r>
          </w:p>
        </w:tc>
        <w:tc>
          <w:tcPr>
            <w:tcW w:w="1588" w:type="dxa"/>
            <w:tcBorders>
              <w:top w:val="nil"/>
              <w:bottom w:val="nil"/>
            </w:tcBorders>
            <w:vAlign w:val="center"/>
          </w:tcPr>
          <w:p w:rsidR="00000000" w:rsidRDefault="00000000">
            <w:pPr>
              <w:jc w:val="center"/>
              <w:rPr>
                <w:bCs/>
              </w:rPr>
            </w:pPr>
            <w:r>
              <w:rPr>
                <w:bCs/>
              </w:rPr>
              <w:noBreakHyphen/>
            </w:r>
          </w:p>
        </w:tc>
      </w:tr>
      <w:tr w:rsidR="00000000">
        <w:tblPrEx>
          <w:tblCellMar>
            <w:top w:w="0" w:type="dxa"/>
            <w:bottom w:w="0" w:type="dxa"/>
          </w:tblCellMar>
        </w:tblPrEx>
        <w:tc>
          <w:tcPr>
            <w:tcW w:w="1418" w:type="dxa"/>
            <w:tcBorders>
              <w:top w:val="nil"/>
              <w:bottom w:val="nil"/>
            </w:tcBorders>
            <w:vAlign w:val="center"/>
          </w:tcPr>
          <w:p w:rsidR="00000000" w:rsidRDefault="00000000">
            <w:pPr>
              <w:rPr>
                <w:bCs/>
              </w:rPr>
            </w:pPr>
            <w:r>
              <w:rPr>
                <w:bCs/>
              </w:rPr>
              <w:t>1998/99</w:t>
            </w:r>
          </w:p>
        </w:tc>
        <w:tc>
          <w:tcPr>
            <w:tcW w:w="1587" w:type="dxa"/>
            <w:tcBorders>
              <w:top w:val="nil"/>
              <w:bottom w:val="nil"/>
            </w:tcBorders>
            <w:vAlign w:val="center"/>
          </w:tcPr>
          <w:p w:rsidR="00000000" w:rsidRDefault="00000000">
            <w:pPr>
              <w:ind w:right="433"/>
              <w:jc w:val="right"/>
              <w:rPr>
                <w:bCs/>
              </w:rPr>
            </w:pPr>
            <w:r>
              <w:rPr>
                <w:bCs/>
              </w:rPr>
              <w:t>1 608</w:t>
            </w:r>
          </w:p>
        </w:tc>
        <w:tc>
          <w:tcPr>
            <w:tcW w:w="1588" w:type="dxa"/>
            <w:tcBorders>
              <w:top w:val="nil"/>
              <w:bottom w:val="nil"/>
            </w:tcBorders>
            <w:vAlign w:val="center"/>
          </w:tcPr>
          <w:p w:rsidR="00000000" w:rsidRDefault="00000000">
            <w:pPr>
              <w:ind w:right="453"/>
              <w:jc w:val="right"/>
              <w:rPr>
                <w:bCs/>
              </w:rPr>
            </w:pPr>
            <w:r>
              <w:rPr>
                <w:bCs/>
              </w:rPr>
              <w:t>1 117</w:t>
            </w:r>
          </w:p>
        </w:tc>
        <w:tc>
          <w:tcPr>
            <w:tcW w:w="1587" w:type="dxa"/>
            <w:tcBorders>
              <w:top w:val="nil"/>
              <w:bottom w:val="nil"/>
            </w:tcBorders>
            <w:vAlign w:val="center"/>
          </w:tcPr>
          <w:p w:rsidR="00000000" w:rsidRDefault="00000000">
            <w:pPr>
              <w:ind w:right="500"/>
              <w:jc w:val="right"/>
              <w:rPr>
                <w:bCs/>
              </w:rPr>
            </w:pPr>
            <w:r>
              <w:rPr>
                <w:bCs/>
              </w:rPr>
              <w:t>491</w:t>
            </w:r>
          </w:p>
        </w:tc>
        <w:tc>
          <w:tcPr>
            <w:tcW w:w="1588" w:type="dxa"/>
            <w:tcBorders>
              <w:top w:val="nil"/>
              <w:bottom w:val="nil"/>
            </w:tcBorders>
            <w:vAlign w:val="center"/>
          </w:tcPr>
          <w:p w:rsidR="00000000" w:rsidRDefault="00000000">
            <w:pPr>
              <w:jc w:val="center"/>
              <w:rPr>
                <w:bCs/>
              </w:rPr>
            </w:pPr>
            <w:r>
              <w:rPr>
                <w:bCs/>
              </w:rPr>
              <w:noBreakHyphen/>
            </w:r>
          </w:p>
        </w:tc>
        <w:tc>
          <w:tcPr>
            <w:tcW w:w="1588" w:type="dxa"/>
            <w:tcBorders>
              <w:top w:val="nil"/>
              <w:bottom w:val="nil"/>
            </w:tcBorders>
            <w:vAlign w:val="center"/>
          </w:tcPr>
          <w:p w:rsidR="00000000" w:rsidRDefault="00000000">
            <w:pPr>
              <w:jc w:val="center"/>
              <w:rPr>
                <w:bCs/>
              </w:rPr>
            </w:pPr>
            <w:r>
              <w:rPr>
                <w:bCs/>
              </w:rPr>
              <w:noBreakHyphen/>
            </w:r>
          </w:p>
        </w:tc>
      </w:tr>
      <w:tr w:rsidR="00000000">
        <w:tblPrEx>
          <w:tblCellMar>
            <w:top w:w="0" w:type="dxa"/>
            <w:bottom w:w="0" w:type="dxa"/>
          </w:tblCellMar>
        </w:tblPrEx>
        <w:tc>
          <w:tcPr>
            <w:tcW w:w="1418" w:type="dxa"/>
            <w:tcBorders>
              <w:top w:val="nil"/>
              <w:bottom w:val="nil"/>
            </w:tcBorders>
            <w:vAlign w:val="center"/>
          </w:tcPr>
          <w:p w:rsidR="00000000" w:rsidRDefault="00000000">
            <w:pPr>
              <w:rPr>
                <w:bCs/>
              </w:rPr>
            </w:pPr>
            <w:r>
              <w:rPr>
                <w:bCs/>
              </w:rPr>
              <w:t>1999/2000</w:t>
            </w:r>
          </w:p>
        </w:tc>
        <w:tc>
          <w:tcPr>
            <w:tcW w:w="1587" w:type="dxa"/>
            <w:tcBorders>
              <w:top w:val="nil"/>
              <w:bottom w:val="nil"/>
            </w:tcBorders>
            <w:vAlign w:val="center"/>
          </w:tcPr>
          <w:p w:rsidR="00000000" w:rsidRDefault="00000000">
            <w:pPr>
              <w:ind w:right="433"/>
              <w:jc w:val="right"/>
              <w:rPr>
                <w:bCs/>
              </w:rPr>
            </w:pPr>
            <w:r>
              <w:rPr>
                <w:bCs/>
              </w:rPr>
              <w:t>1 272</w:t>
            </w:r>
          </w:p>
        </w:tc>
        <w:tc>
          <w:tcPr>
            <w:tcW w:w="1588" w:type="dxa"/>
            <w:tcBorders>
              <w:top w:val="nil"/>
              <w:bottom w:val="nil"/>
            </w:tcBorders>
            <w:vAlign w:val="center"/>
          </w:tcPr>
          <w:p w:rsidR="00000000" w:rsidRDefault="00000000">
            <w:pPr>
              <w:ind w:right="453"/>
              <w:jc w:val="right"/>
              <w:rPr>
                <w:bCs/>
              </w:rPr>
            </w:pPr>
            <w:r>
              <w:rPr>
                <w:bCs/>
              </w:rPr>
              <w:t>961</w:t>
            </w:r>
          </w:p>
        </w:tc>
        <w:tc>
          <w:tcPr>
            <w:tcW w:w="1587" w:type="dxa"/>
            <w:tcBorders>
              <w:top w:val="nil"/>
              <w:bottom w:val="nil"/>
            </w:tcBorders>
            <w:vAlign w:val="center"/>
          </w:tcPr>
          <w:p w:rsidR="00000000" w:rsidRDefault="00000000">
            <w:pPr>
              <w:ind w:right="500"/>
              <w:jc w:val="right"/>
              <w:rPr>
                <w:bCs/>
              </w:rPr>
            </w:pPr>
            <w:r>
              <w:rPr>
                <w:bCs/>
              </w:rPr>
              <w:t>311</w:t>
            </w:r>
          </w:p>
        </w:tc>
        <w:tc>
          <w:tcPr>
            <w:tcW w:w="1588" w:type="dxa"/>
            <w:tcBorders>
              <w:top w:val="nil"/>
              <w:bottom w:val="nil"/>
            </w:tcBorders>
            <w:vAlign w:val="center"/>
          </w:tcPr>
          <w:p w:rsidR="00000000" w:rsidRDefault="00000000">
            <w:pPr>
              <w:jc w:val="center"/>
              <w:rPr>
                <w:bCs/>
              </w:rPr>
            </w:pPr>
            <w:r>
              <w:rPr>
                <w:bCs/>
              </w:rPr>
              <w:noBreakHyphen/>
            </w:r>
          </w:p>
        </w:tc>
        <w:tc>
          <w:tcPr>
            <w:tcW w:w="1588" w:type="dxa"/>
            <w:tcBorders>
              <w:top w:val="nil"/>
              <w:bottom w:val="nil"/>
            </w:tcBorders>
            <w:vAlign w:val="center"/>
          </w:tcPr>
          <w:p w:rsidR="00000000" w:rsidRDefault="00000000">
            <w:pPr>
              <w:jc w:val="center"/>
              <w:rPr>
                <w:bCs/>
              </w:rPr>
            </w:pPr>
            <w:r>
              <w:rPr>
                <w:bCs/>
              </w:rPr>
              <w:noBreakHyphen/>
            </w:r>
          </w:p>
        </w:tc>
      </w:tr>
      <w:tr w:rsidR="00000000">
        <w:tblPrEx>
          <w:tblCellMar>
            <w:top w:w="0" w:type="dxa"/>
            <w:bottom w:w="0" w:type="dxa"/>
          </w:tblCellMar>
        </w:tblPrEx>
        <w:tc>
          <w:tcPr>
            <w:tcW w:w="1418" w:type="dxa"/>
            <w:tcBorders>
              <w:top w:val="nil"/>
              <w:bottom w:val="nil"/>
            </w:tcBorders>
            <w:vAlign w:val="center"/>
          </w:tcPr>
          <w:p w:rsidR="00000000" w:rsidRDefault="00000000">
            <w:pPr>
              <w:rPr>
                <w:bCs/>
              </w:rPr>
            </w:pPr>
            <w:r>
              <w:rPr>
                <w:bCs/>
              </w:rPr>
              <w:t>2000/01</w:t>
            </w:r>
          </w:p>
        </w:tc>
        <w:tc>
          <w:tcPr>
            <w:tcW w:w="1587" w:type="dxa"/>
            <w:tcBorders>
              <w:top w:val="nil"/>
              <w:bottom w:val="nil"/>
            </w:tcBorders>
            <w:vAlign w:val="center"/>
          </w:tcPr>
          <w:p w:rsidR="00000000" w:rsidRDefault="00000000">
            <w:pPr>
              <w:ind w:right="433"/>
              <w:jc w:val="right"/>
              <w:rPr>
                <w:bCs/>
              </w:rPr>
            </w:pPr>
            <w:r>
              <w:rPr>
                <w:bCs/>
              </w:rPr>
              <w:t>1 137</w:t>
            </w:r>
          </w:p>
        </w:tc>
        <w:tc>
          <w:tcPr>
            <w:tcW w:w="1588" w:type="dxa"/>
            <w:tcBorders>
              <w:top w:val="nil"/>
              <w:bottom w:val="nil"/>
            </w:tcBorders>
            <w:vAlign w:val="center"/>
          </w:tcPr>
          <w:p w:rsidR="00000000" w:rsidRDefault="00000000">
            <w:pPr>
              <w:ind w:right="453"/>
              <w:jc w:val="right"/>
              <w:rPr>
                <w:bCs/>
              </w:rPr>
            </w:pPr>
            <w:r>
              <w:rPr>
                <w:bCs/>
              </w:rPr>
              <w:t>810</w:t>
            </w:r>
          </w:p>
        </w:tc>
        <w:tc>
          <w:tcPr>
            <w:tcW w:w="1587" w:type="dxa"/>
            <w:tcBorders>
              <w:top w:val="nil"/>
              <w:bottom w:val="nil"/>
            </w:tcBorders>
            <w:vAlign w:val="center"/>
          </w:tcPr>
          <w:p w:rsidR="00000000" w:rsidRDefault="00000000">
            <w:pPr>
              <w:ind w:right="500"/>
              <w:jc w:val="right"/>
              <w:rPr>
                <w:bCs/>
              </w:rPr>
            </w:pPr>
            <w:r>
              <w:rPr>
                <w:bCs/>
              </w:rPr>
              <w:t>327</w:t>
            </w:r>
          </w:p>
        </w:tc>
        <w:tc>
          <w:tcPr>
            <w:tcW w:w="1588" w:type="dxa"/>
            <w:tcBorders>
              <w:top w:val="nil"/>
              <w:bottom w:val="nil"/>
            </w:tcBorders>
            <w:vAlign w:val="center"/>
          </w:tcPr>
          <w:p w:rsidR="00000000" w:rsidRDefault="00000000">
            <w:pPr>
              <w:jc w:val="center"/>
              <w:rPr>
                <w:bCs/>
              </w:rPr>
            </w:pPr>
            <w:r>
              <w:rPr>
                <w:bCs/>
              </w:rPr>
              <w:noBreakHyphen/>
            </w:r>
          </w:p>
        </w:tc>
        <w:tc>
          <w:tcPr>
            <w:tcW w:w="1588" w:type="dxa"/>
            <w:tcBorders>
              <w:top w:val="nil"/>
              <w:bottom w:val="nil"/>
            </w:tcBorders>
            <w:vAlign w:val="center"/>
          </w:tcPr>
          <w:p w:rsidR="00000000" w:rsidRDefault="00000000">
            <w:pPr>
              <w:jc w:val="center"/>
              <w:rPr>
                <w:bCs/>
              </w:rPr>
            </w:pPr>
            <w:r>
              <w:rPr>
                <w:bCs/>
              </w:rPr>
              <w:noBreakHyphen/>
            </w:r>
          </w:p>
        </w:tc>
      </w:tr>
      <w:tr w:rsidR="00000000">
        <w:tblPrEx>
          <w:tblCellMar>
            <w:top w:w="0" w:type="dxa"/>
            <w:bottom w:w="0" w:type="dxa"/>
          </w:tblCellMar>
        </w:tblPrEx>
        <w:tc>
          <w:tcPr>
            <w:tcW w:w="1418" w:type="dxa"/>
            <w:tcBorders>
              <w:top w:val="nil"/>
              <w:bottom w:val="nil"/>
            </w:tcBorders>
            <w:vAlign w:val="center"/>
          </w:tcPr>
          <w:p w:rsidR="00000000" w:rsidRDefault="00000000">
            <w:pPr>
              <w:rPr>
                <w:bCs/>
              </w:rPr>
            </w:pPr>
            <w:r>
              <w:rPr>
                <w:bCs/>
              </w:rPr>
              <w:t>2001/02</w:t>
            </w:r>
          </w:p>
        </w:tc>
        <w:tc>
          <w:tcPr>
            <w:tcW w:w="1587" w:type="dxa"/>
            <w:tcBorders>
              <w:top w:val="nil"/>
              <w:bottom w:val="nil"/>
            </w:tcBorders>
            <w:vAlign w:val="center"/>
          </w:tcPr>
          <w:p w:rsidR="00000000" w:rsidRDefault="00000000">
            <w:pPr>
              <w:ind w:right="433"/>
              <w:jc w:val="right"/>
              <w:rPr>
                <w:bCs/>
              </w:rPr>
            </w:pPr>
            <w:r>
              <w:rPr>
                <w:bCs/>
              </w:rPr>
              <w:t>686</w:t>
            </w:r>
          </w:p>
        </w:tc>
        <w:tc>
          <w:tcPr>
            <w:tcW w:w="1588" w:type="dxa"/>
            <w:tcBorders>
              <w:top w:val="nil"/>
              <w:bottom w:val="nil"/>
            </w:tcBorders>
            <w:vAlign w:val="center"/>
          </w:tcPr>
          <w:p w:rsidR="00000000" w:rsidRDefault="00000000">
            <w:pPr>
              <w:ind w:right="453"/>
              <w:jc w:val="right"/>
              <w:rPr>
                <w:bCs/>
              </w:rPr>
            </w:pPr>
            <w:r>
              <w:rPr>
                <w:bCs/>
              </w:rPr>
              <w:t>481</w:t>
            </w:r>
          </w:p>
        </w:tc>
        <w:tc>
          <w:tcPr>
            <w:tcW w:w="1587" w:type="dxa"/>
            <w:tcBorders>
              <w:top w:val="nil"/>
              <w:bottom w:val="nil"/>
            </w:tcBorders>
            <w:vAlign w:val="center"/>
          </w:tcPr>
          <w:p w:rsidR="00000000" w:rsidRDefault="00000000">
            <w:pPr>
              <w:ind w:right="500"/>
              <w:jc w:val="right"/>
              <w:rPr>
                <w:bCs/>
              </w:rPr>
            </w:pPr>
            <w:r>
              <w:rPr>
                <w:bCs/>
              </w:rPr>
              <w:t>205</w:t>
            </w:r>
          </w:p>
        </w:tc>
        <w:tc>
          <w:tcPr>
            <w:tcW w:w="1588" w:type="dxa"/>
            <w:tcBorders>
              <w:top w:val="nil"/>
              <w:bottom w:val="nil"/>
            </w:tcBorders>
            <w:vAlign w:val="center"/>
          </w:tcPr>
          <w:p w:rsidR="00000000" w:rsidRDefault="00000000">
            <w:pPr>
              <w:jc w:val="center"/>
              <w:rPr>
                <w:bCs/>
              </w:rPr>
            </w:pPr>
            <w:r>
              <w:rPr>
                <w:bCs/>
              </w:rPr>
              <w:noBreakHyphen/>
            </w:r>
          </w:p>
        </w:tc>
        <w:tc>
          <w:tcPr>
            <w:tcW w:w="1588" w:type="dxa"/>
            <w:tcBorders>
              <w:top w:val="nil"/>
              <w:bottom w:val="nil"/>
            </w:tcBorders>
            <w:vAlign w:val="center"/>
          </w:tcPr>
          <w:p w:rsidR="00000000" w:rsidRDefault="00000000">
            <w:pPr>
              <w:jc w:val="center"/>
              <w:rPr>
                <w:bCs/>
              </w:rPr>
            </w:pPr>
            <w:r>
              <w:rPr>
                <w:bCs/>
              </w:rPr>
              <w:noBreakHyphen/>
            </w:r>
          </w:p>
        </w:tc>
      </w:tr>
      <w:tr w:rsidR="00000000">
        <w:tblPrEx>
          <w:tblCellMar>
            <w:top w:w="0" w:type="dxa"/>
            <w:bottom w:w="0" w:type="dxa"/>
          </w:tblCellMar>
        </w:tblPrEx>
        <w:tc>
          <w:tcPr>
            <w:tcW w:w="1418" w:type="dxa"/>
            <w:tcBorders>
              <w:top w:val="nil"/>
            </w:tcBorders>
            <w:vAlign w:val="center"/>
          </w:tcPr>
          <w:p w:rsidR="00000000" w:rsidRDefault="00000000">
            <w:pPr>
              <w:rPr>
                <w:bCs/>
              </w:rPr>
            </w:pPr>
            <w:r>
              <w:rPr>
                <w:bCs/>
              </w:rPr>
              <w:t>2002/03</w:t>
            </w:r>
          </w:p>
        </w:tc>
        <w:tc>
          <w:tcPr>
            <w:tcW w:w="1587" w:type="dxa"/>
            <w:tcBorders>
              <w:top w:val="nil"/>
            </w:tcBorders>
            <w:vAlign w:val="center"/>
          </w:tcPr>
          <w:p w:rsidR="00000000" w:rsidRDefault="00000000">
            <w:pPr>
              <w:ind w:right="433"/>
              <w:jc w:val="right"/>
              <w:rPr>
                <w:bCs/>
              </w:rPr>
            </w:pPr>
            <w:r>
              <w:rPr>
                <w:bCs/>
              </w:rPr>
              <w:t>552</w:t>
            </w:r>
          </w:p>
        </w:tc>
        <w:tc>
          <w:tcPr>
            <w:tcW w:w="1588" w:type="dxa"/>
            <w:tcBorders>
              <w:top w:val="nil"/>
            </w:tcBorders>
            <w:vAlign w:val="center"/>
          </w:tcPr>
          <w:p w:rsidR="00000000" w:rsidRDefault="00000000">
            <w:pPr>
              <w:ind w:right="453"/>
              <w:jc w:val="right"/>
              <w:rPr>
                <w:bCs/>
              </w:rPr>
            </w:pPr>
            <w:r>
              <w:rPr>
                <w:bCs/>
              </w:rPr>
              <w:t>367</w:t>
            </w:r>
          </w:p>
        </w:tc>
        <w:tc>
          <w:tcPr>
            <w:tcW w:w="1587" w:type="dxa"/>
            <w:tcBorders>
              <w:top w:val="nil"/>
            </w:tcBorders>
            <w:vAlign w:val="center"/>
          </w:tcPr>
          <w:p w:rsidR="00000000" w:rsidRDefault="00000000">
            <w:pPr>
              <w:ind w:right="500"/>
              <w:jc w:val="right"/>
              <w:rPr>
                <w:bCs/>
              </w:rPr>
            </w:pPr>
            <w:r>
              <w:rPr>
                <w:bCs/>
              </w:rPr>
              <w:t>185</w:t>
            </w:r>
          </w:p>
        </w:tc>
        <w:tc>
          <w:tcPr>
            <w:tcW w:w="1588" w:type="dxa"/>
            <w:tcBorders>
              <w:top w:val="nil"/>
            </w:tcBorders>
            <w:vAlign w:val="center"/>
          </w:tcPr>
          <w:p w:rsidR="00000000" w:rsidRDefault="00000000">
            <w:pPr>
              <w:jc w:val="center"/>
              <w:rPr>
                <w:bCs/>
              </w:rPr>
            </w:pPr>
            <w:r>
              <w:rPr>
                <w:bCs/>
              </w:rPr>
              <w:noBreakHyphen/>
            </w:r>
          </w:p>
        </w:tc>
        <w:tc>
          <w:tcPr>
            <w:tcW w:w="1588" w:type="dxa"/>
            <w:tcBorders>
              <w:top w:val="nil"/>
            </w:tcBorders>
            <w:vAlign w:val="center"/>
          </w:tcPr>
          <w:p w:rsidR="00000000" w:rsidRDefault="00000000">
            <w:pPr>
              <w:jc w:val="center"/>
              <w:rPr>
                <w:bCs/>
              </w:rPr>
            </w:pPr>
            <w:r>
              <w:rPr>
                <w:bCs/>
              </w:rPr>
              <w:noBreakHyphen/>
            </w:r>
          </w:p>
        </w:tc>
      </w:tr>
    </w:tbl>
    <w:p w:rsidR="00000000" w:rsidRDefault="00000000"/>
    <w:p w:rsidR="00000000" w:rsidRDefault="00000000">
      <w:r>
        <w:rPr>
          <w:i/>
          <w:iCs/>
        </w:rPr>
        <w:tab/>
        <w:t>Источник:</w:t>
      </w:r>
      <w:r>
        <w:t xml:space="preserve">  Государственное статистическое управление.</w:t>
      </w:r>
    </w:p>
    <w:p w:rsidR="00000000" w:rsidRDefault="00000000"/>
    <w:p w:rsidR="00000000" w:rsidRDefault="00000000">
      <w:r>
        <w:t>738.</w:t>
      </w:r>
      <w:r>
        <w:tab/>
        <w:t>Ожидается, что численность молодежи по отношению к взрослому и престарелому населению будет снижаться.  Эта тенденция оказывает сильное влияние на государственную политику в области образования, особенно что касается поставщиков образовательных услуг и их аккумулирующих возможностей, а также специфики и характера тех возможностей в сфере образования, которые государство будет предлагать в будущем.</w:t>
      </w:r>
    </w:p>
    <w:p w:rsidR="00000000" w:rsidRDefault="00000000"/>
    <w:p w:rsidR="00000000" w:rsidRDefault="00000000">
      <w:r>
        <w:t>739.</w:t>
      </w:r>
      <w:r>
        <w:tab/>
        <w:t>В случае академического и профессионально-технического среднего образования налицо стремление к повышению качества образования и удовлетворению потребностей рынка труда.  К числу важнейших сдвигов относится введение новых учебных программ и курсов, расширяющих возможности учащихся для выбора тех или иных предметов.  Численность учащихся средней школы и профессионально-технических средних учебных заведений должна сравняться.  В рамках реформирования программы и методов обучения в общеобразовательной средней школе и четырехлетней средней школе будут введены новые выпускные и итоговые экзамены.  Успешное проведение этих экзаменов позволит ощутимо повысить качество среднего образования и облегчить поступление учащихся в высшие учебные заведения.</w:t>
      </w:r>
    </w:p>
    <w:p w:rsidR="00000000" w:rsidRDefault="00000000"/>
    <w:p w:rsidR="00000000" w:rsidRDefault="00000000">
      <w:r>
        <w:t>740.</w:t>
      </w:r>
      <w:r>
        <w:tab/>
        <w:t>В ближайшем будущем одной из важнейших задач для разработчиков политики и системы образования в целом станет повышение уровня образованности молодежи и взрослого населения с особым акцентом на повышение качества их специальных/ профессиональных и социальных навыков.  По данным за 2002 год, большинство безработных (</w:t>
      </w:r>
      <w:proofErr w:type="spellStart"/>
      <w:r>
        <w:t>98,16%</w:t>
      </w:r>
      <w:proofErr w:type="spellEnd"/>
      <w:r>
        <w:t>) в лучшем случае имели лишь четырехлетнее среднее образование и лишь 1,84% получили неполное высшее или университетское образование.  Вот почему концепция непрерывного обучения и профессиональной подготовки должна способствовать налаживанию динамичных связей между системой образования, с одной стороны, и рынком труда и социальной сферой - с другой.</w:t>
      </w:r>
    </w:p>
    <w:p w:rsidR="00000000" w:rsidRDefault="00000000"/>
    <w:p w:rsidR="00000000" w:rsidRDefault="00000000">
      <w:pPr>
        <w:jc w:val="center"/>
        <w:rPr>
          <w:b/>
          <w:bCs/>
        </w:rPr>
      </w:pPr>
      <w:r>
        <w:rPr>
          <w:b/>
          <w:bCs/>
        </w:rPr>
        <w:t>Заработная плата преподавателей начальной и средней школы по сравнению с заработной платой гражданских служащих</w:t>
      </w:r>
    </w:p>
    <w:p w:rsidR="00000000" w:rsidRDefault="00000000">
      <w:pPr>
        <w:jc w:val="center"/>
        <w:rPr>
          <w:b/>
          <w:bCs/>
        </w:rPr>
      </w:pPr>
    </w:p>
    <w:tbl>
      <w:tblPr>
        <w:tblW w:w="9408"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3164"/>
        <w:gridCol w:w="3121"/>
        <w:gridCol w:w="3123"/>
      </w:tblGrid>
      <w:tr w:rsidR="00000000">
        <w:tblPrEx>
          <w:tblCellMar>
            <w:top w:w="0" w:type="dxa"/>
            <w:bottom w:w="0" w:type="dxa"/>
          </w:tblCellMar>
        </w:tblPrEx>
        <w:trPr>
          <w:cantSplit/>
          <w:trHeight w:val="592"/>
        </w:trPr>
        <w:tc>
          <w:tcPr>
            <w:tcW w:w="3164" w:type="dxa"/>
            <w:vAlign w:val="center"/>
          </w:tcPr>
          <w:p w:rsidR="00000000" w:rsidRDefault="00000000">
            <w:pPr>
              <w:spacing w:line="240" w:lineRule="auto"/>
              <w:jc w:val="center"/>
              <w:rPr>
                <w:sz w:val="23"/>
              </w:rPr>
            </w:pPr>
            <w:r>
              <w:rPr>
                <w:sz w:val="23"/>
              </w:rPr>
              <w:t>Преподаватели начальной школы</w:t>
            </w:r>
          </w:p>
        </w:tc>
        <w:tc>
          <w:tcPr>
            <w:tcW w:w="3121" w:type="dxa"/>
            <w:vAlign w:val="center"/>
          </w:tcPr>
          <w:p w:rsidR="00000000" w:rsidRDefault="00000000">
            <w:pPr>
              <w:spacing w:line="240" w:lineRule="auto"/>
              <w:jc w:val="center"/>
              <w:rPr>
                <w:sz w:val="23"/>
              </w:rPr>
            </w:pPr>
            <w:r>
              <w:rPr>
                <w:sz w:val="23"/>
              </w:rPr>
              <w:t>Преподаватели средней школы</w:t>
            </w:r>
          </w:p>
        </w:tc>
        <w:tc>
          <w:tcPr>
            <w:tcW w:w="3123" w:type="dxa"/>
            <w:vAlign w:val="center"/>
          </w:tcPr>
          <w:p w:rsidR="00000000" w:rsidRDefault="00000000">
            <w:pPr>
              <w:spacing w:line="240" w:lineRule="auto"/>
              <w:jc w:val="center"/>
              <w:rPr>
                <w:sz w:val="23"/>
              </w:rPr>
            </w:pPr>
            <w:r>
              <w:rPr>
                <w:sz w:val="23"/>
              </w:rPr>
              <w:t xml:space="preserve">Гражданские </w:t>
            </w:r>
            <w:r>
              <w:rPr>
                <w:sz w:val="23"/>
              </w:rPr>
              <w:br/>
              <w:t>служащие</w:t>
            </w:r>
          </w:p>
        </w:tc>
      </w:tr>
      <w:tr w:rsidR="00000000">
        <w:tblPrEx>
          <w:tblCellMar>
            <w:top w:w="0" w:type="dxa"/>
            <w:bottom w:w="0" w:type="dxa"/>
          </w:tblCellMar>
        </w:tblPrEx>
        <w:trPr>
          <w:cantSplit/>
          <w:trHeight w:val="2770"/>
        </w:trPr>
        <w:tc>
          <w:tcPr>
            <w:tcW w:w="3164" w:type="dxa"/>
          </w:tcPr>
          <w:p w:rsidR="00000000" w:rsidRDefault="00000000">
            <w:pPr>
              <w:spacing w:line="240" w:lineRule="auto"/>
              <w:rPr>
                <w:sz w:val="23"/>
              </w:rPr>
            </w:pPr>
            <w:r>
              <w:rPr>
                <w:sz w:val="23"/>
              </w:rPr>
              <w:t>Высшее образование:</w:t>
            </w:r>
          </w:p>
          <w:p w:rsidR="00000000" w:rsidRDefault="00000000">
            <w:pPr>
              <w:spacing w:line="240" w:lineRule="auto"/>
              <w:jc w:val="right"/>
              <w:rPr>
                <w:sz w:val="23"/>
              </w:rPr>
            </w:pPr>
            <w:r>
              <w:rPr>
                <w:sz w:val="23"/>
              </w:rPr>
              <w:t>9 600 македонских денаров</w:t>
            </w:r>
          </w:p>
          <w:p w:rsidR="00000000" w:rsidRDefault="00000000">
            <w:pPr>
              <w:spacing w:line="240" w:lineRule="auto"/>
              <w:rPr>
                <w:sz w:val="23"/>
              </w:rPr>
            </w:pPr>
          </w:p>
          <w:p w:rsidR="00000000" w:rsidRDefault="00000000">
            <w:pPr>
              <w:pStyle w:val="Header"/>
              <w:rPr>
                <w:sz w:val="23"/>
              </w:rPr>
            </w:pPr>
            <w:r>
              <w:rPr>
                <w:sz w:val="23"/>
              </w:rPr>
              <w:t>Университетское образование:</w:t>
            </w:r>
          </w:p>
          <w:p w:rsidR="00000000" w:rsidRDefault="00000000">
            <w:pPr>
              <w:pStyle w:val="Header"/>
              <w:jc w:val="right"/>
              <w:rPr>
                <w:sz w:val="23"/>
              </w:rPr>
            </w:pPr>
            <w:r>
              <w:rPr>
                <w:sz w:val="23"/>
              </w:rPr>
              <w:t>11 200 македонских денаров</w:t>
            </w:r>
          </w:p>
          <w:p w:rsidR="00000000" w:rsidRDefault="00000000">
            <w:pPr>
              <w:pStyle w:val="Header"/>
              <w:rPr>
                <w:sz w:val="23"/>
              </w:rPr>
            </w:pPr>
          </w:p>
          <w:p w:rsidR="00000000" w:rsidRDefault="00000000">
            <w:pPr>
              <w:spacing w:line="240" w:lineRule="auto"/>
              <w:rPr>
                <w:sz w:val="23"/>
              </w:rPr>
            </w:pPr>
          </w:p>
        </w:tc>
        <w:tc>
          <w:tcPr>
            <w:tcW w:w="3121" w:type="dxa"/>
          </w:tcPr>
          <w:p w:rsidR="00000000" w:rsidRDefault="00000000">
            <w:pPr>
              <w:pStyle w:val="Header"/>
              <w:rPr>
                <w:sz w:val="23"/>
              </w:rPr>
            </w:pPr>
            <w:r>
              <w:rPr>
                <w:sz w:val="23"/>
              </w:rPr>
              <w:t>Университетское образование:</w:t>
            </w:r>
          </w:p>
          <w:p w:rsidR="00000000" w:rsidRDefault="00000000">
            <w:pPr>
              <w:pStyle w:val="Header"/>
              <w:jc w:val="right"/>
              <w:rPr>
                <w:sz w:val="23"/>
              </w:rPr>
            </w:pPr>
            <w:r>
              <w:rPr>
                <w:sz w:val="23"/>
              </w:rPr>
              <w:t>11 973 македонских денара</w:t>
            </w:r>
          </w:p>
        </w:tc>
        <w:tc>
          <w:tcPr>
            <w:tcW w:w="3123" w:type="dxa"/>
          </w:tcPr>
          <w:p w:rsidR="00000000" w:rsidRDefault="00000000">
            <w:pPr>
              <w:spacing w:line="240" w:lineRule="auto"/>
              <w:rPr>
                <w:sz w:val="23"/>
              </w:rPr>
            </w:pPr>
            <w:r>
              <w:rPr>
                <w:sz w:val="23"/>
              </w:rPr>
              <w:t>Среднее образование:</w:t>
            </w:r>
          </w:p>
          <w:p w:rsidR="00000000" w:rsidRDefault="00000000">
            <w:pPr>
              <w:spacing w:line="240" w:lineRule="auto"/>
              <w:jc w:val="right"/>
              <w:rPr>
                <w:sz w:val="23"/>
              </w:rPr>
            </w:pPr>
            <w:r>
              <w:rPr>
                <w:sz w:val="23"/>
              </w:rPr>
              <w:t>6 615 македонских денаров</w:t>
            </w:r>
          </w:p>
          <w:p w:rsidR="00000000" w:rsidRDefault="00000000">
            <w:pPr>
              <w:spacing w:line="240" w:lineRule="auto"/>
              <w:rPr>
                <w:sz w:val="23"/>
              </w:rPr>
            </w:pPr>
          </w:p>
          <w:p w:rsidR="00000000" w:rsidRDefault="00000000">
            <w:pPr>
              <w:spacing w:line="240" w:lineRule="auto"/>
              <w:rPr>
                <w:sz w:val="23"/>
              </w:rPr>
            </w:pPr>
            <w:r>
              <w:rPr>
                <w:sz w:val="23"/>
              </w:rPr>
              <w:t>Университетское образование:</w:t>
            </w:r>
          </w:p>
          <w:p w:rsidR="00000000" w:rsidRDefault="00000000">
            <w:pPr>
              <w:spacing w:line="240" w:lineRule="auto"/>
              <w:rPr>
                <w:sz w:val="23"/>
              </w:rPr>
            </w:pPr>
            <w:r>
              <w:rPr>
                <w:sz w:val="23"/>
              </w:rPr>
              <w:t xml:space="preserve">Консультанты: </w:t>
            </w:r>
          </w:p>
          <w:p w:rsidR="00000000" w:rsidRDefault="00000000">
            <w:pPr>
              <w:spacing w:line="240" w:lineRule="auto"/>
              <w:jc w:val="right"/>
              <w:rPr>
                <w:sz w:val="23"/>
              </w:rPr>
            </w:pPr>
            <w:r>
              <w:rPr>
                <w:sz w:val="23"/>
              </w:rPr>
              <w:t>13 377 македонских денаров</w:t>
            </w:r>
          </w:p>
          <w:p w:rsidR="00000000" w:rsidRDefault="00000000">
            <w:pPr>
              <w:spacing w:line="240" w:lineRule="auto"/>
              <w:rPr>
                <w:sz w:val="23"/>
              </w:rPr>
            </w:pPr>
            <w:r>
              <w:rPr>
                <w:sz w:val="23"/>
              </w:rPr>
              <w:t xml:space="preserve">Старшие сотрудники: </w:t>
            </w:r>
          </w:p>
          <w:p w:rsidR="00000000" w:rsidRDefault="00000000">
            <w:pPr>
              <w:spacing w:line="240" w:lineRule="auto"/>
              <w:jc w:val="right"/>
              <w:rPr>
                <w:sz w:val="23"/>
              </w:rPr>
            </w:pPr>
            <w:r>
              <w:rPr>
                <w:sz w:val="23"/>
              </w:rPr>
              <w:t>11 956 македонских денаров</w:t>
            </w:r>
          </w:p>
          <w:p w:rsidR="00000000" w:rsidRDefault="00000000">
            <w:pPr>
              <w:spacing w:line="240" w:lineRule="auto"/>
              <w:rPr>
                <w:sz w:val="23"/>
              </w:rPr>
            </w:pPr>
            <w:r>
              <w:rPr>
                <w:sz w:val="23"/>
              </w:rPr>
              <w:t xml:space="preserve">Конторские служащие: </w:t>
            </w:r>
          </w:p>
          <w:p w:rsidR="00000000" w:rsidRDefault="00000000">
            <w:pPr>
              <w:spacing w:line="240" w:lineRule="auto"/>
              <w:jc w:val="right"/>
              <w:rPr>
                <w:sz w:val="23"/>
              </w:rPr>
            </w:pPr>
            <w:r>
              <w:rPr>
                <w:sz w:val="23"/>
              </w:rPr>
              <w:t>10 780 македонских денаров</w:t>
            </w:r>
          </w:p>
        </w:tc>
      </w:tr>
    </w:tbl>
    <w:p w:rsidR="00000000" w:rsidRDefault="00000000">
      <w:pPr>
        <w:rPr>
          <w:i/>
          <w:iCs/>
        </w:rPr>
      </w:pPr>
    </w:p>
    <w:p w:rsidR="00000000" w:rsidRDefault="00000000">
      <w:pPr>
        <w:rPr>
          <w:i/>
          <w:iCs/>
        </w:rPr>
      </w:pPr>
      <w:r>
        <w:rPr>
          <w:i/>
          <w:iCs/>
        </w:rPr>
        <w:t>Заработная плата преподавателей в высших учебных заведениях (начальная):</w:t>
      </w:r>
    </w:p>
    <w:p w:rsidR="00000000" w:rsidRDefault="00000000">
      <w:pPr>
        <w:rPr>
          <w:i/>
          <w:iCs/>
        </w:rPr>
      </w:pPr>
    </w:p>
    <w:p w:rsidR="00000000" w:rsidRDefault="00000000">
      <w:pPr>
        <w:tabs>
          <w:tab w:val="left" w:pos="3740"/>
        </w:tabs>
      </w:pPr>
      <w:r>
        <w:tab/>
        <w:t>-</w:t>
      </w:r>
      <w:r>
        <w:tab/>
        <w:t>младший ассистент</w:t>
      </w:r>
      <w:r>
        <w:tab/>
        <w:t xml:space="preserve">15 469 македонских </w:t>
      </w:r>
      <w:proofErr w:type="spellStart"/>
      <w:r>
        <w:t>денаров</w:t>
      </w:r>
      <w:proofErr w:type="spellEnd"/>
      <w:r>
        <w:t>;</w:t>
      </w:r>
    </w:p>
    <w:p w:rsidR="00000000" w:rsidRDefault="00000000">
      <w:pPr>
        <w:tabs>
          <w:tab w:val="left" w:pos="3740"/>
        </w:tabs>
      </w:pPr>
    </w:p>
    <w:p w:rsidR="00000000" w:rsidRDefault="00000000">
      <w:pPr>
        <w:tabs>
          <w:tab w:val="left" w:pos="3740"/>
        </w:tabs>
      </w:pPr>
      <w:r>
        <w:tab/>
        <w:t>-</w:t>
      </w:r>
      <w:r>
        <w:tab/>
        <w:t xml:space="preserve">ассистент </w:t>
      </w:r>
      <w:r>
        <w:tab/>
      </w:r>
      <w:r>
        <w:tab/>
        <w:t xml:space="preserve">15 718 македонских </w:t>
      </w:r>
      <w:proofErr w:type="spellStart"/>
      <w:r>
        <w:t>денаров</w:t>
      </w:r>
      <w:proofErr w:type="spellEnd"/>
      <w:r>
        <w:t>;</w:t>
      </w:r>
    </w:p>
    <w:p w:rsidR="00000000" w:rsidRDefault="00000000">
      <w:pPr>
        <w:tabs>
          <w:tab w:val="left" w:pos="3740"/>
        </w:tabs>
      </w:pPr>
    </w:p>
    <w:p w:rsidR="00000000" w:rsidRDefault="00000000">
      <w:pPr>
        <w:tabs>
          <w:tab w:val="left" w:pos="3740"/>
        </w:tabs>
      </w:pPr>
      <w:r>
        <w:tab/>
        <w:t>-</w:t>
      </w:r>
      <w:r>
        <w:tab/>
        <w:t>доцент</w:t>
      </w:r>
      <w:r>
        <w:tab/>
      </w:r>
      <w:r>
        <w:tab/>
        <w:t xml:space="preserve">20 708 македонских </w:t>
      </w:r>
      <w:proofErr w:type="spellStart"/>
      <w:r>
        <w:t>денаров</w:t>
      </w:r>
      <w:proofErr w:type="spellEnd"/>
      <w:r>
        <w:t>;</w:t>
      </w:r>
    </w:p>
    <w:p w:rsidR="00000000" w:rsidRDefault="00000000">
      <w:pPr>
        <w:tabs>
          <w:tab w:val="left" w:pos="3740"/>
        </w:tabs>
      </w:pPr>
    </w:p>
    <w:p w:rsidR="00000000" w:rsidRDefault="00000000">
      <w:pPr>
        <w:tabs>
          <w:tab w:val="left" w:pos="3740"/>
        </w:tabs>
      </w:pPr>
      <w:r>
        <w:tab/>
        <w:t>-</w:t>
      </w:r>
      <w:r>
        <w:tab/>
        <w:t>младший профессор</w:t>
      </w:r>
      <w:r>
        <w:tab/>
        <w:t xml:space="preserve">22 455 македонских </w:t>
      </w:r>
      <w:proofErr w:type="spellStart"/>
      <w:r>
        <w:t>денаров</w:t>
      </w:r>
      <w:proofErr w:type="spellEnd"/>
      <w:r>
        <w:t>;</w:t>
      </w:r>
    </w:p>
    <w:p w:rsidR="00000000" w:rsidRDefault="00000000">
      <w:pPr>
        <w:tabs>
          <w:tab w:val="left" w:pos="3740"/>
        </w:tabs>
      </w:pPr>
    </w:p>
    <w:p w:rsidR="00000000" w:rsidRDefault="00000000">
      <w:pPr>
        <w:tabs>
          <w:tab w:val="left" w:pos="3740"/>
        </w:tabs>
      </w:pPr>
      <w:r>
        <w:tab/>
        <w:t>-</w:t>
      </w:r>
      <w:r>
        <w:tab/>
        <w:t>профессор</w:t>
      </w:r>
      <w:r>
        <w:tab/>
      </w:r>
      <w:r>
        <w:tab/>
        <w:t>24 950 македонских денаров.</w:t>
      </w:r>
    </w:p>
    <w:p w:rsidR="00000000" w:rsidRDefault="00000000">
      <w:pPr>
        <w:tabs>
          <w:tab w:val="left" w:pos="3740"/>
        </w:tabs>
      </w:pPr>
    </w:p>
    <w:p w:rsidR="00000000" w:rsidRDefault="00000000">
      <w:pPr>
        <w:tabs>
          <w:tab w:val="left" w:pos="3740"/>
        </w:tabs>
      </w:pPr>
      <w:r>
        <w:t>741.</w:t>
      </w:r>
      <w:r>
        <w:tab/>
        <w:t>Чистая заработная плата на всех уровнях системы образования и в гражданской службе по мере накопления стажа ежегодно возрастает на 0,5%.</w:t>
      </w:r>
    </w:p>
    <w:p w:rsidR="00000000" w:rsidRDefault="00000000">
      <w:pPr>
        <w:tabs>
          <w:tab w:val="left" w:pos="3740"/>
        </w:tabs>
      </w:pPr>
    </w:p>
    <w:p w:rsidR="00000000" w:rsidRDefault="00000000">
      <w:pPr>
        <w:tabs>
          <w:tab w:val="left" w:pos="3740"/>
        </w:tabs>
      </w:pPr>
      <w:r>
        <w:t>742.</w:t>
      </w:r>
      <w:r>
        <w:tab/>
        <w:t>Преподавателям, работающих в горных и пограничных районах, выплачивается надбавка к заработной плате за тяжелые условия.  Такая же надбавка выплачивается и преподавателям комбинированных (смешанных) классов.</w:t>
      </w:r>
    </w:p>
    <w:p w:rsidR="00000000" w:rsidRDefault="00000000">
      <w:pPr>
        <w:tabs>
          <w:tab w:val="left" w:pos="3740"/>
        </w:tabs>
      </w:pPr>
    </w:p>
    <w:p w:rsidR="00000000" w:rsidRDefault="00000000">
      <w:pPr>
        <w:tabs>
          <w:tab w:val="left" w:pos="3740"/>
        </w:tabs>
      </w:pPr>
      <w:r>
        <w:t>743.</w:t>
      </w:r>
      <w:r>
        <w:tab/>
        <w:t>Ожидается, что материальное положение и профессиональный статус преподавателей начальной и средней школ улучшатся с принятием законодательных положений об их служебном росте и присвоении профессиональных званий:  помощник учителя, учитель и учитель-наставник.  Это станет для преподавателей дополнительным мотивом, поскольку будут четко разграничиваться не только профессиональных статус, но и заработная плата.</w:t>
      </w:r>
    </w:p>
    <w:p w:rsidR="00000000" w:rsidRDefault="00000000">
      <w:pPr>
        <w:tabs>
          <w:tab w:val="left" w:pos="3740"/>
        </w:tabs>
      </w:pPr>
    </w:p>
    <w:p w:rsidR="00000000" w:rsidRDefault="00000000">
      <w:pPr>
        <w:tabs>
          <w:tab w:val="left" w:pos="3740"/>
        </w:tabs>
      </w:pPr>
      <w:r>
        <w:t>744.</w:t>
      </w:r>
      <w:r>
        <w:tab/>
        <w:t>Заработная плата и надбавки гражданским служащим повышаются за счет средств, предусмотренных для этих целей в государственном бюджете.  Данный процесс завершится 31 марта 2006 года.</w:t>
      </w:r>
    </w:p>
    <w:p w:rsidR="00000000" w:rsidRDefault="00000000">
      <w:pPr>
        <w:tabs>
          <w:tab w:val="left" w:pos="3740"/>
        </w:tabs>
      </w:pPr>
    </w:p>
    <w:p w:rsidR="00000000" w:rsidRDefault="00000000">
      <w:pPr>
        <w:tabs>
          <w:tab w:val="left" w:pos="3740"/>
        </w:tabs>
      </w:pPr>
      <w:r>
        <w:t>745.</w:t>
      </w:r>
      <w:r>
        <w:tab/>
        <w:t>Эта работа ведется на основе законодательных норм и коллективных соглашений с профсоюзами (профсоюз работников образования, науки и культуры).  В отчетный период в заключенные коллективные соглашения вносились изменения.  Ожидается, что процесс завершится в 2005 году.</w:t>
      </w:r>
    </w:p>
    <w:p w:rsidR="00000000" w:rsidRDefault="00000000">
      <w:pPr>
        <w:tabs>
          <w:tab w:val="left" w:pos="3740"/>
        </w:tabs>
      </w:pPr>
    </w:p>
    <w:p w:rsidR="00000000" w:rsidRDefault="00000000">
      <w:pPr>
        <w:tabs>
          <w:tab w:val="left" w:pos="3740"/>
        </w:tabs>
      </w:pPr>
      <w:r>
        <w:t>746.</w:t>
      </w:r>
      <w:r>
        <w:tab/>
        <w:t>Высшие учебные заведения обладают автономией, самостоятельно распоряжаясь как выделяемыми им значительными фондами, так и своими доходами.</w:t>
      </w:r>
    </w:p>
    <w:p w:rsidR="00000000" w:rsidRDefault="00000000">
      <w:pPr>
        <w:tabs>
          <w:tab w:val="left" w:pos="3740"/>
        </w:tabs>
      </w:pPr>
    </w:p>
    <w:p w:rsidR="00000000" w:rsidRDefault="00000000">
      <w:pPr>
        <w:tabs>
          <w:tab w:val="left" w:pos="3740"/>
        </w:tabs>
        <w:rPr>
          <w:b/>
          <w:bCs/>
        </w:rPr>
      </w:pPr>
      <w:r>
        <w:rPr>
          <w:b/>
          <w:bCs/>
        </w:rPr>
        <w:t>Бюджет системы образования в бывшей югославской Республике Македонии</w:t>
      </w:r>
    </w:p>
    <w:p w:rsidR="00000000" w:rsidRDefault="00000000">
      <w:pPr>
        <w:tabs>
          <w:tab w:val="left" w:pos="3740"/>
        </w:tabs>
        <w:rPr>
          <w:b/>
          <w:bCs/>
        </w:rPr>
      </w:pPr>
    </w:p>
    <w:p w:rsidR="00000000" w:rsidRDefault="00000000">
      <w:pPr>
        <w:tabs>
          <w:tab w:val="left" w:pos="3740"/>
        </w:tabs>
        <w:rPr>
          <w:i/>
          <w:iCs/>
        </w:rPr>
      </w:pPr>
      <w:r>
        <w:rPr>
          <w:i/>
          <w:iCs/>
        </w:rPr>
        <w:t>Финансирование</w:t>
      </w:r>
    </w:p>
    <w:p w:rsidR="00000000" w:rsidRDefault="00000000">
      <w:pPr>
        <w:tabs>
          <w:tab w:val="left" w:pos="3740"/>
        </w:tabs>
        <w:rPr>
          <w:i/>
          <w:iCs/>
        </w:rPr>
      </w:pPr>
    </w:p>
    <w:p w:rsidR="00000000" w:rsidRDefault="00000000">
      <w:pPr>
        <w:tabs>
          <w:tab w:val="left" w:pos="3740"/>
        </w:tabs>
      </w:pPr>
      <w:r>
        <w:t>747.</w:t>
      </w:r>
      <w:r>
        <w:tab/>
        <w:t>Инвестиции в образование, профессиональную подготовку и научно-исследовательскую деятельность всегда прибыльны и являются важнейшей составляющей национального потенциала и конкурентоспособности, а следовательно, и устойчивого развития страны.  Для этого требуется целенаправленное финансирование со стороны министерства образования при соответствующей бюджетной поддержке.  Поскольку эти секторы финансируются исключительно из государственных средств, ответственность за такие инвестиции, безусловно, лежит на государстве.</w:t>
      </w:r>
    </w:p>
    <w:p w:rsidR="00000000" w:rsidRDefault="00000000">
      <w:pPr>
        <w:tabs>
          <w:tab w:val="left" w:pos="3740"/>
        </w:tabs>
      </w:pPr>
    </w:p>
    <w:p w:rsidR="00000000" w:rsidRDefault="00000000">
      <w:pPr>
        <w:tabs>
          <w:tab w:val="left" w:pos="3740"/>
        </w:tabs>
      </w:pPr>
      <w:r>
        <w:t>748.</w:t>
      </w:r>
      <w:r>
        <w:tab/>
        <w:t>Поскольку ожидается обострение ситуации при распределении средств на образование, профессиональную подготовку и государственные исследования, необходимо будет пересмотреть и увеличить бюджет министерства образования и науки, а также изыскать альтернативные источники финансирования.</w:t>
      </w:r>
    </w:p>
    <w:p w:rsidR="00000000" w:rsidRDefault="00000000"/>
    <w:p w:rsidR="00000000" w:rsidRDefault="00000000">
      <w:r>
        <w:t>749.</w:t>
      </w:r>
      <w:r>
        <w:tab/>
        <w:t>Нынешняя ситуация:</w:t>
      </w:r>
    </w:p>
    <w:p w:rsidR="00000000" w:rsidRDefault="00000000"/>
    <w:p w:rsidR="00000000" w:rsidRDefault="00000000">
      <w:r>
        <w:tab/>
        <w:t>-</w:t>
      </w:r>
      <w:r>
        <w:tab/>
        <w:t>в 2003 году бюджет системы образования составил 3,49% ВВП;</w:t>
      </w:r>
    </w:p>
    <w:p w:rsidR="00000000" w:rsidRDefault="00000000"/>
    <w:p w:rsidR="00000000" w:rsidRDefault="00000000">
      <w:pPr>
        <w:ind w:left="1134" w:hanging="1134"/>
      </w:pPr>
      <w:r>
        <w:tab/>
        <w:t>-</w:t>
      </w:r>
      <w:r>
        <w:tab/>
        <w:t>в период с 1996 по 2003 год бюджет системы образования уменьшился на 0,77%;</w:t>
      </w:r>
    </w:p>
    <w:p w:rsidR="00000000" w:rsidRDefault="00000000">
      <w:pPr>
        <w:ind w:left="1134" w:hanging="1134"/>
      </w:pPr>
    </w:p>
    <w:p w:rsidR="00000000" w:rsidRDefault="00000000">
      <w:pPr>
        <w:ind w:left="1134" w:hanging="1134"/>
      </w:pPr>
      <w:r>
        <w:tab/>
        <w:t>-</w:t>
      </w:r>
      <w:r>
        <w:tab/>
        <w:t>из всего бюджета системы образования 59,15% идет на финансирование начальной школы, 22,66% - средней школы, 12,46% - высшего образования, 1,92% - улучшение условий жизни учащихся и 3,81% - улучшение условий жизни студентов;</w:t>
      </w:r>
    </w:p>
    <w:p w:rsidR="00000000" w:rsidRDefault="00000000">
      <w:pPr>
        <w:ind w:left="1134" w:hanging="1134"/>
      </w:pPr>
    </w:p>
    <w:p w:rsidR="00000000" w:rsidRDefault="00000000">
      <w:pPr>
        <w:ind w:left="1134" w:hanging="1134"/>
      </w:pPr>
      <w:r>
        <w:tab/>
        <w:t>-</w:t>
      </w:r>
      <w:r>
        <w:tab/>
        <w:t>из всех средств, выделяемых школам, 80% идет на выплату заработной платы, а в высшей школе эта доля превышает 90%.</w:t>
      </w:r>
    </w:p>
    <w:p w:rsidR="00000000" w:rsidRDefault="00000000">
      <w:pPr>
        <w:ind w:left="1134" w:hanging="1134"/>
      </w:pPr>
    </w:p>
    <w:p w:rsidR="00000000" w:rsidRDefault="00000000">
      <w:pPr>
        <w:ind w:left="1134" w:hanging="1134"/>
      </w:pPr>
      <w:r>
        <w:tab/>
        <w:t>(</w:t>
      </w:r>
      <w:r>
        <w:rPr>
          <w:i/>
          <w:iCs/>
        </w:rPr>
        <w:t xml:space="preserve">Источник:  </w:t>
      </w:r>
      <w:r>
        <w:t>Министерство финансов.)</w:t>
      </w:r>
    </w:p>
    <w:p w:rsidR="00000000" w:rsidRDefault="00000000">
      <w:pPr>
        <w:ind w:left="1134" w:hanging="1134"/>
      </w:pPr>
    </w:p>
    <w:p w:rsidR="00000000" w:rsidRDefault="00000000">
      <w:r>
        <w:t>750.</w:t>
      </w:r>
      <w:r>
        <w:tab/>
        <w:t>Министерство образования и науки будет прилагать усилия к увеличению финансирования системы образования и улучшению распределения ресурсов за счет более скоординированной деятельности, сокращения неоправданных расходов, налаживания сотрудничества с местными властями, международными фондами и учреждениями, а также координации совместной деятельности и сотрудничества с неправительственным сектором, опираясь на национальный экспертный потенциал.</w:t>
      </w:r>
    </w:p>
    <w:p w:rsidR="00000000" w:rsidRDefault="00000000"/>
    <w:p w:rsidR="00000000" w:rsidRDefault="00000000">
      <w:r>
        <w:t>751.</w:t>
      </w:r>
      <w:r>
        <w:tab/>
        <w:t>Особое значение приобретает четкая проработка механизмов финансирования в процессе децентрализации системы образования.  Хотя в слабонаселенных сельских районах образование является более дорогостоящим, это не является основанием для снижения качества образования и профессиональной подготовки и для неуважения права всех людей на образование.  В этой связи распределение средств будет осуществляться эффективно, рентабельно и справедливо, исходя из государственных приоритетов и с учетом реальных финансовых возможностей муниципалитетов и населения, в частности маргинальных групп, на базе объективных критериев.  Для этого потребуется усилить контроль за налоговой и социальной политикой и соблюдением законодательства в хозяйственном секторе каждого муниципалитета.  Таким образом, механическое распределение средств прекратится, и вместо него будет создана такая система финансирования, которая стимулировала бы качество и противодействовала бы халатной работе и махинациям в учебных заведениях.  В то же время распределение средств должно осуществляться с учетом государственных приоритетов.</w:t>
      </w:r>
    </w:p>
    <w:p w:rsidR="00000000" w:rsidRDefault="00000000"/>
    <w:p w:rsidR="00000000" w:rsidRDefault="00000000">
      <w:r>
        <w:t>752.</w:t>
      </w:r>
      <w:r>
        <w:tab/>
        <w:t>Финансирование системы образования будет частично осуществляться посредством пакетного выделения муниципалитам средств из центрального бюджета.  Основным критерием при таком финансировании станет число учащихся, состояние инфраструктуры, качество учебного процесса по итогам внешней оценки и вертикальная мобильность учащихся.</w:t>
      </w:r>
    </w:p>
    <w:p w:rsidR="00000000" w:rsidRDefault="00000000"/>
    <w:p w:rsidR="00000000" w:rsidRDefault="00000000">
      <w:pPr>
        <w:rPr>
          <w:b/>
          <w:bCs/>
        </w:rPr>
      </w:pPr>
      <w:r>
        <w:rPr>
          <w:b/>
          <w:bCs/>
        </w:rPr>
        <w:t>Строительство и реконструкция школ</w:t>
      </w:r>
    </w:p>
    <w:p w:rsidR="00000000" w:rsidRDefault="00000000">
      <w:pPr>
        <w:rPr>
          <w:b/>
          <w:bCs/>
        </w:rPr>
      </w:pPr>
    </w:p>
    <w:p w:rsidR="00000000" w:rsidRDefault="00000000">
      <w:r>
        <w:t>753.</w:t>
      </w:r>
      <w:r>
        <w:tab/>
        <w:t>Большое число школьных зданий не отвечают техническим и гигиеническим требованиям, и еще большее их число не имеют достаточных помещений, оборудования, основных материалов и дидактических средств.  Во многих школах нет спортзалов.  Половина школьных зданий нуждаются в технической реконструкции, причем в отдельных районах существует потребность в строительстве новых зданий.</w:t>
      </w:r>
    </w:p>
    <w:p w:rsidR="00000000" w:rsidRDefault="00000000"/>
    <w:p w:rsidR="00000000" w:rsidRDefault="00000000">
      <w:r>
        <w:t>754.</w:t>
      </w:r>
      <w:r>
        <w:tab/>
        <w:t>В крупных сельских муниципалитетах существует развитая сеть начальных и средних школ, где дети учатся с первого по восьмой класс.  В то же время из-за плохой организации транспорта ученикам из небольших сельских населенных пунктов приходится добираться до школы пешком.</w:t>
      </w:r>
    </w:p>
    <w:p w:rsidR="00000000" w:rsidRDefault="00000000"/>
    <w:p w:rsidR="00000000" w:rsidRDefault="00000000">
      <w:r>
        <w:t>755.</w:t>
      </w:r>
      <w:r>
        <w:tab/>
        <w:t>Обучение в ветхих школьных зданиях проходит в трудных условиях.  Ведется строительство новых школьных помещений для 30 начальных и двух средних школ.  С учетом приоритетов, определенных министерством образования и науки, работы по реконструкции, реабилитации и укрупнению помещений ведутся в 60 начальных и двух средних школах.</w:t>
      </w:r>
    </w:p>
    <w:p w:rsidR="00000000" w:rsidRDefault="00000000"/>
    <w:p w:rsidR="00000000" w:rsidRDefault="00000000">
      <w:pPr>
        <w:rPr>
          <w:b/>
          <w:bCs/>
        </w:rPr>
      </w:pPr>
      <w:r>
        <w:rPr>
          <w:b/>
          <w:bCs/>
        </w:rPr>
        <w:t>Система стипендий</w:t>
      </w:r>
    </w:p>
    <w:p w:rsidR="00000000" w:rsidRDefault="00000000">
      <w:pPr>
        <w:rPr>
          <w:b/>
          <w:bCs/>
        </w:rPr>
      </w:pPr>
    </w:p>
    <w:p w:rsidR="00000000" w:rsidRDefault="00000000">
      <w:r>
        <w:t>756.</w:t>
      </w:r>
      <w:r>
        <w:tab/>
        <w:t>Что касается обеспечения условий для учащихся и студентов, ежегодно министерство образования и науки объявляет открытый конкурс для талантливых учащихся и студентов, которым присуждаются стипендии для учебы и углубления своих знаний, а также для интеграции в общественную жизнь.  Такой конкурс организуется на основании Закона об обеспечении условий для учащихся и студентов ("Официальный вестник" бывшей югославской Республики Македонии № 37/1998.  В настоящее время обсуждаются два новых законопроекта, касающихся пособий отдельно учащимся и студентам, и ожидается, что они будут приняты в 2005 году).</w:t>
      </w:r>
    </w:p>
    <w:p w:rsidR="00000000" w:rsidRDefault="00000000"/>
    <w:p w:rsidR="00000000" w:rsidRDefault="00000000">
      <w:r>
        <w:t>757.</w:t>
      </w:r>
      <w:r>
        <w:tab/>
        <w:t>Министерство образования и науки присуждает стипендии не по принципу этнической принадлежности.</w:t>
      </w:r>
    </w:p>
    <w:p w:rsidR="00000000" w:rsidRDefault="00000000"/>
    <w:p w:rsidR="00000000" w:rsidRDefault="00000000">
      <w:r>
        <w:t>758.</w:t>
      </w:r>
      <w:r>
        <w:tab/>
        <w:t>По окончании учебных заведений получателям стипендий министерство образования и науки может выдавать свидетельства, которые обеспечивают им приоритетное трудоустройство.</w:t>
      </w:r>
    </w:p>
    <w:p w:rsidR="00000000" w:rsidRDefault="00000000"/>
    <w:p w:rsidR="00000000" w:rsidRDefault="00000000">
      <w:r>
        <w:t>759.</w:t>
      </w:r>
      <w:r>
        <w:tab/>
        <w:t>Для учащихся из семей с низким доходом министерство образования и науки предоставляет кредиты на учебу.</w:t>
      </w:r>
    </w:p>
    <w:p w:rsidR="00000000" w:rsidRDefault="00000000"/>
    <w:p w:rsidR="00000000" w:rsidRDefault="00000000">
      <w:r>
        <w:t>760.</w:t>
      </w:r>
      <w:r>
        <w:tab/>
        <w:t>Для оказания содействия молодежи и ее стимулирования министерство образования и науки оказывает также финансовую помощь для проезда к месту учебы и проживания.</w:t>
      </w:r>
    </w:p>
    <w:p w:rsidR="00000000" w:rsidRDefault="00000000"/>
    <w:p w:rsidR="00000000" w:rsidRDefault="00000000">
      <w:r>
        <w:t>761.</w:t>
      </w:r>
      <w:r>
        <w:tab/>
        <w:t>По решению правительства стипендии присуждаются также учащимся македонского происхождения, гражданам Албании, Болгарии и Греции, которые учатся в Университете св. Кирилла и Мефодия в Скопье, в Университете св. Климента Охридского в Битоле, а также на факультете теологии в Скопье.</w:t>
      </w:r>
    </w:p>
    <w:p w:rsidR="00000000" w:rsidRDefault="00000000"/>
    <w:p w:rsidR="00000000" w:rsidRDefault="00000000">
      <w:r>
        <w:t>762.</w:t>
      </w:r>
      <w:r>
        <w:tab/>
        <w:t>В 2004/05 учебном году конкурсный отбор стипендиатов проводился на основании статьи 66 Закона об организации и функционировании органов государственной администрации ("Официальный вестник" бывшей югославской Республики Македонии № 58/2000), а также статьи 50 Закона об обеспечении условий для учащихся и студентов.</w:t>
      </w:r>
    </w:p>
    <w:p w:rsidR="00000000" w:rsidRDefault="00000000"/>
    <w:p w:rsidR="00000000" w:rsidRDefault="00000000">
      <w:r>
        <w:t>763.</w:t>
      </w:r>
      <w:r>
        <w:tab/>
        <w:t>В ходе этого конкурса 500 стипендий были присуждены талантливым учащимся средних школ;  были присуждены также стипендии талантливым учащимся второго-четвертого курсов высших учебных заведений, ссуды учащимся вторых-четвертых курсов высших учебных заведений и 35 стипендий студентам в таких областях, где не хватает специалистов.  Эти стипендии присуждались слушателям тех курсов и учебных дисциплин, которые не преподаются в македонских университетах.  Все стипендии и ссуды распределялись в соответствии с условиями присуждения стипендий, определяемых в вышеуказанных законодательных актах.</w:t>
      </w:r>
    </w:p>
    <w:p w:rsidR="00000000" w:rsidRDefault="00000000"/>
    <w:p w:rsidR="00000000" w:rsidRDefault="00000000">
      <w:r>
        <w:t>764.</w:t>
      </w:r>
      <w:r>
        <w:tab/>
        <w:t>Международное сообщество принимает участие в присуждении стипендий на всех уровнях системы образования.  Важную роль в оказании поддержки учащимся средней школы начиная с третьего-четвертого годов обучения по международной программе оказывает организация "</w:t>
      </w:r>
      <w:proofErr w:type="spellStart"/>
      <w:r>
        <w:t>Юнайтед</w:t>
      </w:r>
      <w:proofErr w:type="spellEnd"/>
      <w:r>
        <w:t xml:space="preserve"> </w:t>
      </w:r>
      <w:proofErr w:type="spellStart"/>
      <w:r>
        <w:t>Уорлд</w:t>
      </w:r>
      <w:proofErr w:type="spellEnd"/>
      <w:r>
        <w:t xml:space="preserve"> Колледж".  Большое число стипендий учащимся </w:t>
      </w:r>
      <w:proofErr w:type="spellStart"/>
      <w:r>
        <w:t>ВУЗов</w:t>
      </w:r>
      <w:proofErr w:type="spellEnd"/>
      <w:r>
        <w:t xml:space="preserve"> и магистратур выделяют также ЕС и такие страны, как Соединенные Штаты, Япония и Китай.</w:t>
      </w:r>
    </w:p>
    <w:p w:rsidR="00000000" w:rsidRDefault="00000000"/>
    <w:p w:rsidR="00000000" w:rsidRDefault="00000000">
      <w:r>
        <w:rPr>
          <w:i/>
          <w:iCs/>
        </w:rPr>
        <w:t>Охват и число учащихся, бросающих учебу</w:t>
      </w:r>
    </w:p>
    <w:p w:rsidR="00000000" w:rsidRDefault="00000000"/>
    <w:p w:rsidR="00000000" w:rsidRDefault="00000000">
      <w:pPr>
        <w:numPr>
          <w:ilvl w:val="0"/>
          <w:numId w:val="84"/>
        </w:numPr>
      </w:pPr>
      <w:r>
        <w:t xml:space="preserve">Общий охват детей дошкольным образованием составляет </w:t>
      </w:r>
      <w:proofErr w:type="spellStart"/>
      <w:r>
        <w:t>18,67%</w:t>
      </w:r>
      <w:proofErr w:type="spellEnd"/>
      <w:r>
        <w:t>;</w:t>
      </w:r>
    </w:p>
    <w:p w:rsidR="00000000" w:rsidRDefault="00000000">
      <w:pPr>
        <w:tabs>
          <w:tab w:val="clear" w:pos="1134"/>
        </w:tabs>
      </w:pPr>
    </w:p>
    <w:p w:rsidR="00000000" w:rsidRDefault="00000000">
      <w:pPr>
        <w:numPr>
          <w:ilvl w:val="0"/>
          <w:numId w:val="84"/>
        </w:numPr>
      </w:pPr>
      <w:r>
        <w:t xml:space="preserve">охват детей за год до поступления в начальную школу составляет </w:t>
      </w:r>
      <w:proofErr w:type="spellStart"/>
      <w:r>
        <w:t>82,23%</w:t>
      </w:r>
      <w:proofErr w:type="spellEnd"/>
      <w:r>
        <w:t>;</w:t>
      </w:r>
    </w:p>
    <w:p w:rsidR="00000000" w:rsidRDefault="00000000">
      <w:pPr>
        <w:tabs>
          <w:tab w:val="clear" w:pos="1134"/>
        </w:tabs>
      </w:pPr>
    </w:p>
    <w:p w:rsidR="00000000" w:rsidRDefault="00000000">
      <w:pPr>
        <w:numPr>
          <w:ilvl w:val="0"/>
          <w:numId w:val="84"/>
        </w:numPr>
      </w:pPr>
      <w:r>
        <w:t xml:space="preserve">охват начальным образованием составляет </w:t>
      </w:r>
      <w:proofErr w:type="spellStart"/>
      <w:r>
        <w:t>95%</w:t>
      </w:r>
      <w:proofErr w:type="spellEnd"/>
      <w:r>
        <w:t>;</w:t>
      </w:r>
    </w:p>
    <w:p w:rsidR="00000000" w:rsidRDefault="00000000">
      <w:pPr>
        <w:tabs>
          <w:tab w:val="clear" w:pos="1134"/>
        </w:tabs>
      </w:pPr>
    </w:p>
    <w:p w:rsidR="00000000" w:rsidRDefault="00000000">
      <w:pPr>
        <w:numPr>
          <w:ilvl w:val="0"/>
          <w:numId w:val="84"/>
        </w:numPr>
      </w:pPr>
      <w:r>
        <w:t xml:space="preserve">процент учащихся, ежегодно бросающих начальную школу, составляет </w:t>
      </w:r>
      <w:proofErr w:type="spellStart"/>
      <w:r>
        <w:t>1,42%</w:t>
      </w:r>
      <w:proofErr w:type="spellEnd"/>
      <w:r>
        <w:t>;</w:t>
      </w:r>
    </w:p>
    <w:p w:rsidR="00000000" w:rsidRDefault="00000000">
      <w:pPr>
        <w:tabs>
          <w:tab w:val="clear" w:pos="1134"/>
        </w:tabs>
      </w:pPr>
    </w:p>
    <w:p w:rsidR="00000000" w:rsidRDefault="00000000">
      <w:pPr>
        <w:numPr>
          <w:ilvl w:val="0"/>
          <w:numId w:val="84"/>
        </w:numPr>
      </w:pPr>
      <w:r>
        <w:t xml:space="preserve">процент учащихся, ежегодно прекращающих получение образования в начальной школе, составляет </w:t>
      </w:r>
      <w:proofErr w:type="spellStart"/>
      <w:r>
        <w:t>0,29%</w:t>
      </w:r>
      <w:proofErr w:type="spellEnd"/>
      <w:r>
        <w:t>;</w:t>
      </w:r>
    </w:p>
    <w:p w:rsidR="00000000" w:rsidRDefault="00000000">
      <w:pPr>
        <w:tabs>
          <w:tab w:val="clear" w:pos="1134"/>
        </w:tabs>
      </w:pPr>
    </w:p>
    <w:p w:rsidR="00000000" w:rsidRDefault="00000000">
      <w:pPr>
        <w:numPr>
          <w:ilvl w:val="0"/>
          <w:numId w:val="84"/>
        </w:numPr>
      </w:pPr>
      <w:r>
        <w:t xml:space="preserve">процент детей, окончивших начальную школу и зачисленных в среднюю школу, составляет </w:t>
      </w:r>
      <w:proofErr w:type="spellStart"/>
      <w:r>
        <w:t>83,35%</w:t>
      </w:r>
      <w:proofErr w:type="spellEnd"/>
      <w:r>
        <w:t>;</w:t>
      </w:r>
    </w:p>
    <w:p w:rsidR="00000000" w:rsidRDefault="00000000">
      <w:pPr>
        <w:tabs>
          <w:tab w:val="clear" w:pos="1134"/>
        </w:tabs>
      </w:pPr>
    </w:p>
    <w:p w:rsidR="00000000" w:rsidRDefault="00000000">
      <w:pPr>
        <w:numPr>
          <w:ilvl w:val="0"/>
          <w:numId w:val="84"/>
        </w:numPr>
      </w:pPr>
      <w:r>
        <w:t>наибольший процент детей (16,65%) бросает школу во время перехода из начальной в среднюю школу;</w:t>
      </w:r>
    </w:p>
    <w:p w:rsidR="00000000" w:rsidRDefault="00000000">
      <w:pPr>
        <w:tabs>
          <w:tab w:val="clear" w:pos="1134"/>
        </w:tabs>
      </w:pPr>
    </w:p>
    <w:p w:rsidR="00000000" w:rsidRDefault="00000000">
      <w:pPr>
        <w:numPr>
          <w:ilvl w:val="0"/>
          <w:numId w:val="84"/>
        </w:numPr>
      </w:pPr>
      <w:r>
        <w:t xml:space="preserve">процент детей, ежегодно бросающих среднюю школу, составляет </w:t>
      </w:r>
      <w:proofErr w:type="spellStart"/>
      <w:r>
        <w:t>2,84%</w:t>
      </w:r>
      <w:proofErr w:type="spellEnd"/>
      <w:r>
        <w:t>;</w:t>
      </w:r>
    </w:p>
    <w:p w:rsidR="00000000" w:rsidRDefault="00000000">
      <w:pPr>
        <w:tabs>
          <w:tab w:val="clear" w:pos="1134"/>
        </w:tabs>
      </w:pPr>
    </w:p>
    <w:p w:rsidR="00000000" w:rsidRDefault="00000000">
      <w:pPr>
        <w:numPr>
          <w:ilvl w:val="0"/>
          <w:numId w:val="84"/>
        </w:numPr>
      </w:pPr>
      <w:r>
        <w:t xml:space="preserve">процент детей, ежегодно прекращающих получение образования в средней школе, составляет </w:t>
      </w:r>
      <w:proofErr w:type="spellStart"/>
      <w:r>
        <w:t>0,88%</w:t>
      </w:r>
      <w:proofErr w:type="spellEnd"/>
      <w:r>
        <w:t>;</w:t>
      </w:r>
    </w:p>
    <w:p w:rsidR="00000000" w:rsidRDefault="00000000">
      <w:pPr>
        <w:tabs>
          <w:tab w:val="clear" w:pos="1134"/>
        </w:tabs>
      </w:pPr>
    </w:p>
    <w:p w:rsidR="00000000" w:rsidRDefault="00000000">
      <w:pPr>
        <w:numPr>
          <w:ilvl w:val="0"/>
          <w:numId w:val="84"/>
        </w:numPr>
      </w:pPr>
      <w:r>
        <w:t xml:space="preserve">число студентов в расчете на 100 000 жителей составляет 3 043 человека; </w:t>
      </w:r>
    </w:p>
    <w:p w:rsidR="00000000" w:rsidRDefault="00000000">
      <w:pPr>
        <w:tabs>
          <w:tab w:val="clear" w:pos="1134"/>
        </w:tabs>
      </w:pPr>
    </w:p>
    <w:p w:rsidR="00000000" w:rsidRDefault="00000000">
      <w:pPr>
        <w:numPr>
          <w:ilvl w:val="0"/>
          <w:numId w:val="84"/>
        </w:numPr>
      </w:pPr>
      <w:r>
        <w:t>реже всего школу бросают дети македонского происхождения, а чаще всего представители рома.</w:t>
      </w:r>
    </w:p>
    <w:p w:rsidR="00000000" w:rsidRDefault="00000000">
      <w:pPr>
        <w:tabs>
          <w:tab w:val="clear" w:pos="1134"/>
        </w:tabs>
      </w:pPr>
    </w:p>
    <w:p w:rsidR="00000000" w:rsidRDefault="00000000">
      <w:r>
        <w:t>765.</w:t>
      </w:r>
      <w:r>
        <w:tab/>
        <w:t>В рамках своей деятельности министерство образования и науки подготовило национальную программу развития образования на 2005-2015 годы, согласно которой на ближайшие десять лет намечены следующие виды деятельности в стратегических/</w:t>
      </w:r>
    </w:p>
    <w:p w:rsidR="00000000" w:rsidRDefault="00000000">
      <w:r>
        <w:t>ключевых областях:</w:t>
      </w:r>
    </w:p>
    <w:p w:rsidR="00000000" w:rsidRDefault="00000000"/>
    <w:p w:rsidR="00000000" w:rsidRDefault="00000000">
      <w:pPr>
        <w:numPr>
          <w:ilvl w:val="0"/>
          <w:numId w:val="85"/>
        </w:numPr>
        <w:tabs>
          <w:tab w:val="clear" w:pos="567"/>
        </w:tabs>
      </w:pPr>
      <w:r>
        <w:t>образование для всех/обеспечение равенства в сфере образования;</w:t>
      </w:r>
    </w:p>
    <w:p w:rsidR="00000000" w:rsidRDefault="00000000">
      <w:pPr>
        <w:tabs>
          <w:tab w:val="clear" w:pos="1134"/>
        </w:tabs>
      </w:pPr>
    </w:p>
    <w:p w:rsidR="00000000" w:rsidRDefault="00000000">
      <w:pPr>
        <w:numPr>
          <w:ilvl w:val="0"/>
          <w:numId w:val="85"/>
        </w:numPr>
        <w:tabs>
          <w:tab w:val="clear" w:pos="567"/>
        </w:tabs>
      </w:pPr>
      <w:r>
        <w:t>содействие интеллектуальному росту и учебе;</w:t>
      </w:r>
    </w:p>
    <w:p w:rsidR="00000000" w:rsidRDefault="00000000">
      <w:pPr>
        <w:tabs>
          <w:tab w:val="clear" w:pos="1134"/>
        </w:tabs>
      </w:pPr>
    </w:p>
    <w:p w:rsidR="00000000" w:rsidRDefault="00000000">
      <w:pPr>
        <w:numPr>
          <w:ilvl w:val="0"/>
          <w:numId w:val="85"/>
        </w:numPr>
        <w:tabs>
          <w:tab w:val="clear" w:pos="567"/>
        </w:tabs>
      </w:pPr>
      <w:r>
        <w:t>улучшение возможностей для получения знаний;</w:t>
      </w:r>
    </w:p>
    <w:p w:rsidR="00000000" w:rsidRDefault="00000000">
      <w:pPr>
        <w:tabs>
          <w:tab w:val="clear" w:pos="1134"/>
        </w:tabs>
      </w:pPr>
    </w:p>
    <w:p w:rsidR="00000000" w:rsidRDefault="00000000">
      <w:pPr>
        <w:numPr>
          <w:ilvl w:val="0"/>
          <w:numId w:val="85"/>
        </w:numPr>
        <w:tabs>
          <w:tab w:val="clear" w:pos="567"/>
        </w:tabs>
      </w:pPr>
      <w:r>
        <w:t>повышение образованности, а также культурного и экономического уровня македонского общества;</w:t>
      </w:r>
    </w:p>
    <w:p w:rsidR="00000000" w:rsidRDefault="00000000">
      <w:pPr>
        <w:tabs>
          <w:tab w:val="clear" w:pos="1134"/>
        </w:tabs>
      </w:pPr>
    </w:p>
    <w:p w:rsidR="00000000" w:rsidRDefault="00000000">
      <w:pPr>
        <w:numPr>
          <w:ilvl w:val="0"/>
          <w:numId w:val="85"/>
        </w:numPr>
        <w:tabs>
          <w:tab w:val="clear" w:pos="567"/>
        </w:tabs>
      </w:pPr>
      <w:r>
        <w:t>укрепление и стимулирование международного сотрудничества;</w:t>
      </w:r>
    </w:p>
    <w:p w:rsidR="00000000" w:rsidRDefault="00000000">
      <w:pPr>
        <w:tabs>
          <w:tab w:val="clear" w:pos="1134"/>
        </w:tabs>
      </w:pPr>
    </w:p>
    <w:p w:rsidR="00000000" w:rsidRDefault="00000000">
      <w:pPr>
        <w:numPr>
          <w:ilvl w:val="0"/>
          <w:numId w:val="85"/>
        </w:numPr>
        <w:tabs>
          <w:tab w:val="clear" w:pos="567"/>
        </w:tabs>
      </w:pPr>
      <w:r>
        <w:t>укрепление потенциала министерства образования и науки.</w:t>
      </w:r>
    </w:p>
    <w:p w:rsidR="00000000" w:rsidRDefault="00000000">
      <w:pPr>
        <w:tabs>
          <w:tab w:val="clear" w:pos="1134"/>
        </w:tabs>
      </w:pPr>
    </w:p>
    <w:p w:rsidR="00000000" w:rsidRDefault="00000000">
      <w:r>
        <w:t>766.</w:t>
      </w:r>
      <w:r>
        <w:tab/>
        <w:t>План действий по защите прав детей в бывшей югославской Республике Македонии на 2005-2015 годы, который в настоящее время находится на завершающем этапе подготовки, также будет способствовать выполнению вышеуказанных стратегических задач, и в первую очередь тех из них, которые определены в пунктах 1, 2, 3 и 4.</w:t>
      </w:r>
    </w:p>
    <w:p w:rsidR="00000000" w:rsidRDefault="00000000"/>
    <w:p w:rsidR="00000000" w:rsidRDefault="00000000">
      <w:pPr>
        <w:jc w:val="center"/>
        <w:rPr>
          <w:b/>
          <w:bCs/>
        </w:rPr>
      </w:pPr>
      <w:r>
        <w:rPr>
          <w:b/>
          <w:bCs/>
        </w:rPr>
        <w:t>Статистические данные о неграмотном населении и учащихся, бросающих учебу, в бывшей югославской Республике Македонии</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928"/>
      </w:tblGrid>
      <w:tr w:rsidR="00000000">
        <w:tblPrEx>
          <w:tblCellMar>
            <w:top w:w="0" w:type="dxa"/>
            <w:bottom w:w="0" w:type="dxa"/>
          </w:tblCellMar>
        </w:tblPrEx>
        <w:tc>
          <w:tcPr>
            <w:tcW w:w="4428" w:type="dxa"/>
          </w:tcPr>
          <w:p w:rsidR="00000000" w:rsidRDefault="00000000">
            <w:pPr>
              <w:pStyle w:val="Header"/>
              <w:jc w:val="center"/>
              <w:rPr>
                <w:szCs w:val="22"/>
              </w:rPr>
            </w:pPr>
            <w:r>
              <w:rPr>
                <w:szCs w:val="22"/>
              </w:rPr>
              <w:t>Конкретные задачи бывшей югославской Республики Македонии</w:t>
            </w:r>
          </w:p>
        </w:tc>
        <w:tc>
          <w:tcPr>
            <w:tcW w:w="4928" w:type="dxa"/>
          </w:tcPr>
          <w:p w:rsidR="00000000" w:rsidRDefault="00000000">
            <w:pPr>
              <w:pStyle w:val="Header"/>
              <w:jc w:val="center"/>
              <w:rPr>
                <w:szCs w:val="22"/>
              </w:rPr>
            </w:pPr>
            <w:r>
              <w:rPr>
                <w:szCs w:val="22"/>
              </w:rPr>
              <w:t>Показатели</w:t>
            </w:r>
          </w:p>
        </w:tc>
      </w:tr>
      <w:tr w:rsidR="00000000">
        <w:tblPrEx>
          <w:tblCellMar>
            <w:top w:w="0" w:type="dxa"/>
            <w:bottom w:w="0" w:type="dxa"/>
          </w:tblCellMar>
        </w:tblPrEx>
        <w:trPr>
          <w:cantSplit/>
        </w:trPr>
        <w:tc>
          <w:tcPr>
            <w:tcW w:w="4428" w:type="dxa"/>
            <w:vMerge w:val="restart"/>
          </w:tcPr>
          <w:p w:rsidR="00000000" w:rsidRDefault="00000000">
            <w:pPr>
              <w:rPr>
                <w:szCs w:val="22"/>
              </w:rPr>
            </w:pPr>
            <w:r>
              <w:rPr>
                <w:szCs w:val="22"/>
              </w:rPr>
              <w:t>Обеспечить к 2015 году получение начального образования всеми детьми - план действий по достижению целей развития, закрепленных в Декларации тысячелетия</w:t>
            </w:r>
          </w:p>
        </w:tc>
        <w:tc>
          <w:tcPr>
            <w:tcW w:w="4928" w:type="dxa"/>
          </w:tcPr>
          <w:p w:rsidR="00000000" w:rsidRDefault="00000000">
            <w:pPr>
              <w:pStyle w:val="Header"/>
              <w:rPr>
                <w:szCs w:val="22"/>
              </w:rPr>
            </w:pPr>
            <w:r>
              <w:rPr>
                <w:szCs w:val="22"/>
              </w:rPr>
              <w:t>Охват начальным образованием</w:t>
            </w:r>
          </w:p>
          <w:p w:rsidR="00000000" w:rsidRDefault="00000000">
            <w:pPr>
              <w:pStyle w:val="Header"/>
              <w:rPr>
                <w:szCs w:val="22"/>
              </w:rPr>
            </w:pPr>
            <w:r>
              <w:rPr>
                <w:szCs w:val="22"/>
              </w:rPr>
              <w:t>Число учащихся, записавшихся в пятый класс, по сравнению с числом учащихся, записавшихся в первый класс</w:t>
            </w:r>
          </w:p>
          <w:p w:rsidR="00000000" w:rsidRDefault="00000000">
            <w:pPr>
              <w:pStyle w:val="Header"/>
              <w:rPr>
                <w:szCs w:val="22"/>
              </w:rPr>
            </w:pPr>
            <w:r>
              <w:rPr>
                <w:szCs w:val="22"/>
              </w:rPr>
              <w:t>Уровень грамотности лиц старше 15 лет</w:t>
            </w:r>
          </w:p>
        </w:tc>
      </w:tr>
      <w:tr w:rsidR="00000000">
        <w:tblPrEx>
          <w:tblCellMar>
            <w:top w:w="0" w:type="dxa"/>
            <w:bottom w:w="0" w:type="dxa"/>
          </w:tblCellMar>
        </w:tblPrEx>
        <w:trPr>
          <w:cantSplit/>
        </w:trPr>
        <w:tc>
          <w:tcPr>
            <w:tcW w:w="4428" w:type="dxa"/>
            <w:vMerge/>
          </w:tcPr>
          <w:p w:rsidR="00000000" w:rsidRDefault="00000000">
            <w:pPr>
              <w:rPr>
                <w:szCs w:val="22"/>
              </w:rPr>
            </w:pPr>
          </w:p>
        </w:tc>
        <w:tc>
          <w:tcPr>
            <w:tcW w:w="4928" w:type="dxa"/>
          </w:tcPr>
          <w:p w:rsidR="00000000" w:rsidRDefault="00000000">
            <w:pPr>
              <w:rPr>
                <w:szCs w:val="22"/>
              </w:rPr>
            </w:pPr>
            <w:r>
              <w:rPr>
                <w:szCs w:val="22"/>
              </w:rPr>
              <w:t>Показатель +</w:t>
            </w:r>
          </w:p>
        </w:tc>
      </w:tr>
      <w:tr w:rsidR="00000000">
        <w:tblPrEx>
          <w:tblCellMar>
            <w:top w:w="0" w:type="dxa"/>
            <w:bottom w:w="0" w:type="dxa"/>
          </w:tblCellMar>
        </w:tblPrEx>
        <w:trPr>
          <w:cantSplit/>
        </w:trPr>
        <w:tc>
          <w:tcPr>
            <w:tcW w:w="4428" w:type="dxa"/>
            <w:vMerge/>
          </w:tcPr>
          <w:p w:rsidR="00000000" w:rsidRDefault="00000000">
            <w:pPr>
              <w:rPr>
                <w:szCs w:val="22"/>
              </w:rPr>
            </w:pPr>
          </w:p>
        </w:tc>
        <w:tc>
          <w:tcPr>
            <w:tcW w:w="4928" w:type="dxa"/>
          </w:tcPr>
          <w:p w:rsidR="00000000" w:rsidRDefault="00000000">
            <w:pPr>
              <w:rPr>
                <w:szCs w:val="22"/>
              </w:rPr>
            </w:pPr>
            <w:r>
              <w:rPr>
                <w:szCs w:val="22"/>
              </w:rPr>
              <w:t>Доля лиц, получивших начальное образование</w:t>
            </w:r>
          </w:p>
          <w:p w:rsidR="00000000" w:rsidRDefault="00000000">
            <w:pPr>
              <w:rPr>
                <w:szCs w:val="22"/>
              </w:rPr>
            </w:pPr>
            <w:r>
              <w:rPr>
                <w:szCs w:val="22"/>
              </w:rPr>
              <w:t>Процент лиц, зачисленных в среднюю школу</w:t>
            </w:r>
          </w:p>
          <w:p w:rsidR="00000000" w:rsidRDefault="00000000">
            <w:pPr>
              <w:rPr>
                <w:szCs w:val="22"/>
              </w:rPr>
            </w:pPr>
            <w:r>
              <w:rPr>
                <w:szCs w:val="22"/>
              </w:rPr>
              <w:t xml:space="preserve">Доля бюджетных расходов на образование в </w:t>
            </w:r>
            <w:proofErr w:type="spellStart"/>
            <w:r>
              <w:rPr>
                <w:szCs w:val="22"/>
              </w:rPr>
              <w:t>ВВП</w:t>
            </w:r>
            <w:proofErr w:type="spellEnd"/>
          </w:p>
        </w:tc>
      </w:tr>
    </w:tbl>
    <w:p w:rsidR="00000000" w:rsidRDefault="00000000">
      <w:pPr>
        <w:keepNext/>
        <w:jc w:val="center"/>
        <w:rPr>
          <w:b/>
          <w:bCs/>
        </w:rPr>
      </w:pPr>
    </w:p>
    <w:p w:rsidR="00000000" w:rsidRDefault="00000000">
      <w:pPr>
        <w:keepNext/>
        <w:jc w:val="center"/>
        <w:rPr>
          <w:b/>
          <w:bCs/>
        </w:rPr>
      </w:pPr>
      <w:r>
        <w:rPr>
          <w:b/>
          <w:bCs/>
        </w:rPr>
        <w:t>Общий охват учащихся начальным образованием</w:t>
      </w:r>
    </w:p>
    <w:p w:rsidR="00000000" w:rsidRDefault="00000000">
      <w:pPr>
        <w:keepNext/>
        <w:jc w:val="center"/>
        <w:rPr>
          <w:b/>
          <w:bCs/>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8"/>
        <w:gridCol w:w="668"/>
        <w:gridCol w:w="668"/>
        <w:gridCol w:w="669"/>
        <w:gridCol w:w="668"/>
        <w:gridCol w:w="668"/>
        <w:gridCol w:w="669"/>
        <w:gridCol w:w="668"/>
        <w:gridCol w:w="668"/>
        <w:gridCol w:w="668"/>
        <w:gridCol w:w="669"/>
        <w:gridCol w:w="668"/>
        <w:gridCol w:w="668"/>
        <w:gridCol w:w="669"/>
      </w:tblGrid>
      <w:tr w:rsidR="00000000">
        <w:trPr>
          <w:trHeight w:val="283"/>
        </w:trPr>
        <w:tc>
          <w:tcPr>
            <w:tcW w:w="668" w:type="dxa"/>
          </w:tcPr>
          <w:p w:rsidR="00000000" w:rsidRDefault="00000000">
            <w:pPr>
              <w:keepNext/>
              <w:jc w:val="center"/>
              <w:rPr>
                <w:sz w:val="20"/>
                <w:szCs w:val="22"/>
              </w:rPr>
            </w:pPr>
            <w:r>
              <w:rPr>
                <w:sz w:val="20"/>
                <w:szCs w:val="22"/>
              </w:rPr>
              <w:t>1990</w:t>
            </w:r>
          </w:p>
        </w:tc>
        <w:tc>
          <w:tcPr>
            <w:tcW w:w="668" w:type="dxa"/>
          </w:tcPr>
          <w:p w:rsidR="00000000" w:rsidRDefault="00000000">
            <w:pPr>
              <w:keepNext/>
              <w:jc w:val="center"/>
              <w:rPr>
                <w:sz w:val="20"/>
                <w:szCs w:val="22"/>
              </w:rPr>
            </w:pPr>
            <w:r>
              <w:rPr>
                <w:sz w:val="20"/>
                <w:szCs w:val="22"/>
              </w:rPr>
              <w:t>1991</w:t>
            </w:r>
          </w:p>
        </w:tc>
        <w:tc>
          <w:tcPr>
            <w:tcW w:w="668" w:type="dxa"/>
          </w:tcPr>
          <w:p w:rsidR="00000000" w:rsidRDefault="00000000">
            <w:pPr>
              <w:keepNext/>
              <w:jc w:val="center"/>
              <w:rPr>
                <w:sz w:val="20"/>
                <w:szCs w:val="22"/>
              </w:rPr>
            </w:pPr>
            <w:r>
              <w:rPr>
                <w:sz w:val="20"/>
                <w:szCs w:val="22"/>
              </w:rPr>
              <w:t>1992</w:t>
            </w:r>
          </w:p>
        </w:tc>
        <w:tc>
          <w:tcPr>
            <w:tcW w:w="669" w:type="dxa"/>
          </w:tcPr>
          <w:p w:rsidR="00000000" w:rsidRDefault="00000000">
            <w:pPr>
              <w:keepNext/>
              <w:jc w:val="center"/>
              <w:rPr>
                <w:sz w:val="20"/>
                <w:szCs w:val="22"/>
              </w:rPr>
            </w:pPr>
            <w:r>
              <w:rPr>
                <w:sz w:val="20"/>
                <w:szCs w:val="22"/>
              </w:rPr>
              <w:t>1993</w:t>
            </w:r>
          </w:p>
        </w:tc>
        <w:tc>
          <w:tcPr>
            <w:tcW w:w="668" w:type="dxa"/>
          </w:tcPr>
          <w:p w:rsidR="00000000" w:rsidRDefault="00000000">
            <w:pPr>
              <w:keepNext/>
              <w:jc w:val="center"/>
              <w:rPr>
                <w:sz w:val="20"/>
                <w:szCs w:val="22"/>
              </w:rPr>
            </w:pPr>
            <w:r>
              <w:rPr>
                <w:sz w:val="20"/>
                <w:szCs w:val="22"/>
              </w:rPr>
              <w:t>1994</w:t>
            </w:r>
          </w:p>
        </w:tc>
        <w:tc>
          <w:tcPr>
            <w:tcW w:w="668" w:type="dxa"/>
          </w:tcPr>
          <w:p w:rsidR="00000000" w:rsidRDefault="00000000">
            <w:pPr>
              <w:keepNext/>
              <w:jc w:val="center"/>
              <w:rPr>
                <w:sz w:val="20"/>
                <w:szCs w:val="22"/>
              </w:rPr>
            </w:pPr>
            <w:r>
              <w:rPr>
                <w:sz w:val="20"/>
                <w:szCs w:val="22"/>
              </w:rPr>
              <w:t>1995</w:t>
            </w:r>
          </w:p>
        </w:tc>
        <w:tc>
          <w:tcPr>
            <w:tcW w:w="669" w:type="dxa"/>
          </w:tcPr>
          <w:p w:rsidR="00000000" w:rsidRDefault="00000000">
            <w:pPr>
              <w:keepNext/>
              <w:jc w:val="center"/>
              <w:rPr>
                <w:sz w:val="20"/>
                <w:szCs w:val="22"/>
              </w:rPr>
            </w:pPr>
            <w:r>
              <w:rPr>
                <w:sz w:val="20"/>
                <w:szCs w:val="22"/>
              </w:rPr>
              <w:t>1996</w:t>
            </w:r>
          </w:p>
        </w:tc>
        <w:tc>
          <w:tcPr>
            <w:tcW w:w="668" w:type="dxa"/>
          </w:tcPr>
          <w:p w:rsidR="00000000" w:rsidRDefault="00000000">
            <w:pPr>
              <w:keepNext/>
              <w:jc w:val="center"/>
              <w:rPr>
                <w:sz w:val="20"/>
                <w:szCs w:val="22"/>
              </w:rPr>
            </w:pPr>
            <w:r>
              <w:rPr>
                <w:sz w:val="20"/>
                <w:szCs w:val="22"/>
              </w:rPr>
              <w:t>1997</w:t>
            </w:r>
          </w:p>
        </w:tc>
        <w:tc>
          <w:tcPr>
            <w:tcW w:w="668" w:type="dxa"/>
          </w:tcPr>
          <w:p w:rsidR="00000000" w:rsidRDefault="00000000">
            <w:pPr>
              <w:keepNext/>
              <w:jc w:val="center"/>
              <w:rPr>
                <w:sz w:val="20"/>
                <w:szCs w:val="22"/>
              </w:rPr>
            </w:pPr>
            <w:r>
              <w:rPr>
                <w:sz w:val="20"/>
                <w:szCs w:val="22"/>
              </w:rPr>
              <w:t>1998</w:t>
            </w:r>
          </w:p>
        </w:tc>
        <w:tc>
          <w:tcPr>
            <w:tcW w:w="668" w:type="dxa"/>
          </w:tcPr>
          <w:p w:rsidR="00000000" w:rsidRDefault="00000000">
            <w:pPr>
              <w:keepNext/>
              <w:jc w:val="center"/>
              <w:rPr>
                <w:sz w:val="20"/>
                <w:szCs w:val="22"/>
              </w:rPr>
            </w:pPr>
            <w:r>
              <w:rPr>
                <w:sz w:val="20"/>
                <w:szCs w:val="22"/>
              </w:rPr>
              <w:t>1999</w:t>
            </w:r>
          </w:p>
        </w:tc>
        <w:tc>
          <w:tcPr>
            <w:tcW w:w="669" w:type="dxa"/>
          </w:tcPr>
          <w:p w:rsidR="00000000" w:rsidRDefault="00000000">
            <w:pPr>
              <w:keepNext/>
              <w:jc w:val="center"/>
              <w:rPr>
                <w:sz w:val="20"/>
                <w:szCs w:val="22"/>
              </w:rPr>
            </w:pPr>
            <w:r>
              <w:rPr>
                <w:sz w:val="20"/>
                <w:szCs w:val="22"/>
              </w:rPr>
              <w:t>2000</w:t>
            </w:r>
          </w:p>
        </w:tc>
        <w:tc>
          <w:tcPr>
            <w:tcW w:w="668" w:type="dxa"/>
          </w:tcPr>
          <w:p w:rsidR="00000000" w:rsidRDefault="00000000">
            <w:pPr>
              <w:keepNext/>
              <w:jc w:val="center"/>
              <w:rPr>
                <w:sz w:val="20"/>
                <w:szCs w:val="22"/>
              </w:rPr>
            </w:pPr>
            <w:r>
              <w:rPr>
                <w:sz w:val="20"/>
                <w:szCs w:val="22"/>
              </w:rPr>
              <w:t>2001</w:t>
            </w:r>
          </w:p>
        </w:tc>
        <w:tc>
          <w:tcPr>
            <w:tcW w:w="668" w:type="dxa"/>
          </w:tcPr>
          <w:p w:rsidR="00000000" w:rsidRDefault="00000000">
            <w:pPr>
              <w:keepNext/>
              <w:jc w:val="center"/>
              <w:rPr>
                <w:sz w:val="20"/>
                <w:szCs w:val="22"/>
              </w:rPr>
            </w:pPr>
            <w:r>
              <w:rPr>
                <w:sz w:val="20"/>
                <w:szCs w:val="22"/>
              </w:rPr>
              <w:t>2002</w:t>
            </w:r>
          </w:p>
        </w:tc>
        <w:tc>
          <w:tcPr>
            <w:tcW w:w="669" w:type="dxa"/>
          </w:tcPr>
          <w:p w:rsidR="00000000" w:rsidRDefault="00000000">
            <w:pPr>
              <w:keepNext/>
              <w:jc w:val="center"/>
              <w:rPr>
                <w:sz w:val="20"/>
                <w:szCs w:val="22"/>
              </w:rPr>
            </w:pPr>
            <w:r>
              <w:rPr>
                <w:sz w:val="20"/>
                <w:szCs w:val="22"/>
              </w:rPr>
              <w:t>2003</w:t>
            </w:r>
          </w:p>
        </w:tc>
      </w:tr>
      <w:tr w:rsidR="00000000">
        <w:trPr>
          <w:trHeight w:val="299"/>
        </w:trPr>
        <w:tc>
          <w:tcPr>
            <w:tcW w:w="668" w:type="dxa"/>
          </w:tcPr>
          <w:p w:rsidR="00000000" w:rsidRDefault="00000000">
            <w:pPr>
              <w:jc w:val="center"/>
              <w:rPr>
                <w:sz w:val="20"/>
              </w:rPr>
            </w:pPr>
            <w:r>
              <w:rPr>
                <w:sz w:val="20"/>
              </w:rPr>
              <w:t>100,7</w:t>
            </w:r>
          </w:p>
        </w:tc>
        <w:tc>
          <w:tcPr>
            <w:tcW w:w="668" w:type="dxa"/>
          </w:tcPr>
          <w:p w:rsidR="00000000" w:rsidRDefault="00000000">
            <w:pPr>
              <w:jc w:val="center"/>
              <w:rPr>
                <w:sz w:val="20"/>
              </w:rPr>
            </w:pPr>
            <w:r>
              <w:rPr>
                <w:sz w:val="20"/>
              </w:rPr>
              <w:t>99,8</w:t>
            </w:r>
          </w:p>
        </w:tc>
        <w:tc>
          <w:tcPr>
            <w:tcW w:w="668" w:type="dxa"/>
          </w:tcPr>
          <w:p w:rsidR="00000000" w:rsidRDefault="00000000">
            <w:pPr>
              <w:jc w:val="center"/>
              <w:rPr>
                <w:sz w:val="20"/>
              </w:rPr>
            </w:pPr>
            <w:r>
              <w:rPr>
                <w:sz w:val="20"/>
              </w:rPr>
              <w:t>97,6</w:t>
            </w:r>
          </w:p>
        </w:tc>
        <w:tc>
          <w:tcPr>
            <w:tcW w:w="669" w:type="dxa"/>
          </w:tcPr>
          <w:p w:rsidR="00000000" w:rsidRDefault="00000000">
            <w:pPr>
              <w:jc w:val="center"/>
              <w:rPr>
                <w:sz w:val="20"/>
              </w:rPr>
            </w:pPr>
            <w:r>
              <w:rPr>
                <w:sz w:val="20"/>
              </w:rPr>
              <w:t>97</w:t>
            </w:r>
          </w:p>
        </w:tc>
        <w:tc>
          <w:tcPr>
            <w:tcW w:w="668" w:type="dxa"/>
          </w:tcPr>
          <w:p w:rsidR="00000000" w:rsidRDefault="00000000">
            <w:pPr>
              <w:jc w:val="center"/>
              <w:rPr>
                <w:sz w:val="20"/>
              </w:rPr>
            </w:pPr>
            <w:r>
              <w:rPr>
                <w:sz w:val="20"/>
              </w:rPr>
              <w:t>97</w:t>
            </w:r>
          </w:p>
        </w:tc>
        <w:tc>
          <w:tcPr>
            <w:tcW w:w="668" w:type="dxa"/>
          </w:tcPr>
          <w:p w:rsidR="00000000" w:rsidRDefault="00000000">
            <w:pPr>
              <w:jc w:val="center"/>
              <w:rPr>
                <w:sz w:val="20"/>
              </w:rPr>
            </w:pPr>
            <w:r>
              <w:rPr>
                <w:sz w:val="20"/>
              </w:rPr>
              <w:t>97,9</w:t>
            </w:r>
          </w:p>
        </w:tc>
        <w:tc>
          <w:tcPr>
            <w:tcW w:w="669" w:type="dxa"/>
          </w:tcPr>
          <w:p w:rsidR="00000000" w:rsidRDefault="00000000">
            <w:pPr>
              <w:jc w:val="center"/>
              <w:rPr>
                <w:sz w:val="20"/>
              </w:rPr>
            </w:pPr>
            <w:r>
              <w:rPr>
                <w:sz w:val="20"/>
              </w:rPr>
              <w:t>98,4</w:t>
            </w:r>
          </w:p>
        </w:tc>
        <w:tc>
          <w:tcPr>
            <w:tcW w:w="668" w:type="dxa"/>
          </w:tcPr>
          <w:p w:rsidR="00000000" w:rsidRDefault="00000000">
            <w:pPr>
              <w:jc w:val="center"/>
              <w:rPr>
                <w:sz w:val="20"/>
              </w:rPr>
            </w:pPr>
            <w:r>
              <w:rPr>
                <w:sz w:val="20"/>
              </w:rPr>
              <w:t>99,1</w:t>
            </w:r>
          </w:p>
        </w:tc>
        <w:tc>
          <w:tcPr>
            <w:tcW w:w="668" w:type="dxa"/>
          </w:tcPr>
          <w:p w:rsidR="00000000" w:rsidRDefault="00000000">
            <w:pPr>
              <w:jc w:val="center"/>
              <w:rPr>
                <w:sz w:val="20"/>
              </w:rPr>
            </w:pPr>
            <w:r>
              <w:rPr>
                <w:sz w:val="20"/>
              </w:rPr>
              <w:t>98,8</w:t>
            </w:r>
          </w:p>
        </w:tc>
        <w:tc>
          <w:tcPr>
            <w:tcW w:w="668" w:type="dxa"/>
          </w:tcPr>
          <w:p w:rsidR="00000000" w:rsidRDefault="00000000">
            <w:pPr>
              <w:jc w:val="center"/>
              <w:rPr>
                <w:sz w:val="20"/>
              </w:rPr>
            </w:pPr>
            <w:r>
              <w:rPr>
                <w:sz w:val="20"/>
              </w:rPr>
              <w:t>99,6</w:t>
            </w:r>
          </w:p>
        </w:tc>
        <w:tc>
          <w:tcPr>
            <w:tcW w:w="669" w:type="dxa"/>
          </w:tcPr>
          <w:p w:rsidR="00000000" w:rsidRDefault="00000000">
            <w:pPr>
              <w:jc w:val="center"/>
              <w:rPr>
                <w:sz w:val="20"/>
              </w:rPr>
            </w:pPr>
            <w:r>
              <w:rPr>
                <w:sz w:val="20"/>
              </w:rPr>
              <w:t>100,1</w:t>
            </w:r>
          </w:p>
        </w:tc>
        <w:tc>
          <w:tcPr>
            <w:tcW w:w="668" w:type="dxa"/>
          </w:tcPr>
          <w:p w:rsidR="00000000" w:rsidRDefault="00000000">
            <w:pPr>
              <w:jc w:val="center"/>
              <w:rPr>
                <w:sz w:val="20"/>
              </w:rPr>
            </w:pPr>
            <w:r>
              <w:rPr>
                <w:sz w:val="20"/>
              </w:rPr>
              <w:t>98,6</w:t>
            </w:r>
          </w:p>
        </w:tc>
        <w:tc>
          <w:tcPr>
            <w:tcW w:w="668" w:type="dxa"/>
          </w:tcPr>
          <w:p w:rsidR="00000000" w:rsidRDefault="00000000">
            <w:pPr>
              <w:jc w:val="center"/>
              <w:rPr>
                <w:sz w:val="20"/>
              </w:rPr>
            </w:pPr>
            <w:r>
              <w:rPr>
                <w:sz w:val="20"/>
              </w:rPr>
              <w:t>97,1</w:t>
            </w:r>
          </w:p>
        </w:tc>
        <w:tc>
          <w:tcPr>
            <w:tcW w:w="669" w:type="dxa"/>
          </w:tcPr>
          <w:p w:rsidR="00000000" w:rsidRDefault="00000000">
            <w:pPr>
              <w:jc w:val="center"/>
              <w:rPr>
                <w:sz w:val="20"/>
              </w:rPr>
            </w:pPr>
          </w:p>
        </w:tc>
      </w:tr>
    </w:tbl>
    <w:p w:rsidR="00000000" w:rsidRDefault="00000000"/>
    <w:p w:rsidR="00000000" w:rsidRDefault="00000000">
      <w:pPr>
        <w:jc w:val="center"/>
        <w:rPr>
          <w:b/>
          <w:bCs/>
        </w:rPr>
      </w:pPr>
      <w:r>
        <w:rPr>
          <w:b/>
          <w:bCs/>
        </w:rPr>
        <w:t>Доля учащихся, окончивших пятый класс начальной школы</w:t>
      </w:r>
      <w:r>
        <w:rPr>
          <w:b/>
          <w:bCs/>
        </w:rPr>
        <w:br/>
        <w:t>(по сравнению с числом поступивших в первый класс)</w:t>
      </w:r>
    </w:p>
    <w:p w:rsidR="00000000" w:rsidRDefault="00000000">
      <w:pPr>
        <w:jc w:val="center"/>
        <w:rPr>
          <w:b/>
          <w:bCs/>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936"/>
        <w:gridCol w:w="935"/>
        <w:gridCol w:w="936"/>
        <w:gridCol w:w="936"/>
        <w:gridCol w:w="935"/>
        <w:gridCol w:w="936"/>
        <w:gridCol w:w="935"/>
        <w:gridCol w:w="936"/>
        <w:gridCol w:w="936"/>
      </w:tblGrid>
      <w:tr w:rsidR="00000000">
        <w:trPr>
          <w:trHeight w:val="299"/>
        </w:trPr>
        <w:tc>
          <w:tcPr>
            <w:tcW w:w="935" w:type="dxa"/>
          </w:tcPr>
          <w:p w:rsidR="00000000" w:rsidRDefault="00000000">
            <w:pPr>
              <w:ind w:left="-108"/>
              <w:jc w:val="center"/>
              <w:rPr>
                <w:sz w:val="20"/>
                <w:lang w:val="en-US"/>
              </w:rPr>
            </w:pPr>
            <w:r>
              <w:rPr>
                <w:sz w:val="20"/>
                <w:lang w:val="en-US"/>
              </w:rPr>
              <w:t>1994/95</w:t>
            </w:r>
          </w:p>
        </w:tc>
        <w:tc>
          <w:tcPr>
            <w:tcW w:w="936" w:type="dxa"/>
          </w:tcPr>
          <w:p w:rsidR="00000000" w:rsidRDefault="00000000">
            <w:pPr>
              <w:ind w:left="-192"/>
              <w:jc w:val="center"/>
              <w:rPr>
                <w:sz w:val="20"/>
                <w:lang w:val="en-US"/>
              </w:rPr>
            </w:pPr>
            <w:r>
              <w:rPr>
                <w:sz w:val="20"/>
                <w:lang w:val="en-US"/>
              </w:rPr>
              <w:t>1995/96</w:t>
            </w:r>
          </w:p>
        </w:tc>
        <w:tc>
          <w:tcPr>
            <w:tcW w:w="935" w:type="dxa"/>
          </w:tcPr>
          <w:p w:rsidR="00000000" w:rsidRDefault="00000000">
            <w:pPr>
              <w:ind w:left="-136"/>
              <w:jc w:val="center"/>
              <w:rPr>
                <w:sz w:val="20"/>
                <w:lang w:val="en-US"/>
              </w:rPr>
            </w:pPr>
            <w:r>
              <w:rPr>
                <w:sz w:val="20"/>
                <w:lang w:val="en-US"/>
              </w:rPr>
              <w:t>1996/97</w:t>
            </w:r>
          </w:p>
        </w:tc>
        <w:tc>
          <w:tcPr>
            <w:tcW w:w="936" w:type="dxa"/>
          </w:tcPr>
          <w:p w:rsidR="00000000" w:rsidRDefault="00000000">
            <w:pPr>
              <w:ind w:left="-220"/>
              <w:jc w:val="center"/>
              <w:rPr>
                <w:sz w:val="20"/>
                <w:lang w:val="en-US"/>
              </w:rPr>
            </w:pPr>
            <w:r>
              <w:rPr>
                <w:sz w:val="20"/>
                <w:lang w:val="en-US"/>
              </w:rPr>
              <w:t>1997/98</w:t>
            </w:r>
          </w:p>
        </w:tc>
        <w:tc>
          <w:tcPr>
            <w:tcW w:w="936" w:type="dxa"/>
          </w:tcPr>
          <w:p w:rsidR="00000000" w:rsidRDefault="00000000">
            <w:pPr>
              <w:ind w:left="-164"/>
              <w:jc w:val="center"/>
              <w:rPr>
                <w:sz w:val="20"/>
                <w:lang w:val="en-US"/>
              </w:rPr>
            </w:pPr>
            <w:r>
              <w:rPr>
                <w:sz w:val="20"/>
                <w:lang w:val="en-US"/>
              </w:rPr>
              <w:t>1998/99</w:t>
            </w:r>
          </w:p>
        </w:tc>
        <w:tc>
          <w:tcPr>
            <w:tcW w:w="935" w:type="dxa"/>
          </w:tcPr>
          <w:p w:rsidR="00000000" w:rsidRDefault="00000000">
            <w:pPr>
              <w:ind w:left="-108"/>
              <w:jc w:val="center"/>
              <w:rPr>
                <w:sz w:val="18"/>
                <w:lang w:val="en-US"/>
              </w:rPr>
            </w:pPr>
            <w:r>
              <w:rPr>
                <w:sz w:val="18"/>
                <w:lang w:val="en-US"/>
              </w:rPr>
              <w:t>1999/2000</w:t>
            </w:r>
          </w:p>
        </w:tc>
        <w:tc>
          <w:tcPr>
            <w:tcW w:w="936" w:type="dxa"/>
          </w:tcPr>
          <w:p w:rsidR="00000000" w:rsidRDefault="00000000">
            <w:pPr>
              <w:ind w:left="-192"/>
              <w:jc w:val="center"/>
              <w:rPr>
                <w:sz w:val="20"/>
                <w:lang w:val="en-US"/>
              </w:rPr>
            </w:pPr>
            <w:r>
              <w:rPr>
                <w:sz w:val="20"/>
                <w:lang w:val="en-US"/>
              </w:rPr>
              <w:t>2000/01</w:t>
            </w:r>
          </w:p>
        </w:tc>
        <w:tc>
          <w:tcPr>
            <w:tcW w:w="935" w:type="dxa"/>
          </w:tcPr>
          <w:p w:rsidR="00000000" w:rsidRDefault="00000000">
            <w:pPr>
              <w:ind w:left="-136"/>
              <w:jc w:val="center"/>
              <w:rPr>
                <w:sz w:val="20"/>
                <w:lang w:val="en-US"/>
              </w:rPr>
            </w:pPr>
            <w:r>
              <w:rPr>
                <w:sz w:val="20"/>
                <w:lang w:val="en-US"/>
              </w:rPr>
              <w:t>2001/02</w:t>
            </w:r>
          </w:p>
        </w:tc>
        <w:tc>
          <w:tcPr>
            <w:tcW w:w="936" w:type="dxa"/>
          </w:tcPr>
          <w:p w:rsidR="00000000" w:rsidRDefault="00000000">
            <w:pPr>
              <w:ind w:left="-221"/>
              <w:jc w:val="center"/>
              <w:rPr>
                <w:sz w:val="20"/>
                <w:lang w:val="en-US"/>
              </w:rPr>
            </w:pPr>
            <w:r>
              <w:rPr>
                <w:sz w:val="20"/>
                <w:lang w:val="en-US"/>
              </w:rPr>
              <w:t>2002/03</w:t>
            </w:r>
          </w:p>
        </w:tc>
        <w:tc>
          <w:tcPr>
            <w:tcW w:w="936" w:type="dxa"/>
          </w:tcPr>
          <w:p w:rsidR="00000000" w:rsidRDefault="00000000">
            <w:pPr>
              <w:ind w:left="-164"/>
              <w:jc w:val="center"/>
              <w:rPr>
                <w:sz w:val="20"/>
                <w:lang w:val="en-US"/>
              </w:rPr>
            </w:pPr>
            <w:r>
              <w:rPr>
                <w:sz w:val="20"/>
                <w:lang w:val="en-US"/>
              </w:rPr>
              <w:t>2003/04</w:t>
            </w:r>
          </w:p>
        </w:tc>
      </w:tr>
      <w:tr w:rsidR="00000000">
        <w:trPr>
          <w:trHeight w:val="316"/>
        </w:trPr>
        <w:tc>
          <w:tcPr>
            <w:tcW w:w="935" w:type="dxa"/>
          </w:tcPr>
          <w:p w:rsidR="00000000" w:rsidRDefault="00000000">
            <w:pPr>
              <w:jc w:val="center"/>
              <w:rPr>
                <w:sz w:val="20"/>
                <w:lang w:val="en-US"/>
              </w:rPr>
            </w:pPr>
            <w:r>
              <w:rPr>
                <w:sz w:val="20"/>
                <w:lang w:val="en-US"/>
              </w:rPr>
              <w:t>93,63</w:t>
            </w:r>
          </w:p>
        </w:tc>
        <w:tc>
          <w:tcPr>
            <w:tcW w:w="936" w:type="dxa"/>
          </w:tcPr>
          <w:p w:rsidR="00000000" w:rsidRDefault="00000000">
            <w:pPr>
              <w:jc w:val="center"/>
              <w:rPr>
                <w:sz w:val="20"/>
                <w:lang w:val="en-US"/>
              </w:rPr>
            </w:pPr>
            <w:r>
              <w:rPr>
                <w:sz w:val="20"/>
                <w:lang w:val="en-US"/>
              </w:rPr>
              <w:t>95,52</w:t>
            </w:r>
          </w:p>
        </w:tc>
        <w:tc>
          <w:tcPr>
            <w:tcW w:w="935" w:type="dxa"/>
          </w:tcPr>
          <w:p w:rsidR="00000000" w:rsidRDefault="00000000">
            <w:pPr>
              <w:jc w:val="center"/>
              <w:rPr>
                <w:sz w:val="20"/>
                <w:lang w:val="en-US"/>
              </w:rPr>
            </w:pPr>
            <w:r>
              <w:rPr>
                <w:sz w:val="20"/>
                <w:lang w:val="en-US"/>
              </w:rPr>
              <w:t>96,42</w:t>
            </w:r>
          </w:p>
        </w:tc>
        <w:tc>
          <w:tcPr>
            <w:tcW w:w="936" w:type="dxa"/>
          </w:tcPr>
          <w:p w:rsidR="00000000" w:rsidRDefault="00000000">
            <w:pPr>
              <w:jc w:val="center"/>
              <w:rPr>
                <w:sz w:val="20"/>
                <w:lang w:val="en-US"/>
              </w:rPr>
            </w:pPr>
            <w:r>
              <w:rPr>
                <w:sz w:val="20"/>
                <w:lang w:val="en-US"/>
              </w:rPr>
              <w:t>95,36</w:t>
            </w:r>
          </w:p>
        </w:tc>
        <w:tc>
          <w:tcPr>
            <w:tcW w:w="936" w:type="dxa"/>
          </w:tcPr>
          <w:p w:rsidR="00000000" w:rsidRDefault="00000000">
            <w:pPr>
              <w:jc w:val="center"/>
              <w:rPr>
                <w:sz w:val="20"/>
                <w:lang w:val="en-US"/>
              </w:rPr>
            </w:pPr>
            <w:r>
              <w:rPr>
                <w:sz w:val="20"/>
                <w:lang w:val="en-US"/>
              </w:rPr>
              <w:t>96,20</w:t>
            </w:r>
          </w:p>
        </w:tc>
        <w:tc>
          <w:tcPr>
            <w:tcW w:w="935" w:type="dxa"/>
          </w:tcPr>
          <w:p w:rsidR="00000000" w:rsidRDefault="00000000">
            <w:pPr>
              <w:jc w:val="center"/>
              <w:rPr>
                <w:sz w:val="20"/>
                <w:lang w:val="en-US"/>
              </w:rPr>
            </w:pPr>
            <w:r>
              <w:rPr>
                <w:sz w:val="20"/>
                <w:lang w:val="en-US"/>
              </w:rPr>
              <w:t>96,85</w:t>
            </w:r>
          </w:p>
        </w:tc>
        <w:tc>
          <w:tcPr>
            <w:tcW w:w="936" w:type="dxa"/>
          </w:tcPr>
          <w:p w:rsidR="00000000" w:rsidRDefault="00000000">
            <w:pPr>
              <w:jc w:val="center"/>
              <w:rPr>
                <w:sz w:val="20"/>
                <w:lang w:val="en-US"/>
              </w:rPr>
            </w:pPr>
            <w:r>
              <w:rPr>
                <w:sz w:val="20"/>
                <w:lang w:val="en-US"/>
              </w:rPr>
              <w:t>97,75</w:t>
            </w:r>
          </w:p>
        </w:tc>
        <w:tc>
          <w:tcPr>
            <w:tcW w:w="935" w:type="dxa"/>
          </w:tcPr>
          <w:p w:rsidR="00000000" w:rsidRDefault="00000000">
            <w:pPr>
              <w:jc w:val="center"/>
              <w:rPr>
                <w:sz w:val="20"/>
                <w:lang w:val="en-US"/>
              </w:rPr>
            </w:pPr>
            <w:r>
              <w:rPr>
                <w:sz w:val="20"/>
                <w:lang w:val="en-US"/>
              </w:rPr>
              <w:t>96,87</w:t>
            </w:r>
          </w:p>
        </w:tc>
        <w:tc>
          <w:tcPr>
            <w:tcW w:w="936" w:type="dxa"/>
          </w:tcPr>
          <w:p w:rsidR="00000000" w:rsidRDefault="00000000">
            <w:pPr>
              <w:jc w:val="center"/>
              <w:rPr>
                <w:sz w:val="20"/>
                <w:lang w:val="en-US"/>
              </w:rPr>
            </w:pPr>
            <w:r>
              <w:rPr>
                <w:sz w:val="20"/>
                <w:lang w:val="en-US"/>
              </w:rPr>
              <w:t>95,21</w:t>
            </w:r>
          </w:p>
        </w:tc>
        <w:tc>
          <w:tcPr>
            <w:tcW w:w="936" w:type="dxa"/>
          </w:tcPr>
          <w:p w:rsidR="00000000" w:rsidRDefault="00000000">
            <w:pPr>
              <w:jc w:val="center"/>
              <w:rPr>
                <w:sz w:val="20"/>
                <w:lang w:val="en-US"/>
              </w:rPr>
            </w:pPr>
            <w:r>
              <w:rPr>
                <w:sz w:val="20"/>
                <w:lang w:val="en-US"/>
              </w:rPr>
              <w:t>95,41</w:t>
            </w:r>
          </w:p>
        </w:tc>
      </w:tr>
    </w:tbl>
    <w:p w:rsidR="00000000" w:rsidRDefault="00000000">
      <w:pPr>
        <w:pStyle w:val="FootnoteText"/>
        <w:spacing w:line="288" w:lineRule="auto"/>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5"/>
        <w:gridCol w:w="1133"/>
        <w:gridCol w:w="1255"/>
        <w:gridCol w:w="1395"/>
        <w:gridCol w:w="1246"/>
        <w:gridCol w:w="1274"/>
        <w:gridCol w:w="1408"/>
      </w:tblGrid>
      <w:tr w:rsidR="00000000">
        <w:tblPrEx>
          <w:tblCellMar>
            <w:top w:w="0" w:type="dxa"/>
            <w:bottom w:w="0" w:type="dxa"/>
          </w:tblCellMar>
        </w:tblPrEx>
        <w:trPr>
          <w:cantSplit/>
        </w:trPr>
        <w:tc>
          <w:tcPr>
            <w:tcW w:w="1655" w:type="dxa"/>
            <w:vMerge w:val="restart"/>
          </w:tcPr>
          <w:p w:rsidR="00000000" w:rsidRDefault="00000000">
            <w:r>
              <w:t>Бывшая югославская Республика Македония</w:t>
            </w:r>
          </w:p>
        </w:tc>
        <w:tc>
          <w:tcPr>
            <w:tcW w:w="7701" w:type="dxa"/>
            <w:gridSpan w:val="6"/>
          </w:tcPr>
          <w:p w:rsidR="00000000" w:rsidRDefault="00000000">
            <w:pPr>
              <w:jc w:val="center"/>
            </w:pPr>
            <w:r>
              <w:t>Уровень грамотности</w:t>
            </w:r>
          </w:p>
        </w:tc>
      </w:tr>
      <w:tr w:rsidR="00000000">
        <w:tblPrEx>
          <w:tblCellMar>
            <w:top w:w="0" w:type="dxa"/>
            <w:bottom w:w="0" w:type="dxa"/>
          </w:tblCellMar>
        </w:tblPrEx>
        <w:trPr>
          <w:cantSplit/>
        </w:trPr>
        <w:tc>
          <w:tcPr>
            <w:tcW w:w="1655" w:type="dxa"/>
            <w:vMerge/>
          </w:tcPr>
          <w:p w:rsidR="00000000" w:rsidRDefault="00000000"/>
        </w:tc>
        <w:tc>
          <w:tcPr>
            <w:tcW w:w="3732" w:type="dxa"/>
            <w:gridSpan w:val="3"/>
          </w:tcPr>
          <w:p w:rsidR="00000000" w:rsidRDefault="00000000">
            <w:pPr>
              <w:pStyle w:val="Header"/>
              <w:jc w:val="center"/>
            </w:pPr>
            <w:r>
              <w:t>1994</w:t>
            </w:r>
          </w:p>
        </w:tc>
        <w:tc>
          <w:tcPr>
            <w:tcW w:w="3969" w:type="dxa"/>
            <w:gridSpan w:val="3"/>
          </w:tcPr>
          <w:p w:rsidR="00000000" w:rsidRDefault="00000000">
            <w:pPr>
              <w:jc w:val="center"/>
            </w:pPr>
            <w:r>
              <w:t>2002</w:t>
            </w:r>
          </w:p>
        </w:tc>
      </w:tr>
      <w:tr w:rsidR="00000000">
        <w:tblPrEx>
          <w:tblCellMar>
            <w:top w:w="0" w:type="dxa"/>
            <w:bottom w:w="0" w:type="dxa"/>
          </w:tblCellMar>
        </w:tblPrEx>
        <w:trPr>
          <w:cantSplit/>
        </w:trPr>
        <w:tc>
          <w:tcPr>
            <w:tcW w:w="1655" w:type="dxa"/>
            <w:vMerge/>
            <w:tcBorders>
              <w:bottom w:val="single" w:sz="4" w:space="0" w:color="auto"/>
            </w:tcBorders>
          </w:tcPr>
          <w:p w:rsidR="00000000" w:rsidRDefault="00000000"/>
        </w:tc>
        <w:tc>
          <w:tcPr>
            <w:tcW w:w="1156" w:type="dxa"/>
            <w:tcBorders>
              <w:bottom w:val="single" w:sz="4" w:space="0" w:color="auto"/>
            </w:tcBorders>
            <w:vAlign w:val="center"/>
          </w:tcPr>
          <w:p w:rsidR="00000000" w:rsidRDefault="00000000">
            <w:pPr>
              <w:jc w:val="center"/>
            </w:pPr>
            <w:r>
              <w:t>Всего</w:t>
            </w:r>
          </w:p>
        </w:tc>
        <w:tc>
          <w:tcPr>
            <w:tcW w:w="1172" w:type="dxa"/>
            <w:tcBorders>
              <w:bottom w:val="single" w:sz="4" w:space="0" w:color="auto"/>
            </w:tcBorders>
            <w:vAlign w:val="center"/>
          </w:tcPr>
          <w:p w:rsidR="00000000" w:rsidRDefault="00000000">
            <w:pPr>
              <w:jc w:val="center"/>
            </w:pPr>
            <w:r>
              <w:t>Мужчины</w:t>
            </w:r>
          </w:p>
        </w:tc>
        <w:tc>
          <w:tcPr>
            <w:tcW w:w="1404" w:type="dxa"/>
            <w:tcBorders>
              <w:bottom w:val="single" w:sz="4" w:space="0" w:color="auto"/>
            </w:tcBorders>
            <w:vAlign w:val="center"/>
          </w:tcPr>
          <w:p w:rsidR="00000000" w:rsidRDefault="00000000">
            <w:pPr>
              <w:jc w:val="center"/>
            </w:pPr>
            <w:r>
              <w:t>Женщины</w:t>
            </w:r>
          </w:p>
        </w:tc>
        <w:tc>
          <w:tcPr>
            <w:tcW w:w="1276" w:type="dxa"/>
            <w:tcBorders>
              <w:bottom w:val="single" w:sz="4" w:space="0" w:color="auto"/>
            </w:tcBorders>
            <w:vAlign w:val="center"/>
          </w:tcPr>
          <w:p w:rsidR="00000000" w:rsidRDefault="00000000">
            <w:pPr>
              <w:jc w:val="center"/>
            </w:pPr>
            <w:r>
              <w:t>Всего</w:t>
            </w:r>
          </w:p>
        </w:tc>
        <w:tc>
          <w:tcPr>
            <w:tcW w:w="1275" w:type="dxa"/>
            <w:tcBorders>
              <w:bottom w:val="single" w:sz="4" w:space="0" w:color="auto"/>
            </w:tcBorders>
            <w:vAlign w:val="center"/>
          </w:tcPr>
          <w:p w:rsidR="00000000" w:rsidRDefault="00000000">
            <w:pPr>
              <w:jc w:val="center"/>
            </w:pPr>
            <w:r>
              <w:t>Мужчины</w:t>
            </w:r>
          </w:p>
        </w:tc>
        <w:tc>
          <w:tcPr>
            <w:tcW w:w="1418" w:type="dxa"/>
            <w:tcBorders>
              <w:bottom w:val="single" w:sz="4" w:space="0" w:color="auto"/>
            </w:tcBorders>
            <w:vAlign w:val="center"/>
          </w:tcPr>
          <w:p w:rsidR="00000000" w:rsidRDefault="00000000">
            <w:pPr>
              <w:jc w:val="center"/>
            </w:pPr>
            <w:r>
              <w:t>Женщины</w:t>
            </w:r>
          </w:p>
        </w:tc>
      </w:tr>
      <w:tr w:rsidR="00000000">
        <w:tblPrEx>
          <w:tblCellMar>
            <w:top w:w="0" w:type="dxa"/>
            <w:bottom w:w="0" w:type="dxa"/>
          </w:tblCellMar>
        </w:tblPrEx>
        <w:tc>
          <w:tcPr>
            <w:tcW w:w="1655" w:type="dxa"/>
            <w:vAlign w:val="bottom"/>
          </w:tcPr>
          <w:p w:rsidR="00000000" w:rsidRDefault="00000000">
            <w:r>
              <w:t>Итого</w:t>
            </w:r>
          </w:p>
        </w:tc>
        <w:tc>
          <w:tcPr>
            <w:tcW w:w="1156" w:type="dxa"/>
            <w:vAlign w:val="center"/>
          </w:tcPr>
          <w:p w:rsidR="00000000" w:rsidRDefault="00000000">
            <w:pPr>
              <w:jc w:val="center"/>
            </w:pPr>
            <w:r>
              <w:t>94,04</w:t>
            </w:r>
          </w:p>
        </w:tc>
        <w:tc>
          <w:tcPr>
            <w:tcW w:w="1172" w:type="dxa"/>
            <w:vAlign w:val="center"/>
          </w:tcPr>
          <w:p w:rsidR="00000000" w:rsidRDefault="00000000">
            <w:pPr>
              <w:jc w:val="center"/>
            </w:pPr>
            <w:r>
              <w:t>97,19</w:t>
            </w:r>
          </w:p>
        </w:tc>
        <w:tc>
          <w:tcPr>
            <w:tcW w:w="1404" w:type="dxa"/>
            <w:vAlign w:val="center"/>
          </w:tcPr>
          <w:p w:rsidR="00000000" w:rsidRDefault="00000000">
            <w:pPr>
              <w:jc w:val="center"/>
            </w:pPr>
            <w:r>
              <w:t>90,94</w:t>
            </w:r>
          </w:p>
        </w:tc>
        <w:tc>
          <w:tcPr>
            <w:tcW w:w="1276" w:type="dxa"/>
            <w:vAlign w:val="bottom"/>
          </w:tcPr>
          <w:p w:rsidR="00000000" w:rsidRDefault="00000000">
            <w:pPr>
              <w:jc w:val="center"/>
            </w:pPr>
            <w:r>
              <w:t>96,38</w:t>
            </w:r>
          </w:p>
        </w:tc>
        <w:tc>
          <w:tcPr>
            <w:tcW w:w="1275" w:type="dxa"/>
            <w:vAlign w:val="bottom"/>
          </w:tcPr>
          <w:p w:rsidR="00000000" w:rsidRDefault="00000000">
            <w:pPr>
              <w:jc w:val="center"/>
            </w:pPr>
            <w:r>
              <w:t>98,29</w:t>
            </w:r>
          </w:p>
        </w:tc>
        <w:tc>
          <w:tcPr>
            <w:tcW w:w="1418" w:type="dxa"/>
            <w:vAlign w:val="bottom"/>
          </w:tcPr>
          <w:p w:rsidR="00000000" w:rsidRDefault="00000000">
            <w:pPr>
              <w:jc w:val="center"/>
            </w:pPr>
            <w:r>
              <w:t>94,47</w:t>
            </w:r>
          </w:p>
        </w:tc>
      </w:tr>
    </w:tbl>
    <w:p w:rsidR="00000000" w:rsidRDefault="00000000"/>
    <w:p w:rsidR="00000000" w:rsidRDefault="00000000">
      <w:pPr>
        <w:jc w:val="center"/>
        <w:rPr>
          <w:b/>
          <w:bCs/>
        </w:rPr>
      </w:pPr>
      <w:r>
        <w:rPr>
          <w:b/>
          <w:bCs/>
        </w:rPr>
        <w:t>Доля учащихся, окончивших восьмой класс (по сравнению с числом</w:t>
      </w:r>
      <w:r>
        <w:rPr>
          <w:b/>
          <w:bCs/>
        </w:rPr>
        <w:br/>
        <w:t>поступивших в первый класс восемь лет назад)</w:t>
      </w:r>
    </w:p>
    <w:p w:rsidR="00000000" w:rsidRDefault="00000000">
      <w:pPr>
        <w:jc w:val="center"/>
        <w:rPr>
          <w:b/>
          <w:bCs/>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7"/>
        <w:gridCol w:w="1577"/>
        <w:gridCol w:w="1578"/>
        <w:gridCol w:w="1577"/>
        <w:gridCol w:w="1577"/>
        <w:gridCol w:w="1470"/>
      </w:tblGrid>
      <w:tr w:rsidR="00000000">
        <w:trPr>
          <w:trHeight w:val="291"/>
        </w:trPr>
        <w:tc>
          <w:tcPr>
            <w:tcW w:w="1577" w:type="dxa"/>
          </w:tcPr>
          <w:p w:rsidR="00000000" w:rsidRDefault="00000000">
            <w:pPr>
              <w:jc w:val="center"/>
            </w:pPr>
            <w:r>
              <w:t>1997/98</w:t>
            </w:r>
          </w:p>
        </w:tc>
        <w:tc>
          <w:tcPr>
            <w:tcW w:w="1577" w:type="dxa"/>
          </w:tcPr>
          <w:p w:rsidR="00000000" w:rsidRDefault="00000000">
            <w:pPr>
              <w:jc w:val="center"/>
            </w:pPr>
            <w:r>
              <w:t>1998/99</w:t>
            </w:r>
          </w:p>
        </w:tc>
        <w:tc>
          <w:tcPr>
            <w:tcW w:w="1578" w:type="dxa"/>
          </w:tcPr>
          <w:p w:rsidR="00000000" w:rsidRDefault="00000000">
            <w:pPr>
              <w:jc w:val="center"/>
            </w:pPr>
            <w:r>
              <w:t>1999/2000</w:t>
            </w:r>
          </w:p>
        </w:tc>
        <w:tc>
          <w:tcPr>
            <w:tcW w:w="1577" w:type="dxa"/>
          </w:tcPr>
          <w:p w:rsidR="00000000" w:rsidRDefault="00000000">
            <w:pPr>
              <w:jc w:val="center"/>
            </w:pPr>
            <w:r>
              <w:t>2000/01</w:t>
            </w:r>
          </w:p>
        </w:tc>
        <w:tc>
          <w:tcPr>
            <w:tcW w:w="1577" w:type="dxa"/>
          </w:tcPr>
          <w:p w:rsidR="00000000" w:rsidRDefault="00000000">
            <w:pPr>
              <w:jc w:val="center"/>
            </w:pPr>
            <w:r>
              <w:t>2001/02</w:t>
            </w:r>
          </w:p>
        </w:tc>
        <w:tc>
          <w:tcPr>
            <w:tcW w:w="1470" w:type="dxa"/>
          </w:tcPr>
          <w:p w:rsidR="00000000" w:rsidRDefault="00000000">
            <w:pPr>
              <w:jc w:val="center"/>
            </w:pPr>
            <w:r>
              <w:t>2002/03</w:t>
            </w:r>
          </w:p>
        </w:tc>
      </w:tr>
      <w:tr w:rsidR="00000000">
        <w:trPr>
          <w:trHeight w:val="291"/>
        </w:trPr>
        <w:tc>
          <w:tcPr>
            <w:tcW w:w="1577" w:type="dxa"/>
          </w:tcPr>
          <w:p w:rsidR="00000000" w:rsidRDefault="00000000">
            <w:pPr>
              <w:jc w:val="center"/>
            </w:pPr>
            <w:r>
              <w:t>85,94</w:t>
            </w:r>
          </w:p>
        </w:tc>
        <w:tc>
          <w:tcPr>
            <w:tcW w:w="1577" w:type="dxa"/>
          </w:tcPr>
          <w:p w:rsidR="00000000" w:rsidRDefault="00000000">
            <w:pPr>
              <w:jc w:val="center"/>
            </w:pPr>
            <w:r>
              <w:t>88,32</w:t>
            </w:r>
          </w:p>
        </w:tc>
        <w:tc>
          <w:tcPr>
            <w:tcW w:w="1578" w:type="dxa"/>
          </w:tcPr>
          <w:p w:rsidR="00000000" w:rsidRDefault="00000000">
            <w:pPr>
              <w:jc w:val="center"/>
            </w:pPr>
            <w:r>
              <w:t>89,80</w:t>
            </w:r>
          </w:p>
        </w:tc>
        <w:tc>
          <w:tcPr>
            <w:tcW w:w="1577" w:type="dxa"/>
          </w:tcPr>
          <w:p w:rsidR="00000000" w:rsidRDefault="00000000">
            <w:pPr>
              <w:jc w:val="center"/>
            </w:pPr>
            <w:r>
              <w:t>88,63</w:t>
            </w:r>
          </w:p>
        </w:tc>
        <w:tc>
          <w:tcPr>
            <w:tcW w:w="1577" w:type="dxa"/>
          </w:tcPr>
          <w:p w:rsidR="00000000" w:rsidRDefault="00000000">
            <w:pPr>
              <w:pStyle w:val="Header"/>
              <w:jc w:val="center"/>
            </w:pPr>
            <w:r>
              <w:t>88,99</w:t>
            </w:r>
          </w:p>
        </w:tc>
        <w:tc>
          <w:tcPr>
            <w:tcW w:w="1470" w:type="dxa"/>
          </w:tcPr>
          <w:p w:rsidR="00000000" w:rsidRDefault="00000000">
            <w:pPr>
              <w:jc w:val="center"/>
            </w:pPr>
            <w:r>
              <w:t>88,47</w:t>
            </w:r>
          </w:p>
        </w:tc>
      </w:tr>
    </w:tbl>
    <w:p w:rsidR="00000000" w:rsidRDefault="00000000"/>
    <w:p w:rsidR="00000000" w:rsidRDefault="00000000">
      <w:pPr>
        <w:jc w:val="center"/>
        <w:rPr>
          <w:b/>
          <w:bCs/>
        </w:rPr>
      </w:pPr>
      <w:r>
        <w:rPr>
          <w:b/>
          <w:bCs/>
        </w:rPr>
        <w:t>Доля учащихся, зачисленных в среднюю школу (по отношению к числу</w:t>
      </w:r>
    </w:p>
    <w:p w:rsidR="00000000" w:rsidRDefault="00000000">
      <w:pPr>
        <w:jc w:val="center"/>
        <w:rPr>
          <w:b/>
          <w:bCs/>
        </w:rPr>
      </w:pPr>
      <w:r>
        <w:rPr>
          <w:b/>
          <w:bCs/>
        </w:rPr>
        <w:t>получивших полное начальное образование)</w:t>
      </w:r>
    </w:p>
    <w:p w:rsidR="00000000" w:rsidRDefault="00000000">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559"/>
        <w:gridCol w:w="1560"/>
        <w:gridCol w:w="1559"/>
        <w:gridCol w:w="1559"/>
        <w:gridCol w:w="1560"/>
      </w:tblGrid>
      <w:tr w:rsidR="00000000">
        <w:trPr>
          <w:trHeight w:val="255"/>
        </w:trPr>
        <w:tc>
          <w:tcPr>
            <w:tcW w:w="1559" w:type="dxa"/>
          </w:tcPr>
          <w:p w:rsidR="00000000" w:rsidRDefault="00000000">
            <w:pPr>
              <w:jc w:val="center"/>
            </w:pPr>
            <w:r>
              <w:t>1998/99</w:t>
            </w:r>
          </w:p>
        </w:tc>
        <w:tc>
          <w:tcPr>
            <w:tcW w:w="1559" w:type="dxa"/>
          </w:tcPr>
          <w:p w:rsidR="00000000" w:rsidRDefault="00000000">
            <w:pPr>
              <w:jc w:val="center"/>
            </w:pPr>
            <w:r>
              <w:t>1999/2000</w:t>
            </w:r>
          </w:p>
        </w:tc>
        <w:tc>
          <w:tcPr>
            <w:tcW w:w="1560" w:type="dxa"/>
          </w:tcPr>
          <w:p w:rsidR="00000000" w:rsidRDefault="00000000">
            <w:pPr>
              <w:jc w:val="center"/>
            </w:pPr>
            <w:r>
              <w:t>2000/01</w:t>
            </w:r>
          </w:p>
        </w:tc>
        <w:tc>
          <w:tcPr>
            <w:tcW w:w="1559" w:type="dxa"/>
          </w:tcPr>
          <w:p w:rsidR="00000000" w:rsidRDefault="00000000">
            <w:pPr>
              <w:jc w:val="center"/>
            </w:pPr>
            <w:r>
              <w:t>2001/02</w:t>
            </w:r>
          </w:p>
        </w:tc>
        <w:tc>
          <w:tcPr>
            <w:tcW w:w="1559" w:type="dxa"/>
          </w:tcPr>
          <w:p w:rsidR="00000000" w:rsidRDefault="00000000">
            <w:pPr>
              <w:jc w:val="center"/>
            </w:pPr>
            <w:r>
              <w:t>2002/03</w:t>
            </w:r>
          </w:p>
        </w:tc>
        <w:tc>
          <w:tcPr>
            <w:tcW w:w="1560" w:type="dxa"/>
          </w:tcPr>
          <w:p w:rsidR="00000000" w:rsidRDefault="00000000">
            <w:pPr>
              <w:jc w:val="center"/>
            </w:pPr>
            <w:r>
              <w:t>2003/04</w:t>
            </w:r>
          </w:p>
        </w:tc>
      </w:tr>
      <w:tr w:rsidR="00000000">
        <w:trPr>
          <w:trHeight w:val="270"/>
        </w:trPr>
        <w:tc>
          <w:tcPr>
            <w:tcW w:w="1559" w:type="dxa"/>
          </w:tcPr>
          <w:p w:rsidR="00000000" w:rsidRDefault="00000000">
            <w:pPr>
              <w:jc w:val="center"/>
            </w:pPr>
            <w:r>
              <w:t>85,02</w:t>
            </w:r>
          </w:p>
        </w:tc>
        <w:tc>
          <w:tcPr>
            <w:tcW w:w="1559" w:type="dxa"/>
          </w:tcPr>
          <w:p w:rsidR="00000000" w:rsidRDefault="00000000">
            <w:pPr>
              <w:jc w:val="center"/>
            </w:pPr>
            <w:r>
              <w:t>87,58</w:t>
            </w:r>
          </w:p>
        </w:tc>
        <w:tc>
          <w:tcPr>
            <w:tcW w:w="1560" w:type="dxa"/>
          </w:tcPr>
          <w:p w:rsidR="00000000" w:rsidRDefault="00000000">
            <w:pPr>
              <w:jc w:val="center"/>
            </w:pPr>
            <w:r>
              <w:t>86,05</w:t>
            </w:r>
          </w:p>
        </w:tc>
        <w:tc>
          <w:tcPr>
            <w:tcW w:w="1559" w:type="dxa"/>
          </w:tcPr>
          <w:p w:rsidR="00000000" w:rsidRDefault="00000000">
            <w:pPr>
              <w:jc w:val="center"/>
            </w:pPr>
            <w:r>
              <w:t>84,87</w:t>
            </w:r>
          </w:p>
        </w:tc>
        <w:tc>
          <w:tcPr>
            <w:tcW w:w="1559" w:type="dxa"/>
          </w:tcPr>
          <w:p w:rsidR="00000000" w:rsidRDefault="00000000">
            <w:pPr>
              <w:jc w:val="center"/>
            </w:pPr>
            <w:r>
              <w:t>86,88</w:t>
            </w:r>
          </w:p>
        </w:tc>
        <w:tc>
          <w:tcPr>
            <w:tcW w:w="1560" w:type="dxa"/>
          </w:tcPr>
          <w:p w:rsidR="00000000" w:rsidRDefault="00000000">
            <w:pPr>
              <w:jc w:val="center"/>
            </w:pPr>
            <w:r>
              <w:t>88,09</w:t>
            </w:r>
          </w:p>
        </w:tc>
      </w:tr>
    </w:tbl>
    <w:p w:rsidR="00000000" w:rsidRDefault="00000000"/>
    <w:p w:rsidR="00000000" w:rsidRDefault="00000000">
      <w:r>
        <w:t>767.</w:t>
      </w:r>
      <w:r>
        <w:tab/>
        <w:t>Грамотность:  Уровень грамотности в 2002 году составлял 96,38%.  По статистике, среди лиц старше 15 лет насчитывается 63 562 неграмотных (3,62</w:t>
      </w:r>
      <w:r>
        <w:rPr>
          <w:szCs w:val="22"/>
        </w:rPr>
        <w:t>%</w:t>
      </w:r>
      <w:r>
        <w:t>), что свидетельствует о снижении уровня неграмотности по сравнению с уровнем 1994 года, когда по данным переписи населения численность неграмотных составляла 87 749 человек, или 5,96%.  Самым низким уровень неграмотности является среди македонцев (2,33%), за которыми следуют этнические сербы (3,79%) и этнические албанцы 4,9%.  Самый высокий уровень неграмотности зарегистрирован среди турок (7,34%) и представителей рома (20,63%) (перепись 2002 года).</w:t>
      </w:r>
    </w:p>
    <w:p w:rsidR="00000000" w:rsidRDefault="00000000"/>
    <w:p w:rsidR="00000000" w:rsidRDefault="00000000">
      <w:r>
        <w:t>768.</w:t>
      </w:r>
      <w:r>
        <w:tab/>
        <w:t>Эти статистические данные получены с применением не вполне объективного метода оценки численности неграмотного населения, поскольку в их основе лежит самооценка людьми своего уровня образования в ходе опроса.  Поскольку в 2002 году численность людей, не имевших полного начального образования, составляла 170 200 человек (10,77%) и многие из них, возможно, заявили о своей образованности совершенно необоснованно, численность неграмотного населения в стране гораздо выше.</w:t>
      </w:r>
    </w:p>
    <w:p w:rsidR="00000000" w:rsidRDefault="00000000">
      <w:r>
        <w:t>769.</w:t>
      </w:r>
      <w:r>
        <w:tab/>
        <w:t>Что касается структуры образования населения, озабоченность вызывает большое число людей (в возрасте свыше 15 лет), не имеющих образования (3,85</w:t>
      </w:r>
      <w:r>
        <w:rPr>
          <w:szCs w:val="22"/>
        </w:rPr>
        <w:t>%</w:t>
      </w:r>
      <w:r>
        <w:t>) и имеющих неполное начальное образование (10,77</w:t>
      </w:r>
      <w:r>
        <w:rPr>
          <w:szCs w:val="22"/>
        </w:rPr>
        <w:t>%</w:t>
      </w:r>
      <w:r>
        <w:t>) или лишь полное начальное образование (34,77%).  Налицо необходимость принятия мер, для того чтобы добиться получения полного начального образования всеми детьми и увеличить численность детей, посещающих среднюю школу</w:t>
      </w:r>
    </w:p>
    <w:p w:rsidR="00000000" w:rsidRDefault="00000000"/>
    <w:p w:rsidR="00000000" w:rsidRDefault="00000000">
      <w:pPr>
        <w:jc w:val="center"/>
        <w:rPr>
          <w:b/>
          <w:bCs/>
          <w:vertAlign w:val="superscript"/>
        </w:rPr>
      </w:pPr>
      <w:r>
        <w:rPr>
          <w:b/>
          <w:bCs/>
        </w:rPr>
        <w:t>Население:  полученное образование</w:t>
      </w:r>
      <w:r>
        <w:rPr>
          <w:b/>
          <w:bCs/>
          <w:vertAlign w:val="superscript"/>
        </w:rPr>
        <w:t>19</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84"/>
        <w:gridCol w:w="1683"/>
        <w:gridCol w:w="1689"/>
      </w:tblGrid>
      <w:tr w:rsidR="00000000">
        <w:trPr>
          <w:cantSplit/>
        </w:trPr>
        <w:tc>
          <w:tcPr>
            <w:tcW w:w="5984" w:type="dxa"/>
            <w:tcBorders>
              <w:bottom w:val="single" w:sz="4" w:space="0" w:color="auto"/>
            </w:tcBorders>
          </w:tcPr>
          <w:p w:rsidR="00000000" w:rsidRDefault="00000000">
            <w:pPr>
              <w:jc w:val="center"/>
              <w:rPr>
                <w:bCs/>
                <w:szCs w:val="22"/>
              </w:rPr>
            </w:pPr>
          </w:p>
        </w:tc>
        <w:tc>
          <w:tcPr>
            <w:tcW w:w="1683" w:type="dxa"/>
            <w:tcBorders>
              <w:bottom w:val="single" w:sz="4" w:space="0" w:color="auto"/>
            </w:tcBorders>
          </w:tcPr>
          <w:p w:rsidR="00000000" w:rsidRDefault="00000000">
            <w:pPr>
              <w:jc w:val="center"/>
              <w:rPr>
                <w:bCs/>
                <w:szCs w:val="22"/>
              </w:rPr>
            </w:pPr>
            <w:r>
              <w:rPr>
                <w:bCs/>
                <w:szCs w:val="22"/>
              </w:rPr>
              <w:t>Всего</w:t>
            </w:r>
          </w:p>
        </w:tc>
        <w:tc>
          <w:tcPr>
            <w:tcW w:w="1689" w:type="dxa"/>
            <w:tcBorders>
              <w:bottom w:val="single" w:sz="4" w:space="0" w:color="auto"/>
            </w:tcBorders>
          </w:tcPr>
          <w:p w:rsidR="00000000" w:rsidRDefault="00000000">
            <w:pPr>
              <w:jc w:val="center"/>
              <w:rPr>
                <w:bCs/>
                <w:szCs w:val="22"/>
              </w:rPr>
            </w:pPr>
            <w:r>
              <w:rPr>
                <w:bCs/>
                <w:szCs w:val="22"/>
              </w:rPr>
              <w:t>В процентах</w:t>
            </w:r>
          </w:p>
        </w:tc>
      </w:tr>
      <w:tr w:rsidR="00000000">
        <w:trPr>
          <w:cantSplit/>
        </w:trPr>
        <w:tc>
          <w:tcPr>
            <w:tcW w:w="5984" w:type="dxa"/>
            <w:tcBorders>
              <w:bottom w:val="nil"/>
            </w:tcBorders>
          </w:tcPr>
          <w:p w:rsidR="00000000" w:rsidRDefault="00000000">
            <w:pPr>
              <w:rPr>
                <w:bCs/>
              </w:rPr>
            </w:pPr>
            <w:r>
              <w:rPr>
                <w:bCs/>
              </w:rPr>
              <w:t>Всего</w:t>
            </w:r>
          </w:p>
        </w:tc>
        <w:tc>
          <w:tcPr>
            <w:tcW w:w="1683" w:type="dxa"/>
            <w:tcBorders>
              <w:bottom w:val="nil"/>
            </w:tcBorders>
          </w:tcPr>
          <w:p w:rsidR="00000000" w:rsidRDefault="00000000">
            <w:pPr>
              <w:tabs>
                <w:tab w:val="clear" w:pos="1701"/>
                <w:tab w:val="left" w:pos="1327"/>
              </w:tabs>
              <w:jc w:val="right"/>
              <w:rPr>
                <w:bCs/>
                <w:szCs w:val="22"/>
              </w:rPr>
            </w:pPr>
            <w:r>
              <w:rPr>
                <w:bCs/>
                <w:szCs w:val="22"/>
              </w:rPr>
              <w:t>1 579 500</w:t>
            </w:r>
          </w:p>
        </w:tc>
        <w:tc>
          <w:tcPr>
            <w:tcW w:w="1689" w:type="dxa"/>
            <w:tcBorders>
              <w:bottom w:val="nil"/>
            </w:tcBorders>
          </w:tcPr>
          <w:p w:rsidR="00000000" w:rsidRDefault="00000000">
            <w:pPr>
              <w:tabs>
                <w:tab w:val="clear" w:pos="1701"/>
              </w:tabs>
              <w:jc w:val="right"/>
              <w:rPr>
                <w:bCs/>
                <w:szCs w:val="22"/>
              </w:rPr>
            </w:pPr>
            <w:r>
              <w:rPr>
                <w:bCs/>
                <w:szCs w:val="22"/>
              </w:rPr>
              <w:t>100     </w:t>
            </w:r>
          </w:p>
        </w:tc>
      </w:tr>
      <w:tr w:rsidR="00000000">
        <w:trPr>
          <w:cantSplit/>
        </w:trPr>
        <w:tc>
          <w:tcPr>
            <w:tcW w:w="5984" w:type="dxa"/>
            <w:tcBorders>
              <w:top w:val="nil"/>
              <w:bottom w:val="nil"/>
            </w:tcBorders>
          </w:tcPr>
          <w:p w:rsidR="00000000" w:rsidRDefault="00000000">
            <w:pPr>
              <w:tabs>
                <w:tab w:val="left" w:pos="266"/>
              </w:tabs>
              <w:rPr>
                <w:bCs/>
                <w:szCs w:val="22"/>
              </w:rPr>
            </w:pPr>
            <w:r>
              <w:rPr>
                <w:bCs/>
                <w:szCs w:val="22"/>
              </w:rPr>
              <w:tab/>
              <w:t>Лица, не имеющие образования</w:t>
            </w:r>
          </w:p>
        </w:tc>
        <w:tc>
          <w:tcPr>
            <w:tcW w:w="1683" w:type="dxa"/>
            <w:tcBorders>
              <w:top w:val="nil"/>
              <w:bottom w:val="nil"/>
            </w:tcBorders>
          </w:tcPr>
          <w:p w:rsidR="00000000" w:rsidRDefault="00000000">
            <w:pPr>
              <w:tabs>
                <w:tab w:val="clear" w:pos="1701"/>
                <w:tab w:val="left" w:pos="1327"/>
              </w:tabs>
              <w:jc w:val="right"/>
              <w:rPr>
                <w:bCs/>
                <w:szCs w:val="22"/>
              </w:rPr>
            </w:pPr>
            <w:r>
              <w:rPr>
                <w:bCs/>
                <w:szCs w:val="22"/>
              </w:rPr>
              <w:t>60 700</w:t>
            </w:r>
          </w:p>
        </w:tc>
        <w:tc>
          <w:tcPr>
            <w:tcW w:w="1689" w:type="dxa"/>
            <w:tcBorders>
              <w:top w:val="nil"/>
              <w:bottom w:val="nil"/>
            </w:tcBorders>
          </w:tcPr>
          <w:p w:rsidR="00000000" w:rsidRDefault="00000000">
            <w:pPr>
              <w:tabs>
                <w:tab w:val="clear" w:pos="1701"/>
              </w:tabs>
              <w:jc w:val="right"/>
              <w:rPr>
                <w:bCs/>
                <w:szCs w:val="22"/>
              </w:rPr>
            </w:pPr>
            <w:r>
              <w:rPr>
                <w:bCs/>
                <w:szCs w:val="22"/>
              </w:rPr>
              <w:t>3,85</w:t>
            </w:r>
          </w:p>
        </w:tc>
      </w:tr>
      <w:tr w:rsidR="00000000">
        <w:trPr>
          <w:cantSplit/>
        </w:trPr>
        <w:tc>
          <w:tcPr>
            <w:tcW w:w="5984" w:type="dxa"/>
            <w:tcBorders>
              <w:top w:val="nil"/>
              <w:bottom w:val="nil"/>
            </w:tcBorders>
          </w:tcPr>
          <w:p w:rsidR="00000000" w:rsidRDefault="00000000">
            <w:pPr>
              <w:tabs>
                <w:tab w:val="left" w:pos="266"/>
              </w:tabs>
              <w:rPr>
                <w:bCs/>
                <w:szCs w:val="22"/>
              </w:rPr>
            </w:pPr>
            <w:r>
              <w:rPr>
                <w:bCs/>
                <w:szCs w:val="22"/>
              </w:rPr>
              <w:tab/>
              <w:t>Лица, имеющие неполное начальное образование</w:t>
            </w:r>
          </w:p>
        </w:tc>
        <w:tc>
          <w:tcPr>
            <w:tcW w:w="1683" w:type="dxa"/>
            <w:tcBorders>
              <w:top w:val="nil"/>
              <w:bottom w:val="nil"/>
            </w:tcBorders>
          </w:tcPr>
          <w:p w:rsidR="00000000" w:rsidRDefault="00000000">
            <w:pPr>
              <w:tabs>
                <w:tab w:val="clear" w:pos="1701"/>
                <w:tab w:val="left" w:pos="1327"/>
              </w:tabs>
              <w:jc w:val="right"/>
              <w:rPr>
                <w:bCs/>
                <w:szCs w:val="22"/>
              </w:rPr>
            </w:pPr>
            <w:r>
              <w:rPr>
                <w:bCs/>
                <w:szCs w:val="22"/>
              </w:rPr>
              <w:t>170 200</w:t>
            </w:r>
          </w:p>
        </w:tc>
        <w:tc>
          <w:tcPr>
            <w:tcW w:w="1689" w:type="dxa"/>
            <w:tcBorders>
              <w:top w:val="nil"/>
              <w:bottom w:val="nil"/>
            </w:tcBorders>
          </w:tcPr>
          <w:p w:rsidR="00000000" w:rsidRDefault="00000000">
            <w:pPr>
              <w:tabs>
                <w:tab w:val="clear" w:pos="1701"/>
              </w:tabs>
              <w:jc w:val="right"/>
              <w:rPr>
                <w:bCs/>
                <w:szCs w:val="22"/>
              </w:rPr>
            </w:pPr>
            <w:r>
              <w:rPr>
                <w:bCs/>
                <w:szCs w:val="22"/>
              </w:rPr>
              <w:t>10,77</w:t>
            </w:r>
          </w:p>
        </w:tc>
      </w:tr>
      <w:tr w:rsidR="00000000">
        <w:trPr>
          <w:cantSplit/>
        </w:trPr>
        <w:tc>
          <w:tcPr>
            <w:tcW w:w="5984" w:type="dxa"/>
            <w:tcBorders>
              <w:top w:val="nil"/>
              <w:bottom w:val="nil"/>
            </w:tcBorders>
          </w:tcPr>
          <w:p w:rsidR="00000000" w:rsidRDefault="00000000">
            <w:pPr>
              <w:tabs>
                <w:tab w:val="left" w:pos="266"/>
              </w:tabs>
              <w:rPr>
                <w:bCs/>
                <w:szCs w:val="22"/>
              </w:rPr>
            </w:pPr>
            <w:r>
              <w:rPr>
                <w:bCs/>
                <w:szCs w:val="22"/>
              </w:rPr>
              <w:tab/>
              <w:t>Лица, имеющие начальное образование</w:t>
            </w:r>
          </w:p>
        </w:tc>
        <w:tc>
          <w:tcPr>
            <w:tcW w:w="1683" w:type="dxa"/>
            <w:tcBorders>
              <w:top w:val="nil"/>
              <w:bottom w:val="nil"/>
            </w:tcBorders>
          </w:tcPr>
          <w:p w:rsidR="00000000" w:rsidRDefault="00000000">
            <w:pPr>
              <w:tabs>
                <w:tab w:val="clear" w:pos="1701"/>
                <w:tab w:val="left" w:pos="1327"/>
              </w:tabs>
              <w:jc w:val="right"/>
              <w:rPr>
                <w:bCs/>
                <w:szCs w:val="22"/>
              </w:rPr>
            </w:pPr>
            <w:r>
              <w:rPr>
                <w:bCs/>
                <w:szCs w:val="22"/>
              </w:rPr>
              <w:t>549 200</w:t>
            </w:r>
          </w:p>
        </w:tc>
        <w:tc>
          <w:tcPr>
            <w:tcW w:w="1689" w:type="dxa"/>
            <w:tcBorders>
              <w:top w:val="nil"/>
              <w:bottom w:val="nil"/>
            </w:tcBorders>
          </w:tcPr>
          <w:p w:rsidR="00000000" w:rsidRDefault="00000000">
            <w:pPr>
              <w:tabs>
                <w:tab w:val="clear" w:pos="1701"/>
              </w:tabs>
              <w:jc w:val="right"/>
              <w:rPr>
                <w:bCs/>
                <w:szCs w:val="22"/>
              </w:rPr>
            </w:pPr>
            <w:r>
              <w:rPr>
                <w:bCs/>
                <w:szCs w:val="22"/>
              </w:rPr>
              <w:t>34,77</w:t>
            </w:r>
          </w:p>
        </w:tc>
      </w:tr>
      <w:tr w:rsidR="00000000">
        <w:trPr>
          <w:cantSplit/>
        </w:trPr>
        <w:tc>
          <w:tcPr>
            <w:tcW w:w="5984" w:type="dxa"/>
            <w:tcBorders>
              <w:top w:val="nil"/>
              <w:bottom w:val="nil"/>
            </w:tcBorders>
          </w:tcPr>
          <w:p w:rsidR="00000000" w:rsidRDefault="00000000">
            <w:pPr>
              <w:tabs>
                <w:tab w:val="left" w:pos="266"/>
              </w:tabs>
              <w:rPr>
                <w:bCs/>
                <w:szCs w:val="22"/>
              </w:rPr>
            </w:pPr>
            <w:r>
              <w:rPr>
                <w:bCs/>
                <w:szCs w:val="22"/>
              </w:rPr>
              <w:tab/>
              <w:t>Лица, имеющие трехлетнее среднее образование</w:t>
            </w:r>
          </w:p>
        </w:tc>
        <w:tc>
          <w:tcPr>
            <w:tcW w:w="1683" w:type="dxa"/>
            <w:tcBorders>
              <w:top w:val="nil"/>
              <w:bottom w:val="nil"/>
            </w:tcBorders>
          </w:tcPr>
          <w:p w:rsidR="00000000" w:rsidRDefault="00000000">
            <w:pPr>
              <w:tabs>
                <w:tab w:val="clear" w:pos="1701"/>
                <w:tab w:val="left" w:pos="1327"/>
              </w:tabs>
              <w:jc w:val="right"/>
              <w:rPr>
                <w:bCs/>
                <w:szCs w:val="22"/>
              </w:rPr>
            </w:pPr>
            <w:r>
              <w:rPr>
                <w:bCs/>
                <w:szCs w:val="22"/>
              </w:rPr>
              <w:t>168 000</w:t>
            </w:r>
          </w:p>
        </w:tc>
        <w:tc>
          <w:tcPr>
            <w:tcW w:w="1689" w:type="dxa"/>
            <w:tcBorders>
              <w:top w:val="nil"/>
              <w:bottom w:val="nil"/>
            </w:tcBorders>
          </w:tcPr>
          <w:p w:rsidR="00000000" w:rsidRDefault="00000000">
            <w:pPr>
              <w:tabs>
                <w:tab w:val="clear" w:pos="1701"/>
              </w:tabs>
              <w:jc w:val="right"/>
              <w:rPr>
                <w:bCs/>
                <w:szCs w:val="22"/>
              </w:rPr>
            </w:pPr>
            <w:r>
              <w:rPr>
                <w:bCs/>
                <w:szCs w:val="22"/>
              </w:rPr>
              <w:t>10,64</w:t>
            </w:r>
          </w:p>
        </w:tc>
      </w:tr>
      <w:tr w:rsidR="00000000">
        <w:trPr>
          <w:cantSplit/>
        </w:trPr>
        <w:tc>
          <w:tcPr>
            <w:tcW w:w="5984" w:type="dxa"/>
            <w:tcBorders>
              <w:top w:val="nil"/>
              <w:bottom w:val="nil"/>
            </w:tcBorders>
          </w:tcPr>
          <w:p w:rsidR="00000000" w:rsidRDefault="00000000">
            <w:pPr>
              <w:tabs>
                <w:tab w:val="left" w:pos="266"/>
              </w:tabs>
              <w:rPr>
                <w:bCs/>
                <w:szCs w:val="22"/>
              </w:rPr>
            </w:pPr>
            <w:r>
              <w:rPr>
                <w:bCs/>
                <w:szCs w:val="22"/>
              </w:rPr>
              <w:tab/>
              <w:t>Лица, имеющие четырехлетнее среднее образование</w:t>
            </w:r>
          </w:p>
        </w:tc>
        <w:tc>
          <w:tcPr>
            <w:tcW w:w="1683" w:type="dxa"/>
            <w:tcBorders>
              <w:top w:val="nil"/>
              <w:bottom w:val="nil"/>
            </w:tcBorders>
          </w:tcPr>
          <w:p w:rsidR="00000000" w:rsidRDefault="00000000">
            <w:pPr>
              <w:tabs>
                <w:tab w:val="clear" w:pos="1701"/>
                <w:tab w:val="left" w:pos="1327"/>
              </w:tabs>
              <w:jc w:val="right"/>
              <w:rPr>
                <w:bCs/>
                <w:szCs w:val="22"/>
              </w:rPr>
            </w:pPr>
            <w:r>
              <w:rPr>
                <w:bCs/>
                <w:szCs w:val="22"/>
              </w:rPr>
              <w:t>465 100</w:t>
            </w:r>
          </w:p>
        </w:tc>
        <w:tc>
          <w:tcPr>
            <w:tcW w:w="1689" w:type="dxa"/>
            <w:tcBorders>
              <w:top w:val="nil"/>
              <w:bottom w:val="nil"/>
            </w:tcBorders>
          </w:tcPr>
          <w:p w:rsidR="00000000" w:rsidRDefault="00000000">
            <w:pPr>
              <w:tabs>
                <w:tab w:val="clear" w:pos="1701"/>
              </w:tabs>
              <w:jc w:val="right"/>
              <w:rPr>
                <w:bCs/>
                <w:szCs w:val="22"/>
              </w:rPr>
            </w:pPr>
            <w:r>
              <w:rPr>
                <w:bCs/>
                <w:szCs w:val="22"/>
              </w:rPr>
              <w:t>29,45</w:t>
            </w:r>
          </w:p>
        </w:tc>
      </w:tr>
      <w:tr w:rsidR="00000000">
        <w:trPr>
          <w:cantSplit/>
        </w:trPr>
        <w:tc>
          <w:tcPr>
            <w:tcW w:w="5984" w:type="dxa"/>
            <w:tcBorders>
              <w:top w:val="nil"/>
              <w:bottom w:val="nil"/>
            </w:tcBorders>
          </w:tcPr>
          <w:p w:rsidR="00000000" w:rsidRDefault="00000000">
            <w:pPr>
              <w:tabs>
                <w:tab w:val="left" w:pos="266"/>
              </w:tabs>
              <w:rPr>
                <w:bCs/>
                <w:szCs w:val="22"/>
              </w:rPr>
            </w:pPr>
            <w:r>
              <w:rPr>
                <w:bCs/>
                <w:szCs w:val="22"/>
              </w:rPr>
              <w:tab/>
              <w:t>Лица, имеющие незаконченное высшее образование</w:t>
            </w:r>
          </w:p>
        </w:tc>
        <w:tc>
          <w:tcPr>
            <w:tcW w:w="1683" w:type="dxa"/>
            <w:tcBorders>
              <w:top w:val="nil"/>
              <w:bottom w:val="nil"/>
            </w:tcBorders>
          </w:tcPr>
          <w:p w:rsidR="00000000" w:rsidRDefault="00000000">
            <w:pPr>
              <w:tabs>
                <w:tab w:val="clear" w:pos="1701"/>
                <w:tab w:val="left" w:pos="1327"/>
              </w:tabs>
              <w:jc w:val="right"/>
              <w:rPr>
                <w:bCs/>
                <w:szCs w:val="22"/>
              </w:rPr>
            </w:pPr>
            <w:r>
              <w:rPr>
                <w:bCs/>
                <w:szCs w:val="22"/>
              </w:rPr>
              <w:t>51 200</w:t>
            </w:r>
          </w:p>
        </w:tc>
        <w:tc>
          <w:tcPr>
            <w:tcW w:w="1689" w:type="dxa"/>
            <w:tcBorders>
              <w:top w:val="nil"/>
              <w:bottom w:val="nil"/>
            </w:tcBorders>
          </w:tcPr>
          <w:p w:rsidR="00000000" w:rsidRDefault="00000000">
            <w:pPr>
              <w:tabs>
                <w:tab w:val="clear" w:pos="1701"/>
              </w:tabs>
              <w:jc w:val="right"/>
              <w:rPr>
                <w:bCs/>
                <w:szCs w:val="22"/>
              </w:rPr>
            </w:pPr>
            <w:r>
              <w:rPr>
                <w:bCs/>
                <w:szCs w:val="22"/>
              </w:rPr>
              <w:t>3,24</w:t>
            </w:r>
          </w:p>
        </w:tc>
      </w:tr>
      <w:tr w:rsidR="00000000">
        <w:trPr>
          <w:cantSplit/>
        </w:trPr>
        <w:tc>
          <w:tcPr>
            <w:tcW w:w="5984" w:type="dxa"/>
            <w:tcBorders>
              <w:top w:val="nil"/>
            </w:tcBorders>
          </w:tcPr>
          <w:p w:rsidR="00000000" w:rsidRDefault="00000000">
            <w:pPr>
              <w:tabs>
                <w:tab w:val="left" w:pos="266"/>
              </w:tabs>
              <w:rPr>
                <w:bCs/>
                <w:szCs w:val="22"/>
              </w:rPr>
            </w:pPr>
            <w:r>
              <w:rPr>
                <w:bCs/>
                <w:szCs w:val="22"/>
              </w:rPr>
              <w:tab/>
              <w:t>Лица, имеющие университетское образование</w:t>
            </w:r>
          </w:p>
        </w:tc>
        <w:tc>
          <w:tcPr>
            <w:tcW w:w="1683" w:type="dxa"/>
            <w:tcBorders>
              <w:top w:val="nil"/>
            </w:tcBorders>
          </w:tcPr>
          <w:p w:rsidR="00000000" w:rsidRDefault="00000000">
            <w:pPr>
              <w:tabs>
                <w:tab w:val="clear" w:pos="1701"/>
                <w:tab w:val="left" w:pos="1327"/>
              </w:tabs>
              <w:jc w:val="right"/>
              <w:rPr>
                <w:bCs/>
                <w:szCs w:val="22"/>
              </w:rPr>
            </w:pPr>
            <w:r>
              <w:rPr>
                <w:bCs/>
                <w:szCs w:val="22"/>
              </w:rPr>
              <w:t>114 900</w:t>
            </w:r>
          </w:p>
        </w:tc>
        <w:tc>
          <w:tcPr>
            <w:tcW w:w="1689" w:type="dxa"/>
            <w:tcBorders>
              <w:top w:val="nil"/>
            </w:tcBorders>
          </w:tcPr>
          <w:p w:rsidR="00000000" w:rsidRDefault="00000000">
            <w:pPr>
              <w:tabs>
                <w:tab w:val="clear" w:pos="1701"/>
              </w:tabs>
              <w:jc w:val="right"/>
              <w:rPr>
                <w:bCs/>
                <w:szCs w:val="22"/>
              </w:rPr>
            </w:pPr>
            <w:r>
              <w:rPr>
                <w:bCs/>
                <w:szCs w:val="22"/>
              </w:rPr>
              <w:t>7,28</w:t>
            </w:r>
          </w:p>
        </w:tc>
      </w:tr>
    </w:tbl>
    <w:p w:rsidR="00000000" w:rsidRDefault="00000000"/>
    <w:p w:rsidR="00000000" w:rsidRDefault="00000000">
      <w:r>
        <w:rPr>
          <w:i/>
          <w:iCs/>
        </w:rPr>
        <w:t>Учащиеся, бросающие учебу</w:t>
      </w:r>
    </w:p>
    <w:p w:rsidR="00000000" w:rsidRDefault="00000000"/>
    <w:p w:rsidR="00000000" w:rsidRDefault="00000000">
      <w:pPr>
        <w:numPr>
          <w:ilvl w:val="0"/>
          <w:numId w:val="86"/>
        </w:numPr>
        <w:tabs>
          <w:tab w:val="clear" w:pos="720"/>
          <w:tab w:val="clear" w:pos="1134"/>
          <w:tab w:val="left" w:pos="1122"/>
        </w:tabs>
        <w:ind w:left="1122" w:hanging="561"/>
      </w:pPr>
      <w:r>
        <w:t>доля учащихся, ежегодно бросающих начальную школу, составляет 1,42%;</w:t>
      </w:r>
    </w:p>
    <w:p w:rsidR="00000000" w:rsidRDefault="00000000">
      <w:pPr>
        <w:tabs>
          <w:tab w:val="clear" w:pos="1134"/>
          <w:tab w:val="left" w:pos="1122"/>
        </w:tabs>
        <w:ind w:left="201"/>
      </w:pPr>
    </w:p>
    <w:p w:rsidR="00000000" w:rsidRDefault="00000000">
      <w:pPr>
        <w:numPr>
          <w:ilvl w:val="0"/>
          <w:numId w:val="86"/>
        </w:numPr>
        <w:tabs>
          <w:tab w:val="clear" w:pos="720"/>
          <w:tab w:val="clear" w:pos="1134"/>
          <w:tab w:val="left" w:pos="1122"/>
        </w:tabs>
        <w:ind w:left="1122" w:hanging="561"/>
      </w:pPr>
      <w:r>
        <w:t>доля учащихся, ежегодно прекращающих получение образования на уровне начальной школы, составляет 0,29%;</w:t>
      </w:r>
    </w:p>
    <w:p w:rsidR="00000000" w:rsidRDefault="00000000">
      <w:pPr>
        <w:tabs>
          <w:tab w:val="clear" w:pos="1134"/>
          <w:tab w:val="left" w:pos="1122"/>
        </w:tabs>
        <w:ind w:left="201"/>
      </w:pPr>
    </w:p>
    <w:p w:rsidR="00000000" w:rsidRDefault="00000000">
      <w:pPr>
        <w:numPr>
          <w:ilvl w:val="0"/>
          <w:numId w:val="86"/>
        </w:numPr>
        <w:tabs>
          <w:tab w:val="clear" w:pos="720"/>
          <w:tab w:val="clear" w:pos="1134"/>
          <w:tab w:val="left" w:pos="1122"/>
        </w:tabs>
        <w:ind w:left="1122" w:hanging="561"/>
      </w:pPr>
      <w:r>
        <w:t>доля учащихся, бросающих учебу, является наибольшей на этапе перехода из начальной в среднюю школу и составляет 16,65%;</w:t>
      </w:r>
    </w:p>
    <w:p w:rsidR="00000000" w:rsidRDefault="00000000">
      <w:pPr>
        <w:tabs>
          <w:tab w:val="clear" w:pos="1134"/>
          <w:tab w:val="left" w:pos="1122"/>
        </w:tabs>
        <w:ind w:left="201"/>
      </w:pPr>
    </w:p>
    <w:p w:rsidR="00000000" w:rsidRDefault="00000000">
      <w:pPr>
        <w:numPr>
          <w:ilvl w:val="0"/>
          <w:numId w:val="86"/>
        </w:numPr>
        <w:tabs>
          <w:tab w:val="clear" w:pos="720"/>
          <w:tab w:val="clear" w:pos="1134"/>
          <w:tab w:val="left" w:pos="1122"/>
        </w:tabs>
        <w:ind w:left="1122" w:hanging="561"/>
      </w:pPr>
      <w:r>
        <w:t>доля учащихся, ежегодно бросающих среднюю школу, составляет 2,84%;</w:t>
      </w:r>
    </w:p>
    <w:p w:rsidR="00000000" w:rsidRDefault="00000000">
      <w:pPr>
        <w:tabs>
          <w:tab w:val="clear" w:pos="1134"/>
          <w:tab w:val="left" w:pos="1122"/>
        </w:tabs>
        <w:ind w:left="201"/>
      </w:pPr>
    </w:p>
    <w:p w:rsidR="00000000" w:rsidRDefault="00000000">
      <w:pPr>
        <w:numPr>
          <w:ilvl w:val="0"/>
          <w:numId w:val="86"/>
        </w:numPr>
        <w:tabs>
          <w:tab w:val="clear" w:pos="720"/>
          <w:tab w:val="clear" w:pos="1134"/>
          <w:tab w:val="left" w:pos="1122"/>
        </w:tabs>
        <w:ind w:left="1122" w:hanging="561"/>
      </w:pPr>
      <w:r>
        <w:t>доля учащихся ежегодно прекращающих получение образования на уровне средней школы, составляет 0,88%;</w:t>
      </w:r>
    </w:p>
    <w:p w:rsidR="00000000" w:rsidRDefault="00000000">
      <w:pPr>
        <w:tabs>
          <w:tab w:val="clear" w:pos="1134"/>
          <w:tab w:val="left" w:pos="1122"/>
        </w:tabs>
        <w:ind w:left="201"/>
      </w:pPr>
    </w:p>
    <w:p w:rsidR="00000000" w:rsidRDefault="00000000">
      <w:pPr>
        <w:numPr>
          <w:ilvl w:val="0"/>
          <w:numId w:val="86"/>
        </w:numPr>
        <w:tabs>
          <w:tab w:val="clear" w:pos="720"/>
          <w:tab w:val="clear" w:pos="1134"/>
          <w:tab w:val="left" w:pos="1122"/>
        </w:tabs>
        <w:ind w:left="1122" w:hanging="561"/>
      </w:pPr>
      <w:r>
        <w:t>реже всего школу бросают представители македонского населения, а чаще всего - представители рома;</w:t>
      </w:r>
    </w:p>
    <w:p w:rsidR="00000000" w:rsidRDefault="00000000">
      <w:pPr>
        <w:tabs>
          <w:tab w:val="clear" w:pos="1134"/>
          <w:tab w:val="left" w:pos="1122"/>
        </w:tabs>
        <w:ind w:left="201"/>
      </w:pPr>
    </w:p>
    <w:p w:rsidR="00000000" w:rsidRDefault="00000000">
      <w:pPr>
        <w:numPr>
          <w:ilvl w:val="0"/>
          <w:numId w:val="86"/>
        </w:numPr>
        <w:tabs>
          <w:tab w:val="clear" w:pos="720"/>
          <w:tab w:val="clear" w:pos="1134"/>
          <w:tab w:val="left" w:pos="1122"/>
        </w:tabs>
        <w:ind w:left="1122" w:hanging="561"/>
      </w:pPr>
      <w:r>
        <w:t>в рассматриваемый период лишь 88,47% лиц, поступивших в начальную школу в 1997/98 году, получили полное начальное образование;</w:t>
      </w:r>
    </w:p>
    <w:p w:rsidR="00000000" w:rsidRDefault="00000000">
      <w:pPr>
        <w:numPr>
          <w:ilvl w:val="0"/>
          <w:numId w:val="86"/>
        </w:numPr>
        <w:tabs>
          <w:tab w:val="clear" w:pos="720"/>
          <w:tab w:val="clear" w:pos="1134"/>
          <w:tab w:val="left" w:pos="1122"/>
        </w:tabs>
        <w:ind w:left="1122" w:hanging="561"/>
      </w:pPr>
      <w:r>
        <w:t>положение в средней школе аналогично положению с начальным образованием.  В 2002/03 учебном году среднюю школу окончили 89,24% учащихся, поступивших четырьмя годами ранее, и лишь 69,03% лиц, поступивших в начальную школу 12 годами ранее.</w:t>
      </w:r>
    </w:p>
    <w:p w:rsidR="00000000" w:rsidRDefault="00000000">
      <w:pPr>
        <w:tabs>
          <w:tab w:val="clear" w:pos="1134"/>
          <w:tab w:val="left" w:pos="1122"/>
        </w:tabs>
        <w:ind w:left="201"/>
      </w:pPr>
    </w:p>
    <w:p w:rsidR="00000000" w:rsidRDefault="00000000">
      <w:r>
        <w:tab/>
        <w:t>(</w:t>
      </w:r>
      <w:r>
        <w:rPr>
          <w:i/>
          <w:iCs/>
        </w:rPr>
        <w:t>Источник</w:t>
      </w:r>
      <w:r>
        <w:t>:  Государственное статистическое управление, 2002</w:t>
      </w:r>
      <w:r>
        <w:noBreakHyphen/>
        <w:t>2004 годы.)</w:t>
      </w:r>
    </w:p>
    <w:p w:rsidR="00000000" w:rsidRDefault="00000000"/>
    <w:p w:rsidR="00000000" w:rsidRDefault="00000000">
      <w:r>
        <w:t>770.</w:t>
      </w:r>
      <w:r>
        <w:tab/>
        <w:t>В предстоящий период министерство образования и науки будет бороться с отсевом учащихся и стремиться к уменьшению числа детей, не охваченных образованием.</w:t>
      </w:r>
    </w:p>
    <w:p w:rsidR="00000000" w:rsidRDefault="00000000"/>
    <w:p w:rsidR="00000000" w:rsidRDefault="00000000">
      <w:r>
        <w:t>771.</w:t>
      </w:r>
      <w:r>
        <w:tab/>
        <w:t>Ежегодно начальную и среднюю школу бросают 18,32% учащихся.  Это означает, что численность малообразованного населения ежегодно растет.</w:t>
      </w:r>
    </w:p>
    <w:p w:rsidR="00000000" w:rsidRDefault="00000000"/>
    <w:p w:rsidR="00000000" w:rsidRDefault="00000000">
      <w:r>
        <w:t>772.</w:t>
      </w:r>
      <w:r>
        <w:tab/>
        <w:t>Если принять во внимание вертикальный переход учащихся одного поколения из начальной в среднюю школу, то ситуация выглядит еще хуже.  Это явно свидетельствует о необходимости срочно решать проблему хронически низкого с точки зрения потребностей современного рынка труда и социальной интеграции уровня образования.  В системе образования данную проблему следует решать в первоочередном порядке.  Это потребует повышения эффективности и качества работы учебных заведений, а также создания механизмов выявления детей, не посещающих школу, и их интеграции или возвращения в систему образования.</w:t>
      </w:r>
    </w:p>
    <w:p w:rsidR="00000000" w:rsidRDefault="00000000"/>
    <w:p w:rsidR="00000000" w:rsidRDefault="00000000">
      <w:r>
        <w:t>773.</w:t>
      </w:r>
      <w:r>
        <w:tab/>
        <w:t>В ближайшем будущем необходимо решить две общие задачи:  поднять уровень образованности молодежи и взрослого населения, не охваченных системой образования, и повысить их профессиональный и социальный потенциал;  а также сделать все необходимое, для того чтобы избежать появления новых недостаточно образованных поколений.</w:t>
      </w:r>
    </w:p>
    <w:p w:rsidR="00000000" w:rsidRDefault="00000000"/>
    <w:p w:rsidR="00000000" w:rsidRDefault="00000000">
      <w:r>
        <w:t>774.</w:t>
      </w:r>
      <w:r>
        <w:tab/>
        <w:t>Решение первой задачи требует принятия мер для пропаганды среди молодежи и взрослых важности образования, привлечения формального и неформального секторов к эффективной работе по повышению уровня образованности и расширению возможностей населения, создания финансовых механизмов в интересах всех участников этой деятельности, активизации уже действующих и поиска новых механизмов финансирования программ обучения и профессиональной подготовки безработного населения.</w:t>
      </w:r>
    </w:p>
    <w:p w:rsidR="00000000" w:rsidRDefault="00000000"/>
    <w:p w:rsidR="00000000" w:rsidRDefault="00000000">
      <w:r>
        <w:t>775.</w:t>
      </w:r>
      <w:r>
        <w:tab/>
        <w:t>Для выполнения второй задачи требуются меры по устранению всех препятствий, ограничивающих доступность образования или вынуждающих учащихся/студентов бросать учебу.</w:t>
      </w:r>
    </w:p>
    <w:p w:rsidR="00000000" w:rsidRDefault="00000000">
      <w:r>
        <w:t>776.</w:t>
      </w:r>
      <w:r>
        <w:tab/>
        <w:t>Одна из профилактических мер может заключаться в расширении охвата детей дошкольного возраста.  Следствием их низкого охвата является то, что большое число детей недостаточно подготовлены к учебе в школе.  Анализ школьных успехов учащихся говорит о том, что дети, посещавшие дошкольные заведения, имеют более высокие учебные результаты и не бросают школу.  Данная мера особенно важна для эффективной подготовки к школе детей - представителей этнических меньшинств, которые в наименьшей степени охвачены дошкольным воспитанием и чаще других бросают школу и прекращают учебу.</w:t>
      </w:r>
    </w:p>
    <w:p w:rsidR="00000000" w:rsidRDefault="00000000"/>
    <w:p w:rsidR="00000000" w:rsidRDefault="00000000">
      <w:r>
        <w:t>777.</w:t>
      </w:r>
      <w:r>
        <w:tab/>
        <w:t>В предстоящие годы будет принят целый ряд мер для изменения структуры начального и среднего образования и борьбы с причинами, заставляющими учащихся бросать учебу.</w:t>
      </w:r>
    </w:p>
    <w:p w:rsidR="00000000" w:rsidRDefault="00000000"/>
    <w:p w:rsidR="00000000" w:rsidRDefault="00000000">
      <w:r>
        <w:t>778.</w:t>
      </w:r>
      <w:r>
        <w:tab/>
        <w:t>Это потребует системного вмешательства, в первую очередь в отношении продолжительности обязательного образования.  С внесением поправок в Закон о начальном образовании, благодаря которым было введено девятилетнее обязательное начальное образование, в этом направлении уже сделаны определенные шаги.</w:t>
      </w:r>
    </w:p>
    <w:p w:rsidR="00000000" w:rsidRDefault="00000000"/>
    <w:p w:rsidR="00000000" w:rsidRDefault="00000000">
      <w:pPr>
        <w:rPr>
          <w:b/>
          <w:bCs/>
        </w:rPr>
      </w:pPr>
      <w:r>
        <w:rPr>
          <w:b/>
          <w:bCs/>
        </w:rPr>
        <w:t>Другие школы, помимо созданных государственными органами</w:t>
      </w:r>
    </w:p>
    <w:p w:rsidR="00000000" w:rsidRDefault="00000000">
      <w:pPr>
        <w:rPr>
          <w:b/>
          <w:bCs/>
        </w:rPr>
      </w:pPr>
    </w:p>
    <w:p w:rsidR="00000000" w:rsidRDefault="00000000">
      <w:r>
        <w:t>779.</w:t>
      </w:r>
      <w:r>
        <w:tab/>
        <w:t xml:space="preserve">Статья 19 Конституции гарантирует свободное и открытое вероисповедание, как индивидуальное, так и коллективное.  Македонская православная церковь, а также исламская община Македонии, католическая церковь, еврейская община и другие общины и религиозные группы отделены от государства и равны перед законом.  Они могут открывать религиозные школы, а также социальные и благотворительные заведения на основе процедуры, установленной законодательством.  </w:t>
      </w:r>
    </w:p>
    <w:p w:rsidR="00000000" w:rsidRDefault="00000000"/>
    <w:p w:rsidR="00000000" w:rsidRDefault="00000000">
      <w:r>
        <w:t>780.</w:t>
      </w:r>
      <w:r>
        <w:tab/>
        <w:t>В осуществление вышеуказанных прав были открыты средние религиозные и специальные школы.</w:t>
      </w:r>
    </w:p>
    <w:p w:rsidR="00000000" w:rsidRDefault="00000000"/>
    <w:p w:rsidR="00000000" w:rsidRDefault="00000000">
      <w:pPr>
        <w:jc w:val="center"/>
        <w:rPr>
          <w:b/>
          <w:bCs/>
        </w:rPr>
      </w:pPr>
      <w:r>
        <w:rPr>
          <w:b/>
          <w:bCs/>
        </w:rPr>
        <w:t>Учащиеся средних религиозных и специальных средних школ, 2002/03 год</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65"/>
        <w:gridCol w:w="1839"/>
        <w:gridCol w:w="2580"/>
        <w:gridCol w:w="1427"/>
      </w:tblGrid>
      <w:tr w:rsidR="00000000">
        <w:tblPrEx>
          <w:tblCellMar>
            <w:top w:w="0" w:type="dxa"/>
            <w:bottom w:w="0" w:type="dxa"/>
          </w:tblCellMar>
        </w:tblPrEx>
        <w:trPr>
          <w:cantSplit/>
        </w:trPr>
        <w:tc>
          <w:tcPr>
            <w:tcW w:w="3565" w:type="dxa"/>
            <w:vMerge w:val="restart"/>
          </w:tcPr>
          <w:p w:rsidR="00000000" w:rsidRDefault="00000000">
            <w:pPr>
              <w:spacing w:line="240" w:lineRule="auto"/>
            </w:pPr>
          </w:p>
        </w:tc>
        <w:tc>
          <w:tcPr>
            <w:tcW w:w="4419" w:type="dxa"/>
            <w:gridSpan w:val="2"/>
          </w:tcPr>
          <w:p w:rsidR="00000000" w:rsidRDefault="00000000">
            <w:pPr>
              <w:spacing w:line="240" w:lineRule="auto"/>
              <w:jc w:val="center"/>
            </w:pPr>
            <w:r>
              <w:t>Учащиеся</w:t>
            </w:r>
          </w:p>
        </w:tc>
        <w:tc>
          <w:tcPr>
            <w:tcW w:w="1427" w:type="dxa"/>
            <w:vMerge w:val="restart"/>
          </w:tcPr>
          <w:p w:rsidR="00000000" w:rsidRDefault="00000000">
            <w:pPr>
              <w:spacing w:line="240" w:lineRule="auto"/>
              <w:jc w:val="center"/>
            </w:pPr>
            <w:r>
              <w:t>Выпускники</w:t>
            </w:r>
          </w:p>
        </w:tc>
      </w:tr>
      <w:tr w:rsidR="00000000">
        <w:tblPrEx>
          <w:tblCellMar>
            <w:top w:w="0" w:type="dxa"/>
            <w:bottom w:w="0" w:type="dxa"/>
          </w:tblCellMar>
        </w:tblPrEx>
        <w:trPr>
          <w:cantSplit/>
        </w:trPr>
        <w:tc>
          <w:tcPr>
            <w:tcW w:w="3565" w:type="dxa"/>
            <w:vMerge/>
          </w:tcPr>
          <w:p w:rsidR="00000000" w:rsidRDefault="00000000">
            <w:pPr>
              <w:spacing w:line="240" w:lineRule="auto"/>
              <w:rPr>
                <w:lang w:val="en-US"/>
              </w:rPr>
            </w:pPr>
          </w:p>
        </w:tc>
        <w:tc>
          <w:tcPr>
            <w:tcW w:w="1839" w:type="dxa"/>
          </w:tcPr>
          <w:p w:rsidR="00000000" w:rsidRDefault="00000000">
            <w:pPr>
              <w:spacing w:line="240" w:lineRule="auto"/>
              <w:jc w:val="center"/>
            </w:pPr>
            <w:r>
              <w:t>Всего</w:t>
            </w:r>
          </w:p>
        </w:tc>
        <w:tc>
          <w:tcPr>
            <w:tcW w:w="2580" w:type="dxa"/>
          </w:tcPr>
          <w:p w:rsidR="00000000" w:rsidRDefault="00000000">
            <w:pPr>
              <w:spacing w:line="240" w:lineRule="auto"/>
              <w:jc w:val="center"/>
            </w:pPr>
            <w:r>
              <w:t>Закончили учебный год</w:t>
            </w:r>
          </w:p>
        </w:tc>
        <w:tc>
          <w:tcPr>
            <w:tcW w:w="1427" w:type="dxa"/>
            <w:vMerge/>
          </w:tcPr>
          <w:p w:rsidR="00000000" w:rsidRDefault="00000000">
            <w:pPr>
              <w:spacing w:line="240" w:lineRule="auto"/>
            </w:pPr>
          </w:p>
        </w:tc>
      </w:tr>
      <w:tr w:rsidR="00000000">
        <w:tblPrEx>
          <w:tblCellMar>
            <w:top w:w="0" w:type="dxa"/>
            <w:bottom w:w="0" w:type="dxa"/>
          </w:tblCellMar>
        </w:tblPrEx>
        <w:trPr>
          <w:cantSplit/>
        </w:trPr>
        <w:tc>
          <w:tcPr>
            <w:tcW w:w="3565" w:type="dxa"/>
          </w:tcPr>
          <w:p w:rsidR="00000000" w:rsidRDefault="00000000">
            <w:pPr>
              <w:spacing w:line="240" w:lineRule="auto"/>
            </w:pPr>
            <w:r>
              <w:t>Все средние религиозные школы</w:t>
            </w:r>
          </w:p>
          <w:p w:rsidR="00000000" w:rsidRDefault="00000000">
            <w:pPr>
              <w:spacing w:line="240" w:lineRule="auto"/>
            </w:pPr>
            <w:r>
              <w:t>Православные средние школы</w:t>
            </w:r>
          </w:p>
          <w:p w:rsidR="00000000" w:rsidRDefault="00000000">
            <w:pPr>
              <w:spacing w:line="240" w:lineRule="auto"/>
            </w:pPr>
            <w:r>
              <w:t>Исламские средние школы</w:t>
            </w:r>
          </w:p>
          <w:p w:rsidR="00000000" w:rsidRDefault="00000000">
            <w:pPr>
              <w:spacing w:line="240" w:lineRule="auto"/>
            </w:pPr>
            <w:r>
              <w:t>Специальные школы</w:t>
            </w:r>
          </w:p>
        </w:tc>
        <w:tc>
          <w:tcPr>
            <w:tcW w:w="1839" w:type="dxa"/>
          </w:tcPr>
          <w:p w:rsidR="00000000" w:rsidRDefault="00000000">
            <w:pPr>
              <w:spacing w:line="240" w:lineRule="auto"/>
              <w:ind w:right="624"/>
              <w:jc w:val="right"/>
            </w:pPr>
            <w:r>
              <w:t>286</w:t>
            </w:r>
          </w:p>
          <w:p w:rsidR="00000000" w:rsidRDefault="00000000">
            <w:pPr>
              <w:spacing w:line="240" w:lineRule="auto"/>
              <w:ind w:right="624"/>
              <w:jc w:val="right"/>
            </w:pPr>
            <w:r>
              <w:t>82</w:t>
            </w:r>
          </w:p>
          <w:p w:rsidR="00000000" w:rsidRDefault="00000000">
            <w:pPr>
              <w:spacing w:line="240" w:lineRule="auto"/>
              <w:ind w:right="624"/>
              <w:jc w:val="right"/>
            </w:pPr>
            <w:r>
              <w:t>204</w:t>
            </w:r>
          </w:p>
          <w:p w:rsidR="00000000" w:rsidRDefault="00000000">
            <w:pPr>
              <w:spacing w:line="240" w:lineRule="auto"/>
              <w:ind w:right="624"/>
              <w:jc w:val="right"/>
            </w:pPr>
            <w:r>
              <w:t>300</w:t>
            </w:r>
          </w:p>
        </w:tc>
        <w:tc>
          <w:tcPr>
            <w:tcW w:w="2580" w:type="dxa"/>
          </w:tcPr>
          <w:p w:rsidR="00000000" w:rsidRDefault="00000000">
            <w:pPr>
              <w:spacing w:line="240" w:lineRule="auto"/>
              <w:ind w:right="851"/>
              <w:jc w:val="right"/>
            </w:pPr>
            <w:r>
              <w:t>274</w:t>
            </w:r>
          </w:p>
          <w:p w:rsidR="00000000" w:rsidRDefault="00000000">
            <w:pPr>
              <w:spacing w:line="240" w:lineRule="auto"/>
              <w:ind w:right="851"/>
              <w:jc w:val="right"/>
            </w:pPr>
            <w:r>
              <w:t>81</w:t>
            </w:r>
          </w:p>
          <w:p w:rsidR="00000000" w:rsidRDefault="00000000">
            <w:pPr>
              <w:spacing w:line="240" w:lineRule="auto"/>
              <w:ind w:right="851"/>
              <w:jc w:val="right"/>
            </w:pPr>
            <w:r>
              <w:t>193</w:t>
            </w:r>
          </w:p>
          <w:p w:rsidR="00000000" w:rsidRDefault="00000000">
            <w:pPr>
              <w:spacing w:line="240" w:lineRule="auto"/>
              <w:ind w:right="851"/>
              <w:jc w:val="right"/>
            </w:pPr>
            <w:r>
              <w:t>290</w:t>
            </w:r>
          </w:p>
        </w:tc>
        <w:tc>
          <w:tcPr>
            <w:tcW w:w="1427" w:type="dxa"/>
          </w:tcPr>
          <w:p w:rsidR="00000000" w:rsidRDefault="00000000">
            <w:pPr>
              <w:spacing w:line="240" w:lineRule="auto"/>
              <w:ind w:right="624"/>
              <w:jc w:val="right"/>
            </w:pPr>
            <w:r>
              <w:t>62</w:t>
            </w:r>
          </w:p>
          <w:p w:rsidR="00000000" w:rsidRDefault="00000000">
            <w:pPr>
              <w:spacing w:line="240" w:lineRule="auto"/>
              <w:ind w:right="624"/>
              <w:jc w:val="right"/>
            </w:pPr>
            <w:r>
              <w:t>18</w:t>
            </w:r>
          </w:p>
          <w:p w:rsidR="00000000" w:rsidRDefault="00000000">
            <w:pPr>
              <w:spacing w:line="240" w:lineRule="auto"/>
              <w:ind w:right="624"/>
              <w:jc w:val="right"/>
            </w:pPr>
            <w:r>
              <w:t>44</w:t>
            </w:r>
          </w:p>
          <w:p w:rsidR="00000000" w:rsidRDefault="00000000">
            <w:pPr>
              <w:spacing w:line="240" w:lineRule="auto"/>
              <w:ind w:right="624"/>
              <w:jc w:val="right"/>
            </w:pPr>
            <w:r>
              <w:t>89</w:t>
            </w:r>
          </w:p>
        </w:tc>
      </w:tr>
    </w:tbl>
    <w:p w:rsidR="00000000" w:rsidRDefault="00000000"/>
    <w:p w:rsidR="00000000" w:rsidRDefault="00000000">
      <w:r>
        <w:rPr>
          <w:i/>
          <w:iCs/>
        </w:rPr>
        <w:tab/>
        <w:t>Источник</w:t>
      </w:r>
      <w:r>
        <w:t>:  Государственное статистическое управление.</w:t>
      </w:r>
    </w:p>
    <w:p w:rsidR="00000000" w:rsidRDefault="00000000">
      <w:pPr>
        <w:rPr>
          <w:b/>
          <w:bCs/>
        </w:rPr>
      </w:pPr>
      <w:r>
        <w:rPr>
          <w:b/>
          <w:bCs/>
        </w:rPr>
        <w:t>Частные учебные заведения в бывшей югославской Республике Македонии</w:t>
      </w:r>
    </w:p>
    <w:p w:rsidR="00000000" w:rsidRDefault="00000000">
      <w:pPr>
        <w:rPr>
          <w:b/>
          <w:bCs/>
        </w:rPr>
      </w:pPr>
    </w:p>
    <w:p w:rsidR="00000000" w:rsidRDefault="00000000">
      <w:r>
        <w:t>781.</w:t>
      </w:r>
      <w:r>
        <w:tab/>
        <w:t>Согласно статье 10 Закона о среднем образовании и статье 5 поправки к этому закону ("Официальный вестник" бывшей югославской Республики Македонии № 67/2004) отечественные и зарубежные физические и юридические лица при получении соответствующего разрешения могут открывать частные средние школы.  Министерство образования и науки дало аккредитацию трем частным общеобразовательным средним школам.  В двух из них обучение ведется на английском языке, а в третьей </w:t>
      </w:r>
      <w:r>
        <w:noBreakHyphen/>
        <w:t xml:space="preserve"> на английском и турецком языках.  </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62"/>
        <w:gridCol w:w="3011"/>
        <w:gridCol w:w="3138"/>
      </w:tblGrid>
      <w:tr w:rsidR="00000000">
        <w:tblPrEx>
          <w:tblCellMar>
            <w:top w:w="0" w:type="dxa"/>
            <w:bottom w:w="0" w:type="dxa"/>
          </w:tblCellMar>
        </w:tblPrEx>
        <w:trPr>
          <w:cantSplit/>
        </w:trPr>
        <w:tc>
          <w:tcPr>
            <w:tcW w:w="3262" w:type="dxa"/>
            <w:tcBorders>
              <w:bottom w:val="single" w:sz="4" w:space="0" w:color="auto"/>
            </w:tcBorders>
          </w:tcPr>
          <w:p w:rsidR="00000000" w:rsidRDefault="00000000">
            <w:pPr>
              <w:pStyle w:val="Header"/>
              <w:keepNext/>
              <w:jc w:val="center"/>
              <w:rPr>
                <w:szCs w:val="22"/>
              </w:rPr>
            </w:pPr>
            <w:r>
              <w:rPr>
                <w:szCs w:val="22"/>
              </w:rPr>
              <w:t>Частные средние школы</w:t>
            </w:r>
          </w:p>
        </w:tc>
        <w:tc>
          <w:tcPr>
            <w:tcW w:w="3011" w:type="dxa"/>
            <w:tcBorders>
              <w:bottom w:val="single" w:sz="4" w:space="0" w:color="auto"/>
            </w:tcBorders>
          </w:tcPr>
          <w:p w:rsidR="00000000" w:rsidRDefault="00000000">
            <w:pPr>
              <w:jc w:val="center"/>
              <w:rPr>
                <w:szCs w:val="22"/>
              </w:rPr>
            </w:pPr>
            <w:r>
              <w:rPr>
                <w:szCs w:val="22"/>
              </w:rPr>
              <w:t xml:space="preserve">Число учащихся </w:t>
            </w:r>
            <w:r>
              <w:rPr>
                <w:szCs w:val="22"/>
              </w:rPr>
              <w:br/>
              <w:t>в 2001/02 учебном году</w:t>
            </w:r>
          </w:p>
        </w:tc>
        <w:tc>
          <w:tcPr>
            <w:tcW w:w="3138" w:type="dxa"/>
            <w:tcBorders>
              <w:bottom w:val="single" w:sz="4" w:space="0" w:color="auto"/>
            </w:tcBorders>
          </w:tcPr>
          <w:p w:rsidR="00000000" w:rsidRDefault="00000000">
            <w:pPr>
              <w:jc w:val="center"/>
              <w:rPr>
                <w:szCs w:val="22"/>
              </w:rPr>
            </w:pPr>
            <w:r>
              <w:rPr>
                <w:szCs w:val="22"/>
              </w:rPr>
              <w:t xml:space="preserve">Число учащихся </w:t>
            </w:r>
            <w:r>
              <w:rPr>
                <w:szCs w:val="22"/>
              </w:rPr>
              <w:br/>
              <w:t xml:space="preserve">в 2004/05 учебном году </w:t>
            </w:r>
          </w:p>
        </w:tc>
      </w:tr>
      <w:tr w:rsidR="00000000">
        <w:tblPrEx>
          <w:tblCellMar>
            <w:top w:w="0" w:type="dxa"/>
            <w:bottom w:w="0" w:type="dxa"/>
          </w:tblCellMar>
        </w:tblPrEx>
        <w:trPr>
          <w:cantSplit/>
        </w:trPr>
        <w:tc>
          <w:tcPr>
            <w:tcW w:w="3262" w:type="dxa"/>
            <w:tcBorders>
              <w:bottom w:val="nil"/>
            </w:tcBorders>
          </w:tcPr>
          <w:p w:rsidR="00000000" w:rsidRDefault="00000000">
            <w:pPr>
              <w:rPr>
                <w:szCs w:val="22"/>
              </w:rPr>
            </w:pPr>
            <w:r>
              <w:rPr>
                <w:szCs w:val="22"/>
              </w:rPr>
              <w:t>"Яхья Кемал", частная средняя школа</w:t>
            </w:r>
          </w:p>
        </w:tc>
        <w:tc>
          <w:tcPr>
            <w:tcW w:w="3011" w:type="dxa"/>
            <w:tcBorders>
              <w:bottom w:val="nil"/>
            </w:tcBorders>
          </w:tcPr>
          <w:p w:rsidR="00000000" w:rsidRDefault="00000000">
            <w:pPr>
              <w:ind w:right="1134"/>
              <w:jc w:val="right"/>
              <w:rPr>
                <w:szCs w:val="22"/>
                <w:lang w:val="en-US"/>
              </w:rPr>
            </w:pPr>
            <w:r>
              <w:rPr>
                <w:szCs w:val="22"/>
                <w:lang w:val="en-US"/>
              </w:rPr>
              <w:t>526</w:t>
            </w:r>
          </w:p>
          <w:p w:rsidR="00000000" w:rsidRDefault="00000000">
            <w:pPr>
              <w:rPr>
                <w:szCs w:val="22"/>
              </w:rPr>
            </w:pPr>
            <w:r>
              <w:rPr>
                <w:szCs w:val="22"/>
              </w:rPr>
              <w:t xml:space="preserve">Скопье </w:t>
            </w:r>
            <w:r>
              <w:rPr>
                <w:szCs w:val="22"/>
              </w:rPr>
              <w:noBreakHyphen/>
              <w:t xml:space="preserve"> 336, </w:t>
            </w:r>
            <w:proofErr w:type="spellStart"/>
            <w:r>
              <w:rPr>
                <w:szCs w:val="22"/>
              </w:rPr>
              <w:t>Гостивар</w:t>
            </w:r>
            <w:proofErr w:type="spellEnd"/>
            <w:r>
              <w:rPr>
                <w:szCs w:val="22"/>
              </w:rPr>
              <w:t xml:space="preserve"> </w:t>
            </w:r>
            <w:r>
              <w:rPr>
                <w:szCs w:val="22"/>
              </w:rPr>
              <w:noBreakHyphen/>
              <w:t xml:space="preserve"> 190 и Струга - 190</w:t>
            </w:r>
          </w:p>
        </w:tc>
        <w:tc>
          <w:tcPr>
            <w:tcW w:w="3138" w:type="dxa"/>
            <w:tcBorders>
              <w:bottom w:val="nil"/>
            </w:tcBorders>
          </w:tcPr>
          <w:p w:rsidR="00000000" w:rsidRDefault="00000000">
            <w:pPr>
              <w:ind w:right="1134"/>
              <w:jc w:val="right"/>
              <w:rPr>
                <w:szCs w:val="22"/>
                <w:lang w:val="en-US"/>
              </w:rPr>
            </w:pPr>
            <w:r>
              <w:rPr>
                <w:szCs w:val="22"/>
                <w:lang w:val="en-US"/>
              </w:rPr>
              <w:t>771</w:t>
            </w:r>
          </w:p>
        </w:tc>
      </w:tr>
      <w:tr w:rsidR="00000000">
        <w:tblPrEx>
          <w:tblCellMar>
            <w:top w:w="0" w:type="dxa"/>
            <w:bottom w:w="0" w:type="dxa"/>
          </w:tblCellMar>
        </w:tblPrEx>
        <w:trPr>
          <w:cantSplit/>
        </w:trPr>
        <w:tc>
          <w:tcPr>
            <w:tcW w:w="3262" w:type="dxa"/>
            <w:tcBorders>
              <w:top w:val="nil"/>
              <w:bottom w:val="nil"/>
            </w:tcBorders>
          </w:tcPr>
          <w:p w:rsidR="00000000" w:rsidRDefault="00000000">
            <w:pPr>
              <w:rPr>
                <w:szCs w:val="22"/>
              </w:rPr>
            </w:pPr>
            <w:r>
              <w:rPr>
                <w:szCs w:val="22"/>
              </w:rPr>
              <w:t>"Нова", частная американская высшая школа, Скопье</w:t>
            </w:r>
          </w:p>
        </w:tc>
        <w:tc>
          <w:tcPr>
            <w:tcW w:w="3011" w:type="dxa"/>
            <w:tcBorders>
              <w:top w:val="nil"/>
              <w:bottom w:val="nil"/>
            </w:tcBorders>
          </w:tcPr>
          <w:p w:rsidR="00000000" w:rsidRDefault="00000000">
            <w:pPr>
              <w:ind w:right="1134"/>
              <w:jc w:val="right"/>
              <w:rPr>
                <w:szCs w:val="22"/>
                <w:lang w:val="en-US"/>
              </w:rPr>
            </w:pPr>
            <w:r>
              <w:rPr>
                <w:szCs w:val="22"/>
                <w:lang w:val="en-US"/>
              </w:rPr>
              <w:t>170</w:t>
            </w:r>
          </w:p>
        </w:tc>
        <w:tc>
          <w:tcPr>
            <w:tcW w:w="3138" w:type="dxa"/>
            <w:tcBorders>
              <w:top w:val="nil"/>
              <w:bottom w:val="nil"/>
            </w:tcBorders>
          </w:tcPr>
          <w:p w:rsidR="00000000" w:rsidRDefault="00000000">
            <w:pPr>
              <w:ind w:right="1134"/>
              <w:jc w:val="right"/>
              <w:rPr>
                <w:szCs w:val="22"/>
                <w:lang w:val="en-US"/>
              </w:rPr>
            </w:pPr>
            <w:r>
              <w:rPr>
                <w:szCs w:val="22"/>
                <w:lang w:val="en-US"/>
              </w:rPr>
              <w:t>233</w:t>
            </w:r>
          </w:p>
        </w:tc>
      </w:tr>
      <w:tr w:rsidR="00000000">
        <w:tblPrEx>
          <w:tblCellMar>
            <w:top w:w="0" w:type="dxa"/>
            <w:bottom w:w="0" w:type="dxa"/>
          </w:tblCellMar>
        </w:tblPrEx>
        <w:trPr>
          <w:cantSplit/>
        </w:trPr>
        <w:tc>
          <w:tcPr>
            <w:tcW w:w="3262" w:type="dxa"/>
            <w:tcBorders>
              <w:top w:val="nil"/>
            </w:tcBorders>
          </w:tcPr>
          <w:p w:rsidR="00000000" w:rsidRDefault="00000000">
            <w:pPr>
              <w:rPr>
                <w:szCs w:val="22"/>
              </w:rPr>
            </w:pPr>
            <w:r>
              <w:rPr>
                <w:szCs w:val="22"/>
              </w:rPr>
              <w:t xml:space="preserve">Американская международная школа Македонии, Скопье </w:t>
            </w:r>
          </w:p>
        </w:tc>
        <w:tc>
          <w:tcPr>
            <w:tcW w:w="3011" w:type="dxa"/>
            <w:tcBorders>
              <w:top w:val="nil"/>
            </w:tcBorders>
          </w:tcPr>
          <w:p w:rsidR="00000000" w:rsidRDefault="00000000">
            <w:pPr>
              <w:ind w:right="1134"/>
              <w:jc w:val="right"/>
              <w:rPr>
                <w:szCs w:val="22"/>
              </w:rPr>
            </w:pPr>
            <w:r>
              <w:rPr>
                <w:szCs w:val="22"/>
              </w:rPr>
              <w:t>12</w:t>
            </w:r>
          </w:p>
        </w:tc>
        <w:tc>
          <w:tcPr>
            <w:tcW w:w="3138" w:type="dxa"/>
            <w:tcBorders>
              <w:top w:val="nil"/>
            </w:tcBorders>
          </w:tcPr>
          <w:p w:rsidR="00000000" w:rsidRDefault="00000000">
            <w:pPr>
              <w:ind w:right="1134"/>
              <w:jc w:val="right"/>
              <w:rPr>
                <w:szCs w:val="22"/>
              </w:rPr>
            </w:pPr>
            <w:r>
              <w:rPr>
                <w:szCs w:val="22"/>
              </w:rPr>
              <w:t>25</w:t>
            </w:r>
          </w:p>
        </w:tc>
      </w:tr>
    </w:tbl>
    <w:p w:rsidR="00000000" w:rsidRDefault="00000000"/>
    <w:p w:rsidR="00000000" w:rsidRDefault="00000000">
      <w:r>
        <w:t>782.</w:t>
      </w:r>
      <w:r>
        <w:tab/>
        <w:t xml:space="preserve">Министерство образования и науки проводит аккредитацию частных профессионально-технических средних школ (школы экономики).  </w:t>
      </w:r>
    </w:p>
    <w:p w:rsidR="00000000" w:rsidRDefault="00000000"/>
    <w:p w:rsidR="00000000" w:rsidRDefault="00000000">
      <w:r>
        <w:t>783.</w:t>
      </w:r>
      <w:r>
        <w:tab/>
        <w:t>Помимо государственных университетов студентам открыт доступ в частные высшие учебные заведения при условии, что такие заведения соблюдают требования Закона о высшем образовании и имеют разрешение правительства.  Учредители таких учебных заведений должны создать условия и материальную базу для ведения учебной, научной и художественной деятельности в соответствии с требованиями Закона о высшем образовании, а также действующими нормативами и стандартами.</w:t>
      </w:r>
    </w:p>
    <w:p w:rsidR="00000000" w:rsidRDefault="00000000"/>
    <w:p w:rsidR="00000000" w:rsidRDefault="00000000">
      <w:r>
        <w:t>784.</w:t>
      </w:r>
      <w:r>
        <w:tab/>
        <w:t xml:space="preserve">Частные высшие учебные заведения, как правило, являются отделениями известных зарубежных университетов, готовящих специалистов в компьютерной области и в сфере управления, гуманитарных наук и т.д.  На сегодняшний день аккредитацию получили один частный университет (Университет Юго-Восточной Европы) и один частный факультет (Факультет общественных наук).  Идет процесс аккредитации и других подобных заведений.  </w:t>
      </w:r>
    </w:p>
    <w:p w:rsidR="00000000" w:rsidRDefault="00000000"/>
    <w:p w:rsidR="00000000" w:rsidRDefault="00000000">
      <w:pPr>
        <w:keepNext/>
        <w:rPr>
          <w:b/>
          <w:bCs/>
        </w:rPr>
      </w:pPr>
      <w:r>
        <w:rPr>
          <w:b/>
          <w:bCs/>
        </w:rPr>
        <w:t>Образование для обездоленных групп населения и детей с особыми потребностями</w:t>
      </w:r>
    </w:p>
    <w:p w:rsidR="00000000" w:rsidRDefault="00000000">
      <w:pPr>
        <w:keepNext/>
        <w:rPr>
          <w:b/>
          <w:bCs/>
        </w:rPr>
      </w:pPr>
    </w:p>
    <w:p w:rsidR="00000000" w:rsidRDefault="00000000">
      <w:r>
        <w:t>785.</w:t>
      </w:r>
      <w:r>
        <w:tab/>
        <w:t>В интересах полнейшей самореализации и интеграции рома в общество бывшая югославская Республика Македония была среди других стран включена в международный проект "Десятилетие интеграции рома".  Ответственность за государственную поддержку Десятилетия возложена на министерство труда и социальной политики.  В этой связи в интересах населения рома были разработаны национальные стратегии и планы действий в ряде областей, в том числе в области образования, занятости, здравоохранения и обеспечения жильем.</w:t>
      </w:r>
    </w:p>
    <w:p w:rsidR="00000000" w:rsidRDefault="00000000"/>
    <w:p w:rsidR="00000000" w:rsidRDefault="00000000">
      <w:r>
        <w:t>786.</w:t>
      </w:r>
      <w:r>
        <w:tab/>
        <w:t>Разработанный национальной рабочей группой План действий в области образования </w:t>
      </w:r>
      <w:r>
        <w:noBreakHyphen/>
        <w:t xml:space="preserve"> НАПЕ </w:t>
      </w:r>
      <w:r>
        <w:noBreakHyphen/>
        <w:t xml:space="preserve"> охватывает все уровни образования:  дошкольное, начальное, среднее и высшее.  </w:t>
      </w:r>
    </w:p>
    <w:p w:rsidR="00000000" w:rsidRDefault="00000000"/>
    <w:p w:rsidR="00000000" w:rsidRDefault="00000000">
      <w:r>
        <w:t>787.</w:t>
      </w:r>
      <w:r>
        <w:tab/>
        <w:t xml:space="preserve">С учетом того, что повышение экономического статуса, достигаемое главным образом благодаря трудовой деятельности, является одной из основных предпосылок самореализации и социальной интеграции рома, к участию в связанной с Десятилетием деятельности привлечено и Бюро по трудоустройству населения.  В этой связи в рамках производственных клубов принимаются меры по разъяснению представителям рома прав и обязанностей работодателей и наемных работников.  Цель этой деятельности заключается в том, чтобы содействовать рома в трудоустройстве и стимулировать их к более активному поиску работы.  В силу низкого уровня квалификации представителей рома необходимо охватывать их различными программами профессиональной и общеобразовательной подготовки.  Вот почему Бюро по трудоустройству стремится облегчить и расширить их доступ к программам первичной и дополнительной профессиональной подготовки и переподготовки.  </w:t>
      </w:r>
    </w:p>
    <w:p w:rsidR="00000000" w:rsidRDefault="00000000"/>
    <w:p w:rsidR="00000000" w:rsidRDefault="00000000">
      <w:r>
        <w:t>788.</w:t>
      </w:r>
      <w:r>
        <w:tab/>
        <w:t>Компетентные органы прилагают особые усилия для оказания помощи представителям рома, чья интеграция в общество идет с очевидными трудностями.</w:t>
      </w:r>
    </w:p>
    <w:p w:rsidR="00000000" w:rsidRDefault="00000000"/>
    <w:p w:rsidR="00000000" w:rsidRDefault="00000000">
      <w:r>
        <w:t>789.</w:t>
      </w:r>
      <w:r>
        <w:tab/>
        <w:t xml:space="preserve">Для того чтобы стимулировать учащихся рома к получению среднего образования, бюро совершенствования и поощрения образования на языках общин, функционирующее под эгидой министерства образования и науки, в сотрудничестве с Фондом </w:t>
      </w:r>
      <w:proofErr w:type="spellStart"/>
      <w:r>
        <w:t>Сороса</w:t>
      </w:r>
      <w:proofErr w:type="spellEnd"/>
      <w:r>
        <w:t xml:space="preserve"> и Агентством международного развития Соединенных Штатов (</w:t>
      </w:r>
      <w:proofErr w:type="spellStart"/>
      <w:r>
        <w:t>ЮСЭЙД</w:t>
      </w:r>
      <w:proofErr w:type="spellEnd"/>
      <w:r>
        <w:t>) с 2004 года выделяет средства для выплаты стипендий 200 учащимся рома, которые решили поступить в среднюю школу.  Кроме того, учащимся рома для улучшения их успеваемости предлагается наставничество.</w:t>
      </w:r>
    </w:p>
    <w:p w:rsidR="00000000" w:rsidRDefault="00000000"/>
    <w:p w:rsidR="00000000" w:rsidRDefault="00000000">
      <w:r>
        <w:t>790.</w:t>
      </w:r>
      <w:r>
        <w:tab/>
        <w:t>Согласно Закону о среднем образовании, помимо высших, профессионально-технических и художественных средних школ существуют и средние школы для учащихся с особыми потребностями.</w:t>
      </w:r>
    </w:p>
    <w:p w:rsidR="00000000" w:rsidRDefault="00000000"/>
    <w:p w:rsidR="00000000" w:rsidRDefault="00000000">
      <w:r>
        <w:t>791.</w:t>
      </w:r>
      <w:r>
        <w:tab/>
        <w:t>Средние школы для учащихся с особыми потребностями дают образование на основе адаптированных программ, позволяющих получить определенную профессионально-техническую подготовку.</w:t>
      </w:r>
    </w:p>
    <w:p w:rsidR="00000000" w:rsidRDefault="00000000"/>
    <w:p w:rsidR="00000000" w:rsidRDefault="00000000">
      <w:r>
        <w:t>792.</w:t>
      </w:r>
      <w:r>
        <w:tab/>
        <w:t>Специальное среднее образование предлагается учащимся с особыми потребностями, зарегистрированными и отнесенными к различным категориям в зависимости от вида и степени инвалидности.</w:t>
      </w:r>
    </w:p>
    <w:p w:rsidR="00000000" w:rsidRDefault="00000000"/>
    <w:p w:rsidR="00000000" w:rsidRDefault="00000000">
      <w:r>
        <w:t>793.</w:t>
      </w:r>
      <w:r>
        <w:tab/>
        <w:t>Конкретные положения о числе учащихся с особыми потребностями утверждаются министерством образования и науки.</w:t>
      </w:r>
    </w:p>
    <w:p w:rsidR="00000000" w:rsidRDefault="00000000"/>
    <w:p w:rsidR="00000000" w:rsidRDefault="00000000">
      <w:r>
        <w:t>794.</w:t>
      </w:r>
      <w:r>
        <w:tab/>
        <w:t>Лицо с особыми потребностями может быть зачислено в первый класс государственной средней школы до достижения им 25 лет.</w:t>
      </w:r>
    </w:p>
    <w:p w:rsidR="00000000" w:rsidRDefault="00000000"/>
    <w:p w:rsidR="00000000" w:rsidRDefault="00000000">
      <w:r>
        <w:t>795.</w:t>
      </w:r>
      <w:r>
        <w:tab/>
        <w:t>Министерство образования и науки субсидирует выпуск учебников для детей с особыми образовательными потребностями.</w:t>
      </w:r>
    </w:p>
    <w:p w:rsidR="00000000" w:rsidRDefault="00000000"/>
    <w:p w:rsidR="00000000" w:rsidRDefault="00000000">
      <w:r>
        <w:t>796.</w:t>
      </w:r>
      <w:r>
        <w:tab/>
        <w:t>Необходимо совершенствовать школьную инфраструктуру для более качественного удовлетворения потребностей таких детей.</w:t>
      </w:r>
    </w:p>
    <w:p w:rsidR="00000000" w:rsidRDefault="00000000"/>
    <w:p w:rsidR="00000000" w:rsidRDefault="00000000">
      <w:r>
        <w:t>797.</w:t>
      </w:r>
      <w:r>
        <w:tab/>
        <w:t>Ожидается, что Национальная программа развития образования на 2005-2015 годы и План действий по защите прав детей в бывшей югославской Республике Македонии на 2005-2015 годы (находится на конечном этапе разработки) будут способствовать решению двух вышеуказанных проблем.</w:t>
      </w:r>
    </w:p>
    <w:p w:rsidR="00000000" w:rsidRDefault="00000000"/>
    <w:p w:rsidR="00000000" w:rsidRDefault="00000000">
      <w:pPr>
        <w:rPr>
          <w:b/>
          <w:bCs/>
        </w:rPr>
      </w:pPr>
      <w:r>
        <w:rPr>
          <w:b/>
          <w:bCs/>
        </w:rPr>
        <w:t>Международная помощь и поддержка в сфере образования</w:t>
      </w:r>
    </w:p>
    <w:p w:rsidR="00000000" w:rsidRDefault="00000000">
      <w:pPr>
        <w:rPr>
          <w:b/>
          <w:bCs/>
        </w:rPr>
      </w:pPr>
    </w:p>
    <w:p w:rsidR="00000000" w:rsidRDefault="00000000">
      <w:r>
        <w:t>798.</w:t>
      </w:r>
      <w:r>
        <w:tab/>
        <w:t xml:space="preserve">Финансовая и профессиональная помощь со стороны ЕС играет огромное значение в процессе перестройки сектора образования с учетом реформирования профессионально-технических средних школ и их адаптации к новым техническим и технологическим реалиям.  Важнейшим направлением помощи со стороны Европейского сообщества является помощь, оказываемая в процессе подготовки к расширению в рамках программ </w:t>
      </w:r>
      <w:proofErr w:type="spellStart"/>
      <w:r>
        <w:t>PHARE</w:t>
      </w:r>
      <w:proofErr w:type="spellEnd"/>
      <w:r>
        <w:t>/</w:t>
      </w:r>
      <w:proofErr w:type="spellStart"/>
      <w:r>
        <w:t>VETI</w:t>
      </w:r>
      <w:proofErr w:type="spellEnd"/>
      <w:r>
        <w:t xml:space="preserve"> и </w:t>
      </w:r>
      <w:proofErr w:type="spellStart"/>
      <w:r>
        <w:t>PHARE</w:t>
      </w:r>
      <w:proofErr w:type="spellEnd"/>
      <w:r>
        <w:t>/</w:t>
      </w:r>
      <w:proofErr w:type="spellStart"/>
      <w:r>
        <w:t>VETII</w:t>
      </w:r>
      <w:proofErr w:type="spellEnd"/>
      <w:r>
        <w:t xml:space="preserve">, а также проектов </w:t>
      </w:r>
      <w:proofErr w:type="spellStart"/>
      <w:r>
        <w:t>CARDS</w:t>
      </w:r>
      <w:proofErr w:type="spellEnd"/>
      <w:r>
        <w:t xml:space="preserve">, </w:t>
      </w:r>
      <w:proofErr w:type="spellStart"/>
      <w:r>
        <w:t>CARDS</w:t>
      </w:r>
      <w:proofErr w:type="spellEnd"/>
      <w:r>
        <w:t>/</w:t>
      </w:r>
      <w:proofErr w:type="spellStart"/>
      <w:r>
        <w:t>VET3</w:t>
      </w:r>
      <w:proofErr w:type="spellEnd"/>
      <w:r>
        <w:t xml:space="preserve"> и предстоящего проекта </w:t>
      </w:r>
      <w:proofErr w:type="spellStart"/>
      <w:r>
        <w:t>CARDS</w:t>
      </w:r>
      <w:proofErr w:type="spellEnd"/>
      <w:r>
        <w:t>/</w:t>
      </w:r>
      <w:proofErr w:type="spellStart"/>
      <w:r>
        <w:t>VET4</w:t>
      </w:r>
      <w:proofErr w:type="spellEnd"/>
      <w:r>
        <w:t xml:space="preserve">.  Македонский национальный центр, входящий в сеть национальных центров наблюдения, которым в их работе оказывает помощь Европейский фонд профессиональной подготовки из Турина, играет важную роль в увязывании потребностей рынка труда с профессионально-технической и общеобразовательной подготовкой.  Дополнительная помощь поступает в рамках проектов и программ других стран и международных учреждений и фондов, в том числе </w:t>
      </w:r>
      <w:proofErr w:type="spellStart"/>
      <w:r>
        <w:t>ЮСЭЙД</w:t>
      </w:r>
      <w:proofErr w:type="spellEnd"/>
      <w:r>
        <w:t xml:space="preserve">, фонда Института открытого общества "Македония" (Институт открытого общества является одним из краеугольных камней сети фондов </w:t>
      </w:r>
      <w:proofErr w:type="spellStart"/>
      <w:r>
        <w:t>Сороса</w:t>
      </w:r>
      <w:proofErr w:type="spellEnd"/>
      <w:r>
        <w:t xml:space="preserve"> - группы автономных фондов и организаций, действующих в более чем 50 странах), Немецкого агентства международного сотрудничества, или Германского агентства по техническому сотрудничеству, Голландии, Италии, Японии и Китая.</w:t>
      </w:r>
    </w:p>
    <w:p w:rsidR="00000000" w:rsidRDefault="00000000"/>
    <w:p w:rsidR="00000000" w:rsidRDefault="00000000">
      <w:r>
        <w:t>799.</w:t>
      </w:r>
      <w:r>
        <w:tab/>
        <w:t xml:space="preserve">В рамках проектов </w:t>
      </w:r>
      <w:proofErr w:type="spellStart"/>
      <w:r>
        <w:t>PHARE</w:t>
      </w:r>
      <w:proofErr w:type="spellEnd"/>
      <w:r>
        <w:t>/</w:t>
      </w:r>
      <w:proofErr w:type="spellStart"/>
      <w:r>
        <w:t>VET1</w:t>
      </w:r>
      <w:proofErr w:type="spellEnd"/>
      <w:r>
        <w:t xml:space="preserve"> и </w:t>
      </w:r>
      <w:proofErr w:type="spellStart"/>
      <w:r>
        <w:t>PHARE</w:t>
      </w:r>
      <w:proofErr w:type="spellEnd"/>
      <w:r>
        <w:t>/</w:t>
      </w:r>
      <w:proofErr w:type="spellStart"/>
      <w:r>
        <w:t>VET2</w:t>
      </w:r>
      <w:proofErr w:type="spellEnd"/>
      <w:r>
        <w:t xml:space="preserve"> была разработана стратегия профессионально-технической и общеобразовательной подготовки, обсуждены проблемы рынка труда и приняты меры по улучшению учебной программы, по подготовке преподавателей и директоров школ, а также по налаживанию международных партнерских связей и закупке оборудования.  Кроме того, был разработан законопроект, посвященный средней профессионально-технической подготовке и концепции последующей профессионально-технической подготовки, непрерывной профессионально-технической подготовке сотрудников, а также создания национальной системы квалификаций и стандартов и разработки программы планирования карьеры студентов.</w:t>
      </w:r>
    </w:p>
    <w:p w:rsidR="00000000" w:rsidRDefault="00000000"/>
    <w:p w:rsidR="00000000" w:rsidRDefault="00000000">
      <w:r>
        <w:t>800.</w:t>
      </w:r>
      <w:r>
        <w:tab/>
        <w:t xml:space="preserve">Реализуемый в настоящее время проект </w:t>
      </w:r>
      <w:proofErr w:type="spellStart"/>
      <w:r>
        <w:t>CARDS</w:t>
      </w:r>
      <w:proofErr w:type="spellEnd"/>
      <w:r>
        <w:t>/</w:t>
      </w:r>
      <w:proofErr w:type="spellStart"/>
      <w:r>
        <w:t>VET3</w:t>
      </w:r>
      <w:proofErr w:type="spellEnd"/>
      <w:r>
        <w:t xml:space="preserve"> основывается на результатах, достижениях и рекомендациях проектов </w:t>
      </w:r>
      <w:proofErr w:type="spellStart"/>
      <w:r>
        <w:t>PHARE</w:t>
      </w:r>
      <w:proofErr w:type="spellEnd"/>
      <w:r>
        <w:t>/</w:t>
      </w:r>
      <w:proofErr w:type="spellStart"/>
      <w:r>
        <w:t>VET1</w:t>
      </w:r>
      <w:proofErr w:type="spellEnd"/>
      <w:r>
        <w:t xml:space="preserve"> и </w:t>
      </w:r>
      <w:proofErr w:type="spellStart"/>
      <w:r>
        <w:t>PHARE</w:t>
      </w:r>
      <w:proofErr w:type="spellEnd"/>
      <w:r>
        <w:t>/</w:t>
      </w:r>
      <w:proofErr w:type="spellStart"/>
      <w:r>
        <w:t>VET2</w:t>
      </w:r>
      <w:proofErr w:type="spellEnd"/>
      <w:r>
        <w:t>.  Этот проект реформ охватывает 56 из 91 средней профессионально-технической школы.  Цель этой программы заключается в том, чтобы удовлетворить потребности министерства образования и науки и вооружить его сотрудников знаниями и навыками, актуальными в эпоху промышленного и технологического развития с учетом нужд и потребностей рынка труда.</w:t>
      </w:r>
    </w:p>
    <w:p w:rsidR="00000000" w:rsidRDefault="00000000"/>
    <w:p w:rsidR="00000000" w:rsidRDefault="00000000">
      <w:r>
        <w:t>801.</w:t>
      </w:r>
      <w:r>
        <w:tab/>
        <w:t>В рамках проекта предполагается создать группу по стратегии профессионально-технической подготовки, с тем чтобы привлекать к участию в проекте партнеров из других министерств, государственных ведомств, ассоциаций, фондов, гражданских ассоциаций, профсоюзов, работодателей, представителей Союза учащихся средних школ, а также НПО.</w:t>
      </w:r>
    </w:p>
    <w:p w:rsidR="00000000" w:rsidRDefault="00000000"/>
    <w:p w:rsidR="00000000" w:rsidRDefault="00000000">
      <w:r>
        <w:t>802.</w:t>
      </w:r>
      <w:r>
        <w:tab/>
        <w:t xml:space="preserve">В рамках проекта, осуществлявшегося по линии Фонда </w:t>
      </w:r>
      <w:proofErr w:type="spellStart"/>
      <w:r>
        <w:t>Сороса</w:t>
      </w:r>
      <w:proofErr w:type="spellEnd"/>
      <w:r>
        <w:t xml:space="preserve">, была разработана учебная программа для десяти средних профессионально-технических школ на основе модели </w:t>
      </w:r>
      <w:proofErr w:type="spellStart"/>
      <w:r>
        <w:t>PHARE</w:t>
      </w:r>
      <w:proofErr w:type="spellEnd"/>
      <w:r>
        <w:t>/</w:t>
      </w:r>
      <w:proofErr w:type="spellStart"/>
      <w:r>
        <w:t>VET1</w:t>
      </w:r>
      <w:proofErr w:type="spellEnd"/>
      <w:r>
        <w:t xml:space="preserve">.  Эти школы примут непосредственное участие в программе подготовки преподавателей в рамках </w:t>
      </w:r>
      <w:proofErr w:type="spellStart"/>
      <w:r>
        <w:t>VET3</w:t>
      </w:r>
      <w:proofErr w:type="spellEnd"/>
      <w:r>
        <w:t>.</w:t>
      </w:r>
    </w:p>
    <w:p w:rsidR="00000000" w:rsidRDefault="00000000"/>
    <w:p w:rsidR="00000000" w:rsidRDefault="00000000">
      <w:r>
        <w:t>803.</w:t>
      </w:r>
      <w:r>
        <w:tab/>
        <w:t>Европейский фонд профессиональной подготовки через Македонский национальный наблюдательный центр и под эгидой министерства образования и науки осуществляет следующие проекты:</w:t>
      </w:r>
    </w:p>
    <w:p w:rsidR="00000000" w:rsidRDefault="00000000"/>
    <w:p w:rsidR="00000000" w:rsidRDefault="00000000">
      <w:pPr>
        <w:ind w:left="567"/>
      </w:pPr>
      <w:r>
        <w:t>-</w:t>
      </w:r>
      <w:r>
        <w:tab/>
        <w:t>Национальная система квалификаций;</w:t>
      </w:r>
    </w:p>
    <w:p w:rsidR="00000000" w:rsidRDefault="00000000">
      <w:pPr>
        <w:ind w:left="567"/>
      </w:pPr>
    </w:p>
    <w:p w:rsidR="00000000" w:rsidRDefault="00000000">
      <w:pPr>
        <w:ind w:left="1134" w:hanging="567"/>
      </w:pPr>
      <w:r>
        <w:t>-</w:t>
      </w:r>
      <w:r>
        <w:tab/>
        <w:t>Справочник профориентации (проект был завершен в декабре 2000 года), подготовленный в целях содействия развитию современных профессионально-технических услуг;</w:t>
      </w:r>
    </w:p>
    <w:p w:rsidR="00000000" w:rsidRDefault="00000000">
      <w:pPr>
        <w:ind w:left="567"/>
      </w:pPr>
    </w:p>
    <w:p w:rsidR="00000000" w:rsidRDefault="00000000">
      <w:pPr>
        <w:ind w:left="1134" w:hanging="567"/>
      </w:pPr>
      <w:r>
        <w:t>-</w:t>
      </w:r>
      <w:r>
        <w:tab/>
        <w:t>Доклад о конъюнктуре рынка труда Республики Македонии, который должен быть завершен в июне 2005 года.  Этот доклад должен помочь в реформировании системы профессионально-технической подготовки.</w:t>
      </w:r>
    </w:p>
    <w:p w:rsidR="00000000" w:rsidRDefault="00000000"/>
    <w:p w:rsidR="00000000" w:rsidRDefault="00000000">
      <w:r>
        <w:t>804.</w:t>
      </w:r>
      <w:r>
        <w:tab/>
        <w:t xml:space="preserve">Все эти проекты предусматривают сбор и анализ данных о состоянии профессионально-технической подготовки, мониторинг тенденций на рынке труда (спрос и предложение рабочей силы), сбор и распространение информации о профессионально-технической подготовке и ее связи с рынком труда и соответствующими национальными факторами, а также о роли и участии социальных партнеров во всех процессах развития.  </w:t>
      </w:r>
    </w:p>
    <w:p w:rsidR="00000000" w:rsidRDefault="00000000"/>
    <w:p w:rsidR="00000000" w:rsidRDefault="00000000">
      <w:r>
        <w:t>805.</w:t>
      </w:r>
      <w:r>
        <w:tab/>
        <w:t xml:space="preserve">Проект Германского агентства по техническому сотрудничеству, связанный с модернизацией двух- и трехгодичной профессиональной подготовки в области электротехники, техники, механики и </w:t>
      </w:r>
      <w:proofErr w:type="spellStart"/>
      <w:r>
        <w:t>автотехники</w:t>
      </w:r>
      <w:proofErr w:type="spellEnd"/>
      <w:r>
        <w:t xml:space="preserve"> в семи средних профессионально-технических школах, осуществляется непосредственно в русле программы </w:t>
      </w:r>
      <w:r>
        <w:rPr>
          <w:lang w:val="en-US"/>
        </w:rPr>
        <w:t>VET</w:t>
      </w:r>
      <w:r>
        <w:t>3.  Этот проект (который первоначально планировалось завершить в феврале 2005 года), как ожидается, будет продолжен благодаря успешным результатам и привлекательности его программ для рынка труда.</w:t>
      </w:r>
    </w:p>
    <w:p w:rsidR="00000000" w:rsidRDefault="00000000"/>
    <w:p w:rsidR="00000000" w:rsidRDefault="00000000">
      <w:r>
        <w:t>806.</w:t>
      </w:r>
      <w:r>
        <w:tab/>
        <w:t>ЮСЭЙД в настоящее время финансирует нижеследующие проекты в сфере образования.</w:t>
      </w:r>
    </w:p>
    <w:p w:rsidR="00000000" w:rsidRDefault="00000000"/>
    <w:p w:rsidR="00000000" w:rsidRDefault="00000000">
      <w:r>
        <w:t>807.</w:t>
      </w:r>
      <w:r>
        <w:tab/>
        <w:t>Мероприятия в области среднего профессионально-технического образования, программа которых включает:</w:t>
      </w:r>
    </w:p>
    <w:p w:rsidR="00000000" w:rsidRDefault="00000000"/>
    <w:p w:rsidR="00000000" w:rsidRDefault="00000000">
      <w:pPr>
        <w:numPr>
          <w:ilvl w:val="0"/>
          <w:numId w:val="87"/>
        </w:numPr>
        <w:tabs>
          <w:tab w:val="clear" w:pos="567"/>
        </w:tabs>
        <w:spacing w:after="240"/>
        <w:rPr>
          <w:rFonts w:eastAsia="PMingLiU"/>
        </w:rPr>
      </w:pPr>
      <w:r>
        <w:t>подготовку преподавателей в 50 средних профессионально-технических школах, позволяющую им применять методику контекстуального обучения;</w:t>
      </w:r>
    </w:p>
    <w:p w:rsidR="00000000" w:rsidRDefault="00000000">
      <w:pPr>
        <w:numPr>
          <w:ilvl w:val="0"/>
          <w:numId w:val="87"/>
        </w:numPr>
        <w:tabs>
          <w:tab w:val="clear" w:pos="567"/>
        </w:tabs>
        <w:spacing w:after="240"/>
      </w:pPr>
      <w:r>
        <w:t>создание центров карьерного роста, включающих в себя три компонента:</w:t>
      </w:r>
    </w:p>
    <w:p w:rsidR="00000000" w:rsidRDefault="00000000">
      <w:pPr>
        <w:pStyle w:val="BodyTextIndent"/>
        <w:spacing w:after="0" w:line="288" w:lineRule="auto"/>
        <w:ind w:left="1496"/>
        <w:rPr>
          <w:lang w:val="ru-RU"/>
        </w:rPr>
      </w:pPr>
      <w:r>
        <w:rPr>
          <w:lang w:val="ru-RU"/>
        </w:rPr>
        <w:t>создание карьерных центров во всех школах, виртуальных компаний в шести средних школах экономики, которые были охвачены проектом ЭКОНЕТ, осуществляемым в стране Австрийской организацией культурных контактов, а также создание реальных компаний в 44 средних профессионально-технических школах, сфера деятельности которых должна соответствовать профессиональным навыкам, приобретаемым учащимися, и профилю школ и которые будут предлагать на рынке реальные товары и услуги на основе заранее подготовленного бизнес-плана, стремясь к успешной коммерческой деятельности;</w:t>
      </w:r>
    </w:p>
    <w:p w:rsidR="00000000" w:rsidRDefault="00000000">
      <w:pPr>
        <w:pStyle w:val="BodyTextIndent"/>
        <w:spacing w:after="0" w:line="288" w:lineRule="auto"/>
        <w:ind w:left="1440"/>
        <w:rPr>
          <w:lang w:val="ru-RU"/>
        </w:rPr>
      </w:pPr>
    </w:p>
    <w:p w:rsidR="00000000" w:rsidRDefault="00000000">
      <w:pPr>
        <w:numPr>
          <w:ilvl w:val="0"/>
          <w:numId w:val="87"/>
        </w:numPr>
        <w:tabs>
          <w:tab w:val="clear" w:pos="567"/>
        </w:tabs>
        <w:spacing w:after="240"/>
      </w:pPr>
      <w:r>
        <w:t>программа профессиональной подготовки директоров школ (юридические требования к ним установлены в Законе о внесении поправок в Закон о среднем образовании ("Официальный вестник " бывшей югославской Республики Македонии № 67/2004, статья 42, пункт 2) и в Законе о внесении поправок в Закон о начальном образовании ("Официальный вестник " бывшей югославской Республики Македонии № 63/04, статья 59, пункт 2).  Согласно поправкам к этим законодательным актам, одним из требований при назначении директора является сдача экзамена на эту должность;</w:t>
      </w:r>
    </w:p>
    <w:p w:rsidR="00000000" w:rsidRDefault="00000000">
      <w:pPr>
        <w:numPr>
          <w:ilvl w:val="0"/>
          <w:numId w:val="87"/>
        </w:numPr>
        <w:tabs>
          <w:tab w:val="clear" w:pos="567"/>
        </w:tabs>
        <w:spacing w:after="240"/>
      </w:pPr>
      <w:r>
        <w:t xml:space="preserve">программа электронной школы способствует внедрению информационных технологий в начальных и средних школах к 2007 году и предполагает установку и подключение компьютерного оборудования, подаренного Китайской Народной Республикой:  2 000 компьютеров предназначаются для средних школ и 3 300 </w:t>
      </w:r>
      <w:r>
        <w:noBreakHyphen/>
        <w:t xml:space="preserve"> для начальных школ.  Эта программа включает также подготовку преподавателей для включения информационной технологии в процесс обучения;</w:t>
      </w:r>
    </w:p>
    <w:p w:rsidR="00000000" w:rsidRDefault="00000000">
      <w:pPr>
        <w:numPr>
          <w:ilvl w:val="0"/>
          <w:numId w:val="87"/>
        </w:numPr>
        <w:tabs>
          <w:tab w:val="clear" w:pos="567"/>
        </w:tabs>
        <w:spacing w:after="240"/>
      </w:pPr>
      <w:r>
        <w:t>ЮСЭЙД также осуществляет программу подключения к 2007 году к Интернету всех центральных начальных и средних школ в бывшей югославской Республике Македонии.</w:t>
      </w:r>
    </w:p>
    <w:p w:rsidR="00000000" w:rsidRDefault="00000000">
      <w:r>
        <w:t>808.</w:t>
      </w:r>
      <w:r>
        <w:tab/>
        <w:t>В настоящее время осуществляется проект модернизации системы образования, финансируемый за счет кредита Всемирного банка и грантов правительства Нидерландов.  Данный проект является первым шагом в децентрализации системы образования и в то же время обеспечивает важный вклад в перестройку образования и профессионально-технической подготовки с учетом новых технологических и промышленных процессов.  Этот проект реформ охватывает главным образом старшие классы начальной и средней школы.</w:t>
      </w:r>
    </w:p>
    <w:p w:rsidR="00000000" w:rsidRDefault="00000000"/>
    <w:p w:rsidR="00000000" w:rsidRDefault="00000000">
      <w:r>
        <w:t>Принимаемые меры касаются:</w:t>
      </w:r>
    </w:p>
    <w:p w:rsidR="00000000" w:rsidRDefault="00000000">
      <w:r>
        <w:tab/>
        <w:t>-</w:t>
      </w:r>
      <w:r>
        <w:tab/>
        <w:t>качества образования;</w:t>
      </w:r>
    </w:p>
    <w:p w:rsidR="00000000" w:rsidRDefault="00000000"/>
    <w:p w:rsidR="00000000" w:rsidRDefault="00000000">
      <w:r>
        <w:tab/>
        <w:t>-</w:t>
      </w:r>
      <w:r>
        <w:tab/>
        <w:t>системы оценки (внешние оценки);</w:t>
      </w:r>
    </w:p>
    <w:p w:rsidR="00000000" w:rsidRDefault="00000000"/>
    <w:p w:rsidR="00000000" w:rsidRDefault="00000000">
      <w:r>
        <w:tab/>
        <w:t>-</w:t>
      </w:r>
      <w:r>
        <w:tab/>
        <w:t xml:space="preserve">системы аккредитации поставщиков услуг </w:t>
      </w:r>
      <w:r>
        <w:noBreakHyphen/>
        <w:t xml:space="preserve"> учреждений и программ;</w:t>
      </w:r>
    </w:p>
    <w:p w:rsidR="00000000" w:rsidRDefault="00000000"/>
    <w:p w:rsidR="00000000" w:rsidRDefault="00000000">
      <w:pPr>
        <w:ind w:left="1134" w:hanging="1134"/>
      </w:pPr>
      <w:r>
        <w:tab/>
        <w:t>-</w:t>
      </w:r>
      <w:r>
        <w:tab/>
        <w:t>независимой, самостоятельно функционирующей системы внутренней подготовки преподавателей;</w:t>
      </w:r>
    </w:p>
    <w:p w:rsidR="00000000" w:rsidRDefault="00000000">
      <w:pPr>
        <w:ind w:left="567" w:hanging="567"/>
      </w:pPr>
    </w:p>
    <w:p w:rsidR="00000000" w:rsidRDefault="00000000">
      <w:pPr>
        <w:ind w:left="1134" w:hanging="1134"/>
      </w:pPr>
      <w:r>
        <w:tab/>
        <w:t>-</w:t>
      </w:r>
      <w:r>
        <w:tab/>
        <w:t>институционального строительства (адаптированного к современным тенденциям в сфере образования и требованиям современного рынка труда).</w:t>
      </w:r>
    </w:p>
    <w:p w:rsidR="00000000" w:rsidRDefault="00000000">
      <w:pPr>
        <w:ind w:left="567" w:hanging="567"/>
      </w:pPr>
    </w:p>
    <w:p w:rsidR="00000000" w:rsidRDefault="00000000">
      <w:r>
        <w:t>В</w:t>
      </w:r>
      <w:r>
        <w:rPr>
          <w:lang w:val="en-US"/>
        </w:rPr>
        <w:t> </w:t>
      </w:r>
      <w:r>
        <w:t xml:space="preserve">феврале 2004 года в соответствии с директивами ЕС по вопросам занятости и при поддержке проекта технической помощи в деле институционального строительства </w:t>
      </w:r>
      <w:r>
        <w:rPr>
          <w:lang w:val="en-US"/>
        </w:rPr>
        <w:t>CARDS</w:t>
      </w:r>
      <w:r>
        <w:t xml:space="preserve"> был принят Национальный план действий по трудоустройству населения на 2004</w:t>
      </w:r>
      <w:r>
        <w:noBreakHyphen/>
        <w:t>2005</w:t>
      </w:r>
      <w:r>
        <w:rPr>
          <w:lang w:val="en-US"/>
        </w:rPr>
        <w:t> </w:t>
      </w:r>
      <w:r>
        <w:t>годы, который должен помочь в проведении политики в области занятости.  В этом плане предусмотрены, в частности, следующие приоритетные меры по увеличению занятости:  профессионально</w:t>
      </w:r>
      <w:r>
        <w:noBreakHyphen/>
        <w:t>техническое и непрерывное обучение;  разработка стратегических инициатив в сотрудничестве с социальными партнерами;  повышение качества и производительности труда;  адаптация к изменениям и повышение адаптируемости и мобильности рынка труда.</w:t>
      </w:r>
    </w:p>
    <w:p w:rsidR="00000000" w:rsidRDefault="00000000"/>
    <w:p w:rsidR="00000000" w:rsidRDefault="00000000">
      <w:r>
        <w:t>809.</w:t>
      </w:r>
      <w:r>
        <w:tab/>
        <w:t>Вышеуказанные меры представляют собой ключевые императивы Программы развития образования на 2005</w:t>
      </w:r>
      <w:r>
        <w:noBreakHyphen/>
        <w:t>2015 годы, в основе которой лежат требования рынка труда и необходимость адаптации к изменениям в промышленности и технологиях.</w:t>
      </w:r>
    </w:p>
    <w:p w:rsidR="00000000" w:rsidRDefault="00000000"/>
    <w:p w:rsidR="00000000" w:rsidRDefault="00000000">
      <w:r>
        <w:t>810.</w:t>
      </w:r>
      <w:r>
        <w:tab/>
        <w:t>Принятие в Болонье Декларации, предусматривающий внедрение системы переноса зачетных единиц в средних профессионально</w:t>
      </w:r>
      <w:r>
        <w:noBreakHyphen/>
        <w:t>технических школах, также будет способствовать адаптации системы образования и профессиональной подготовки к изменениям в промышленности и технологиях.</w:t>
      </w:r>
    </w:p>
    <w:p w:rsidR="00000000" w:rsidRDefault="00000000"/>
    <w:p w:rsidR="00000000" w:rsidRDefault="00000000">
      <w:r>
        <w:t>811.</w:t>
      </w:r>
      <w:r>
        <w:tab/>
        <w:t>Ожидается, что проводимые при международной поддержке реформы позволят облегчить переход учащихся из средних профессионально</w:t>
      </w:r>
      <w:r>
        <w:noBreakHyphen/>
        <w:t>технических школ в высшие учебные заведения.  Для этого требуется наладить связь между ВУЗами и экономикой на основе исследовательских центров и других механизмов, причем увязка результатов таких исследований с экономическими потребностями и их применение в хозяйственной деятельности придадут дополнительный стимул экономическому развитию страны.</w:t>
      </w:r>
    </w:p>
    <w:p w:rsidR="00000000" w:rsidRDefault="00000000"/>
    <w:p w:rsidR="00000000" w:rsidRDefault="00000000">
      <w:r>
        <w:t>812.</w:t>
      </w:r>
      <w:r>
        <w:tab/>
        <w:t>Для адаптации учебной программы высших учебных заведений к потребностям экономики были внесены изменения в учебные программы факультета электротехники, факультета механики, факультета сельскохозяйственных наук и продовольствия, инженерно-строительного факультета в Скопье, а также технического факультета и факультета биотехнологии в Битоле.  В соответствии с Законом о внесении поправок в Закон о высшем образовании на этих факультетах появились трехлетние программы профессионально-технической и высшей профессионально-технической подготовки специалистов для экономики.  С октября 2004 года в Государственном университете Тетово функционирует политехническая школа, готовящая на основе трехлетней программы инженеров-строителей и специалистов в области продовольственных технологий.</w:t>
      </w:r>
    </w:p>
    <w:p w:rsidR="00000000" w:rsidRDefault="00000000"/>
    <w:p w:rsidR="00000000" w:rsidRDefault="00000000">
      <w:r>
        <w:t>813.</w:t>
      </w:r>
      <w:r>
        <w:tab/>
        <w:t>С учетом того факта, что большое число крупных промышленных объектов в стране было закрыто или реконструировано (в рамках приватизации), процесс подготовки специалистов в высших учебных заведениях страны должен быть переориентирован на новые условия рынка (потребности малых и средних предприятий).  В этой связи высшие учебные заведения должны совершенствовать не только свои учебные программы, но и в методы обучения.</w:t>
      </w:r>
    </w:p>
    <w:p w:rsidR="00000000" w:rsidRDefault="00000000"/>
    <w:p w:rsidR="00000000" w:rsidRDefault="00000000">
      <w:pPr>
        <w:jc w:val="center"/>
        <w:rPr>
          <w:b/>
          <w:bCs/>
        </w:rPr>
      </w:pPr>
      <w:r>
        <w:rPr>
          <w:b/>
          <w:bCs/>
        </w:rPr>
        <w:t>Статья 15 Пакта</w:t>
      </w:r>
    </w:p>
    <w:p w:rsidR="00000000" w:rsidRDefault="00000000">
      <w:pPr>
        <w:jc w:val="center"/>
        <w:rPr>
          <w:b/>
          <w:bCs/>
        </w:rPr>
      </w:pPr>
    </w:p>
    <w:p w:rsidR="00000000" w:rsidRDefault="00000000">
      <w:pPr>
        <w:rPr>
          <w:b/>
          <w:bCs/>
        </w:rPr>
      </w:pPr>
      <w:r>
        <w:rPr>
          <w:b/>
          <w:bCs/>
        </w:rPr>
        <w:t>Культурные права и их осуществление</w:t>
      </w:r>
    </w:p>
    <w:p w:rsidR="00000000" w:rsidRDefault="00000000">
      <w:pPr>
        <w:rPr>
          <w:b/>
          <w:bCs/>
        </w:rPr>
      </w:pPr>
    </w:p>
    <w:p w:rsidR="00000000" w:rsidRDefault="00000000">
      <w:r>
        <w:t>814.</w:t>
      </w:r>
      <w:r>
        <w:tab/>
        <w:t>В Конституции закреплены культурные права, являющиеся неотъемлемой частью свобод и прав человека и гражданина.  Конституция гарантирует свободу научного, художественного и иного творчества, т.е. права, связанные с результатами научной, художественной и других видов интеллектуальной деятельности.  В то же время государство поощряет, поддерживает и защищает процесс развития науки, искусства и культуры.</w:t>
      </w:r>
    </w:p>
    <w:p w:rsidR="00000000" w:rsidRDefault="00000000"/>
    <w:p w:rsidR="00000000" w:rsidRDefault="00000000">
      <w:r>
        <w:t>815.</w:t>
      </w:r>
      <w:r>
        <w:tab/>
        <w:t>Кроме того, гражданам гарантируется свобода ассоциации для целей осуществления и защиты их политических, экономических, социальных, культурных и других прав и убеждений.</w:t>
      </w:r>
    </w:p>
    <w:p w:rsidR="00000000" w:rsidRDefault="00000000"/>
    <w:p w:rsidR="00000000" w:rsidRDefault="00000000">
      <w:r>
        <w:t>816.</w:t>
      </w:r>
      <w:r>
        <w:tab/>
        <w:t>В Конституции и конституционных поправках</w:t>
      </w:r>
      <w:r>
        <w:rPr>
          <w:b/>
          <w:bCs/>
          <w:vertAlign w:val="superscript"/>
        </w:rPr>
        <w:t>20</w:t>
      </w:r>
      <w:r>
        <w:t xml:space="preserve"> предусматривается, что в рамках своих культурных прав представители национальных меньшинств или общин имеют право свободно выражать, реализовывать и развивать свою самобытность и самобытность своих общин, а также создавать культурные, художественные и просветительские учреждения, равно как и научные и другие ассоциации для целей выражения, реализации и развития своей самобытности.  Кроме того, государство гарантирует защиту, поощрение и обогащение исторического и художественного наследия всех общин Македонии, а также всех составляющих такого наследия независимо от их правового статуса.</w:t>
      </w:r>
    </w:p>
    <w:p w:rsidR="00000000" w:rsidRDefault="00000000"/>
    <w:p w:rsidR="00000000" w:rsidRDefault="00000000">
      <w:r>
        <w:t>817.</w:t>
      </w:r>
      <w:r>
        <w:tab/>
        <w:t>Государство заботится о положении и правах представителей македонского народа, проживающих в соседних и других странах, поощряет их культурное развитие и укрепляет с ними связи.  Государство заботится также о культурных, экономических и социальных правах македонских граждан, живущих за рубежом.</w:t>
      </w:r>
    </w:p>
    <w:p w:rsidR="00000000" w:rsidRDefault="00000000"/>
    <w:p w:rsidR="00000000" w:rsidRDefault="00000000">
      <w:r>
        <w:t>818.</w:t>
      </w:r>
      <w:r>
        <w:tab/>
        <w:t>Концепция фундаментальных ценностей конституционного порядка, т.е. основных свобод и прав человека и гражданина, признаваемых в международном праве и в Конституции, с точки зрения культурных прав человека и гражданина провозглашается и  развивается в Законе о культуре ("Официальный вестник" бывшей югославской Республики Македонии № 66/2003 </w:t>
      </w:r>
      <w:r>
        <w:noBreakHyphen/>
        <w:t xml:space="preserve"> сводный текст), являющемся одним из основополагающих законов, регулирующих создание и распространение, защиту и использование результатов художественного творчества, а также в Законе об авторских и смежных правах ("Официальный вестник" бывшей югославской Республики Македонии № 47/1996, 3/1998, 98/2002).</w:t>
      </w:r>
    </w:p>
    <w:p w:rsidR="00000000" w:rsidRDefault="00000000"/>
    <w:p w:rsidR="00000000" w:rsidRDefault="00000000">
      <w:r>
        <w:t>819.</w:t>
      </w:r>
      <w:r>
        <w:tab/>
        <w:t>В Законе о культуре, опирающемся на вышеуказанные конституционные положения в этой области, определяются основы культуры как фундаментальной ценности бывшей югославской Республики Македонии, формы и порядок финансирования культуры, а также другие аспекты, представляющие интерес с точки зрения культуры.</w:t>
      </w:r>
    </w:p>
    <w:p w:rsidR="00000000" w:rsidRDefault="00000000"/>
    <w:p w:rsidR="00000000" w:rsidRDefault="00000000">
      <w:r>
        <w:t>820.</w:t>
      </w:r>
      <w:r>
        <w:tab/>
        <w:t>Согласно этому закону, культурная деятельность осуществляется на основе равенства всех сторон </w:t>
      </w:r>
      <w:r>
        <w:noBreakHyphen/>
        <w:t xml:space="preserve"> физических и юридических лиц, занимающихся такой деятельностью на равных условиях.  Равенство физических лиц вытекает из гражданской концепции культуры, согласно которой все граждане страны независимо от происхождения, этнической принадлежности, пола и т.д. пользуются гарантируемыми законом равными правами на создание и использование произведений культуры.  Важнейшим субъектом культуры, как правило, выступает гражданин как создатель культурных ценностей и пользователь ими независимо от своего статуса или той или иной принадлежности.</w:t>
      </w:r>
    </w:p>
    <w:p w:rsidR="00000000" w:rsidRDefault="00000000"/>
    <w:p w:rsidR="00000000" w:rsidRDefault="00000000">
      <w:r>
        <w:t>821.</w:t>
      </w:r>
      <w:r>
        <w:tab/>
        <w:t>Гарантируемое Конституцией право на свободу творчества является основополагающим правом, лежащим в основе всех других прав.</w:t>
      </w:r>
    </w:p>
    <w:p w:rsidR="00000000" w:rsidRDefault="00000000"/>
    <w:p w:rsidR="00000000" w:rsidRDefault="00000000">
      <w:r>
        <w:t>822.</w:t>
      </w:r>
      <w:r>
        <w:tab/>
        <w:t>Провозглашенная в Законе о культуре цель поддержки создания и защиты культурных ценностей и обеспечения их широкого использования, а также поощрения культурного многообразия фактически означает реализацию закрепленного в Конституции отношения государства к культуре:  государство гарантирует определенное отношение к культуре и защиту определенных культурных ценностей в рамках понятия "</w:t>
      </w:r>
      <w:r>
        <w:rPr>
          <w:i/>
          <w:iCs/>
        </w:rPr>
        <w:t>национальные культурные интересы</w:t>
      </w:r>
      <w:r>
        <w:t>".</w:t>
      </w:r>
    </w:p>
    <w:p w:rsidR="00000000" w:rsidRDefault="00000000"/>
    <w:p w:rsidR="00000000" w:rsidRDefault="00000000">
      <w:r>
        <w:t>823.</w:t>
      </w:r>
      <w:r>
        <w:tab/>
        <w:t>Национальные культурные интересы представляют собой общие интересы всех граждан бывшей югославской Республики Македонии, которые требуют постоянной реализации, а также равного доступа для всех граждан.</w:t>
      </w:r>
    </w:p>
    <w:p w:rsidR="00000000" w:rsidRDefault="00000000"/>
    <w:p w:rsidR="00000000" w:rsidRDefault="00000000">
      <w:r>
        <w:t>824.</w:t>
      </w:r>
      <w:r>
        <w:tab/>
        <w:t>Культура является уникальной сферой человеческой деятельности и носит индивидуальный характер, поскольку творится она (авторами или исполнителями) лишь физическими лицами (людьми).  Творчество является плодом авторского или исполнительского решения.</w:t>
      </w:r>
    </w:p>
    <w:p w:rsidR="00000000" w:rsidRDefault="00000000"/>
    <w:p w:rsidR="00000000" w:rsidRDefault="00000000">
      <w:r>
        <w:t>825.</w:t>
      </w:r>
      <w:r>
        <w:tab/>
        <w:t>В Законе о культуре дается общее определение субъектов, имеющих отношение к культурной деятельности:  авторов, учреждений и других физических и юридических лиц.  В нем определяются условия и формы культурной деятельности, и в частности процедура управления и принятия решений, финансирования и создания культурных фондов.  Это означает, что все те, кто удовлетворяет ряду условий, могут зарегистрироваться и заниматься культурной деятельностью и претендовать на финансирование из государственного бюджета на основании установленной процедуры и в рамках единого режима и форм контроля.</w:t>
      </w:r>
    </w:p>
    <w:p w:rsidR="00000000" w:rsidRDefault="00000000"/>
    <w:p w:rsidR="00000000" w:rsidRDefault="00000000">
      <w:r>
        <w:t>826.</w:t>
      </w:r>
      <w:r>
        <w:tab/>
        <w:t>Согласно упомянутому Закону, распространение, защита и использование плодов творчества распространяются на музыкальные произведения, издательское дело, театр, оперу, балет, народные танцы, кинематографию, библиотеки, музеи, фильмотеки, деятельность общинных культурных центров, архитектуру, агентские отношения в сфере культуры и охрану архитектурного культурного наследия.</w:t>
      </w:r>
    </w:p>
    <w:p w:rsidR="00000000" w:rsidRDefault="00000000"/>
    <w:p w:rsidR="00000000" w:rsidRDefault="00000000">
      <w:r>
        <w:t>827.</w:t>
      </w:r>
      <w:r>
        <w:tab/>
        <w:t>Для повышения качества культуры как фундаментальной ценности в жизни граждан была принята Национальная программа в области культуры на 2004</w:t>
      </w:r>
      <w:r>
        <w:noBreakHyphen/>
        <w:t>2008 годы, представляющая собой стратегический документ в области развития культуры.</w:t>
      </w:r>
    </w:p>
    <w:p w:rsidR="00000000" w:rsidRDefault="00000000"/>
    <w:p w:rsidR="00000000" w:rsidRDefault="00000000">
      <w:r>
        <w:t>828.</w:t>
      </w:r>
      <w:r>
        <w:tab/>
        <w:t>В основе концепции Национальной программы в области культуры лежит широкая концепция культуры как среды, в которой люди, руководствуясь своими собственными традициями, творчески созидают на базе текущих реалий свое будущее с новыми достижениями и новыми ценностями, помогающими делу укрепления прав и свобод человека.  Такое определение культуры строится на целом ряде основополагающих принципов, таких, как доступность, многообразие, прозрачность, ответственность и гибкость.  Доступность культурных ценностей связана с возможностью реализации своих культурных прав всеми гражданами, в то время как под многообразием понимаются различия в культурной самобытности, а также необходимость искать новые формы творчества и поощрять свободу творчества.</w:t>
      </w:r>
    </w:p>
    <w:p w:rsidR="00000000" w:rsidRDefault="00000000"/>
    <w:p w:rsidR="00000000" w:rsidRDefault="00000000">
      <w:r>
        <w:t>829.</w:t>
      </w:r>
      <w:r>
        <w:tab/>
        <w:t>В Национальной программе закреплены следующие задачи:</w:t>
      </w:r>
    </w:p>
    <w:p w:rsidR="00000000" w:rsidRDefault="00000000"/>
    <w:p w:rsidR="00000000" w:rsidRDefault="00000000">
      <w:r>
        <w:tab/>
        <w:t>-</w:t>
      </w:r>
      <w:r>
        <w:tab/>
        <w:t>децентрализация культуры;</w:t>
      </w:r>
    </w:p>
    <w:p w:rsidR="00000000" w:rsidRDefault="00000000"/>
    <w:p w:rsidR="00000000" w:rsidRDefault="00000000">
      <w:r>
        <w:tab/>
        <w:t>-</w:t>
      </w:r>
      <w:r>
        <w:tab/>
        <w:t>использование культуры в интересах развития;</w:t>
      </w:r>
    </w:p>
    <w:p w:rsidR="00000000" w:rsidRDefault="00000000"/>
    <w:p w:rsidR="00000000" w:rsidRDefault="00000000">
      <w:pPr>
        <w:ind w:left="567" w:hanging="567"/>
      </w:pPr>
      <w:r>
        <w:tab/>
        <w:t>-</w:t>
      </w:r>
      <w:r>
        <w:tab/>
        <w:t>защита и создание культурного наследия;</w:t>
      </w:r>
    </w:p>
    <w:p w:rsidR="00000000" w:rsidRDefault="00000000">
      <w:pPr>
        <w:ind w:left="567" w:hanging="567"/>
      </w:pPr>
    </w:p>
    <w:p w:rsidR="00000000" w:rsidRDefault="00000000">
      <w:pPr>
        <w:ind w:left="1134" w:hanging="1134"/>
      </w:pPr>
      <w:r>
        <w:tab/>
        <w:t>-</w:t>
      </w:r>
      <w:r>
        <w:tab/>
        <w:t>поощрение современного творчества с особым акцентом на культурные потребности молодежи;</w:t>
      </w:r>
    </w:p>
    <w:p w:rsidR="00000000" w:rsidRDefault="00000000">
      <w:pPr>
        <w:ind w:left="567" w:hanging="567"/>
      </w:pPr>
    </w:p>
    <w:p w:rsidR="00000000" w:rsidRDefault="00000000">
      <w:pPr>
        <w:ind w:left="1134" w:hanging="1134"/>
      </w:pPr>
      <w:r>
        <w:tab/>
        <w:t>-</w:t>
      </w:r>
      <w:r>
        <w:tab/>
        <w:t>возрождение достоинства автора произведения искусства и формирование условий для создания и защиты культурных ценностей;</w:t>
      </w:r>
    </w:p>
    <w:p w:rsidR="00000000" w:rsidRDefault="00000000">
      <w:pPr>
        <w:ind w:left="567" w:hanging="567"/>
      </w:pPr>
    </w:p>
    <w:p w:rsidR="00000000" w:rsidRDefault="00000000">
      <w:pPr>
        <w:ind w:left="567" w:hanging="567"/>
      </w:pPr>
      <w:r>
        <w:tab/>
        <w:t>-</w:t>
      </w:r>
      <w:r>
        <w:tab/>
        <w:t>совершенствование управления в области культуры.</w:t>
      </w:r>
    </w:p>
    <w:p w:rsidR="00000000" w:rsidRDefault="00000000">
      <w:pPr>
        <w:ind w:left="567" w:hanging="567"/>
      </w:pPr>
    </w:p>
    <w:p w:rsidR="00000000" w:rsidRDefault="00000000">
      <w:r>
        <w:t>830.</w:t>
      </w:r>
      <w:r>
        <w:tab/>
        <w:t>Опираясь на положения Конституции и международный опыт в сфере культуры, государство должно строить гражданское общество и поддерживать НПО.</w:t>
      </w:r>
    </w:p>
    <w:p w:rsidR="00000000" w:rsidRDefault="00000000"/>
    <w:p w:rsidR="00000000" w:rsidRDefault="00000000">
      <w:r>
        <w:t>831.</w:t>
      </w:r>
      <w:r>
        <w:tab/>
        <w:t>С учетом того факта, что в предыдущий период этот сектор не получал необходимой поддержки, в 2003 и 2004 годах министерство культуры стремилось активно поддерживать культурные инициативы неправительственного сектора.</w:t>
      </w:r>
    </w:p>
    <w:p w:rsidR="00000000" w:rsidRDefault="00000000"/>
    <w:p w:rsidR="00000000" w:rsidRDefault="00000000">
      <w:r>
        <w:t>832.</w:t>
      </w:r>
      <w:r>
        <w:tab/>
        <w:t>Одним из приоритетных направлений Национальной программы в области культуры является сотрудничество с НПО, ставящее целью укрепить их влияние в области культуры и активизировать их участие в культурной жизни.</w:t>
      </w:r>
    </w:p>
    <w:p w:rsidR="00000000" w:rsidRDefault="00000000"/>
    <w:p w:rsidR="00000000" w:rsidRDefault="00000000">
      <w:r>
        <w:t>833.</w:t>
      </w:r>
      <w:r>
        <w:tab/>
        <w:t>Полномочия министерства культуры определены в Законе об организации и деятельности органов государственной администрации.  Согласно статье 26 этого закона, министерство культуры осуществляет функции, связанные с мониторингом, анализом и предложением действий и мер по развитию и поощрению культуры;  организацией, финансированием и развитием сети национальных учреждений и финансированием представляющих национальный интерес программ и проектов в области культуры;  защитой культурного наследия;  деятельностью в области издательского дела, музыки, исполнительского творчества, кинематографии, выставок, библиотек, архивов, музеев и кинематографических архивов;  защитой авторских и смежных прав;  сооружением монументов в честь событий и выдающихся лиц общенационального масштаба;  надзором в сфере культуры и другими функциями, определяемыми законом.</w:t>
      </w:r>
    </w:p>
    <w:p w:rsidR="00000000" w:rsidRDefault="00000000"/>
    <w:p w:rsidR="00000000" w:rsidRDefault="00000000">
      <w:r>
        <w:t>834.</w:t>
      </w:r>
      <w:r>
        <w:tab/>
        <w:t>Согласно закону, в состав министерства культуры входит Управление по вопросам защиты и пропаганды культуры общин.  Его полномочия определены в нормативных актах, касающихся создания и организации министерства культуры, согласно которым Управление выполняет следующие функции:  решает технические и административные задачи в интересах укрепления и пропаганды культурной самобытности представителей общин;  организует пропаганду и защиту культуры представителей общин;  поощряет и стимулирует международное техническое сотрудничество с соседними и другими европейскими странами в интересах защиты и развития культурной самобытности представителей общин.</w:t>
      </w:r>
    </w:p>
    <w:p w:rsidR="00000000" w:rsidRDefault="00000000"/>
    <w:p w:rsidR="00000000" w:rsidRDefault="00000000">
      <w:r>
        <w:t>835.</w:t>
      </w:r>
      <w:r>
        <w:tab/>
        <w:t>Функции муниципалитетов в сфере культуры определяются в Законе о местном управлении ("Официальный вестник" бывшей югославской Республики Македонии № 5/2002).  Согласно статье 21 этого закона, муниципалитеты регулируют и самостоятельно осуществляют в рамках действующего законодательства публичную деятельность местного значения в соответствии с требованиями данного и других законов и несут ответственность за их исполнение.</w:t>
      </w:r>
    </w:p>
    <w:p w:rsidR="00000000" w:rsidRDefault="00000000"/>
    <w:p w:rsidR="00000000" w:rsidRDefault="00000000">
      <w:r>
        <w:t>836.</w:t>
      </w:r>
      <w:r>
        <w:tab/>
        <w:t>Согласно пункту 5 статьи 22 Закона, который касается сферы культуры, муниципалитеты несут ответственность за оказание институциональной и финансовой поддержки культурным учреждениям и проектам, за сохранение фольклора, обычаев, ремесел и культурных ценностей, за организацию культурных выставок и поощрение различных конкретных видов творчества.</w:t>
      </w:r>
    </w:p>
    <w:p w:rsidR="00000000" w:rsidRDefault="00000000"/>
    <w:p w:rsidR="00000000" w:rsidRDefault="00000000">
      <w:r>
        <w:t>837.</w:t>
      </w:r>
      <w:r>
        <w:tab/>
        <w:t>Помимо Закона о культуре, регулированию культурной деятельности посвящены следующие нормативные акты:</w:t>
      </w:r>
    </w:p>
    <w:p w:rsidR="00000000" w:rsidRDefault="00000000"/>
    <w:p w:rsidR="00000000" w:rsidRDefault="00000000">
      <w:pPr>
        <w:tabs>
          <w:tab w:val="clear" w:pos="567"/>
          <w:tab w:val="clear" w:pos="1134"/>
          <w:tab w:val="left" w:pos="1122"/>
        </w:tabs>
        <w:ind w:left="1122" w:hanging="561"/>
      </w:pPr>
      <w:r>
        <w:t>-</w:t>
      </w:r>
      <w:r>
        <w:tab/>
        <w:t>Закон о музеях ("Официальный вестник" бывшей югославской Республики Македонии № 66/2004);</w:t>
      </w:r>
    </w:p>
    <w:p w:rsidR="00000000" w:rsidRDefault="00000000">
      <w:pPr>
        <w:ind w:left="567" w:hanging="567"/>
      </w:pPr>
    </w:p>
    <w:p w:rsidR="00000000" w:rsidRDefault="00000000">
      <w:pPr>
        <w:tabs>
          <w:tab w:val="clear" w:pos="567"/>
          <w:tab w:val="clear" w:pos="1134"/>
          <w:tab w:val="left" w:pos="1122"/>
        </w:tabs>
        <w:ind w:left="1122" w:hanging="561"/>
      </w:pPr>
      <w:r>
        <w:t>-</w:t>
      </w:r>
      <w:r>
        <w:tab/>
        <w:t>Закон о библиотеках ("Официальный вестник" бывшей югославской Республики Македонии № 66/2004);</w:t>
      </w:r>
    </w:p>
    <w:p w:rsidR="00000000" w:rsidRDefault="00000000">
      <w:pPr>
        <w:ind w:left="567" w:hanging="567"/>
      </w:pPr>
    </w:p>
    <w:p w:rsidR="00000000" w:rsidRDefault="00000000">
      <w:pPr>
        <w:tabs>
          <w:tab w:val="clear" w:pos="567"/>
          <w:tab w:val="clear" w:pos="1134"/>
          <w:tab w:val="left" w:pos="1122"/>
        </w:tabs>
        <w:ind w:left="1122" w:hanging="561"/>
      </w:pPr>
      <w:r>
        <w:t>-</w:t>
      </w:r>
      <w:r>
        <w:tab/>
        <w:t>Закон о защите культурного наследия ("Официальный вестник" бывшей югославской Республики Македонии № 20/2004);</w:t>
      </w:r>
    </w:p>
    <w:p w:rsidR="00000000" w:rsidRDefault="00000000">
      <w:pPr>
        <w:tabs>
          <w:tab w:val="clear" w:pos="567"/>
          <w:tab w:val="clear" w:pos="1134"/>
          <w:tab w:val="left" w:pos="1122"/>
        </w:tabs>
        <w:ind w:left="1122" w:hanging="561"/>
      </w:pPr>
      <w:r>
        <w:t>-</w:t>
      </w:r>
      <w:r>
        <w:tab/>
        <w:t>Закон о мемориальных памятниках и мемориальных досках ("Официальный вестник" бывшей югославской Республики Македонии № 66/2004);</w:t>
      </w:r>
    </w:p>
    <w:p w:rsidR="00000000" w:rsidRDefault="00000000">
      <w:pPr>
        <w:ind w:left="567" w:hanging="567"/>
      </w:pPr>
    </w:p>
    <w:p w:rsidR="00000000" w:rsidRDefault="00000000">
      <w:pPr>
        <w:tabs>
          <w:tab w:val="clear" w:pos="567"/>
          <w:tab w:val="clear" w:pos="1134"/>
          <w:tab w:val="left" w:pos="1122"/>
        </w:tabs>
        <w:ind w:left="1122" w:hanging="561"/>
      </w:pPr>
      <w:r>
        <w:t>-</w:t>
      </w:r>
      <w:r>
        <w:tab/>
        <w:t>Закон об использовании македонского языка ("Официальный вестник" бывшей югославской Республики Македонии № 5/1998, 33/1999 и 63/1999);</w:t>
      </w:r>
    </w:p>
    <w:p w:rsidR="00000000" w:rsidRDefault="00000000">
      <w:pPr>
        <w:ind w:left="567" w:hanging="567"/>
      </w:pPr>
    </w:p>
    <w:p w:rsidR="00000000" w:rsidRDefault="00000000">
      <w:pPr>
        <w:tabs>
          <w:tab w:val="clear" w:pos="567"/>
          <w:tab w:val="clear" w:pos="1134"/>
          <w:tab w:val="left" w:pos="1122"/>
        </w:tabs>
        <w:ind w:left="1122" w:hanging="561"/>
      </w:pPr>
      <w:r>
        <w:t>-</w:t>
      </w:r>
      <w:r>
        <w:tab/>
        <w:t>Закон об обязательной регистрации копий ("Официальный вестник" бывшей югославской Республики Македонии № 11/1994).</w:t>
      </w:r>
    </w:p>
    <w:p w:rsidR="00000000" w:rsidRDefault="00000000">
      <w:pPr>
        <w:ind w:left="567" w:hanging="567"/>
      </w:pPr>
    </w:p>
    <w:p w:rsidR="00000000" w:rsidRDefault="00000000">
      <w:r>
        <w:t>838.</w:t>
      </w:r>
      <w:r>
        <w:tab/>
        <w:t>15 сентября 2004 года Собрание бывшей югославской Республики Македонии приняло Закон о музеях, Закон о библиотеках и Закон о мемориальных памятниках и мемориальных досках.  Положения этих законодательных актов были приведены в соответствие с требованиями Конституции, Закона о культуре, Закона о местном управлении, а также с зарубежным опытом в этой области.</w:t>
      </w:r>
    </w:p>
    <w:p w:rsidR="00000000" w:rsidRDefault="00000000"/>
    <w:p w:rsidR="00000000" w:rsidRDefault="00000000">
      <w:r>
        <w:t>839.</w:t>
      </w:r>
      <w:r>
        <w:tab/>
        <w:t>Вышеуказанные законодательные акты расширяют полномочия местных органов власти в связи с деятельностью музеев и библиотек в назначении их управляющих и руководящих органов, их финансировании и т.д., а также наделяют местные органы власти непосредственным правом устанавливать мемориальные доски.</w:t>
      </w:r>
    </w:p>
    <w:p w:rsidR="00000000" w:rsidRDefault="00000000"/>
    <w:p w:rsidR="00000000" w:rsidRDefault="00000000">
      <w:r>
        <w:t>840.</w:t>
      </w:r>
      <w:r>
        <w:tab/>
        <w:t>Помимо создания правовой основы децентрализации, вышеуказанные законодательные акты закладывают фундамент для приватизации библиотек и музеев, предоставляя иностранным и отечественным физическим и юридическим лицам право на открытие музеев или библиотек.</w:t>
      </w:r>
    </w:p>
    <w:p w:rsidR="00000000" w:rsidRDefault="00000000"/>
    <w:p w:rsidR="00000000" w:rsidRDefault="00000000">
      <w:pPr>
        <w:rPr>
          <w:b/>
          <w:bCs/>
        </w:rPr>
      </w:pPr>
      <w:r>
        <w:rPr>
          <w:b/>
          <w:bCs/>
        </w:rPr>
        <w:t>Институциональная инфраструктура и децентрализация в сфере культуры</w:t>
      </w:r>
    </w:p>
    <w:p w:rsidR="00000000" w:rsidRDefault="00000000">
      <w:pPr>
        <w:rPr>
          <w:b/>
          <w:bCs/>
        </w:rPr>
      </w:pPr>
    </w:p>
    <w:p w:rsidR="00000000" w:rsidRDefault="00000000">
      <w:r>
        <w:t>841.</w:t>
      </w:r>
      <w:r>
        <w:tab/>
        <w:t xml:space="preserve">С внесением последних поправок в Закон о </w:t>
      </w:r>
      <w:proofErr w:type="spellStart"/>
      <w:r>
        <w:t>культуре</w:t>
      </w:r>
      <w:r>
        <w:rPr>
          <w:b/>
          <w:bCs/>
          <w:vertAlign w:val="superscript"/>
        </w:rPr>
        <w:t>21</w:t>
      </w:r>
      <w:proofErr w:type="spellEnd"/>
      <w:r>
        <w:t xml:space="preserve"> были созданы условия для ускорения процесса децентрализации в сфере культуры, целью которой является передача национальных учреждений в ведение муниципалитетов.  Целесообразность приватизации некоторых из них будет определена позднее.</w:t>
      </w:r>
    </w:p>
    <w:p w:rsidR="00000000" w:rsidRDefault="00000000"/>
    <w:p w:rsidR="00000000" w:rsidRDefault="00000000">
      <w:r>
        <w:t>842.</w:t>
      </w:r>
      <w:r>
        <w:tab/>
        <w:t xml:space="preserve">Децентрализация позволит всем гражданам равноправно участвовать в культурной деятельности в качестве как авторов, так и бенефициаров.  Местные культурные учреждения имеют прямой контакт с гражданами и поэтому в состоянии точнее оценивать культурные потребности граждан и пути их удовлетворения, делая культурную жизнь богаче, разнообразнее, динамичнее и качественнее.  </w:t>
      </w:r>
    </w:p>
    <w:p w:rsidR="00000000" w:rsidRDefault="00000000"/>
    <w:p w:rsidR="00000000" w:rsidRDefault="00000000">
      <w:r>
        <w:t>843.</w:t>
      </w:r>
      <w:r>
        <w:tab/>
        <w:t>Понимая необходимость децентрализации культурной сферы и опираясь на результаты проделанного ранее анализа и руководящие принципы организации институциональной системы в Республике, правительство приняло решение о создании сети национально-культурных учреждений ("Официальный вестник" бывшей югославской Республики Македонии № 43/2003), с которого и начался процесс децентрализации в сфере культуры.</w:t>
      </w:r>
    </w:p>
    <w:p w:rsidR="00000000" w:rsidRDefault="00000000"/>
    <w:p w:rsidR="00000000" w:rsidRDefault="00000000">
      <w:r>
        <w:t>844.</w:t>
      </w:r>
      <w:r>
        <w:tab/>
        <w:t>После принятия этого решения на первом этапе децентрализации культурной жизни из 115 учреждений 51 было отнесено к разряду национальных, а 48 </w:t>
      </w:r>
      <w:r>
        <w:noBreakHyphen/>
        <w:t xml:space="preserve"> к разряду местных.  После слияния нескольких учреждений (например, после слияния театров и домов культуры они превратились в культурные центры) появился ряд новых национальных учреждений.</w:t>
      </w:r>
    </w:p>
    <w:p w:rsidR="00000000" w:rsidRDefault="00000000"/>
    <w:p w:rsidR="00000000" w:rsidRDefault="00000000">
      <w:r>
        <w:t>845.</w:t>
      </w:r>
      <w:r>
        <w:tab/>
        <w:t xml:space="preserve">Согласно статье 94 Закона, муниципальным советам были переданы учредительские права на 48 учреждений, которые превратились в учреждения </w:t>
      </w:r>
      <w:proofErr w:type="spellStart"/>
      <w:r>
        <w:t>муниципально-городского</w:t>
      </w:r>
      <w:proofErr w:type="spellEnd"/>
      <w:r>
        <w:t xml:space="preserve"> (местного) подчинения.</w:t>
      </w:r>
    </w:p>
    <w:p w:rsidR="00000000" w:rsidRDefault="00000000"/>
    <w:p w:rsidR="00000000" w:rsidRDefault="00000000">
      <w:r>
        <w:t>846.</w:t>
      </w:r>
      <w:r>
        <w:tab/>
        <w:t>Эти учреждения по</w:t>
      </w:r>
      <w:r>
        <w:noBreakHyphen/>
        <w:t xml:space="preserve">прежнему находятся на переходном этапе, поскольку в Законе о культуре говорится, что правительство и муниципальные советы в течение 30 дней с момента вступления в силу Закона о финансировании местных органов управления должны согласовать в договорной форме условия передачи имущества, оборудования, кадров и средств, а также все другие важные вопросы, связанные с переуступкой учредительских прав на учреждения, с тем чтобы они могли продолжить свое функционирование в качестве учреждений </w:t>
      </w:r>
      <w:proofErr w:type="spellStart"/>
      <w:r>
        <w:t>муниципально-городского</w:t>
      </w:r>
      <w:proofErr w:type="spellEnd"/>
      <w:r>
        <w:t xml:space="preserve"> подчинения.  До подписания таких договоров эти учреждения будут финансироваться из государственного бюджета и функционировать в качестве национальных учреждений.</w:t>
      </w:r>
    </w:p>
    <w:p w:rsidR="00000000" w:rsidRDefault="00000000"/>
    <w:p w:rsidR="00000000" w:rsidRDefault="00000000">
      <w:r>
        <w:t>847.</w:t>
      </w:r>
      <w:r>
        <w:tab/>
        <w:t>Поскольку Закон о финансировании местных органов управления ("Официальный вестник" бывшей югославской Республики Македонии № 61/2004) вступает в силу 1 июля 2005 года, государство продолжает финансировать из своего бюджета заработную плату, материальные расходы, программы, отопление, страхование, а также текущие инвестиции 99 учреждений, где в общей сложности работают 2 373 человека, из которых 2 369 человек имеют постоянный контракт и четыре </w:t>
      </w:r>
      <w:r>
        <w:noBreakHyphen/>
        <w:t xml:space="preserve"> временный контракт.</w:t>
      </w:r>
    </w:p>
    <w:p w:rsidR="00000000" w:rsidRDefault="00000000"/>
    <w:p w:rsidR="00000000" w:rsidRDefault="00000000">
      <w:r>
        <w:t>848.</w:t>
      </w:r>
      <w:r>
        <w:tab/>
        <w:t>Министерство культуры не располагает точными данными и информацией о других физических и юридических лицах, торговых компаниях и учреждениях, зарегистрированных для работы в сфере культуры.</w:t>
      </w:r>
    </w:p>
    <w:p w:rsidR="00000000" w:rsidRDefault="00000000"/>
    <w:p w:rsidR="00000000" w:rsidRDefault="00000000">
      <w:r>
        <w:t>849.</w:t>
      </w:r>
      <w:r>
        <w:tab/>
        <w:t>По имеющимся данным, в предыдущий период частные учреждения и торговые компании создавались главным образом для осуществления издательской и кинематографической деятельности, а также для выполнения агентских функций в сфере культуры, в то время как в других сферах культуры частные компании встречаются крайне редко или не встречаются вообще.  Министерство культуры финансирует проекты частных компаний лишь тогда, когда они представляют национальный интерес, делая это на открытой конкурсной основе, аналогичной той, которая применяется к другим некоммерческим организациям и культурным учреждениям.</w:t>
      </w:r>
    </w:p>
    <w:p w:rsidR="00000000" w:rsidRDefault="00000000"/>
    <w:p w:rsidR="00000000" w:rsidRDefault="00000000">
      <w:r>
        <w:t>850.</w:t>
      </w:r>
      <w:r>
        <w:tab/>
        <w:t>На сегодняшний день сеть культурных учреждений на национальном уровне включает в себя 5 библиотек, 7 учреждений, 9 музеев, 16 культурных центров, 6 театров, 1 </w:t>
      </w:r>
      <w:proofErr w:type="spellStart"/>
      <w:r>
        <w:t>киноархив</w:t>
      </w:r>
      <w:proofErr w:type="spellEnd"/>
      <w:r>
        <w:t>, 1 театр оперы и балета, 2 учреждения, созданные для проведения международных мероприятий "</w:t>
      </w:r>
      <w:proofErr w:type="spellStart"/>
      <w:r>
        <w:t>Охридское</w:t>
      </w:r>
      <w:proofErr w:type="spellEnd"/>
      <w:r>
        <w:t xml:space="preserve"> лето" и "Поэтические вечера в Струге", 1 художественную галерею и 1 учреждение по развитию фольклора.</w:t>
      </w:r>
    </w:p>
    <w:p w:rsidR="00000000" w:rsidRDefault="00000000"/>
    <w:p w:rsidR="00000000" w:rsidRDefault="00000000">
      <w:r>
        <w:t>851.</w:t>
      </w:r>
      <w:r>
        <w:tab/>
        <w:t>На местном уровне развитием культуры занимается 27 культурных центров (включая 3 рабочих университета, культурные центры и детские центры), 13 библиотек, 6 музеев и 2 зоопарка.</w:t>
      </w:r>
    </w:p>
    <w:p w:rsidR="00000000" w:rsidRDefault="00000000"/>
    <w:p w:rsidR="00000000" w:rsidRDefault="00000000">
      <w:r>
        <w:t>852.</w:t>
      </w:r>
      <w:r>
        <w:tab/>
        <w:t xml:space="preserve">Культурные учреждения в основном сосредоточены в столице страны Скопье, и еще 30 находятся в </w:t>
      </w:r>
      <w:proofErr w:type="spellStart"/>
      <w:r>
        <w:t>Битоле</w:t>
      </w:r>
      <w:proofErr w:type="spellEnd"/>
      <w:r>
        <w:t xml:space="preserve">, Прилепе и </w:t>
      </w:r>
      <w:proofErr w:type="spellStart"/>
      <w:r>
        <w:t>Куманово</w:t>
      </w:r>
      <w:proofErr w:type="spellEnd"/>
      <w:r>
        <w:t>.</w:t>
      </w:r>
    </w:p>
    <w:p w:rsidR="00000000" w:rsidRDefault="00000000"/>
    <w:p w:rsidR="00000000" w:rsidRDefault="00000000">
      <w:r>
        <w:rPr>
          <w:b/>
          <w:bCs/>
        </w:rPr>
        <w:t>Наличие средств для содействия развитию культуры </w:t>
      </w:r>
      <w:r>
        <w:rPr>
          <w:b/>
          <w:bCs/>
        </w:rPr>
        <w:noBreakHyphen/>
        <w:t xml:space="preserve"> финансирование</w:t>
      </w:r>
    </w:p>
    <w:p w:rsidR="00000000" w:rsidRDefault="00000000"/>
    <w:p w:rsidR="00000000" w:rsidRDefault="00000000">
      <w:pPr>
        <w:rPr>
          <w:b/>
          <w:bCs/>
        </w:rPr>
      </w:pPr>
      <w:r>
        <w:rPr>
          <w:b/>
          <w:bCs/>
        </w:rPr>
        <w:t>Структура культурной деятельности</w:t>
      </w:r>
    </w:p>
    <w:p w:rsidR="00000000" w:rsidRDefault="00000000">
      <w:pPr>
        <w:rPr>
          <w:b/>
          <w:bCs/>
        </w:rPr>
      </w:pPr>
    </w:p>
    <w:p w:rsidR="00000000" w:rsidRDefault="00000000">
      <w:r>
        <w:t>853.</w:t>
      </w:r>
      <w:r>
        <w:tab/>
        <w:t>Культурная деятельность в основном финансируется министерством культуры из государственного бюджета.  Из государственного бюджета полностью финансируется деятельность 99 учреждений (51 национального и 48 местных учреждений), в которых работают 2 373 человека, из которых 402 человека работают в библиотеках, 24 </w:t>
      </w:r>
      <w:r>
        <w:noBreakHyphen/>
        <w:t xml:space="preserve"> в сфере кинематографии, 1 289 </w:t>
      </w:r>
      <w:r>
        <w:noBreakHyphen/>
        <w:t xml:space="preserve"> в сфере сценического искусства, 271 человек занимаются вопросами охраны памятников, 378 являются сотрудниками художественных галерей и музеев и 9 занимаются организацией культурных мероприятий.</w:t>
      </w:r>
    </w:p>
    <w:p w:rsidR="00000000" w:rsidRDefault="00000000"/>
    <w:p w:rsidR="00000000" w:rsidRDefault="00000000">
      <w:pPr>
        <w:rPr>
          <w:b/>
          <w:bCs/>
        </w:rPr>
      </w:pPr>
      <w:r>
        <w:rPr>
          <w:b/>
          <w:bCs/>
        </w:rPr>
        <w:t>Финансирование культуры из государственного бюджета</w:t>
      </w:r>
    </w:p>
    <w:p w:rsidR="00000000" w:rsidRDefault="00000000">
      <w:pPr>
        <w:rPr>
          <w:b/>
          <w:bCs/>
        </w:rPr>
      </w:pPr>
    </w:p>
    <w:p w:rsidR="00000000" w:rsidRDefault="00000000">
      <w:r>
        <w:t>854.</w:t>
      </w:r>
      <w:r>
        <w:tab/>
        <w:t xml:space="preserve">Хотя общий объем финансирования министерства культуры и деятельности в сфере культуры в номинальном выражении непрерывно растет, доля этих средств в государственном бюджете снижается, составив в 2003 году </w:t>
      </w:r>
      <w:proofErr w:type="spellStart"/>
      <w:r>
        <w:t>1,8%</w:t>
      </w:r>
      <w:proofErr w:type="spellEnd"/>
      <w:r>
        <w:t>.</w:t>
      </w:r>
    </w:p>
    <w:p w:rsidR="00000000" w:rsidRDefault="00000000">
      <w:r>
        <w:t>855.</w:t>
      </w:r>
      <w:r>
        <w:tab/>
        <w:t xml:space="preserve">Средства на финансирование культуры распределяются следующим образом:  </w:t>
      </w:r>
      <w:proofErr w:type="spellStart"/>
      <w:r>
        <w:t>35,47%</w:t>
      </w:r>
      <w:proofErr w:type="spellEnd"/>
      <w:r>
        <w:t xml:space="preserve"> идут на выплату заработной платы, а </w:t>
      </w:r>
      <w:proofErr w:type="spellStart"/>
      <w:r>
        <w:t>50,44%</w:t>
      </w:r>
      <w:proofErr w:type="spellEnd"/>
      <w:r>
        <w:t xml:space="preserve"> используются для финансирования программ и покрытия материальных расходов в области культурной деятельности.</w:t>
      </w:r>
    </w:p>
    <w:p w:rsidR="00000000" w:rsidRDefault="00000000"/>
    <w:p w:rsidR="00000000" w:rsidRDefault="00000000">
      <w:pPr>
        <w:rPr>
          <w:b/>
          <w:bCs/>
        </w:rPr>
      </w:pPr>
      <w:r>
        <w:rPr>
          <w:b/>
          <w:bCs/>
        </w:rPr>
        <w:t>Собственные поступления</w:t>
      </w:r>
    </w:p>
    <w:p w:rsidR="00000000" w:rsidRDefault="00000000">
      <w:pPr>
        <w:rPr>
          <w:b/>
          <w:bCs/>
        </w:rPr>
      </w:pPr>
    </w:p>
    <w:p w:rsidR="00000000" w:rsidRDefault="00000000">
      <w:r>
        <w:t>856.</w:t>
      </w:r>
      <w:r>
        <w:tab/>
        <w:t>Помимо бюджетных ресурсов, культурная деятельность финансируется и из других источников, например благодаря спонсорским отчислениям и пожертвованиям, а также доходам от собственной деятельности, например от сдачи в аренду помещений, продажи билетов, членских взносов и оказанных услуг.</w:t>
      </w:r>
    </w:p>
    <w:p w:rsidR="00000000" w:rsidRDefault="00000000"/>
    <w:p w:rsidR="00000000" w:rsidRDefault="00000000">
      <w:r>
        <w:t>857.</w:t>
      </w:r>
      <w:r>
        <w:tab/>
        <w:t>Хотя правовые основания для распространения на инвестиции в культурную сферу налоговых льгот формально и существуют, объем прямых инвестиций в культуру довольно невелик.  Если абстрагироваться от инвестиций зарубежных фондов, вложения отечественных фондов не дают ощутимого эффекта, а фонды для финансирования конкретных культурных мероприятий еще не появились.  Значительный объем финансовых средств предоставляется в рамках международного культурного сотрудничества по линии проектов ЮНЕСКО, ЕС и Совета Европы.</w:t>
      </w:r>
    </w:p>
    <w:p w:rsidR="00000000" w:rsidRDefault="00000000"/>
    <w:p w:rsidR="00000000" w:rsidRDefault="00000000">
      <w:pPr>
        <w:rPr>
          <w:b/>
          <w:bCs/>
        </w:rPr>
      </w:pPr>
      <w:r>
        <w:rPr>
          <w:b/>
          <w:bCs/>
        </w:rPr>
        <w:t>Налоговые и таможенные привилегии</w:t>
      </w:r>
    </w:p>
    <w:p w:rsidR="00000000" w:rsidRDefault="00000000">
      <w:pPr>
        <w:rPr>
          <w:b/>
          <w:bCs/>
        </w:rPr>
      </w:pPr>
    </w:p>
    <w:p w:rsidR="00000000" w:rsidRDefault="00000000">
      <w:r>
        <w:t>858.</w:t>
      </w:r>
      <w:r>
        <w:tab/>
        <w:t>В основе системы налогообложения в бывшей югославской Республики Македонии лежат четыре законодательных акта.</w:t>
      </w:r>
    </w:p>
    <w:p w:rsidR="00000000" w:rsidRDefault="00000000"/>
    <w:p w:rsidR="00000000" w:rsidRDefault="00000000">
      <w:r>
        <w:t>859.</w:t>
      </w:r>
      <w:r>
        <w:tab/>
        <w:t>В Законе о налоге на добавленную стоимость ("Официальный вестник" бывшей югославской Республики Македонии № 44/1999, 59/1999, 86/1999, 11/2000, 8/2001, 21/2003/ 19/2004) предусмотрено, что оборот учреждений и других налогоплательщиков, работающих в сфере культуры, освобождается от налога на добавленную стоимость при условии получения этими культурными учреждениями и/или лицами благоприятного заключения от министерства культуры.  С поступлений от продажи публикаций взимается льготный 5-процентный налог вместо общей 19-процентной ставки, которой облагаются аудио- и видеоносители (фильмы и аудиовизуальные произведения, аудио- и видеокассеты, КД, КД-ПЗУ и т.д.).</w:t>
      </w:r>
    </w:p>
    <w:p w:rsidR="00000000" w:rsidRDefault="00000000"/>
    <w:p w:rsidR="00000000" w:rsidRDefault="00000000">
      <w:r>
        <w:t>860.</w:t>
      </w:r>
      <w:r>
        <w:tab/>
        <w:t>Согласно подпункту 2 пункта 8 статьи 30 Закона о реализации и импорте книжных публикаций в области науки, образования и культуры, на данные произведения распространяется льготная пятипроцентная ставка налогообложения.</w:t>
      </w:r>
    </w:p>
    <w:p w:rsidR="00000000" w:rsidRDefault="00000000"/>
    <w:p w:rsidR="00000000" w:rsidRDefault="00000000">
      <w:r>
        <w:t>861.</w:t>
      </w:r>
      <w:r>
        <w:tab/>
        <w:t>В Законе о таможне ("Официальный вестник" бывшей югославской Республики Македонии № 21/1998, 63/1998, 56/1999, 86/1999, 25/2000, 109/2000, 31/2001) установлено, что таможенной пошлиной не облагаются следующие виды продукции:  печатные материалы;  культурные предметы и материалы, импортируемые на основании международных соглашений;  товары, импортируемые беспошлинно и используемые в некоммерческих культурных целях;  товары, не производимые в Республике, используемые в некоммерческих культурных целях и не предназначенные для продажи;  предметы, импортируемые музеями, галереями и Национальной университетской библиотекой для своей деятельности;  предметы, выставляемые на ярмарках и выставках, предметы, предназначенные для культурных и художественных мероприятий и производства фильмов;  произведения искусства, импортируемые авторами;  награды и другие предметы, полученные на зарубежных выставках и выступлениях и товары, полученные от иностранных доноров.</w:t>
      </w:r>
    </w:p>
    <w:p w:rsidR="00000000" w:rsidRDefault="00000000"/>
    <w:p w:rsidR="00000000" w:rsidRDefault="00000000">
      <w:r>
        <w:t>862.</w:t>
      </w:r>
      <w:r>
        <w:tab/>
        <w:t>В Законе о налоге на прибыль ("Официальный вестник" бывшей югославской Республики Македонии № 80/1993, 33/1995, 43/1995, 71/1996, 5/1997, 28/1998, 11/2001, 44/2002, 51/2003) говорится, что пожертвования и отчисления доноров на научные, гуманитарные, культурные, учебные, оздоровительные, религиозные и спортивные цели, за исключением профессионального спорта, списываются из подлежащих налогообложению сумм в размере 3% от общей суммы дохода при условии, что эти средства были пожертвованы государственным учреждениям, финансируемым из государственного бюджета, или Красному Кресту Македонии.</w:t>
      </w:r>
    </w:p>
    <w:p w:rsidR="00000000" w:rsidRDefault="00000000"/>
    <w:p w:rsidR="00000000" w:rsidRDefault="00000000">
      <w:r>
        <w:t>863.</w:t>
      </w:r>
      <w:r>
        <w:tab/>
        <w:t>В Законе о поимущественном налоге ("Официальный вестник" бывшей югославской Республики Македонии № 63/2004) оговорено, что налог не взимается с недвижимого имущества, законодательно признанного в качестве культурного наследия, а также с культурных учреждений, освобожденных от налога на наследование и дарение.</w:t>
      </w:r>
    </w:p>
    <w:p w:rsidR="00000000" w:rsidRDefault="00000000"/>
    <w:p w:rsidR="00000000" w:rsidRDefault="00000000">
      <w:r>
        <w:t>864.</w:t>
      </w:r>
      <w:r>
        <w:tab/>
        <w:t xml:space="preserve">В Законе о личном подоходном налоге ("Официальный вестник" бывшей югославской Республики Македонии № 80/1993, 3/1994, 70/1994, 71/1996, 28/1997, 8/2001, 50/2001, 2/2002, 44/2002, 96/2004) говорится, что деятели искусства, доход которых формируется за счет поступлений от авторских прав, освобождаются от уплаты личного подоходного налога в размере от </w:t>
      </w:r>
      <w:proofErr w:type="spellStart"/>
      <w:r>
        <w:t>25%</w:t>
      </w:r>
      <w:proofErr w:type="spellEnd"/>
      <w:r>
        <w:t xml:space="preserve"> до </w:t>
      </w:r>
      <w:proofErr w:type="spellStart"/>
      <w:r>
        <w:t>60%</w:t>
      </w:r>
      <w:proofErr w:type="spellEnd"/>
      <w:r>
        <w:t xml:space="preserve"> в зависимости от категории признанных расходов и вида творчества;  например, для скульпторов эта цифра составляет 60%;  для художников 50%;  для исполнителей классической музыки, артистов балета, театра и киноактеров 30%, для исполнителей современной и фольклорной музыки 25%).  Личный подоходный налог не взимается с культурных премий и стипендий, выплачиваемых учащимся и студентам государственными органами и фондами.</w:t>
      </w:r>
    </w:p>
    <w:p w:rsidR="00000000" w:rsidRDefault="00000000"/>
    <w:p w:rsidR="00000000" w:rsidRDefault="00000000">
      <w:pPr>
        <w:rPr>
          <w:b/>
          <w:bCs/>
        </w:rPr>
      </w:pPr>
      <w:r>
        <w:rPr>
          <w:b/>
          <w:bCs/>
        </w:rPr>
        <w:t>Институциональная инфраструктура в сфере культуры</w:t>
      </w:r>
    </w:p>
    <w:p w:rsidR="00000000" w:rsidRDefault="00000000">
      <w:pPr>
        <w:rPr>
          <w:b/>
          <w:bCs/>
        </w:rPr>
      </w:pPr>
    </w:p>
    <w:p w:rsidR="00000000" w:rsidRDefault="00000000">
      <w:r>
        <w:t>865.</w:t>
      </w:r>
      <w:r>
        <w:tab/>
        <w:t>Общая площадь учреждений сферы культуры составляет 34 803 81 м</w:t>
      </w:r>
      <w:r>
        <w:rPr>
          <w:vertAlign w:val="superscript"/>
        </w:rPr>
        <w:t>2</w:t>
      </w:r>
      <w:r>
        <w:t>.</w:t>
      </w:r>
    </w:p>
    <w:p w:rsidR="00000000" w:rsidRDefault="00000000"/>
    <w:p w:rsidR="00000000" w:rsidRDefault="00000000">
      <w:pPr>
        <w:rPr>
          <w:b/>
          <w:bCs/>
        </w:rPr>
      </w:pPr>
      <w:r>
        <w:rPr>
          <w:b/>
          <w:bCs/>
        </w:rPr>
        <w:t>Роль средств массовой информации в содействии развитию культурной жизни</w:t>
      </w:r>
    </w:p>
    <w:p w:rsidR="00000000" w:rsidRDefault="00000000">
      <w:pPr>
        <w:rPr>
          <w:b/>
          <w:bCs/>
        </w:rPr>
      </w:pPr>
    </w:p>
    <w:p w:rsidR="00000000" w:rsidRDefault="00000000">
      <w:r>
        <w:t>866.</w:t>
      </w:r>
      <w:r>
        <w:tab/>
        <w:t>Местное производство радио- и телематериалов, звуковых, музыкальных, учебных, развлекательных и других произведений предназначено для трансляции и распространения на радио- и телеканалах.</w:t>
      </w:r>
    </w:p>
    <w:p w:rsidR="00000000" w:rsidRDefault="00000000"/>
    <w:p w:rsidR="00000000" w:rsidRDefault="00000000">
      <w:r>
        <w:t>867.</w:t>
      </w:r>
      <w:r>
        <w:tab/>
        <w:t>В небольших и недостаточно экономически развитых государствах средства массовой информации, и в частности электронные средства, играют важную роль в стимулировании культурной жизни и развитии культуры в самом широком смысле этого слова.</w:t>
      </w:r>
    </w:p>
    <w:p w:rsidR="00000000" w:rsidRDefault="00000000"/>
    <w:p w:rsidR="00000000" w:rsidRDefault="00000000">
      <w:r>
        <w:t>868.</w:t>
      </w:r>
      <w:r>
        <w:tab/>
        <w:t>Эту роль средства массовой информации играют благодаря производству, распространению и транслированию материалов в радио- и телепрограммах, а также через другие информационные каналы, включая уже прошедшие или предстоящие культурные мероприятия, которые предоставляют возможность высказать точку зрения в любой социальной области, включая культуру.  При этом Закон о вещании ("Официальный вестник" бывшей югославской Республики Македонии № 20/1997) гарантирует свободу открытого выражения мыслей, свободу слова, публичных выступлений и открытого распространения информации.</w:t>
      </w:r>
    </w:p>
    <w:p w:rsidR="00000000" w:rsidRDefault="00000000"/>
    <w:p w:rsidR="00000000" w:rsidRDefault="00000000">
      <w:r>
        <w:t>869.</w:t>
      </w:r>
      <w:r>
        <w:tab/>
        <w:t>Такое вещание должно опираться на следующие принципы:  объективность и своевременность информации, открытость перед конкуренцией и различными политическими идеями;  защита и поощрение национальной самобытности, языковой культуры и национального творчества;  поощрение терпимости и уважения и развития культурного многообразия;  запрещение использования средств вещания для подстрекательства к насильственному свержению конституционного порядка государства;  запрещение призывов или подстрекательства к военной агрессии или к национальной, расовой или религиозной ненависти и нетерпимости;  защита детей и молодежи от насилия;  отказ от показа сцен насилия и порнографии в определенное время суток, а также защита личной жизни и достоинства.</w:t>
      </w:r>
    </w:p>
    <w:p w:rsidR="00000000" w:rsidRDefault="00000000"/>
    <w:p w:rsidR="00000000" w:rsidRDefault="00000000">
      <w:r>
        <w:t>870.</w:t>
      </w:r>
      <w:r>
        <w:tab/>
        <w:t>Радио- и телепрограммы содержат информационные, научно-популярные, культурные, спортивные, экономические и другие материалы, актуальные для жизни и работы граждан, распространение которых обеспечивается благодаря:  свободе мнений, выражения и убеждений;  полному и объективному информированию слушателей и зрителей в рамках информационных и развлекательных программ;  поощрению и утверждению македонских культурных традиций и традиций проживающих в стране общин, а также их участию в культурной жизни;  взаимному уважению и пониманию лиц иного этнического и культурного происхождения;  стимулированию международного понимания и сотрудничества;  равноправию независимо от пола, расы, цвета кожи, национальной и социальной принадлежности, политических или религиозных убеждений, имущественного и социального статуса, а также защите материнства и детства.</w:t>
      </w:r>
    </w:p>
    <w:p w:rsidR="00000000" w:rsidRDefault="00000000"/>
    <w:p w:rsidR="00000000" w:rsidRDefault="00000000">
      <w:r>
        <w:t>871.</w:t>
      </w:r>
      <w:r>
        <w:tab/>
        <w:t>Средства массовой информации, т.е. публичные информационные сети, не рассматриваются в качестве органов, работающих в сфере культуры, и поэтому их деятельность и финансирование регулируются другими нормативными актами.</w:t>
      </w:r>
    </w:p>
    <w:p w:rsidR="00000000" w:rsidRDefault="00000000"/>
    <w:p w:rsidR="00000000" w:rsidRDefault="00000000">
      <w:pPr>
        <w:rPr>
          <w:b/>
          <w:bCs/>
        </w:rPr>
      </w:pPr>
      <w:r>
        <w:rPr>
          <w:b/>
          <w:bCs/>
        </w:rPr>
        <w:t>Сохранение и использование культурного наследия</w:t>
      </w:r>
    </w:p>
    <w:p w:rsidR="00000000" w:rsidRDefault="00000000">
      <w:pPr>
        <w:rPr>
          <w:b/>
          <w:bCs/>
        </w:rPr>
      </w:pPr>
    </w:p>
    <w:p w:rsidR="00000000" w:rsidRDefault="00000000">
      <w:r>
        <w:t>872.</w:t>
      </w:r>
      <w:r>
        <w:tab/>
        <w:t>Территория бывшей югославской Республики Македонии богата культурным наследием различных форм и времен происхождения, обладая исключительными по своей значимости историческими, художественными, научными и другими ценностями.  Традиции формировались под влиянием различных цивилизаций, культур, этносов и религий.  Так же, как и любая другая балканская страна, бывшая югославская Республика Македония является многокультурной по своей сути и традициям.  Культурное многообразие Балканского полуострова оставило специфический отпечаток на культурном наследии этих стран, включая бывшую югославскую Республику Македонию.  Защита многогранного культурного наследия всех общин отвечает национальным интересам Республики Македонии.  Деятельность в этой области должным образом определена в Национальной программе в области культуры на 2004-2008 годы, которая была представлена Совету Европы 7 ноября 2003 года в виде отдельного национального доклада.  В Национальной программе излагается стратегия осуществления Закона о культуре, посвященного, в частности, сохранению и использованию культурного наследия, т.е. обеспечению условий для создания и защиты культурных ценностей, как одного из национальных приоритетов в области культуры (статья 8).  Закон о культуре стимулирует развитие культурного многообразия благодаря созданию равных условий для выражения, развития и укрепления культурной самобытности всех общин страны.  Национальная программа в области культуры способствует укреплению материальных, институциональных и людских ресурсов, необходимых для развития культуры и защиты культурного наследия всех общин, а также обеспечивает равные условия для соответствующей деятельности.</w:t>
      </w:r>
    </w:p>
    <w:p w:rsidR="00000000" w:rsidRDefault="00000000"/>
    <w:p w:rsidR="00000000" w:rsidRDefault="00000000">
      <w:r>
        <w:t>873.</w:t>
      </w:r>
      <w:r>
        <w:tab/>
        <w:t>Новый Закон о защите культурного наследия принят в марте 2004 года</w:t>
      </w:r>
      <w:r>
        <w:rPr>
          <w:b/>
          <w:bCs/>
          <w:vertAlign w:val="superscript"/>
        </w:rPr>
        <w:t>22</w:t>
      </w:r>
      <w:r>
        <w:t xml:space="preserve"> в новой ситуации с учетом опыта, накопленного в процессе применения Закона о защите памятников культуры 1973 года.  Этот закон отвечает также необходимости создания нового механизма защиты культурного наследия в соответствии с требованиями Конституции, международного опыта и стандартов.  Закон о защите культурного наследия регулирует формы, специфику и условия принятия мер по защите культурного наследия, прав и обязанностей владельцев и ограничения имущественных прав на культурное наследие в общественных интересах, режим защиты и использования культурного наследия, вопросы организации, координации и надзора, профессиональный статус и другие вопросы, актуальные для функционирования единой системы охраны культурного наследия.  Один из основных ценных моментов нового закона о защите культурного наследия заключается в том, что защита осуществляется в зависимости от ценности, важности и степени риска, независимо от времени, места и характера создания, авторства, собственности или владения, светского или религиозного характера или принадлежности к той или иной конфессии.</w:t>
      </w:r>
    </w:p>
    <w:p w:rsidR="00000000" w:rsidRDefault="00000000"/>
    <w:p w:rsidR="00000000" w:rsidRDefault="00000000">
      <w:r>
        <w:t>874.</w:t>
      </w:r>
      <w:r>
        <w:tab/>
        <w:t>Новый Закон решает следующие задачи:</w:t>
      </w:r>
    </w:p>
    <w:p w:rsidR="00000000" w:rsidRDefault="00000000"/>
    <w:p w:rsidR="00000000" w:rsidRDefault="00000000">
      <w:pPr>
        <w:ind w:left="1134" w:hanging="1134"/>
      </w:pPr>
      <w:r>
        <w:tab/>
        <w:t>-</w:t>
      </w:r>
      <w:r>
        <w:tab/>
        <w:t>конкретное распределение ответственности и усиление подотчетности всех субъектов системы охраны культурного наследия, в частности, за счет повышенного внимания месту и роли государства и его органов и учреждений в подобной деятельности;</w:t>
      </w:r>
    </w:p>
    <w:p w:rsidR="00000000" w:rsidRDefault="00000000">
      <w:pPr>
        <w:ind w:left="567" w:hanging="567"/>
      </w:pPr>
    </w:p>
    <w:p w:rsidR="00000000" w:rsidRDefault="00000000">
      <w:pPr>
        <w:ind w:left="1134" w:hanging="1134"/>
      </w:pPr>
      <w:r>
        <w:tab/>
        <w:t>-</w:t>
      </w:r>
      <w:r>
        <w:tab/>
        <w:t>организация сети специализированных служб и действующих консультативных и координационных органов в интересах защиты культурного наследия как на национальном, так и на местном уровне;</w:t>
      </w:r>
    </w:p>
    <w:p w:rsidR="00000000" w:rsidRDefault="00000000">
      <w:pPr>
        <w:ind w:left="567" w:hanging="567"/>
      </w:pPr>
    </w:p>
    <w:p w:rsidR="00000000" w:rsidRDefault="00000000">
      <w:pPr>
        <w:ind w:left="567" w:hanging="567"/>
      </w:pPr>
      <w:r>
        <w:tab/>
        <w:t>-</w:t>
      </w:r>
      <w:r>
        <w:tab/>
        <w:t>разработка национальной стратегии защиты культурного наследия;</w:t>
      </w:r>
    </w:p>
    <w:p w:rsidR="00000000" w:rsidRDefault="00000000">
      <w:pPr>
        <w:ind w:left="567" w:hanging="567"/>
      </w:pPr>
    </w:p>
    <w:p w:rsidR="00000000" w:rsidRDefault="00000000">
      <w:pPr>
        <w:ind w:left="1134" w:hanging="1134"/>
      </w:pPr>
      <w:r>
        <w:tab/>
        <w:t>-</w:t>
      </w:r>
      <w:r>
        <w:tab/>
        <w:t>активное использование культурного наследия в текущей деятельности по обеспечению развития;</w:t>
      </w:r>
    </w:p>
    <w:p w:rsidR="00000000" w:rsidRDefault="00000000">
      <w:pPr>
        <w:ind w:left="567" w:hanging="567"/>
      </w:pPr>
    </w:p>
    <w:p w:rsidR="00000000" w:rsidRDefault="00000000">
      <w:pPr>
        <w:ind w:left="1134" w:hanging="1134"/>
      </w:pPr>
      <w:r>
        <w:tab/>
        <w:t>-</w:t>
      </w:r>
      <w:r>
        <w:tab/>
        <w:t>внедрение современных научных и экспертных методов создания, развития и совершенствования национальных систем охраны культурного наследия;</w:t>
      </w:r>
    </w:p>
    <w:p w:rsidR="00000000" w:rsidRDefault="00000000">
      <w:pPr>
        <w:ind w:left="567" w:hanging="567"/>
      </w:pPr>
    </w:p>
    <w:p w:rsidR="00000000" w:rsidRDefault="00000000">
      <w:pPr>
        <w:ind w:left="1134" w:hanging="1134"/>
      </w:pPr>
      <w:r>
        <w:tab/>
        <w:t>-</w:t>
      </w:r>
      <w:r>
        <w:tab/>
        <w:t>обеспечение совместимости культурного наследия с международными системами защиты.</w:t>
      </w:r>
    </w:p>
    <w:p w:rsidR="00000000" w:rsidRDefault="00000000">
      <w:pPr>
        <w:ind w:left="567" w:hanging="567"/>
      </w:pPr>
    </w:p>
    <w:p w:rsidR="00000000" w:rsidRDefault="00000000">
      <w:r>
        <w:t>875.</w:t>
      </w:r>
      <w:r>
        <w:tab/>
        <w:t>Согласно новому закону, культурное наследие определяется в качестве одной из основополагающих государственных ценностей;  его охрана осуществляется в общественных интересах на всей территории бывшей югославской Республики Македония.  Закон о защите культурного наследия регулирует следующие вопросы:</w:t>
      </w:r>
    </w:p>
    <w:p w:rsidR="00000000" w:rsidRDefault="00000000"/>
    <w:p w:rsidR="00000000" w:rsidRDefault="00000000">
      <w:pPr>
        <w:numPr>
          <w:ilvl w:val="0"/>
          <w:numId w:val="88"/>
        </w:numPr>
        <w:tabs>
          <w:tab w:val="clear" w:pos="720"/>
          <w:tab w:val="num" w:pos="1106"/>
        </w:tabs>
        <w:ind w:left="1120" w:hanging="559"/>
      </w:pPr>
      <w:r>
        <w:t>определение объектов для взятия под охрану;</w:t>
      </w:r>
    </w:p>
    <w:p w:rsidR="00000000" w:rsidRDefault="00000000">
      <w:pPr>
        <w:ind w:left="201"/>
      </w:pPr>
    </w:p>
    <w:p w:rsidR="00000000" w:rsidRDefault="00000000">
      <w:pPr>
        <w:numPr>
          <w:ilvl w:val="0"/>
          <w:numId w:val="88"/>
        </w:numPr>
        <w:tabs>
          <w:tab w:val="clear" w:pos="720"/>
          <w:tab w:val="num" w:pos="1106"/>
        </w:tabs>
        <w:ind w:left="1120" w:hanging="559"/>
      </w:pPr>
      <w:r>
        <w:t>условия охраны;</w:t>
      </w:r>
    </w:p>
    <w:p w:rsidR="00000000" w:rsidRDefault="00000000">
      <w:pPr>
        <w:ind w:left="201"/>
      </w:pPr>
    </w:p>
    <w:p w:rsidR="00000000" w:rsidRDefault="00000000">
      <w:pPr>
        <w:numPr>
          <w:ilvl w:val="0"/>
          <w:numId w:val="88"/>
        </w:numPr>
        <w:tabs>
          <w:tab w:val="clear" w:pos="720"/>
          <w:tab w:val="num" w:pos="1106"/>
        </w:tabs>
        <w:ind w:left="1120" w:hanging="559"/>
      </w:pPr>
      <w:r>
        <w:t>режим охраны и использования культурного наследия;</w:t>
      </w:r>
    </w:p>
    <w:p w:rsidR="00000000" w:rsidRDefault="00000000">
      <w:pPr>
        <w:ind w:left="201"/>
      </w:pPr>
    </w:p>
    <w:p w:rsidR="00000000" w:rsidRDefault="00000000">
      <w:pPr>
        <w:numPr>
          <w:ilvl w:val="0"/>
          <w:numId w:val="88"/>
        </w:numPr>
        <w:tabs>
          <w:tab w:val="clear" w:pos="720"/>
          <w:tab w:val="num" w:pos="1106"/>
        </w:tabs>
        <w:ind w:left="1120" w:hanging="559"/>
      </w:pPr>
      <w:r>
        <w:t>права и обязанности владельцев охраняемых объектов и ограничения имущественных прав на объекты, представляющие общественный интерес;</w:t>
      </w:r>
    </w:p>
    <w:p w:rsidR="00000000" w:rsidRDefault="00000000">
      <w:pPr>
        <w:ind w:left="201"/>
      </w:pPr>
    </w:p>
    <w:p w:rsidR="00000000" w:rsidRDefault="00000000">
      <w:pPr>
        <w:numPr>
          <w:ilvl w:val="0"/>
          <w:numId w:val="88"/>
        </w:numPr>
        <w:tabs>
          <w:tab w:val="clear" w:pos="720"/>
          <w:tab w:val="num" w:pos="1106"/>
        </w:tabs>
        <w:ind w:left="1120" w:hanging="559"/>
      </w:pPr>
      <w:r>
        <w:t>организация и координация охранной деятельности;</w:t>
      </w:r>
    </w:p>
    <w:p w:rsidR="00000000" w:rsidRDefault="00000000">
      <w:pPr>
        <w:ind w:left="201"/>
      </w:pPr>
    </w:p>
    <w:p w:rsidR="00000000" w:rsidRDefault="00000000">
      <w:pPr>
        <w:numPr>
          <w:ilvl w:val="0"/>
          <w:numId w:val="88"/>
        </w:numPr>
        <w:tabs>
          <w:tab w:val="clear" w:pos="720"/>
          <w:tab w:val="num" w:pos="1106"/>
        </w:tabs>
        <w:ind w:left="1120" w:hanging="559"/>
      </w:pPr>
      <w:r>
        <w:t>другие вопросы, актуальные с точки зрения единого функционирования системы охраны культурного наследия.</w:t>
      </w:r>
    </w:p>
    <w:p w:rsidR="00000000" w:rsidRDefault="00000000">
      <w:pPr>
        <w:ind w:left="201"/>
      </w:pPr>
    </w:p>
    <w:p w:rsidR="00000000" w:rsidRDefault="00000000">
      <w:r>
        <w:t>876.</w:t>
      </w:r>
      <w:r>
        <w:tab/>
        <w:t xml:space="preserve">Закон обеспечивает нормативную базу для создания комплексной системы защиты и увековечения культурного наследия, ухода за ним в искусственно созданной или естественной среде, а также его адаптации к потребностям современного общества.  </w:t>
      </w:r>
    </w:p>
    <w:p w:rsidR="00000000" w:rsidRDefault="00000000"/>
    <w:p w:rsidR="00000000" w:rsidRDefault="00000000">
      <w:r>
        <w:t>877.</w:t>
      </w:r>
      <w:r>
        <w:tab/>
        <w:t>Новый Закон о защите культурного наследия вносит изменения в организационную структуру соответствующей деятельности.  В мае 2004 года было учреждено Управление по охране культурного наследия - орган, имеющий в рамках министерства культуры статус юридического лица, чья задача заключается в экспертной и управленческой деятельности в целях охраны культурного наследия.  Существующие ведомства преобразуются в центры охраны культурного наследия и имеют свою специализацию.</w:t>
      </w:r>
    </w:p>
    <w:p w:rsidR="00000000" w:rsidRDefault="00000000"/>
    <w:p w:rsidR="00000000" w:rsidRDefault="00000000">
      <w:r>
        <w:t>878.</w:t>
      </w:r>
      <w:r>
        <w:tab/>
        <w:t xml:space="preserve">Число вопросов, связанных с охраной культурного </w:t>
      </w:r>
      <w:proofErr w:type="spellStart"/>
      <w:r>
        <w:t>наследия</w:t>
      </w:r>
      <w:r>
        <w:rPr>
          <w:b/>
          <w:bCs/>
          <w:vertAlign w:val="superscript"/>
        </w:rPr>
        <w:t>23</w:t>
      </w:r>
      <w:proofErr w:type="spellEnd"/>
      <w:r>
        <w:rPr>
          <w:b/>
          <w:bCs/>
        </w:rPr>
        <w:t>,</w:t>
      </w:r>
      <w:r>
        <w:t xml:space="preserve"> можно проиллюстрировать на примере следующей информации.  Регистры культурных памятников ведутся компетентными органами по территориальному принципу.  Существуют муниципальные и центральные регистры движимых и недвижимых памятников культуры.  Охрана и поддержание памятников культуры согласно вступившему недавно в силу законодательству в основном являются обязанностью владельца, т.е. того, кто имеет право на его использование, а также других категорий собственников охраняемых объектов.</w:t>
      </w:r>
    </w:p>
    <w:p w:rsidR="00000000" w:rsidRDefault="00000000"/>
    <w:p w:rsidR="00000000" w:rsidRDefault="00000000">
      <w:r>
        <w:t>879.</w:t>
      </w:r>
      <w:r>
        <w:tab/>
        <w:t xml:space="preserve">Так, согласно Закону о защите памятников культуры, владелец памятника культуры обязан ухаживать за памятником, обеспечивать его сохранность и своевременно принимать меры для его защиты.  </w:t>
      </w:r>
    </w:p>
    <w:p w:rsidR="00000000" w:rsidRDefault="00000000"/>
    <w:p w:rsidR="00000000" w:rsidRDefault="00000000">
      <w:r>
        <w:t>880.</w:t>
      </w:r>
      <w:r>
        <w:tab/>
        <w:t xml:space="preserve">Обеспечение сохранности музейных экспонатов и содержимого архивов и библиотек и </w:t>
      </w:r>
      <w:proofErr w:type="spellStart"/>
      <w:r>
        <w:t>фильмофондов</w:t>
      </w:r>
      <w:proofErr w:type="spellEnd"/>
      <w:r>
        <w:t xml:space="preserve"> осуществляется в соответствии с действующими нормативными документами в защищенных помещениях при соблюдении оговоренных технических требований.</w:t>
      </w:r>
    </w:p>
    <w:p w:rsidR="00000000" w:rsidRDefault="00000000"/>
    <w:p w:rsidR="00000000" w:rsidRDefault="00000000">
      <w:r>
        <w:t>881.</w:t>
      </w:r>
      <w:r>
        <w:tab/>
        <w:t xml:space="preserve">Прямые охранные меры, т.е. меры по сохранению, реставрации, восстановлению, а также другие технические защитные меры, занимают видное место в деятельности специализированных организаций на протяжении вот уже долгого периода времени.  В сочетании с другими благоприятными условиями это позволило провести охранную работу в отношении значительной части движимых и недвижимых объектов культурного наследия.  </w:t>
      </w:r>
    </w:p>
    <w:p w:rsidR="00000000" w:rsidRDefault="00000000"/>
    <w:p w:rsidR="00000000" w:rsidRDefault="00000000">
      <w:r>
        <w:t>882.</w:t>
      </w:r>
      <w:r>
        <w:tab/>
        <w:t xml:space="preserve">Археологические раскопки и исследования в стране проводятся под строгим контролем.  Эта деятельность может осуществляться лишь на основании лицензии, выданной Государственным агентством охраны памятников.  Такие лицензии могут выдаваться научным или специализированным учреждениям, а также другим организациям или отдельным ученым при условии соблюдения ими установленных требований.  Лицензия выдается на оговоренный срок продолжительностью не свыше одного календарного года на проведение работ в конкретном месте.  При этом уточняется масштаб и характер работ, условия их проведения и конкретные обязанности получателя лицензии.  В течение трех месяцев с момента завершения работ получатель лицензии должен представить отчет Государственному агентству и местному органу, отвечающему за территорию, где проводились работы.  </w:t>
      </w:r>
    </w:p>
    <w:p w:rsidR="00000000" w:rsidRDefault="00000000"/>
    <w:p w:rsidR="00000000" w:rsidRDefault="00000000">
      <w:r>
        <w:t>883.</w:t>
      </w:r>
      <w:r>
        <w:tab/>
        <w:t>Надзор за археологическими раскопками и поисками осуществляет Государственное агентство.  В рамках своих надзорных полномочий Государственное агентство может временно приостановить работы или принять решение об отзыве лицензии.  В то же время в случае проведения незаконных раскопок или поисков Государственное агентство не имеет полномочий предотвратить или запретить их (на основании административной процедуры), а может лишь возбудить уголовный иск.</w:t>
      </w:r>
    </w:p>
    <w:p w:rsidR="00000000" w:rsidRDefault="00000000"/>
    <w:p w:rsidR="00000000" w:rsidRDefault="00000000">
      <w:r>
        <w:t>884.</w:t>
      </w:r>
      <w:r>
        <w:tab/>
        <w:t>Согласно имеющимся данным (</w:t>
      </w:r>
      <w:proofErr w:type="spellStart"/>
      <w:r>
        <w:t>необновленным</w:t>
      </w:r>
      <w:proofErr w:type="spellEnd"/>
      <w:r>
        <w:t xml:space="preserve">), основной категорией владельцев недвижимых памятников культуры являются граждане (примерно </w:t>
      </w:r>
      <w:proofErr w:type="spellStart"/>
      <w:r>
        <w:t>59%</w:t>
      </w:r>
      <w:proofErr w:type="spellEnd"/>
      <w:r>
        <w:t xml:space="preserve">).  Религиозные общины владеют примерно </w:t>
      </w:r>
      <w:proofErr w:type="spellStart"/>
      <w:r>
        <w:t>18%</w:t>
      </w:r>
      <w:proofErr w:type="spellEnd"/>
      <w:r>
        <w:t xml:space="preserve">, а государства - </w:t>
      </w:r>
      <w:proofErr w:type="spellStart"/>
      <w:r>
        <w:t>23%</w:t>
      </w:r>
      <w:proofErr w:type="spellEnd"/>
      <w:r>
        <w:t xml:space="preserve"> всех недвижимых памятников культуры.  Государству принадлежит 146 отдельных памятников культуры и 110 археологических и других объектов.  Что касается движимых памятников культуры, здесь ситуация является обратной:  </w:t>
      </w:r>
      <w:proofErr w:type="spellStart"/>
      <w:r>
        <w:t>70%</w:t>
      </w:r>
      <w:proofErr w:type="spellEnd"/>
      <w:r>
        <w:t xml:space="preserve"> принадлежат государству;  </w:t>
      </w:r>
      <w:proofErr w:type="spellStart"/>
      <w:r>
        <w:t>20%</w:t>
      </w:r>
      <w:proofErr w:type="spellEnd"/>
      <w:r>
        <w:t xml:space="preserve"> - религиозным общинам и </w:t>
      </w:r>
      <w:proofErr w:type="spellStart"/>
      <w:r>
        <w:t>10%</w:t>
      </w:r>
      <w:proofErr w:type="spellEnd"/>
      <w:r>
        <w:t xml:space="preserve"> - гражданам.  По другим охраняемым объектам и памятникам культуры, зарегистрированным органами охраны памятников культуры, подробная информация отсутствует за исключением данных о государственных памятниках культуры.  </w:t>
      </w:r>
    </w:p>
    <w:p w:rsidR="00000000" w:rsidRDefault="00000000"/>
    <w:p w:rsidR="00000000" w:rsidRDefault="00000000">
      <w:r>
        <w:t>885.</w:t>
      </w:r>
      <w:r>
        <w:tab/>
        <w:t xml:space="preserve">Что касается памятников культуры, принадлежащих государству, следует помнить, что правом на их использование обладают различные юридические лица.  В ограниченном числе случаев право на использование памятников культуры передано учреждениям, занимающимся их охраной.  </w:t>
      </w:r>
    </w:p>
    <w:p w:rsidR="00000000" w:rsidRDefault="00000000"/>
    <w:p w:rsidR="00000000" w:rsidRDefault="00000000">
      <w:r>
        <w:t>886.</w:t>
      </w:r>
      <w:r>
        <w:tab/>
        <w:t>Использование памятников культуры в туристических целях непосредственно зависит от того, насколько они приспособлены для этого.  С одной стороны, это требует сложной процедуры обеспечения их сохранности и межведомственного и многостороннего подхода, который в значительной степени определяется общими условиями охраны культурного наследия.  Поэтому использование культурного наследия в туристических целях является долгосрочным процессом, требующим огромных средств и выполнения большого числа требований, тесного сотрудничества и высокой степени координации.</w:t>
      </w:r>
    </w:p>
    <w:p w:rsidR="00000000" w:rsidRDefault="00000000"/>
    <w:p w:rsidR="00000000" w:rsidRDefault="00000000">
      <w:r>
        <w:t>887.</w:t>
      </w:r>
      <w:r>
        <w:tab/>
        <w:t>С точки зрения туризма интерес представляют археологические объекты, церкви, монастыри, некоторые светские здания, городские и сельские памятники культуры, исторические здания, а также другие интересные объекты культурного наследия.</w:t>
      </w:r>
    </w:p>
    <w:p w:rsidR="00000000" w:rsidRDefault="00000000"/>
    <w:p w:rsidR="00000000" w:rsidRDefault="00000000">
      <w:r>
        <w:t>888.</w:t>
      </w:r>
      <w:r>
        <w:tab/>
        <w:t>Вообще говоря, для облегчения использования культурного наследия в интересах развития и культурного туризма требуются крупные инвестиции и активные усилия.</w:t>
      </w:r>
    </w:p>
    <w:p w:rsidR="00000000" w:rsidRDefault="00000000"/>
    <w:p w:rsidR="00000000" w:rsidRDefault="00000000">
      <w:r>
        <w:t>889.</w:t>
      </w:r>
      <w:r>
        <w:tab/>
        <w:t xml:space="preserve">В бывшей югославской Республике Македонии лишь на трети недвижимых объектов культуры проводятся работы по обеспечению их сохранности.  Речь главным образом идет о важнейших культовых (христианских и исламских) и наиболее типичных светских зданиях.  Работы были завершены в отношении </w:t>
      </w:r>
      <w:proofErr w:type="spellStart"/>
      <w:r>
        <w:t>60%</w:t>
      </w:r>
      <w:proofErr w:type="spellEnd"/>
      <w:r>
        <w:t xml:space="preserve"> таких памятников культуры.  Большое число отдельных памятников культуры еще не охвачены реставрационными (даже профилактическими) работами.  Соотношение отреставрированных и </w:t>
      </w:r>
      <w:proofErr w:type="spellStart"/>
      <w:r>
        <w:t>неотреставрированных</w:t>
      </w:r>
      <w:proofErr w:type="spellEnd"/>
      <w:r>
        <w:t xml:space="preserve"> памятников культуры составляет 1 к 4.  Самыми запущенными недвижимыми объектами культурного наследия являются памятники старой городской и сельской архитектуры, которые в то же время находятся под наибольшей угрозой.  </w:t>
      </w:r>
    </w:p>
    <w:p w:rsidR="00000000" w:rsidRDefault="00000000"/>
    <w:p w:rsidR="00000000" w:rsidRDefault="00000000">
      <w:r>
        <w:t>890.</w:t>
      </w:r>
      <w:r>
        <w:tab/>
        <w:t xml:space="preserve">Были проведены первые работы по обеспечению сохранности зданий.  Они коснулись главным образом старых городских районов (рыночных площадей) в крупных городах (Скопье, </w:t>
      </w:r>
      <w:proofErr w:type="spellStart"/>
      <w:r>
        <w:t>Битоле</w:t>
      </w:r>
      <w:proofErr w:type="spellEnd"/>
      <w:r>
        <w:t xml:space="preserve">, Прилепе, </w:t>
      </w:r>
      <w:proofErr w:type="spellStart"/>
      <w:r>
        <w:t>Охриде</w:t>
      </w:r>
      <w:proofErr w:type="spellEnd"/>
      <w:r>
        <w:t xml:space="preserve"> и Струге).  В менее крупных городах рыночных площадей, а также других центральных районов (площади, улицы и кварталы) такие работы еще не коснулись.  Своего часа ожидают и памятники культуры в сельских районах.  </w:t>
      </w:r>
    </w:p>
    <w:p w:rsidR="00000000" w:rsidRDefault="00000000"/>
    <w:p w:rsidR="00000000" w:rsidRDefault="00000000">
      <w:r>
        <w:t>891.</w:t>
      </w:r>
      <w:r>
        <w:tab/>
        <w:t>Работы по обследованию и сохранению в минимальной степени коснулись археологических объектов - самого распространенного вида культурного наследия.  Такие работы полностью не были завершены ни на одном из археологических объектов.  Крепости, башни, смотровые башни и старые мосты частично обследованы и отреставрированы.</w:t>
      </w:r>
    </w:p>
    <w:p w:rsidR="00000000" w:rsidRDefault="00000000">
      <w:r>
        <w:t xml:space="preserve"> </w:t>
      </w:r>
    </w:p>
    <w:p w:rsidR="00000000" w:rsidRDefault="00000000">
      <w:pPr>
        <w:rPr>
          <w:b/>
          <w:bCs/>
        </w:rPr>
      </w:pPr>
      <w:r>
        <w:rPr>
          <w:b/>
          <w:bCs/>
        </w:rPr>
        <w:t>Правовая защита свободы художественного творчества</w:t>
      </w:r>
    </w:p>
    <w:p w:rsidR="00000000" w:rsidRDefault="00000000">
      <w:pPr>
        <w:rPr>
          <w:b/>
          <w:bCs/>
        </w:rPr>
      </w:pPr>
    </w:p>
    <w:p w:rsidR="00000000" w:rsidRDefault="00000000">
      <w:r>
        <w:t>892.</w:t>
      </w:r>
      <w:r>
        <w:tab/>
        <w:t>Закон об авторских и смежных правах, принятый во исполнение юридических обязательств, закрепленных в ряде международных договоров в области авторских и смежных прав (</w:t>
      </w:r>
      <w:proofErr w:type="spellStart"/>
      <w:r>
        <w:t>Бернская</w:t>
      </w:r>
      <w:proofErr w:type="spellEnd"/>
      <w:r>
        <w:t xml:space="preserve"> конвенция об охране литературных и художественных произведений, Всемирная конвенция об авторском праве, Международная конвенция об охране прав исполнителей, производителей фонограмм и вещательных организаций - Римская конвенция, Конвенция о распространении несущих программы сигналов, передаваемых через спутники, Конвенция об охране интересов производителей фонограмм от незаконного воспроизводства их фонограмм (Конвенция о фонограммах), Договор </w:t>
      </w:r>
      <w:proofErr w:type="spellStart"/>
      <w:r>
        <w:t>ВОИС</w:t>
      </w:r>
      <w:proofErr w:type="spellEnd"/>
      <w:r>
        <w:t xml:space="preserve"> по авторскому праву, Договор по </w:t>
      </w:r>
      <w:proofErr w:type="spellStart"/>
      <w:r>
        <w:t>исполнениям</w:t>
      </w:r>
      <w:proofErr w:type="spellEnd"/>
      <w:r>
        <w:t xml:space="preserve"> и фонограммам, Соглашение по торговым аспектам прав интеллектуальной собственности (соответствующие директивы ЕС и рекомендации Совета Европы в этой области, а также другие документы) в рамках нормативной концепции исключительно гражданского характера регулирует режим использования и охраны авторских и смежных прав как одной из форм реализации экономических, социальных и культурных прав человека и гражданина.</w:t>
      </w:r>
    </w:p>
    <w:p w:rsidR="00000000" w:rsidRDefault="00000000"/>
    <w:p w:rsidR="00000000" w:rsidRDefault="00000000">
      <w:r>
        <w:t>893.</w:t>
      </w:r>
      <w:r>
        <w:tab/>
        <w:t>Закон ставит целью регулирование, использование и охрану авторских и смежных прав граждан - авторов (создателей) независимо от пола, расы, цвета кожи, национальности и социального происхождения, политических и религиозных убеждений, имущественного или социального статуса.  Закон защищает соответствующие права исполнителей, субъектов радиовещания, производителей, издателей и т.д. на основе принципа, применяемого к авторским правам, а также конкретных характеристик объекта таких прав (например, аудио- и видеозаписи, экспозиции и выпуски).</w:t>
      </w:r>
    </w:p>
    <w:p w:rsidR="00000000" w:rsidRDefault="00000000"/>
    <w:p w:rsidR="00000000" w:rsidRDefault="00000000">
      <w:r>
        <w:t>894.</w:t>
      </w:r>
      <w:r>
        <w:tab/>
        <w:t>Согласно Закону, автор является физическим лицом, создавшим защищаемое авторским правом произведение.  Говоря иными словами, под автором понимается лицо, чья фамилия, псевдоним или торговая марка нанесены на созданное им произведение обычным образом или раскрывается в связи с ним.</w:t>
      </w:r>
    </w:p>
    <w:p w:rsidR="00000000" w:rsidRDefault="00000000"/>
    <w:p w:rsidR="00000000" w:rsidRDefault="00000000">
      <w:r>
        <w:t>895.</w:t>
      </w:r>
      <w:r>
        <w:tab/>
        <w:t>Автор имеет право на авторские права на созданное им произведение независимо от того, было ли оно раскрыто, причем такое право неотделимо от защищаемого им произведения и включает в себя эксклюзивные личные права (моральные права), эксклюзивные имущественные права (материальные права) и другие права (прочие права).</w:t>
      </w:r>
    </w:p>
    <w:p w:rsidR="00000000" w:rsidRDefault="00000000"/>
    <w:p w:rsidR="00000000" w:rsidRDefault="00000000">
      <w:r>
        <w:t>896.</w:t>
      </w:r>
      <w:r>
        <w:tab/>
        <w:t>Согласно настоящему закону, под защищенным авторскими правами произведением понимается результат индивидуального интеллектуального творчества в области литературы, науки, искусства и других областях творчества независимо от характера, манеры и формы выражения.</w:t>
      </w:r>
    </w:p>
    <w:p w:rsidR="00000000" w:rsidRDefault="00000000"/>
    <w:p w:rsidR="00000000" w:rsidRDefault="00000000">
      <w:r>
        <w:t>897.</w:t>
      </w:r>
      <w:r>
        <w:tab/>
        <w:t>Согласно этому закону и другим нормативным актам, режим использования (передачи и защиты) авторских и смежных прав в принципе и как правило является открытым, т.е. гарантирует авторам равную защиту их прав независимо от их национальной принадлежности.  Режим защиты может ограничиваться лишь на условиях, указанных в законе, для целей свободного получения информации, имеющей общественное значение, для целей обучения, а также для целей достижения других смежных или аналогичных целей.</w:t>
      </w:r>
    </w:p>
    <w:p w:rsidR="00000000" w:rsidRDefault="00000000"/>
    <w:p w:rsidR="00000000" w:rsidRDefault="00000000">
      <w:r>
        <w:rPr>
          <w:b/>
          <w:bCs/>
        </w:rPr>
        <w:t>Научно-технический прогресс</w:t>
      </w:r>
    </w:p>
    <w:p w:rsidR="00000000" w:rsidRDefault="00000000"/>
    <w:p w:rsidR="00000000" w:rsidRDefault="00000000">
      <w:r>
        <w:t>898.</w:t>
      </w:r>
      <w:r>
        <w:tab/>
        <w:t>Согласно статье 47 Конституции, государство обеспечивает стимулирование и поддержку научных исследований, а также технического прогресса.  В соответствии со статьей 23 Закона об организации и деятельности органов государственной администрации ("Официальный вестник" бывшей югославской Республики Македонии № 58/2000) министерство образования и науки отвечает за организацию, финансирование, развитие и стимулирование научно-технического прогресса, технической культуры, информационной науки и техники, а также международного сотрудничества в этой области.</w:t>
      </w:r>
    </w:p>
    <w:p w:rsidR="00000000" w:rsidRDefault="00000000"/>
    <w:p w:rsidR="00000000" w:rsidRDefault="00000000">
      <w:r>
        <w:t>899.</w:t>
      </w:r>
      <w:r>
        <w:tab/>
        <w:t>Согласно статье 6 Закона о научных исследованиях ("Официальный вестник" бывшей югославской Республики Македонии № 13/1996 и 29/2002), основополагающими принципами научных исследований являются уважение и защита личности и человеческого достоинства.  В свою очередь в основе этих принципов лежат следующие критерии:  свобода научного и академического творчества, автономность и применение результатов, многообразие научных мнений и методов и международное сотрудничество.</w:t>
      </w:r>
    </w:p>
    <w:p w:rsidR="00000000" w:rsidRDefault="00000000"/>
    <w:p w:rsidR="00000000" w:rsidRDefault="00000000">
      <w:r>
        <w:t>900.</w:t>
      </w:r>
      <w:r>
        <w:tab/>
        <w:t>В статье 7 Закона о научных исследованиях содержится четкое определение общественных интересов в области научных исследований, актуальных с точки зрения национальной и культурной самобытности македонского народа и других этнических общин, проживающих в бывшей югославской Республике Македонии.  Кроме того, исследования считаются одной из основных предпосылок общего развития государства.  В законе определяется также исследовательская деятельность, целью которой является развитие научных знаний и творчества и передача мировых ноу-хау, в том числе в сфере обороны и безопасности.  Содействие развитию людских ресурсов и исследовательской инфраструктуры также имеет общественное значение.</w:t>
      </w:r>
    </w:p>
    <w:p w:rsidR="00000000" w:rsidRDefault="00000000"/>
    <w:p w:rsidR="00000000" w:rsidRDefault="00000000">
      <w:r>
        <w:t>901.</w:t>
      </w:r>
      <w:r>
        <w:tab/>
        <w:t>Цели Закона о стимулировании и поощрении технического прогресса ("Официальный вестник" бывшей югославской Республики Македонии № 98/2000) заключаются в стимулировании и поддержке общенационального технического прогресса, а также в программировании и финансировании связанной с этим деятельности.  В Законе дается следующее определение технического прогресса:</w:t>
      </w:r>
    </w:p>
    <w:p w:rsidR="00000000" w:rsidRDefault="00000000"/>
    <w:p w:rsidR="00000000" w:rsidRDefault="00000000">
      <w:pPr>
        <w:numPr>
          <w:ilvl w:val="0"/>
          <w:numId w:val="89"/>
        </w:numPr>
      </w:pPr>
      <w:r>
        <w:t>развитие национальных технологий;</w:t>
      </w:r>
    </w:p>
    <w:p w:rsidR="00000000" w:rsidRDefault="00000000">
      <w:pPr>
        <w:tabs>
          <w:tab w:val="clear" w:pos="1134"/>
        </w:tabs>
      </w:pPr>
    </w:p>
    <w:p w:rsidR="00000000" w:rsidRDefault="00000000">
      <w:pPr>
        <w:numPr>
          <w:ilvl w:val="0"/>
          <w:numId w:val="89"/>
        </w:numPr>
      </w:pPr>
      <w:r>
        <w:t>прогресс страны на независимой экономической основе;</w:t>
      </w:r>
    </w:p>
    <w:p w:rsidR="00000000" w:rsidRDefault="00000000">
      <w:pPr>
        <w:tabs>
          <w:tab w:val="clear" w:pos="1134"/>
        </w:tabs>
      </w:pPr>
    </w:p>
    <w:p w:rsidR="00000000" w:rsidRDefault="00000000">
      <w:pPr>
        <w:numPr>
          <w:ilvl w:val="0"/>
          <w:numId w:val="89"/>
        </w:numPr>
      </w:pPr>
      <w:r>
        <w:t>модернизация действующих производственных мощностей;</w:t>
      </w:r>
    </w:p>
    <w:p w:rsidR="00000000" w:rsidRDefault="00000000">
      <w:pPr>
        <w:tabs>
          <w:tab w:val="clear" w:pos="1134"/>
        </w:tabs>
      </w:pPr>
    </w:p>
    <w:p w:rsidR="00000000" w:rsidRDefault="00000000">
      <w:pPr>
        <w:numPr>
          <w:ilvl w:val="0"/>
          <w:numId w:val="89"/>
        </w:numPr>
      </w:pPr>
      <w:r>
        <w:t>создание инновационных и технологических центров;</w:t>
      </w:r>
    </w:p>
    <w:p w:rsidR="00000000" w:rsidRDefault="00000000">
      <w:pPr>
        <w:tabs>
          <w:tab w:val="clear" w:pos="1134"/>
        </w:tabs>
      </w:pPr>
    </w:p>
    <w:p w:rsidR="00000000" w:rsidRDefault="00000000">
      <w:pPr>
        <w:numPr>
          <w:ilvl w:val="0"/>
          <w:numId w:val="89"/>
        </w:numPr>
      </w:pPr>
      <w:r>
        <w:t>развитие необходимой технической инфраструктуры и передачи ноу-хау благодаря постоянному совершенствованию производственных навыков.</w:t>
      </w:r>
    </w:p>
    <w:p w:rsidR="00000000" w:rsidRDefault="00000000">
      <w:pPr>
        <w:tabs>
          <w:tab w:val="clear" w:pos="1134"/>
        </w:tabs>
      </w:pPr>
    </w:p>
    <w:p w:rsidR="00000000" w:rsidRDefault="00000000">
      <w:r>
        <w:t>902.</w:t>
      </w:r>
      <w:r>
        <w:tab/>
        <w:t>Исходя из структуры экономики и институциональной инфраструктуры, министерство образования и науки определило следующие приоритетные направления научно-технического прогресса в бывшей югославской Республике Македонии:</w:t>
      </w:r>
    </w:p>
    <w:p w:rsidR="00000000" w:rsidRDefault="00000000"/>
    <w:p w:rsidR="00000000" w:rsidRDefault="00000000">
      <w:pPr>
        <w:numPr>
          <w:ilvl w:val="0"/>
          <w:numId w:val="90"/>
        </w:numPr>
        <w:tabs>
          <w:tab w:val="clear" w:pos="567"/>
        </w:tabs>
      </w:pPr>
      <w:r>
        <w:t>обеспечение устойчивого роста;</w:t>
      </w:r>
    </w:p>
    <w:p w:rsidR="00000000" w:rsidRDefault="00000000">
      <w:pPr>
        <w:tabs>
          <w:tab w:val="clear" w:pos="567"/>
          <w:tab w:val="clear" w:pos="1134"/>
        </w:tabs>
      </w:pPr>
    </w:p>
    <w:p w:rsidR="00000000" w:rsidRDefault="00000000">
      <w:pPr>
        <w:numPr>
          <w:ilvl w:val="0"/>
          <w:numId w:val="90"/>
        </w:numPr>
        <w:tabs>
          <w:tab w:val="clear" w:pos="567"/>
        </w:tabs>
      </w:pPr>
      <w:r>
        <w:t>биотехнология;</w:t>
      </w:r>
    </w:p>
    <w:p w:rsidR="00000000" w:rsidRDefault="00000000">
      <w:pPr>
        <w:tabs>
          <w:tab w:val="clear" w:pos="567"/>
          <w:tab w:val="clear" w:pos="1134"/>
        </w:tabs>
      </w:pPr>
    </w:p>
    <w:p w:rsidR="00000000" w:rsidRDefault="00000000">
      <w:pPr>
        <w:numPr>
          <w:ilvl w:val="0"/>
          <w:numId w:val="90"/>
        </w:numPr>
        <w:tabs>
          <w:tab w:val="clear" w:pos="567"/>
        </w:tabs>
      </w:pPr>
      <w:r>
        <w:t>производство качественных продуктов питания;</w:t>
      </w:r>
    </w:p>
    <w:p w:rsidR="00000000" w:rsidRDefault="00000000">
      <w:pPr>
        <w:tabs>
          <w:tab w:val="clear" w:pos="567"/>
          <w:tab w:val="clear" w:pos="1134"/>
        </w:tabs>
      </w:pPr>
    </w:p>
    <w:p w:rsidR="00000000" w:rsidRDefault="00000000">
      <w:pPr>
        <w:numPr>
          <w:ilvl w:val="0"/>
          <w:numId w:val="90"/>
        </w:numPr>
        <w:tabs>
          <w:tab w:val="clear" w:pos="567"/>
        </w:tabs>
      </w:pPr>
      <w:r>
        <w:t>рациональное водопользование;</w:t>
      </w:r>
    </w:p>
    <w:p w:rsidR="00000000" w:rsidRDefault="00000000">
      <w:pPr>
        <w:tabs>
          <w:tab w:val="clear" w:pos="567"/>
          <w:tab w:val="clear" w:pos="1134"/>
        </w:tabs>
      </w:pPr>
    </w:p>
    <w:p w:rsidR="00000000" w:rsidRDefault="00000000">
      <w:pPr>
        <w:numPr>
          <w:ilvl w:val="0"/>
          <w:numId w:val="90"/>
        </w:numPr>
        <w:tabs>
          <w:tab w:val="clear" w:pos="567"/>
        </w:tabs>
      </w:pPr>
      <w:r>
        <w:t>энергетический сектор;</w:t>
      </w:r>
    </w:p>
    <w:p w:rsidR="00000000" w:rsidRDefault="00000000">
      <w:pPr>
        <w:tabs>
          <w:tab w:val="clear" w:pos="567"/>
          <w:tab w:val="clear" w:pos="1134"/>
        </w:tabs>
      </w:pPr>
    </w:p>
    <w:p w:rsidR="00000000" w:rsidRDefault="00000000">
      <w:pPr>
        <w:numPr>
          <w:ilvl w:val="0"/>
          <w:numId w:val="90"/>
        </w:numPr>
        <w:tabs>
          <w:tab w:val="clear" w:pos="567"/>
        </w:tabs>
      </w:pPr>
      <w:r>
        <w:t>новые материалы;</w:t>
      </w:r>
    </w:p>
    <w:p w:rsidR="00000000" w:rsidRDefault="00000000">
      <w:pPr>
        <w:tabs>
          <w:tab w:val="clear" w:pos="567"/>
          <w:tab w:val="clear" w:pos="1134"/>
        </w:tabs>
      </w:pPr>
    </w:p>
    <w:p w:rsidR="00000000" w:rsidRDefault="00000000">
      <w:pPr>
        <w:numPr>
          <w:ilvl w:val="0"/>
          <w:numId w:val="90"/>
        </w:numPr>
        <w:tabs>
          <w:tab w:val="clear" w:pos="567"/>
        </w:tabs>
      </w:pPr>
      <w:r>
        <w:t>охрана окружающей среды;</w:t>
      </w:r>
    </w:p>
    <w:p w:rsidR="00000000" w:rsidRDefault="00000000">
      <w:pPr>
        <w:tabs>
          <w:tab w:val="clear" w:pos="567"/>
          <w:tab w:val="clear" w:pos="1134"/>
        </w:tabs>
      </w:pPr>
    </w:p>
    <w:p w:rsidR="00000000" w:rsidRDefault="00000000">
      <w:pPr>
        <w:numPr>
          <w:ilvl w:val="0"/>
          <w:numId w:val="90"/>
        </w:numPr>
        <w:tabs>
          <w:tab w:val="clear" w:pos="567"/>
        </w:tabs>
      </w:pPr>
      <w:r>
        <w:t>информационно-коммуникационные технологии;</w:t>
      </w:r>
    </w:p>
    <w:p w:rsidR="00000000" w:rsidRDefault="00000000">
      <w:pPr>
        <w:tabs>
          <w:tab w:val="clear" w:pos="567"/>
          <w:tab w:val="clear" w:pos="1134"/>
        </w:tabs>
      </w:pPr>
    </w:p>
    <w:p w:rsidR="00000000" w:rsidRDefault="00000000">
      <w:pPr>
        <w:numPr>
          <w:ilvl w:val="0"/>
          <w:numId w:val="90"/>
        </w:numPr>
        <w:tabs>
          <w:tab w:val="clear" w:pos="567"/>
        </w:tabs>
      </w:pPr>
      <w:r>
        <w:t>здравоохранение;  и</w:t>
      </w:r>
    </w:p>
    <w:p w:rsidR="00000000" w:rsidRDefault="00000000">
      <w:pPr>
        <w:tabs>
          <w:tab w:val="clear" w:pos="567"/>
          <w:tab w:val="clear" w:pos="1134"/>
        </w:tabs>
      </w:pPr>
    </w:p>
    <w:p w:rsidR="00000000" w:rsidRDefault="00000000">
      <w:pPr>
        <w:numPr>
          <w:ilvl w:val="0"/>
          <w:numId w:val="90"/>
        </w:numPr>
        <w:tabs>
          <w:tab w:val="clear" w:pos="567"/>
        </w:tabs>
      </w:pPr>
      <w:r>
        <w:t>геология и технологии в этой области.</w:t>
      </w:r>
    </w:p>
    <w:p w:rsidR="00000000" w:rsidRDefault="00000000">
      <w:pPr>
        <w:tabs>
          <w:tab w:val="clear" w:pos="1134"/>
        </w:tabs>
      </w:pPr>
    </w:p>
    <w:p w:rsidR="00000000" w:rsidRDefault="00000000">
      <w:r>
        <w:t>903.</w:t>
      </w:r>
      <w:r>
        <w:tab/>
        <w:t>В предстоящий период инфраструктурная поддержка научных исследований будет в первую очередь ориентирована на:</w:t>
      </w:r>
    </w:p>
    <w:p w:rsidR="00000000" w:rsidRDefault="00000000"/>
    <w:p w:rsidR="00000000" w:rsidRDefault="00000000">
      <w:pPr>
        <w:numPr>
          <w:ilvl w:val="0"/>
          <w:numId w:val="91"/>
        </w:numPr>
      </w:pPr>
      <w:r>
        <w:t>дальнейшее развитие сети научно-исследовательских центров;</w:t>
      </w:r>
    </w:p>
    <w:p w:rsidR="00000000" w:rsidRDefault="00000000">
      <w:pPr>
        <w:tabs>
          <w:tab w:val="clear" w:pos="1134"/>
        </w:tabs>
      </w:pPr>
    </w:p>
    <w:p w:rsidR="00000000" w:rsidRDefault="00000000">
      <w:pPr>
        <w:numPr>
          <w:ilvl w:val="0"/>
          <w:numId w:val="91"/>
        </w:numPr>
      </w:pPr>
      <w:r>
        <w:t>совершенствование исследовательского оборудования;</w:t>
      </w:r>
    </w:p>
    <w:p w:rsidR="00000000" w:rsidRDefault="00000000">
      <w:pPr>
        <w:tabs>
          <w:tab w:val="clear" w:pos="1134"/>
        </w:tabs>
      </w:pPr>
    </w:p>
    <w:p w:rsidR="00000000" w:rsidRDefault="00000000">
      <w:pPr>
        <w:numPr>
          <w:ilvl w:val="0"/>
          <w:numId w:val="91"/>
        </w:numPr>
      </w:pPr>
      <w:r>
        <w:t>стимулирование создания научно-исследовательских и опытно-конструкторских структур в экономике;</w:t>
      </w:r>
    </w:p>
    <w:p w:rsidR="00000000" w:rsidRDefault="00000000">
      <w:pPr>
        <w:tabs>
          <w:tab w:val="clear" w:pos="1134"/>
        </w:tabs>
      </w:pPr>
    </w:p>
    <w:p w:rsidR="00000000" w:rsidRDefault="00000000">
      <w:pPr>
        <w:numPr>
          <w:ilvl w:val="0"/>
          <w:numId w:val="91"/>
        </w:numPr>
      </w:pPr>
      <w:r>
        <w:t>систематическое и непрерывное обеспечение иностранной справочной литературой;</w:t>
      </w:r>
    </w:p>
    <w:p w:rsidR="00000000" w:rsidRDefault="00000000">
      <w:pPr>
        <w:tabs>
          <w:tab w:val="clear" w:pos="1134"/>
        </w:tabs>
      </w:pPr>
    </w:p>
    <w:p w:rsidR="00000000" w:rsidRDefault="00000000">
      <w:pPr>
        <w:numPr>
          <w:ilvl w:val="0"/>
          <w:numId w:val="91"/>
        </w:numPr>
      </w:pPr>
      <w:r>
        <w:t>совершенствование библиотечной информационной системы;</w:t>
      </w:r>
    </w:p>
    <w:p w:rsidR="00000000" w:rsidRDefault="00000000">
      <w:pPr>
        <w:tabs>
          <w:tab w:val="clear" w:pos="1134"/>
        </w:tabs>
      </w:pPr>
    </w:p>
    <w:p w:rsidR="00000000" w:rsidRDefault="00000000">
      <w:pPr>
        <w:numPr>
          <w:ilvl w:val="0"/>
          <w:numId w:val="91"/>
        </w:numPr>
      </w:pPr>
      <w:r>
        <w:t>поддержку имеющегося технологического потенциала;</w:t>
      </w:r>
    </w:p>
    <w:p w:rsidR="00000000" w:rsidRDefault="00000000">
      <w:pPr>
        <w:tabs>
          <w:tab w:val="clear" w:pos="1134"/>
        </w:tabs>
      </w:pPr>
    </w:p>
    <w:p w:rsidR="00000000" w:rsidRDefault="00000000">
      <w:pPr>
        <w:numPr>
          <w:ilvl w:val="0"/>
          <w:numId w:val="91"/>
        </w:numPr>
      </w:pPr>
      <w:r>
        <w:t>создание новых центров передачи технологии для более эффективной интеграции исследовательской и хозяйственной деятельности;</w:t>
      </w:r>
    </w:p>
    <w:p w:rsidR="00000000" w:rsidRDefault="00000000">
      <w:pPr>
        <w:tabs>
          <w:tab w:val="clear" w:pos="1134"/>
        </w:tabs>
      </w:pPr>
    </w:p>
    <w:p w:rsidR="00000000" w:rsidRDefault="00000000">
      <w:pPr>
        <w:numPr>
          <w:ilvl w:val="0"/>
          <w:numId w:val="91"/>
        </w:numPr>
      </w:pPr>
      <w:r>
        <w:t>создание благоприятных, адекватных условий для исследовательской деятельности.</w:t>
      </w:r>
    </w:p>
    <w:p w:rsidR="00000000" w:rsidRDefault="00000000">
      <w:pPr>
        <w:tabs>
          <w:tab w:val="clear" w:pos="1134"/>
        </w:tabs>
      </w:pPr>
    </w:p>
    <w:p w:rsidR="00000000" w:rsidRDefault="00000000">
      <w:r>
        <w:t>904.</w:t>
      </w:r>
      <w:r>
        <w:tab/>
        <w:t>Научно-техническая политика бывшей югославской Республики Македонии в ближайшем будущем будет включать в себя следующие основные элементы:</w:t>
      </w:r>
    </w:p>
    <w:p w:rsidR="00000000" w:rsidRDefault="00000000"/>
    <w:p w:rsidR="00000000" w:rsidRDefault="00000000">
      <w:pPr>
        <w:numPr>
          <w:ilvl w:val="0"/>
          <w:numId w:val="92"/>
        </w:numPr>
      </w:pPr>
      <w:r>
        <w:t>применение и передачу ноу-хау в интересах экономического, социального, культурного и экологического развития страны;</w:t>
      </w:r>
    </w:p>
    <w:p w:rsidR="00000000" w:rsidRDefault="00000000">
      <w:pPr>
        <w:tabs>
          <w:tab w:val="clear" w:pos="1134"/>
        </w:tabs>
      </w:pPr>
    </w:p>
    <w:p w:rsidR="00000000" w:rsidRDefault="00000000">
      <w:pPr>
        <w:numPr>
          <w:ilvl w:val="0"/>
          <w:numId w:val="92"/>
        </w:numPr>
      </w:pPr>
      <w:r>
        <w:t>стимулирование и поощрение международного сотрудничества и передачи зарубежных ноу-хау и технологий;</w:t>
      </w:r>
    </w:p>
    <w:p w:rsidR="00000000" w:rsidRDefault="00000000">
      <w:pPr>
        <w:tabs>
          <w:tab w:val="clear" w:pos="1134"/>
        </w:tabs>
      </w:pPr>
    </w:p>
    <w:p w:rsidR="00000000" w:rsidRDefault="00000000">
      <w:pPr>
        <w:numPr>
          <w:ilvl w:val="0"/>
          <w:numId w:val="92"/>
        </w:numPr>
      </w:pPr>
      <w:r>
        <w:t>внедрение системы мониторинга и оценки качества результатов работы научно-исследовательских и опытно-конструкторских групп на основе применения международных стандартов и критериев;</w:t>
      </w:r>
    </w:p>
    <w:p w:rsidR="00000000" w:rsidRDefault="00000000">
      <w:pPr>
        <w:tabs>
          <w:tab w:val="clear" w:pos="1134"/>
        </w:tabs>
      </w:pPr>
    </w:p>
    <w:p w:rsidR="00000000" w:rsidRDefault="00000000">
      <w:pPr>
        <w:numPr>
          <w:ilvl w:val="0"/>
          <w:numId w:val="92"/>
        </w:numPr>
      </w:pPr>
      <w:r>
        <w:t>увеличение инвестиций в научно-техническую и опытно-конструкторскую деятельность;</w:t>
      </w:r>
    </w:p>
    <w:p w:rsidR="00000000" w:rsidRDefault="00000000">
      <w:pPr>
        <w:tabs>
          <w:tab w:val="clear" w:pos="1134"/>
        </w:tabs>
      </w:pPr>
    </w:p>
    <w:p w:rsidR="00000000" w:rsidRDefault="00000000">
      <w:pPr>
        <w:numPr>
          <w:ilvl w:val="0"/>
          <w:numId w:val="92"/>
        </w:numPr>
      </w:pPr>
      <w:r>
        <w:t>облегчение доступа к международному финансированию, технической помощи и т.д.;</w:t>
      </w:r>
    </w:p>
    <w:p w:rsidR="00000000" w:rsidRDefault="00000000">
      <w:pPr>
        <w:tabs>
          <w:tab w:val="clear" w:pos="1134"/>
        </w:tabs>
      </w:pPr>
    </w:p>
    <w:p w:rsidR="00000000" w:rsidRDefault="00000000">
      <w:pPr>
        <w:numPr>
          <w:ilvl w:val="0"/>
          <w:numId w:val="92"/>
        </w:numPr>
      </w:pPr>
      <w:r>
        <w:t>разработку и внедрение межведомственных программ целевой исследовательской деятельности;</w:t>
      </w:r>
    </w:p>
    <w:p w:rsidR="00000000" w:rsidRDefault="00000000">
      <w:pPr>
        <w:tabs>
          <w:tab w:val="clear" w:pos="1134"/>
        </w:tabs>
      </w:pPr>
    </w:p>
    <w:p w:rsidR="00000000" w:rsidRDefault="00000000">
      <w:pPr>
        <w:numPr>
          <w:ilvl w:val="0"/>
          <w:numId w:val="92"/>
        </w:numPr>
      </w:pPr>
      <w:r>
        <w:t>разработку соответствующих международным стандартам механизмов анализа и оценки экономической актуальности результатов исследовательской деятельности как критериев для разработки будущей политики;</w:t>
      </w:r>
    </w:p>
    <w:p w:rsidR="00000000" w:rsidRDefault="00000000">
      <w:pPr>
        <w:tabs>
          <w:tab w:val="clear" w:pos="1134"/>
        </w:tabs>
      </w:pPr>
    </w:p>
    <w:p w:rsidR="00000000" w:rsidRDefault="00000000">
      <w:pPr>
        <w:numPr>
          <w:ilvl w:val="0"/>
          <w:numId w:val="92"/>
        </w:numPr>
      </w:pPr>
      <w:r>
        <w:t>поддержку предприятий в создании действенных подразделений, занимающихся передачей ноу-хау и технологии;</w:t>
      </w:r>
    </w:p>
    <w:p w:rsidR="00000000" w:rsidRDefault="00000000">
      <w:pPr>
        <w:tabs>
          <w:tab w:val="clear" w:pos="1134"/>
        </w:tabs>
      </w:pPr>
    </w:p>
    <w:p w:rsidR="00000000" w:rsidRDefault="00000000">
      <w:pPr>
        <w:numPr>
          <w:ilvl w:val="0"/>
          <w:numId w:val="92"/>
        </w:numPr>
      </w:pPr>
      <w:r>
        <w:t>преодоление технологического отставания с целью достижения уровня развития развитых стран;</w:t>
      </w:r>
    </w:p>
    <w:p w:rsidR="00000000" w:rsidRDefault="00000000">
      <w:pPr>
        <w:tabs>
          <w:tab w:val="clear" w:pos="1134"/>
        </w:tabs>
      </w:pPr>
    </w:p>
    <w:p w:rsidR="00000000" w:rsidRDefault="00000000">
      <w:pPr>
        <w:numPr>
          <w:ilvl w:val="0"/>
          <w:numId w:val="92"/>
        </w:numPr>
      </w:pPr>
      <w:r>
        <w:t>создание условий для повышения качества ноу-хау и инноваций;</w:t>
      </w:r>
    </w:p>
    <w:p w:rsidR="00000000" w:rsidRDefault="00000000">
      <w:pPr>
        <w:tabs>
          <w:tab w:val="clear" w:pos="1134"/>
        </w:tabs>
      </w:pPr>
    </w:p>
    <w:p w:rsidR="00000000" w:rsidRDefault="00000000">
      <w:pPr>
        <w:numPr>
          <w:ilvl w:val="0"/>
          <w:numId w:val="92"/>
        </w:numPr>
      </w:pPr>
      <w:r>
        <w:t>создание системы технологической информации в рамках общей информационной системы на основе требований соответствующих баз данных, услуг и сетей;</w:t>
      </w:r>
    </w:p>
    <w:p w:rsidR="00000000" w:rsidRDefault="00000000">
      <w:pPr>
        <w:tabs>
          <w:tab w:val="clear" w:pos="1134"/>
        </w:tabs>
      </w:pPr>
    </w:p>
    <w:p w:rsidR="00000000" w:rsidRDefault="00000000">
      <w:pPr>
        <w:numPr>
          <w:ilvl w:val="0"/>
          <w:numId w:val="92"/>
        </w:numPr>
      </w:pPr>
      <w:r>
        <w:t>разработку единой инфраструктурной модели для поддержки и развития науки и техники;</w:t>
      </w:r>
    </w:p>
    <w:p w:rsidR="00000000" w:rsidRDefault="00000000">
      <w:pPr>
        <w:tabs>
          <w:tab w:val="clear" w:pos="1134"/>
        </w:tabs>
      </w:pPr>
    </w:p>
    <w:p w:rsidR="00000000" w:rsidRDefault="00000000">
      <w:pPr>
        <w:numPr>
          <w:ilvl w:val="0"/>
          <w:numId w:val="92"/>
        </w:numPr>
      </w:pPr>
      <w:r>
        <w:t>консолидацию и стимулирование развития национальных отраслей и компаний, в первую очередь поддержку малых и средних предприятий с целью повышения качества и конкурентоспособности их продукции на мировом рынке;</w:t>
      </w:r>
    </w:p>
    <w:p w:rsidR="00000000" w:rsidRDefault="00000000">
      <w:pPr>
        <w:tabs>
          <w:tab w:val="clear" w:pos="1134"/>
        </w:tabs>
      </w:pPr>
    </w:p>
    <w:p w:rsidR="00000000" w:rsidRDefault="00000000">
      <w:pPr>
        <w:numPr>
          <w:ilvl w:val="0"/>
          <w:numId w:val="92"/>
        </w:numPr>
      </w:pPr>
      <w:r>
        <w:t>создание системы приоритетов, подкрепляемой мерами экономической политики.</w:t>
      </w:r>
    </w:p>
    <w:p w:rsidR="00000000" w:rsidRDefault="00000000">
      <w:pPr>
        <w:tabs>
          <w:tab w:val="clear" w:pos="1134"/>
        </w:tabs>
      </w:pPr>
    </w:p>
    <w:p w:rsidR="00000000" w:rsidRDefault="00000000">
      <w:r>
        <w:t>905.</w:t>
      </w:r>
      <w:r>
        <w:tab/>
        <w:t>Научная политика ориентирована на указанную ниже целевую аудиторию:</w:t>
      </w:r>
    </w:p>
    <w:p w:rsidR="00000000" w:rsidRDefault="00000000"/>
    <w:p w:rsidR="00000000" w:rsidRDefault="00000000">
      <w:pPr>
        <w:numPr>
          <w:ilvl w:val="0"/>
          <w:numId w:val="93"/>
        </w:numPr>
      </w:pPr>
      <w:r>
        <w:t>высшие учебные заведения;</w:t>
      </w:r>
    </w:p>
    <w:p w:rsidR="00000000" w:rsidRDefault="00000000">
      <w:pPr>
        <w:tabs>
          <w:tab w:val="clear" w:pos="1134"/>
        </w:tabs>
      </w:pPr>
    </w:p>
    <w:p w:rsidR="00000000" w:rsidRDefault="00000000">
      <w:pPr>
        <w:numPr>
          <w:ilvl w:val="0"/>
          <w:numId w:val="93"/>
        </w:numPr>
      </w:pPr>
      <w:r>
        <w:t>Македонская академия наук и искусств;</w:t>
      </w:r>
    </w:p>
    <w:p w:rsidR="00000000" w:rsidRDefault="00000000">
      <w:pPr>
        <w:tabs>
          <w:tab w:val="clear" w:pos="1134"/>
        </w:tabs>
      </w:pPr>
    </w:p>
    <w:p w:rsidR="00000000" w:rsidRDefault="00000000">
      <w:pPr>
        <w:numPr>
          <w:ilvl w:val="0"/>
          <w:numId w:val="93"/>
        </w:numPr>
      </w:pPr>
      <w:r>
        <w:t>государственные научные учреждения;</w:t>
      </w:r>
    </w:p>
    <w:p w:rsidR="00000000" w:rsidRDefault="00000000">
      <w:pPr>
        <w:tabs>
          <w:tab w:val="clear" w:pos="1134"/>
        </w:tabs>
      </w:pPr>
    </w:p>
    <w:p w:rsidR="00000000" w:rsidRDefault="00000000">
      <w:pPr>
        <w:numPr>
          <w:ilvl w:val="0"/>
          <w:numId w:val="93"/>
        </w:numPr>
      </w:pPr>
      <w:r>
        <w:t>центры передачи технологии;  и</w:t>
      </w:r>
    </w:p>
    <w:p w:rsidR="00000000" w:rsidRDefault="00000000">
      <w:pPr>
        <w:tabs>
          <w:tab w:val="clear" w:pos="1134"/>
        </w:tabs>
      </w:pPr>
    </w:p>
    <w:p w:rsidR="00000000" w:rsidRDefault="00000000">
      <w:pPr>
        <w:numPr>
          <w:ilvl w:val="0"/>
          <w:numId w:val="93"/>
        </w:numPr>
      </w:pPr>
      <w:r>
        <w:t>научно-исследовательские и опытно-конструкторские отраслевые центры.</w:t>
      </w:r>
    </w:p>
    <w:p w:rsidR="00000000" w:rsidRDefault="00000000">
      <w:pPr>
        <w:tabs>
          <w:tab w:val="clear" w:pos="1134"/>
        </w:tabs>
      </w:pPr>
    </w:p>
    <w:p w:rsidR="00000000" w:rsidRDefault="00000000">
      <w:r>
        <w:t>906.</w:t>
      </w:r>
      <w:r>
        <w:tab/>
        <w:t>Министерство образования и науки имеет в своем распоряжении следующие финансовые инструменты для поддержки научных исследований:</w:t>
      </w:r>
    </w:p>
    <w:p w:rsidR="00000000" w:rsidRDefault="00000000"/>
    <w:p w:rsidR="00000000" w:rsidRDefault="00000000">
      <w:pPr>
        <w:numPr>
          <w:ilvl w:val="0"/>
          <w:numId w:val="94"/>
        </w:numPr>
      </w:pPr>
      <w:r>
        <w:t>финансирование национально-исследовательских и технологических проектов;</w:t>
      </w:r>
    </w:p>
    <w:p w:rsidR="00000000" w:rsidRDefault="00000000">
      <w:pPr>
        <w:tabs>
          <w:tab w:val="clear" w:pos="1134"/>
        </w:tabs>
      </w:pPr>
    </w:p>
    <w:p w:rsidR="00000000" w:rsidRDefault="00000000">
      <w:pPr>
        <w:numPr>
          <w:ilvl w:val="0"/>
          <w:numId w:val="94"/>
        </w:numPr>
      </w:pPr>
      <w:r>
        <w:t>присуждение стипендий для учебы в аспирантуре и докторантуре в национальных и иностранных университетах;</w:t>
      </w:r>
    </w:p>
    <w:p w:rsidR="00000000" w:rsidRDefault="00000000">
      <w:pPr>
        <w:tabs>
          <w:tab w:val="clear" w:pos="1134"/>
        </w:tabs>
      </w:pPr>
    </w:p>
    <w:p w:rsidR="00000000" w:rsidRDefault="00000000">
      <w:pPr>
        <w:numPr>
          <w:ilvl w:val="0"/>
          <w:numId w:val="94"/>
        </w:numPr>
      </w:pPr>
      <w:r>
        <w:t>финансовая поддержка исследователей, участвующих в международных конференциях;</w:t>
      </w:r>
    </w:p>
    <w:p w:rsidR="00000000" w:rsidRDefault="00000000">
      <w:pPr>
        <w:tabs>
          <w:tab w:val="clear" w:pos="1134"/>
        </w:tabs>
      </w:pPr>
    </w:p>
    <w:p w:rsidR="00000000" w:rsidRDefault="00000000">
      <w:pPr>
        <w:numPr>
          <w:ilvl w:val="0"/>
          <w:numId w:val="94"/>
        </w:numPr>
      </w:pPr>
      <w:r>
        <w:t>финансовая поддержка на цели организации научных конференций;</w:t>
      </w:r>
    </w:p>
    <w:p w:rsidR="00000000" w:rsidRDefault="00000000">
      <w:pPr>
        <w:tabs>
          <w:tab w:val="clear" w:pos="1134"/>
        </w:tabs>
      </w:pPr>
    </w:p>
    <w:p w:rsidR="00000000" w:rsidRDefault="00000000">
      <w:pPr>
        <w:numPr>
          <w:ilvl w:val="0"/>
          <w:numId w:val="94"/>
        </w:numPr>
      </w:pPr>
      <w:r>
        <w:t>поддержка в выпуске научно-исследовательских публикаций;</w:t>
      </w:r>
    </w:p>
    <w:p w:rsidR="00000000" w:rsidRDefault="00000000">
      <w:pPr>
        <w:tabs>
          <w:tab w:val="clear" w:pos="1134"/>
        </w:tabs>
      </w:pPr>
    </w:p>
    <w:p w:rsidR="00000000" w:rsidRDefault="00000000">
      <w:pPr>
        <w:numPr>
          <w:ilvl w:val="0"/>
          <w:numId w:val="94"/>
        </w:numPr>
      </w:pPr>
      <w:r>
        <w:t>развитие исследовательской и технологической инфраструктуры.</w:t>
      </w:r>
    </w:p>
    <w:p w:rsidR="00000000" w:rsidRDefault="00000000">
      <w:pPr>
        <w:tabs>
          <w:tab w:val="clear" w:pos="1134"/>
        </w:tabs>
      </w:pPr>
    </w:p>
    <w:p w:rsidR="00000000" w:rsidRDefault="00000000">
      <w:r>
        <w:t>907.</w:t>
      </w:r>
      <w:r>
        <w:tab/>
        <w:t>Из-за неблагоприятной ситуации в промышленности финансирование научно-технической деятельности осуществляется главным образом из государственного бюджета.  В этой связи необходимо добиться более активного участия в этой деятельности коммерческого сектора, который должен быть заинтересован в инвестировании средств в собственное развитие в форме вложений в инновации, новые товары и новые технологии.</w:t>
      </w:r>
    </w:p>
    <w:p w:rsidR="00000000" w:rsidRDefault="00000000"/>
    <w:p w:rsidR="00000000" w:rsidRDefault="00000000">
      <w:r>
        <w:rPr>
          <w:b/>
          <w:bCs/>
        </w:rPr>
        <w:t>Правовая основа</w:t>
      </w:r>
    </w:p>
    <w:p w:rsidR="00000000" w:rsidRDefault="00000000"/>
    <w:p w:rsidR="00000000" w:rsidRDefault="00000000">
      <w:r>
        <w:t>908.</w:t>
      </w:r>
      <w:r>
        <w:tab/>
        <w:t>Закон о научных исследованиях ("Официальный вестник" бывшей югославской Республики Македонии № 13/1996 и 29/2002), в котором определяется система, принципы, общественные интересы, формы организации научными исследованиями и управления ими, механизмы стимулирования и поддержки научных исследований и научного персонала, а также другие аспекты, актуальные с точки зрения исследовательской деятельности.</w:t>
      </w:r>
    </w:p>
    <w:p w:rsidR="00000000" w:rsidRDefault="00000000"/>
    <w:p w:rsidR="00000000" w:rsidRDefault="00000000">
      <w:r>
        <w:t>909.</w:t>
      </w:r>
      <w:r>
        <w:tab/>
        <w:t>Закон о Македонской академии наук и искусств ("Официальный вестник" бывшей югославской Республики Македонии № 13/1996), наделяющий Академию статусом высшего автономного научного и художественного учреждения страны, играющего главенствующую роль на национальном уровне.</w:t>
      </w:r>
    </w:p>
    <w:p w:rsidR="00000000" w:rsidRDefault="00000000"/>
    <w:p w:rsidR="00000000" w:rsidRDefault="00000000">
      <w:r>
        <w:t>910.</w:t>
      </w:r>
      <w:r>
        <w:tab/>
        <w:t>Закон о стимулировании и поощрении технического прогресса ("Официальный вестник" бывшей югославской Республики Македонии № 98/2000), регулирующий вопросы стимулирования и поощрения технического прогресса в стране, его программирование и финансирование, например, развитие самообеспечивающих технологий, создание независимой экономической основы, модернизацию существующего производственного потенциала, создание инновационных и технологических центров, создание необходимой технологической инфраструктуры и передачу ноу-хау на основе постоянного повышения качества исследовательской работы и развития творчества.</w:t>
      </w:r>
    </w:p>
    <w:p w:rsidR="00000000" w:rsidRDefault="00000000"/>
    <w:p w:rsidR="00000000" w:rsidRDefault="00000000">
      <w:r>
        <w:t>911.</w:t>
      </w:r>
      <w:r>
        <w:tab/>
        <w:t>Закон о стимулировании и поощрении технической культуры ("Официальный вестник" бывшей югославской Республики Македонии № 53/2000), регулирующий подготовку кадров с целью приобретения навыков и знаний в области технологии и компьютерной техники, новаторство, распространение результатов научно-технической деятельности, стимулирование творческой и научной работы, техническое и профессионально-техническое обучение, в первую очередь молодежи.</w:t>
      </w:r>
    </w:p>
    <w:p w:rsidR="00000000" w:rsidRDefault="00000000"/>
    <w:p w:rsidR="00000000" w:rsidRDefault="00000000">
      <w:r>
        <w:t>912.</w:t>
      </w:r>
      <w:r>
        <w:tab/>
        <w:t>Постановление об определении условий и критериев выделения средств на стимулирование и поощрение научных исследований ("Официальный вестник" бывшей югославской Республики Македонии № 3/2005).</w:t>
      </w:r>
    </w:p>
    <w:p w:rsidR="00000000" w:rsidRDefault="00000000">
      <w:r>
        <w:t>913.</w:t>
      </w:r>
      <w:r>
        <w:tab/>
        <w:t>Постановление об определении условий и критериев выделения средств на осуществление ежегодных программ функционирования и развития государственных исследовательских учреждений ("Официальный вестник" бывшей югославской Республики Македонии № 3/2005).</w:t>
      </w:r>
    </w:p>
    <w:p w:rsidR="00000000" w:rsidRDefault="00000000"/>
    <w:p w:rsidR="00000000" w:rsidRDefault="00000000">
      <w:r>
        <w:t>914.</w:t>
      </w:r>
      <w:r>
        <w:tab/>
        <w:t>Постановление об определении условий и критериев выделения средств на профессиональную подготовку исследовательских кадров ("Официальный вестник" бывшей югославской Республики Македонии № 33/2004).</w:t>
      </w:r>
    </w:p>
    <w:p w:rsidR="00000000" w:rsidRDefault="00000000"/>
    <w:p w:rsidR="00000000" w:rsidRDefault="00000000">
      <w:r>
        <w:t>915.</w:t>
      </w:r>
      <w:r>
        <w:tab/>
        <w:t>Постановление об условиях и критериях управления средствами, выделяемыми на стимулирование и поощрение технического прогресса ("Официальный вестник" бывшей югославской Республики Македонии № 49/2001).</w:t>
      </w:r>
    </w:p>
    <w:p w:rsidR="00000000" w:rsidRDefault="00000000"/>
    <w:p w:rsidR="00000000" w:rsidRDefault="00000000">
      <w:r>
        <w:t>916.</w:t>
      </w:r>
      <w:r>
        <w:tab/>
        <w:t>Постановление, регламентирующее критерии выделения средств на осуществление программ работы, т.е. проектов в области технической культуры ("Официальный вестник" бывшей югославской Республики Македонии № 31/2001).</w:t>
      </w:r>
    </w:p>
    <w:p w:rsidR="00000000" w:rsidRDefault="00000000"/>
    <w:p w:rsidR="00000000" w:rsidRDefault="00000000">
      <w:r>
        <w:t>917.</w:t>
      </w:r>
      <w:r>
        <w:tab/>
        <w:t>В основе законодательства в области промышленной и интеллектуальной собственности лежат следующие законодательные акты:  Закон о промышленной собственности ("Официальный вестник" бывшей югославской Республики Македонии № 47/2002, 42/2003 и 9/2004) и Закон об авторских и смежных правах ("Официальный вестник" бывшей югославской Республики Македонии № 47/1996, 3/1998, 98/2002 и 04/2005).  Последний регулирует отношения в связи с осуществлением и защитой авторских прав на защищаемые ими результаты различных форм творчества, включая результаты научной деятельности.  На научные труды, защищаемые авторским правом, распространяется такой же режим осуществления и защиты авторских прав, как и на все другие защищаемые подобными правами произведения.</w:t>
      </w:r>
    </w:p>
    <w:p w:rsidR="00000000" w:rsidRDefault="00000000"/>
    <w:p w:rsidR="00000000" w:rsidRDefault="00000000">
      <w:r>
        <w:t>918.</w:t>
      </w:r>
      <w:r>
        <w:tab/>
        <w:t>Права интеллектуальной собственности распространяются на все результаты творческой научно-исследовательской деятельности.  Защита прав интеллектуальной собственности осуществляется на основе ряда нормативных актов, включая патентное регулирование промышленного дизайна, регулирование торговых марок, регулирование товарных знаков происхождения и географической маркировки, регулирование профессиональных экзаменов для сотрудников органов по защите прав промышленной собственности ("Официальный вестник" бывшей югославской Республики Македонии № 18/2004).</w:t>
      </w:r>
    </w:p>
    <w:p w:rsidR="00000000" w:rsidRDefault="00000000"/>
    <w:p w:rsidR="00000000" w:rsidRDefault="00000000">
      <w:r>
        <w:t>919.</w:t>
      </w:r>
      <w:r>
        <w:tab/>
        <w:t>Согласно Закону о научных исследованиях, научно-исследовательской деятельностью занимаются следующие учреждения:</w:t>
      </w:r>
    </w:p>
    <w:p w:rsidR="00000000" w:rsidRDefault="00000000">
      <w:pPr>
        <w:numPr>
          <w:ilvl w:val="0"/>
          <w:numId w:val="95"/>
        </w:numPr>
      </w:pPr>
      <w:r>
        <w:t>Македонская академия наук и искусств;</w:t>
      </w:r>
    </w:p>
    <w:p w:rsidR="00000000" w:rsidRDefault="00000000">
      <w:pPr>
        <w:tabs>
          <w:tab w:val="clear" w:pos="1134"/>
        </w:tabs>
      </w:pPr>
    </w:p>
    <w:p w:rsidR="00000000" w:rsidRDefault="00000000">
      <w:pPr>
        <w:numPr>
          <w:ilvl w:val="0"/>
          <w:numId w:val="95"/>
        </w:numPr>
      </w:pPr>
      <w:r>
        <w:t>высшие учебные заведения;</w:t>
      </w:r>
    </w:p>
    <w:p w:rsidR="00000000" w:rsidRDefault="00000000">
      <w:pPr>
        <w:tabs>
          <w:tab w:val="clear" w:pos="1134"/>
        </w:tabs>
      </w:pPr>
    </w:p>
    <w:p w:rsidR="00000000" w:rsidRDefault="00000000">
      <w:pPr>
        <w:numPr>
          <w:ilvl w:val="0"/>
          <w:numId w:val="95"/>
        </w:numPr>
      </w:pPr>
      <w:r>
        <w:t>государственные научные институты;  и</w:t>
      </w:r>
    </w:p>
    <w:p w:rsidR="00000000" w:rsidRDefault="00000000">
      <w:pPr>
        <w:tabs>
          <w:tab w:val="clear" w:pos="1134"/>
        </w:tabs>
      </w:pPr>
    </w:p>
    <w:p w:rsidR="00000000" w:rsidRDefault="00000000">
      <w:pPr>
        <w:numPr>
          <w:ilvl w:val="0"/>
          <w:numId w:val="95"/>
        </w:numPr>
      </w:pPr>
      <w:r>
        <w:t>независимые исследователи.</w:t>
      </w:r>
    </w:p>
    <w:p w:rsidR="00000000" w:rsidRDefault="00000000">
      <w:pPr>
        <w:tabs>
          <w:tab w:val="clear" w:pos="1134"/>
        </w:tabs>
      </w:pPr>
    </w:p>
    <w:p w:rsidR="00000000" w:rsidRDefault="00000000">
      <w:r>
        <w:t>920.</w:t>
      </w:r>
      <w:r>
        <w:tab/>
        <w:t>Согласно Закону о стимулировании и поощрении технического прогресса, деятельностью в этой области занимаются следующие учреждения:</w:t>
      </w:r>
    </w:p>
    <w:p w:rsidR="00000000" w:rsidRDefault="00000000"/>
    <w:p w:rsidR="00000000" w:rsidRDefault="00000000">
      <w:pPr>
        <w:numPr>
          <w:ilvl w:val="0"/>
          <w:numId w:val="96"/>
        </w:numPr>
        <w:tabs>
          <w:tab w:val="clear" w:pos="567"/>
        </w:tabs>
      </w:pPr>
      <w:r>
        <w:t>научно-исследовательские и опытно-конструкторские организации в составе частных компаний;</w:t>
      </w:r>
    </w:p>
    <w:p w:rsidR="00000000" w:rsidRDefault="00000000">
      <w:pPr>
        <w:tabs>
          <w:tab w:val="clear" w:pos="1134"/>
        </w:tabs>
      </w:pPr>
    </w:p>
    <w:p w:rsidR="00000000" w:rsidRDefault="00000000">
      <w:pPr>
        <w:numPr>
          <w:ilvl w:val="0"/>
          <w:numId w:val="96"/>
        </w:numPr>
        <w:tabs>
          <w:tab w:val="clear" w:pos="567"/>
        </w:tabs>
      </w:pPr>
      <w:r>
        <w:t>государственные научные институты;</w:t>
      </w:r>
    </w:p>
    <w:p w:rsidR="00000000" w:rsidRDefault="00000000">
      <w:pPr>
        <w:tabs>
          <w:tab w:val="clear" w:pos="1134"/>
        </w:tabs>
      </w:pPr>
    </w:p>
    <w:p w:rsidR="00000000" w:rsidRDefault="00000000">
      <w:pPr>
        <w:numPr>
          <w:ilvl w:val="0"/>
          <w:numId w:val="96"/>
        </w:numPr>
        <w:tabs>
          <w:tab w:val="clear" w:pos="567"/>
        </w:tabs>
      </w:pPr>
      <w:r>
        <w:t>инновационные и технологические центры;</w:t>
      </w:r>
    </w:p>
    <w:p w:rsidR="00000000" w:rsidRDefault="00000000">
      <w:pPr>
        <w:tabs>
          <w:tab w:val="clear" w:pos="1134"/>
        </w:tabs>
      </w:pPr>
    </w:p>
    <w:p w:rsidR="00000000" w:rsidRDefault="00000000">
      <w:pPr>
        <w:numPr>
          <w:ilvl w:val="0"/>
          <w:numId w:val="96"/>
        </w:numPr>
        <w:tabs>
          <w:tab w:val="clear" w:pos="567"/>
        </w:tabs>
      </w:pPr>
      <w:r>
        <w:t>гражданские ассоциации, занимающиеся поощрением новаторства и технического прогресса;  и</w:t>
      </w:r>
    </w:p>
    <w:p w:rsidR="00000000" w:rsidRDefault="00000000">
      <w:pPr>
        <w:tabs>
          <w:tab w:val="clear" w:pos="1134"/>
        </w:tabs>
      </w:pPr>
    </w:p>
    <w:p w:rsidR="00000000" w:rsidRDefault="00000000">
      <w:pPr>
        <w:numPr>
          <w:ilvl w:val="0"/>
          <w:numId w:val="96"/>
        </w:numPr>
        <w:tabs>
          <w:tab w:val="clear" w:pos="567"/>
        </w:tabs>
      </w:pPr>
      <w:r>
        <w:t>другие юридические и физические лица, участвующие в развитии технологий.</w:t>
      </w:r>
    </w:p>
    <w:p w:rsidR="00000000" w:rsidRDefault="00000000">
      <w:pPr>
        <w:tabs>
          <w:tab w:val="clear" w:pos="1134"/>
        </w:tabs>
      </w:pPr>
    </w:p>
    <w:p w:rsidR="00000000" w:rsidRDefault="00000000">
      <w:r>
        <w:t>921.</w:t>
      </w:r>
      <w:r>
        <w:tab/>
        <w:t>В период 1995-2003 годов технологическими проектами, финансируемыми министерством образования и науки, с успехом занимались 77 частных компаний.  Эти компании оказывали косвенное влияние на политику стимулирования технического прогресса.  Большинство компаний, успешно работающих в сфере передачи технологии, должны быть представлены в Национальном совете по вопросам научно-технического прогресса.  Кроме того, было решено, что функции лидеров в этой области должны взять на себя следующие учреждения бывшей югославской Республики Македонии:</w:t>
      </w:r>
    </w:p>
    <w:p w:rsidR="00000000" w:rsidRDefault="00000000"/>
    <w:p w:rsidR="00000000" w:rsidRDefault="00000000">
      <w:pPr>
        <w:numPr>
          <w:ilvl w:val="0"/>
          <w:numId w:val="97"/>
        </w:numPr>
      </w:pPr>
      <w:r>
        <w:t>Центр исследований в области генной инженерии и биотехнологии - Македонская академия наук и искусств;</w:t>
      </w:r>
    </w:p>
    <w:p w:rsidR="00000000" w:rsidRDefault="00000000">
      <w:pPr>
        <w:tabs>
          <w:tab w:val="clear" w:pos="1134"/>
        </w:tabs>
      </w:pPr>
    </w:p>
    <w:p w:rsidR="00000000" w:rsidRDefault="00000000">
      <w:pPr>
        <w:numPr>
          <w:ilvl w:val="0"/>
          <w:numId w:val="97"/>
        </w:numPr>
      </w:pPr>
      <w:r>
        <w:t>Институт прикладной сейсмографии и инженерной сейсмологии - Скопье;</w:t>
      </w:r>
    </w:p>
    <w:p w:rsidR="00000000" w:rsidRDefault="00000000">
      <w:pPr>
        <w:tabs>
          <w:tab w:val="clear" w:pos="1134"/>
        </w:tabs>
      </w:pPr>
    </w:p>
    <w:p w:rsidR="00000000" w:rsidRDefault="00000000">
      <w:pPr>
        <w:numPr>
          <w:ilvl w:val="0"/>
          <w:numId w:val="97"/>
        </w:numPr>
      </w:pPr>
      <w:r>
        <w:t>Институт химии, факультет естественных наук и математики - Скопье;  и</w:t>
      </w:r>
    </w:p>
    <w:p w:rsidR="00000000" w:rsidRDefault="00000000">
      <w:pPr>
        <w:tabs>
          <w:tab w:val="clear" w:pos="1134"/>
        </w:tabs>
      </w:pPr>
    </w:p>
    <w:p w:rsidR="00000000" w:rsidRDefault="00000000">
      <w:pPr>
        <w:numPr>
          <w:ilvl w:val="0"/>
          <w:numId w:val="97"/>
        </w:numPr>
      </w:pPr>
      <w:r>
        <w:t>клиника неврологии, факультет медицины - Скопье.</w:t>
      </w:r>
    </w:p>
    <w:p w:rsidR="00000000" w:rsidRDefault="00000000">
      <w:r>
        <w:t>922.</w:t>
      </w:r>
      <w:r>
        <w:tab/>
        <w:t>Министерство образования и науки финансирует проекты, имеющие общественную значимость.  Отбор проектов проводится в рамках открытого конкурса.  Конкурс объявляется на основании решения об утверждении проектов в различных областях науки и техники (которые могут финансироваться в текущем году), исключая международные проекты, утверждаемые министерством образования и науки.  Группа исследователей, занимающихся реализацией проектов, должна включать в себя главного научного сотрудника, имеющего научную или преподавательскую и научную степень и работающего в учреждении, которое занимается осуществлением проекта, и по крайней мере еще одного научного сотрудника, имеющего преподавательскую или преподавательскую и научную степень, или младшего научного сотрудника, внесенных в регистр министерства образования и науки.  Оценка проектного предложения проводится на основе анонимной процедуры по крайней мере двумя экспертами, назначаемыми министерством образования и науки.</w:t>
      </w:r>
    </w:p>
    <w:p w:rsidR="00000000" w:rsidRDefault="00000000"/>
    <w:p w:rsidR="00000000" w:rsidRDefault="00000000">
      <w:r>
        <w:t>923.</w:t>
      </w:r>
      <w:r>
        <w:tab/>
        <w:t>Осуществлением проекта занимаются научные и высшие учебные заведения, с которыми министерство образования после утверждения проекта подписывает соответствующий договор.</w:t>
      </w:r>
    </w:p>
    <w:p w:rsidR="00000000" w:rsidRDefault="00000000"/>
    <w:p w:rsidR="00000000" w:rsidRDefault="00000000">
      <w:r>
        <w:t>924.</w:t>
      </w:r>
      <w:r>
        <w:tab/>
        <w:t>Исследовательские проекты военного характера относятся непосредственно к ведению министерства обороны, которое выделяет на них соответствующие средства.</w:t>
      </w:r>
    </w:p>
    <w:p w:rsidR="00000000" w:rsidRDefault="00000000"/>
    <w:p w:rsidR="00000000" w:rsidRDefault="00000000">
      <w:r>
        <w:t>925.</w:t>
      </w:r>
      <w:r>
        <w:tab/>
        <w:t>В период 1995-2003 годов министерство образования и науки финансировало в общей сложности 932 проекта, классификация которых приводится в нижеследующей таблице:</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418"/>
        <w:gridCol w:w="1701"/>
        <w:gridCol w:w="1559"/>
        <w:gridCol w:w="1843"/>
      </w:tblGrid>
      <w:tr w:rsidR="00000000">
        <w:tblPrEx>
          <w:tblCellMar>
            <w:top w:w="0" w:type="dxa"/>
            <w:bottom w:w="0" w:type="dxa"/>
          </w:tblCellMar>
        </w:tblPrEx>
        <w:tc>
          <w:tcPr>
            <w:tcW w:w="2835" w:type="dxa"/>
            <w:tcBorders>
              <w:bottom w:val="single" w:sz="4" w:space="0" w:color="auto"/>
            </w:tcBorders>
          </w:tcPr>
          <w:p w:rsidR="00000000" w:rsidRDefault="00000000">
            <w:pPr>
              <w:spacing w:line="240" w:lineRule="auto"/>
              <w:jc w:val="center"/>
            </w:pPr>
            <w:r>
              <w:t>Научная область</w:t>
            </w:r>
          </w:p>
        </w:tc>
        <w:tc>
          <w:tcPr>
            <w:tcW w:w="1418" w:type="dxa"/>
            <w:tcBorders>
              <w:bottom w:val="single" w:sz="4" w:space="0" w:color="auto"/>
            </w:tcBorders>
          </w:tcPr>
          <w:p w:rsidR="00000000" w:rsidRDefault="00000000">
            <w:pPr>
              <w:spacing w:line="240" w:lineRule="auto"/>
              <w:jc w:val="center"/>
            </w:pPr>
            <w:r>
              <w:t>Число проектов</w:t>
            </w:r>
          </w:p>
        </w:tc>
        <w:tc>
          <w:tcPr>
            <w:tcW w:w="1701" w:type="dxa"/>
            <w:tcBorders>
              <w:bottom w:val="single" w:sz="4" w:space="0" w:color="auto"/>
            </w:tcBorders>
          </w:tcPr>
          <w:p w:rsidR="00000000" w:rsidRDefault="00000000">
            <w:pPr>
              <w:spacing w:line="240" w:lineRule="auto"/>
              <w:jc w:val="center"/>
            </w:pPr>
            <w:r>
              <w:t>Доля конкретной научной области</w:t>
            </w:r>
          </w:p>
        </w:tc>
        <w:tc>
          <w:tcPr>
            <w:tcW w:w="1559" w:type="dxa"/>
            <w:tcBorders>
              <w:bottom w:val="single" w:sz="4" w:space="0" w:color="auto"/>
            </w:tcBorders>
          </w:tcPr>
          <w:p w:rsidR="00000000" w:rsidRDefault="00000000">
            <w:pPr>
              <w:spacing w:line="240" w:lineRule="auto"/>
              <w:jc w:val="center"/>
            </w:pPr>
            <w:r>
              <w:t>Ресурсы (в </w:t>
            </w:r>
            <w:proofErr w:type="spellStart"/>
            <w:r>
              <w:t>евро</w:t>
            </w:r>
            <w:proofErr w:type="spellEnd"/>
            <w:r>
              <w:t>)</w:t>
            </w:r>
          </w:p>
        </w:tc>
        <w:tc>
          <w:tcPr>
            <w:tcW w:w="1843" w:type="dxa"/>
            <w:tcBorders>
              <w:bottom w:val="single" w:sz="4" w:space="0" w:color="auto"/>
            </w:tcBorders>
          </w:tcPr>
          <w:p w:rsidR="00000000" w:rsidRDefault="00000000">
            <w:pPr>
              <w:spacing w:line="240" w:lineRule="auto"/>
              <w:jc w:val="center"/>
            </w:pPr>
            <w:r>
              <w:t>Доля конкретной научной области</w:t>
            </w:r>
          </w:p>
        </w:tc>
      </w:tr>
      <w:tr w:rsidR="00000000">
        <w:tblPrEx>
          <w:tblCellMar>
            <w:top w:w="0" w:type="dxa"/>
            <w:bottom w:w="0" w:type="dxa"/>
          </w:tblCellMar>
        </w:tblPrEx>
        <w:tc>
          <w:tcPr>
            <w:tcW w:w="2835" w:type="dxa"/>
            <w:tcBorders>
              <w:bottom w:val="nil"/>
            </w:tcBorders>
            <w:vAlign w:val="center"/>
          </w:tcPr>
          <w:p w:rsidR="00000000" w:rsidRDefault="00000000">
            <w:r>
              <w:t>Естественные науки и</w:t>
            </w:r>
            <w:r>
              <w:br/>
              <w:t xml:space="preserve">   математика</w:t>
            </w:r>
          </w:p>
        </w:tc>
        <w:tc>
          <w:tcPr>
            <w:tcW w:w="1418" w:type="dxa"/>
            <w:tcBorders>
              <w:bottom w:val="nil"/>
            </w:tcBorders>
            <w:vAlign w:val="center"/>
          </w:tcPr>
          <w:p w:rsidR="00000000" w:rsidRDefault="00000000">
            <w:pPr>
              <w:tabs>
                <w:tab w:val="clear" w:pos="1134"/>
              </w:tabs>
              <w:ind w:left="-108" w:right="317"/>
              <w:jc w:val="right"/>
              <w:rPr>
                <w:lang w:val="en-US"/>
              </w:rPr>
            </w:pPr>
            <w:r>
              <w:rPr>
                <w:lang w:val="en-US"/>
              </w:rPr>
              <w:t>142</w:t>
            </w:r>
          </w:p>
        </w:tc>
        <w:tc>
          <w:tcPr>
            <w:tcW w:w="1701" w:type="dxa"/>
            <w:tcBorders>
              <w:bottom w:val="nil"/>
            </w:tcBorders>
            <w:vAlign w:val="center"/>
          </w:tcPr>
          <w:p w:rsidR="00000000" w:rsidRDefault="00000000">
            <w:pPr>
              <w:tabs>
                <w:tab w:val="clear" w:pos="1134"/>
              </w:tabs>
              <w:ind w:left="-108" w:right="459"/>
              <w:jc w:val="right"/>
              <w:rPr>
                <w:lang w:val="en-US"/>
              </w:rPr>
            </w:pPr>
            <w:r>
              <w:rPr>
                <w:lang w:val="en-US"/>
              </w:rPr>
              <w:t>15</w:t>
            </w:r>
            <w:r>
              <w:t>,</w:t>
            </w:r>
            <w:r>
              <w:rPr>
                <w:lang w:val="en-US"/>
              </w:rPr>
              <w:t>23</w:t>
            </w:r>
          </w:p>
        </w:tc>
        <w:tc>
          <w:tcPr>
            <w:tcW w:w="1559" w:type="dxa"/>
            <w:tcBorders>
              <w:bottom w:val="nil"/>
            </w:tcBorders>
            <w:vAlign w:val="center"/>
          </w:tcPr>
          <w:p w:rsidR="00000000" w:rsidRDefault="00000000">
            <w:pPr>
              <w:ind w:left="-108"/>
              <w:jc w:val="right"/>
              <w:rPr>
                <w:lang w:val="en-US"/>
              </w:rPr>
            </w:pPr>
            <w:r>
              <w:rPr>
                <w:lang w:val="en-US"/>
              </w:rPr>
              <w:t>1 455 703</w:t>
            </w:r>
            <w:r>
              <w:t>,</w:t>
            </w:r>
            <w:r>
              <w:rPr>
                <w:lang w:val="en-US"/>
              </w:rPr>
              <w:t>9</w:t>
            </w:r>
          </w:p>
        </w:tc>
        <w:tc>
          <w:tcPr>
            <w:tcW w:w="1843" w:type="dxa"/>
            <w:tcBorders>
              <w:bottom w:val="nil"/>
            </w:tcBorders>
            <w:vAlign w:val="center"/>
          </w:tcPr>
          <w:p w:rsidR="00000000" w:rsidRDefault="00000000">
            <w:pPr>
              <w:tabs>
                <w:tab w:val="clear" w:pos="1134"/>
                <w:tab w:val="clear" w:pos="1701"/>
              </w:tabs>
              <w:ind w:right="459"/>
              <w:jc w:val="right"/>
              <w:rPr>
                <w:lang w:val="en-US"/>
              </w:rPr>
            </w:pPr>
            <w:r>
              <w:rPr>
                <w:lang w:val="en-US"/>
              </w:rPr>
              <w:t>17</w:t>
            </w:r>
            <w:r>
              <w:t>,</w:t>
            </w:r>
            <w:r>
              <w:rPr>
                <w:lang w:val="en-US"/>
              </w:rPr>
              <w:t>95</w:t>
            </w:r>
          </w:p>
        </w:tc>
      </w:tr>
      <w:tr w:rsidR="00000000">
        <w:tblPrEx>
          <w:tblCellMar>
            <w:top w:w="0" w:type="dxa"/>
            <w:bottom w:w="0" w:type="dxa"/>
          </w:tblCellMar>
        </w:tblPrEx>
        <w:tc>
          <w:tcPr>
            <w:tcW w:w="2835" w:type="dxa"/>
            <w:tcBorders>
              <w:top w:val="nil"/>
              <w:bottom w:val="nil"/>
            </w:tcBorders>
            <w:vAlign w:val="center"/>
          </w:tcPr>
          <w:p w:rsidR="00000000" w:rsidRDefault="00000000">
            <w:r>
              <w:t>Технические науки</w:t>
            </w:r>
          </w:p>
        </w:tc>
        <w:tc>
          <w:tcPr>
            <w:tcW w:w="1418" w:type="dxa"/>
            <w:tcBorders>
              <w:top w:val="nil"/>
              <w:bottom w:val="nil"/>
            </w:tcBorders>
            <w:vAlign w:val="center"/>
          </w:tcPr>
          <w:p w:rsidR="00000000" w:rsidRDefault="00000000">
            <w:pPr>
              <w:tabs>
                <w:tab w:val="clear" w:pos="1134"/>
              </w:tabs>
              <w:ind w:left="-108" w:right="317"/>
              <w:jc w:val="right"/>
              <w:rPr>
                <w:lang w:val="en-US"/>
              </w:rPr>
            </w:pPr>
            <w:r>
              <w:rPr>
                <w:lang w:val="en-US"/>
              </w:rPr>
              <w:t>302</w:t>
            </w:r>
          </w:p>
        </w:tc>
        <w:tc>
          <w:tcPr>
            <w:tcW w:w="1701" w:type="dxa"/>
            <w:tcBorders>
              <w:top w:val="nil"/>
              <w:bottom w:val="nil"/>
            </w:tcBorders>
            <w:vAlign w:val="center"/>
          </w:tcPr>
          <w:p w:rsidR="00000000" w:rsidRDefault="00000000">
            <w:pPr>
              <w:tabs>
                <w:tab w:val="clear" w:pos="1134"/>
              </w:tabs>
              <w:ind w:left="-108" w:right="459"/>
              <w:jc w:val="right"/>
              <w:rPr>
                <w:lang w:val="en-US"/>
              </w:rPr>
            </w:pPr>
            <w:r>
              <w:rPr>
                <w:lang w:val="en-US"/>
              </w:rPr>
              <w:t>32,40</w:t>
            </w:r>
          </w:p>
        </w:tc>
        <w:tc>
          <w:tcPr>
            <w:tcW w:w="1559" w:type="dxa"/>
            <w:tcBorders>
              <w:top w:val="nil"/>
              <w:bottom w:val="nil"/>
            </w:tcBorders>
          </w:tcPr>
          <w:p w:rsidR="00000000" w:rsidRDefault="00000000">
            <w:pPr>
              <w:ind w:left="-108"/>
              <w:jc w:val="right"/>
              <w:rPr>
                <w:lang w:val="en-US"/>
              </w:rPr>
            </w:pPr>
            <w:r>
              <w:rPr>
                <w:lang w:val="en-US"/>
              </w:rPr>
              <w:t>2 448 525,5</w:t>
            </w:r>
          </w:p>
        </w:tc>
        <w:tc>
          <w:tcPr>
            <w:tcW w:w="1843" w:type="dxa"/>
            <w:tcBorders>
              <w:top w:val="nil"/>
              <w:bottom w:val="nil"/>
            </w:tcBorders>
            <w:vAlign w:val="center"/>
          </w:tcPr>
          <w:p w:rsidR="00000000" w:rsidRDefault="00000000">
            <w:pPr>
              <w:tabs>
                <w:tab w:val="clear" w:pos="1134"/>
                <w:tab w:val="clear" w:pos="1701"/>
              </w:tabs>
              <w:ind w:right="459"/>
              <w:jc w:val="right"/>
              <w:rPr>
                <w:lang w:val="en-US"/>
              </w:rPr>
            </w:pPr>
            <w:r>
              <w:rPr>
                <w:lang w:val="en-US"/>
              </w:rPr>
              <w:t>30,19</w:t>
            </w:r>
          </w:p>
        </w:tc>
      </w:tr>
      <w:tr w:rsidR="00000000">
        <w:tblPrEx>
          <w:tblCellMar>
            <w:top w:w="0" w:type="dxa"/>
            <w:bottom w:w="0" w:type="dxa"/>
          </w:tblCellMar>
        </w:tblPrEx>
        <w:tc>
          <w:tcPr>
            <w:tcW w:w="2835" w:type="dxa"/>
            <w:tcBorders>
              <w:top w:val="nil"/>
              <w:bottom w:val="nil"/>
            </w:tcBorders>
            <w:vAlign w:val="center"/>
          </w:tcPr>
          <w:p w:rsidR="00000000" w:rsidRDefault="00000000">
            <w:r>
              <w:t>Медицина</w:t>
            </w:r>
          </w:p>
        </w:tc>
        <w:tc>
          <w:tcPr>
            <w:tcW w:w="1418" w:type="dxa"/>
            <w:tcBorders>
              <w:top w:val="nil"/>
              <w:bottom w:val="nil"/>
            </w:tcBorders>
            <w:vAlign w:val="center"/>
          </w:tcPr>
          <w:p w:rsidR="00000000" w:rsidRDefault="00000000">
            <w:pPr>
              <w:tabs>
                <w:tab w:val="clear" w:pos="1134"/>
              </w:tabs>
              <w:ind w:left="-108" w:right="317"/>
              <w:jc w:val="right"/>
              <w:rPr>
                <w:lang w:val="en-US"/>
              </w:rPr>
            </w:pPr>
            <w:r>
              <w:rPr>
                <w:lang w:val="en-US"/>
              </w:rPr>
              <w:t>130</w:t>
            </w:r>
          </w:p>
        </w:tc>
        <w:tc>
          <w:tcPr>
            <w:tcW w:w="1701" w:type="dxa"/>
            <w:tcBorders>
              <w:top w:val="nil"/>
              <w:bottom w:val="nil"/>
            </w:tcBorders>
            <w:vAlign w:val="center"/>
          </w:tcPr>
          <w:p w:rsidR="00000000" w:rsidRDefault="00000000">
            <w:pPr>
              <w:tabs>
                <w:tab w:val="clear" w:pos="1134"/>
              </w:tabs>
              <w:ind w:left="-108" w:right="459"/>
              <w:jc w:val="right"/>
              <w:rPr>
                <w:lang w:val="en-US"/>
              </w:rPr>
            </w:pPr>
            <w:r>
              <w:rPr>
                <w:lang w:val="en-US"/>
              </w:rPr>
              <w:t>13,95</w:t>
            </w:r>
          </w:p>
        </w:tc>
        <w:tc>
          <w:tcPr>
            <w:tcW w:w="1559" w:type="dxa"/>
            <w:tcBorders>
              <w:top w:val="nil"/>
              <w:bottom w:val="nil"/>
            </w:tcBorders>
          </w:tcPr>
          <w:p w:rsidR="00000000" w:rsidRDefault="00000000">
            <w:pPr>
              <w:ind w:left="-108"/>
              <w:jc w:val="right"/>
              <w:rPr>
                <w:lang w:val="en-US"/>
              </w:rPr>
            </w:pPr>
            <w:r>
              <w:rPr>
                <w:lang w:val="en-US"/>
              </w:rPr>
              <w:t>1 203 616,6</w:t>
            </w:r>
          </w:p>
        </w:tc>
        <w:tc>
          <w:tcPr>
            <w:tcW w:w="1843" w:type="dxa"/>
            <w:tcBorders>
              <w:top w:val="nil"/>
              <w:bottom w:val="nil"/>
            </w:tcBorders>
            <w:vAlign w:val="center"/>
          </w:tcPr>
          <w:p w:rsidR="00000000" w:rsidRDefault="00000000">
            <w:pPr>
              <w:tabs>
                <w:tab w:val="clear" w:pos="1134"/>
                <w:tab w:val="clear" w:pos="1701"/>
              </w:tabs>
              <w:ind w:right="459"/>
              <w:jc w:val="right"/>
              <w:rPr>
                <w:lang w:val="en-US"/>
              </w:rPr>
            </w:pPr>
            <w:r>
              <w:rPr>
                <w:lang w:val="en-US"/>
              </w:rPr>
              <w:t>14,84</w:t>
            </w:r>
          </w:p>
        </w:tc>
      </w:tr>
      <w:tr w:rsidR="00000000">
        <w:tblPrEx>
          <w:tblCellMar>
            <w:top w:w="0" w:type="dxa"/>
            <w:bottom w:w="0" w:type="dxa"/>
          </w:tblCellMar>
        </w:tblPrEx>
        <w:tc>
          <w:tcPr>
            <w:tcW w:w="2835" w:type="dxa"/>
            <w:tcBorders>
              <w:top w:val="nil"/>
              <w:bottom w:val="nil"/>
            </w:tcBorders>
            <w:vAlign w:val="center"/>
          </w:tcPr>
          <w:p w:rsidR="00000000" w:rsidRDefault="00000000">
            <w:r>
              <w:t>Биотехнологии</w:t>
            </w:r>
          </w:p>
        </w:tc>
        <w:tc>
          <w:tcPr>
            <w:tcW w:w="1418" w:type="dxa"/>
            <w:tcBorders>
              <w:top w:val="nil"/>
              <w:bottom w:val="nil"/>
            </w:tcBorders>
            <w:vAlign w:val="center"/>
          </w:tcPr>
          <w:p w:rsidR="00000000" w:rsidRDefault="00000000">
            <w:pPr>
              <w:tabs>
                <w:tab w:val="clear" w:pos="1134"/>
              </w:tabs>
              <w:ind w:left="-108" w:right="317"/>
              <w:jc w:val="right"/>
              <w:rPr>
                <w:lang w:val="en-US"/>
              </w:rPr>
            </w:pPr>
            <w:r>
              <w:rPr>
                <w:lang w:val="en-US"/>
              </w:rPr>
              <w:t>137</w:t>
            </w:r>
          </w:p>
        </w:tc>
        <w:tc>
          <w:tcPr>
            <w:tcW w:w="1701" w:type="dxa"/>
            <w:tcBorders>
              <w:top w:val="nil"/>
              <w:bottom w:val="nil"/>
            </w:tcBorders>
            <w:vAlign w:val="center"/>
          </w:tcPr>
          <w:p w:rsidR="00000000" w:rsidRDefault="00000000">
            <w:pPr>
              <w:tabs>
                <w:tab w:val="clear" w:pos="1134"/>
              </w:tabs>
              <w:ind w:left="-108" w:right="459"/>
              <w:jc w:val="right"/>
              <w:rPr>
                <w:lang w:val="en-US"/>
              </w:rPr>
            </w:pPr>
            <w:r>
              <w:rPr>
                <w:lang w:val="en-US"/>
              </w:rPr>
              <w:t>14,70</w:t>
            </w:r>
          </w:p>
        </w:tc>
        <w:tc>
          <w:tcPr>
            <w:tcW w:w="1559" w:type="dxa"/>
            <w:tcBorders>
              <w:top w:val="nil"/>
              <w:bottom w:val="nil"/>
            </w:tcBorders>
          </w:tcPr>
          <w:p w:rsidR="00000000" w:rsidRDefault="00000000">
            <w:pPr>
              <w:ind w:left="-108"/>
              <w:jc w:val="right"/>
              <w:rPr>
                <w:lang w:val="en-US"/>
              </w:rPr>
            </w:pPr>
            <w:r>
              <w:rPr>
                <w:lang w:val="en-US"/>
              </w:rPr>
              <w:t>1 366 517,1</w:t>
            </w:r>
          </w:p>
        </w:tc>
        <w:tc>
          <w:tcPr>
            <w:tcW w:w="1843" w:type="dxa"/>
            <w:tcBorders>
              <w:top w:val="nil"/>
              <w:bottom w:val="nil"/>
            </w:tcBorders>
            <w:vAlign w:val="center"/>
          </w:tcPr>
          <w:p w:rsidR="00000000" w:rsidRDefault="00000000">
            <w:pPr>
              <w:tabs>
                <w:tab w:val="clear" w:pos="1134"/>
                <w:tab w:val="clear" w:pos="1701"/>
              </w:tabs>
              <w:ind w:right="459"/>
              <w:jc w:val="right"/>
              <w:rPr>
                <w:lang w:val="en-US"/>
              </w:rPr>
            </w:pPr>
            <w:r>
              <w:rPr>
                <w:lang w:val="en-US"/>
              </w:rPr>
              <w:t>16,85</w:t>
            </w:r>
          </w:p>
        </w:tc>
      </w:tr>
      <w:tr w:rsidR="00000000">
        <w:tblPrEx>
          <w:tblCellMar>
            <w:top w:w="0" w:type="dxa"/>
            <w:bottom w:w="0" w:type="dxa"/>
          </w:tblCellMar>
        </w:tblPrEx>
        <w:tc>
          <w:tcPr>
            <w:tcW w:w="2835" w:type="dxa"/>
            <w:tcBorders>
              <w:top w:val="nil"/>
              <w:bottom w:val="nil"/>
            </w:tcBorders>
            <w:vAlign w:val="center"/>
          </w:tcPr>
          <w:p w:rsidR="00000000" w:rsidRDefault="00000000">
            <w:r>
              <w:t>Социальные науки</w:t>
            </w:r>
          </w:p>
        </w:tc>
        <w:tc>
          <w:tcPr>
            <w:tcW w:w="1418" w:type="dxa"/>
            <w:tcBorders>
              <w:top w:val="nil"/>
              <w:bottom w:val="nil"/>
            </w:tcBorders>
            <w:vAlign w:val="center"/>
          </w:tcPr>
          <w:p w:rsidR="00000000" w:rsidRDefault="00000000">
            <w:pPr>
              <w:pStyle w:val="Header"/>
              <w:ind w:left="-108" w:right="317"/>
              <w:jc w:val="right"/>
              <w:rPr>
                <w:lang w:val="en-US"/>
              </w:rPr>
            </w:pPr>
            <w:r>
              <w:rPr>
                <w:lang w:val="en-US"/>
              </w:rPr>
              <w:t>94</w:t>
            </w:r>
          </w:p>
        </w:tc>
        <w:tc>
          <w:tcPr>
            <w:tcW w:w="1701" w:type="dxa"/>
            <w:tcBorders>
              <w:top w:val="nil"/>
              <w:bottom w:val="nil"/>
            </w:tcBorders>
            <w:vAlign w:val="center"/>
          </w:tcPr>
          <w:p w:rsidR="00000000" w:rsidRDefault="00000000">
            <w:pPr>
              <w:tabs>
                <w:tab w:val="clear" w:pos="1134"/>
              </w:tabs>
              <w:ind w:left="-108" w:right="459"/>
              <w:jc w:val="right"/>
              <w:rPr>
                <w:lang w:val="en-US"/>
              </w:rPr>
            </w:pPr>
            <w:r>
              <w:rPr>
                <w:lang w:val="en-US"/>
              </w:rPr>
              <w:t>10,09</w:t>
            </w:r>
          </w:p>
        </w:tc>
        <w:tc>
          <w:tcPr>
            <w:tcW w:w="1559" w:type="dxa"/>
            <w:tcBorders>
              <w:top w:val="nil"/>
              <w:bottom w:val="nil"/>
            </w:tcBorders>
          </w:tcPr>
          <w:p w:rsidR="00000000" w:rsidRDefault="00000000">
            <w:pPr>
              <w:ind w:left="-108"/>
              <w:jc w:val="right"/>
              <w:rPr>
                <w:lang w:val="en-US"/>
              </w:rPr>
            </w:pPr>
            <w:r>
              <w:rPr>
                <w:lang w:val="en-US"/>
              </w:rPr>
              <w:t>520 059,32</w:t>
            </w:r>
          </w:p>
        </w:tc>
        <w:tc>
          <w:tcPr>
            <w:tcW w:w="1843" w:type="dxa"/>
            <w:tcBorders>
              <w:top w:val="nil"/>
              <w:bottom w:val="nil"/>
            </w:tcBorders>
            <w:vAlign w:val="center"/>
          </w:tcPr>
          <w:p w:rsidR="00000000" w:rsidRDefault="00000000">
            <w:pPr>
              <w:tabs>
                <w:tab w:val="clear" w:pos="1134"/>
                <w:tab w:val="clear" w:pos="1701"/>
              </w:tabs>
              <w:ind w:right="459"/>
              <w:jc w:val="right"/>
              <w:rPr>
                <w:lang w:val="en-US"/>
              </w:rPr>
            </w:pPr>
            <w:r>
              <w:rPr>
                <w:lang w:val="en-US"/>
              </w:rPr>
              <w:t>6,41</w:t>
            </w:r>
          </w:p>
        </w:tc>
      </w:tr>
      <w:tr w:rsidR="00000000">
        <w:tblPrEx>
          <w:tblCellMar>
            <w:top w:w="0" w:type="dxa"/>
            <w:bottom w:w="0" w:type="dxa"/>
          </w:tblCellMar>
        </w:tblPrEx>
        <w:tc>
          <w:tcPr>
            <w:tcW w:w="2835" w:type="dxa"/>
            <w:tcBorders>
              <w:top w:val="nil"/>
            </w:tcBorders>
            <w:vAlign w:val="center"/>
          </w:tcPr>
          <w:p w:rsidR="00000000" w:rsidRDefault="00000000">
            <w:r>
              <w:t>Гуманитарные науки</w:t>
            </w:r>
          </w:p>
        </w:tc>
        <w:tc>
          <w:tcPr>
            <w:tcW w:w="1418" w:type="dxa"/>
            <w:tcBorders>
              <w:top w:val="nil"/>
            </w:tcBorders>
            <w:vAlign w:val="center"/>
          </w:tcPr>
          <w:p w:rsidR="00000000" w:rsidRDefault="00000000">
            <w:pPr>
              <w:tabs>
                <w:tab w:val="clear" w:pos="1134"/>
              </w:tabs>
              <w:ind w:left="-108" w:right="317"/>
              <w:jc w:val="right"/>
              <w:rPr>
                <w:lang w:val="en-US"/>
              </w:rPr>
            </w:pPr>
            <w:r>
              <w:rPr>
                <w:lang w:val="en-US"/>
              </w:rPr>
              <w:t>127</w:t>
            </w:r>
          </w:p>
        </w:tc>
        <w:tc>
          <w:tcPr>
            <w:tcW w:w="1701" w:type="dxa"/>
            <w:tcBorders>
              <w:top w:val="nil"/>
            </w:tcBorders>
            <w:vAlign w:val="center"/>
          </w:tcPr>
          <w:p w:rsidR="00000000" w:rsidRDefault="00000000">
            <w:pPr>
              <w:tabs>
                <w:tab w:val="clear" w:pos="1134"/>
              </w:tabs>
              <w:ind w:left="-108" w:right="459"/>
              <w:jc w:val="right"/>
              <w:rPr>
                <w:lang w:val="en-US"/>
              </w:rPr>
            </w:pPr>
            <w:r>
              <w:rPr>
                <w:lang w:val="en-US"/>
              </w:rPr>
              <w:t>13,63</w:t>
            </w:r>
          </w:p>
        </w:tc>
        <w:tc>
          <w:tcPr>
            <w:tcW w:w="1559" w:type="dxa"/>
            <w:tcBorders>
              <w:top w:val="nil"/>
            </w:tcBorders>
          </w:tcPr>
          <w:p w:rsidR="00000000" w:rsidRDefault="00000000">
            <w:pPr>
              <w:ind w:left="-108"/>
              <w:jc w:val="right"/>
              <w:rPr>
                <w:lang w:val="en-US"/>
              </w:rPr>
            </w:pPr>
            <w:r>
              <w:rPr>
                <w:lang w:val="en-US"/>
              </w:rPr>
              <w:t>1 115 67,4</w:t>
            </w:r>
          </w:p>
        </w:tc>
        <w:tc>
          <w:tcPr>
            <w:tcW w:w="1843" w:type="dxa"/>
            <w:tcBorders>
              <w:top w:val="nil"/>
            </w:tcBorders>
            <w:vAlign w:val="center"/>
          </w:tcPr>
          <w:p w:rsidR="00000000" w:rsidRDefault="00000000">
            <w:pPr>
              <w:tabs>
                <w:tab w:val="clear" w:pos="1134"/>
                <w:tab w:val="clear" w:pos="1701"/>
              </w:tabs>
              <w:ind w:right="459"/>
              <w:jc w:val="right"/>
              <w:rPr>
                <w:lang w:val="en-US"/>
              </w:rPr>
            </w:pPr>
            <w:r>
              <w:rPr>
                <w:lang w:val="en-US"/>
              </w:rPr>
              <w:t>13,76</w:t>
            </w:r>
          </w:p>
        </w:tc>
      </w:tr>
      <w:tr w:rsidR="00000000">
        <w:tblPrEx>
          <w:tblCellMar>
            <w:top w:w="0" w:type="dxa"/>
            <w:bottom w:w="0" w:type="dxa"/>
          </w:tblCellMar>
        </w:tblPrEx>
        <w:tc>
          <w:tcPr>
            <w:tcW w:w="2835" w:type="dxa"/>
            <w:vAlign w:val="center"/>
          </w:tcPr>
          <w:p w:rsidR="00000000" w:rsidRDefault="00000000">
            <w:r>
              <w:rPr>
                <w:lang w:val="en-US"/>
              </w:rPr>
              <w:t xml:space="preserve">     </w:t>
            </w:r>
            <w:r>
              <w:t>Итого</w:t>
            </w:r>
          </w:p>
        </w:tc>
        <w:tc>
          <w:tcPr>
            <w:tcW w:w="1418" w:type="dxa"/>
            <w:vAlign w:val="center"/>
          </w:tcPr>
          <w:p w:rsidR="00000000" w:rsidRDefault="00000000">
            <w:pPr>
              <w:tabs>
                <w:tab w:val="clear" w:pos="1134"/>
              </w:tabs>
              <w:ind w:left="-108" w:right="317"/>
              <w:jc w:val="right"/>
              <w:rPr>
                <w:lang w:val="en-US"/>
              </w:rPr>
            </w:pPr>
            <w:r>
              <w:rPr>
                <w:lang w:val="en-US"/>
              </w:rPr>
              <w:t>932</w:t>
            </w:r>
          </w:p>
        </w:tc>
        <w:tc>
          <w:tcPr>
            <w:tcW w:w="1701" w:type="dxa"/>
            <w:vAlign w:val="center"/>
          </w:tcPr>
          <w:p w:rsidR="00000000" w:rsidRDefault="00000000">
            <w:pPr>
              <w:tabs>
                <w:tab w:val="clear" w:pos="1134"/>
              </w:tabs>
              <w:ind w:left="-108" w:right="459"/>
              <w:jc w:val="right"/>
              <w:rPr>
                <w:lang w:val="en-US"/>
              </w:rPr>
            </w:pPr>
            <w:r>
              <w:rPr>
                <w:lang w:val="en-US"/>
              </w:rPr>
              <w:t>100,00</w:t>
            </w:r>
          </w:p>
        </w:tc>
        <w:tc>
          <w:tcPr>
            <w:tcW w:w="1559" w:type="dxa"/>
          </w:tcPr>
          <w:p w:rsidR="00000000" w:rsidRDefault="00000000">
            <w:pPr>
              <w:ind w:left="-108"/>
              <w:jc w:val="right"/>
              <w:rPr>
                <w:lang w:val="en-US"/>
              </w:rPr>
            </w:pPr>
            <w:r>
              <w:rPr>
                <w:lang w:val="en-US"/>
              </w:rPr>
              <w:t>8 110 097,8</w:t>
            </w:r>
          </w:p>
        </w:tc>
        <w:tc>
          <w:tcPr>
            <w:tcW w:w="1843" w:type="dxa"/>
            <w:vAlign w:val="center"/>
          </w:tcPr>
          <w:p w:rsidR="00000000" w:rsidRDefault="00000000">
            <w:pPr>
              <w:tabs>
                <w:tab w:val="clear" w:pos="1134"/>
                <w:tab w:val="clear" w:pos="1701"/>
              </w:tabs>
              <w:ind w:right="459"/>
              <w:jc w:val="right"/>
            </w:pPr>
            <w:r>
              <w:t>100,00</w:t>
            </w:r>
          </w:p>
        </w:tc>
      </w:tr>
    </w:tbl>
    <w:p w:rsidR="00000000" w:rsidRDefault="00000000">
      <w:pPr>
        <w:rPr>
          <w:i/>
          <w:sz w:val="22"/>
        </w:rPr>
      </w:pPr>
    </w:p>
    <w:p w:rsidR="00000000" w:rsidRDefault="00000000">
      <w:pPr>
        <w:rPr>
          <w:i/>
          <w:sz w:val="22"/>
        </w:rPr>
      </w:pPr>
      <w:r>
        <w:rPr>
          <w:i/>
          <w:sz w:val="22"/>
        </w:rPr>
        <w:tab/>
        <w:t>Источник</w:t>
      </w:r>
      <w:r>
        <w:t>:  Министерство образования и науки.</w:t>
      </w:r>
    </w:p>
    <w:p w:rsidR="00000000" w:rsidRDefault="00000000">
      <w:pPr>
        <w:rPr>
          <w:i/>
          <w:sz w:val="22"/>
        </w:rPr>
      </w:pPr>
    </w:p>
    <w:p w:rsidR="00000000" w:rsidRDefault="00000000">
      <w:pPr>
        <w:pStyle w:val="Heading4"/>
        <w:jc w:val="left"/>
        <w:rPr>
          <w:b w:val="0"/>
          <w:bCs/>
          <w:sz w:val="24"/>
        </w:rPr>
      </w:pPr>
      <w:r>
        <w:rPr>
          <w:b w:val="0"/>
          <w:bCs/>
          <w:i/>
          <w:iCs/>
        </w:rPr>
        <w:tab/>
      </w:r>
      <w:r>
        <w:rPr>
          <w:b w:val="0"/>
          <w:bCs/>
          <w:sz w:val="24"/>
        </w:rPr>
        <w:t>Вышеуказанные проекты носили фундаментальный и/или прикладной характер.</w:t>
      </w:r>
    </w:p>
    <w:p w:rsidR="00000000" w:rsidRDefault="00000000">
      <w:pPr>
        <w:pStyle w:val="Heading4"/>
        <w:jc w:val="left"/>
        <w:rPr>
          <w:b w:val="0"/>
          <w:bCs/>
          <w:sz w:val="24"/>
        </w:rPr>
      </w:pPr>
    </w:p>
    <w:p w:rsidR="00000000" w:rsidRDefault="00000000">
      <w:r>
        <w:t>926.</w:t>
      </w:r>
      <w:r>
        <w:tab/>
        <w:t>Помимо исследовательских проектов, министерство образования и науки участвует также в финансировании так называемых проектов развития.  С 1995 по 2003 год финансировалось в общей сложности 77 таких проектов, носящих исключительно прикладной характер.  Структура этих проектов приводится в нижеследующей таблице:</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418"/>
        <w:gridCol w:w="1701"/>
        <w:gridCol w:w="1559"/>
        <w:gridCol w:w="1843"/>
      </w:tblGrid>
      <w:tr w:rsidR="00000000">
        <w:tblPrEx>
          <w:tblCellMar>
            <w:top w:w="0" w:type="dxa"/>
            <w:bottom w:w="0" w:type="dxa"/>
          </w:tblCellMar>
        </w:tblPrEx>
        <w:tc>
          <w:tcPr>
            <w:tcW w:w="2835" w:type="dxa"/>
            <w:tcBorders>
              <w:bottom w:val="single" w:sz="4" w:space="0" w:color="auto"/>
            </w:tcBorders>
          </w:tcPr>
          <w:p w:rsidR="00000000" w:rsidRDefault="00000000">
            <w:pPr>
              <w:spacing w:line="240" w:lineRule="auto"/>
              <w:jc w:val="center"/>
            </w:pPr>
            <w:r>
              <w:t>Научная область</w:t>
            </w:r>
          </w:p>
        </w:tc>
        <w:tc>
          <w:tcPr>
            <w:tcW w:w="1418" w:type="dxa"/>
            <w:tcBorders>
              <w:bottom w:val="single" w:sz="4" w:space="0" w:color="auto"/>
            </w:tcBorders>
          </w:tcPr>
          <w:p w:rsidR="00000000" w:rsidRDefault="00000000">
            <w:pPr>
              <w:spacing w:line="240" w:lineRule="auto"/>
              <w:jc w:val="center"/>
            </w:pPr>
            <w:r>
              <w:t>Число проектов</w:t>
            </w:r>
          </w:p>
        </w:tc>
        <w:tc>
          <w:tcPr>
            <w:tcW w:w="1701" w:type="dxa"/>
            <w:tcBorders>
              <w:bottom w:val="single" w:sz="4" w:space="0" w:color="auto"/>
            </w:tcBorders>
          </w:tcPr>
          <w:p w:rsidR="00000000" w:rsidRDefault="00000000">
            <w:pPr>
              <w:spacing w:line="240" w:lineRule="auto"/>
              <w:jc w:val="center"/>
            </w:pPr>
            <w:r>
              <w:t>Доля конкретной научной области</w:t>
            </w:r>
          </w:p>
        </w:tc>
        <w:tc>
          <w:tcPr>
            <w:tcW w:w="1559" w:type="dxa"/>
            <w:tcBorders>
              <w:bottom w:val="single" w:sz="4" w:space="0" w:color="auto"/>
            </w:tcBorders>
          </w:tcPr>
          <w:p w:rsidR="00000000" w:rsidRDefault="00000000">
            <w:pPr>
              <w:spacing w:line="240" w:lineRule="auto"/>
              <w:jc w:val="center"/>
            </w:pPr>
            <w:r>
              <w:t>Ресурсы (в </w:t>
            </w:r>
            <w:proofErr w:type="spellStart"/>
            <w:r>
              <w:t>евро</w:t>
            </w:r>
            <w:proofErr w:type="spellEnd"/>
            <w:r>
              <w:t>)</w:t>
            </w:r>
          </w:p>
        </w:tc>
        <w:tc>
          <w:tcPr>
            <w:tcW w:w="1843" w:type="dxa"/>
            <w:tcBorders>
              <w:bottom w:val="single" w:sz="4" w:space="0" w:color="auto"/>
            </w:tcBorders>
          </w:tcPr>
          <w:p w:rsidR="00000000" w:rsidRDefault="00000000">
            <w:pPr>
              <w:spacing w:line="240" w:lineRule="auto"/>
              <w:jc w:val="center"/>
            </w:pPr>
            <w:r>
              <w:t>Доля конкретной научной области</w:t>
            </w:r>
          </w:p>
        </w:tc>
      </w:tr>
      <w:tr w:rsidR="00000000">
        <w:tblPrEx>
          <w:tblCellMar>
            <w:top w:w="0" w:type="dxa"/>
            <w:bottom w:w="0" w:type="dxa"/>
          </w:tblCellMar>
        </w:tblPrEx>
        <w:tc>
          <w:tcPr>
            <w:tcW w:w="2835" w:type="dxa"/>
            <w:tcBorders>
              <w:bottom w:val="nil"/>
            </w:tcBorders>
            <w:vAlign w:val="center"/>
          </w:tcPr>
          <w:p w:rsidR="00000000" w:rsidRDefault="00000000">
            <w:r>
              <w:t>Естественные науки и</w:t>
            </w:r>
            <w:r>
              <w:br/>
              <w:t xml:space="preserve">   математика</w:t>
            </w:r>
          </w:p>
        </w:tc>
        <w:tc>
          <w:tcPr>
            <w:tcW w:w="1418" w:type="dxa"/>
            <w:tcBorders>
              <w:bottom w:val="nil"/>
            </w:tcBorders>
            <w:vAlign w:val="center"/>
          </w:tcPr>
          <w:p w:rsidR="00000000" w:rsidRDefault="00000000">
            <w:pPr>
              <w:tabs>
                <w:tab w:val="clear" w:pos="1134"/>
              </w:tabs>
              <w:ind w:left="-108" w:right="317"/>
              <w:jc w:val="right"/>
              <w:rPr>
                <w:lang w:val="en-US"/>
              </w:rPr>
            </w:pPr>
            <w:r>
              <w:rPr>
                <w:lang w:val="en-US"/>
              </w:rPr>
              <w:t>2</w:t>
            </w:r>
          </w:p>
        </w:tc>
        <w:tc>
          <w:tcPr>
            <w:tcW w:w="1701" w:type="dxa"/>
            <w:tcBorders>
              <w:bottom w:val="nil"/>
            </w:tcBorders>
            <w:vAlign w:val="center"/>
          </w:tcPr>
          <w:p w:rsidR="00000000" w:rsidRDefault="00000000">
            <w:pPr>
              <w:tabs>
                <w:tab w:val="clear" w:pos="1134"/>
              </w:tabs>
              <w:ind w:left="-108" w:right="459"/>
              <w:jc w:val="right"/>
              <w:rPr>
                <w:lang w:val="en-US"/>
              </w:rPr>
            </w:pPr>
            <w:r>
              <w:rPr>
                <w:lang w:val="en-US"/>
              </w:rPr>
              <w:t>3</w:t>
            </w:r>
          </w:p>
        </w:tc>
        <w:tc>
          <w:tcPr>
            <w:tcW w:w="1559" w:type="dxa"/>
            <w:tcBorders>
              <w:bottom w:val="nil"/>
            </w:tcBorders>
            <w:vAlign w:val="center"/>
          </w:tcPr>
          <w:p w:rsidR="00000000" w:rsidRDefault="00000000">
            <w:pPr>
              <w:pStyle w:val="Header"/>
              <w:jc w:val="right"/>
              <w:rPr>
                <w:lang w:val="en-US"/>
              </w:rPr>
            </w:pPr>
            <w:r>
              <w:rPr>
                <w:lang w:val="en-US"/>
              </w:rPr>
              <w:t>42 622</w:t>
            </w:r>
            <w:r>
              <w:t>,</w:t>
            </w:r>
            <w:r>
              <w:rPr>
                <w:lang w:val="en-US"/>
              </w:rPr>
              <w:t>95</w:t>
            </w:r>
          </w:p>
        </w:tc>
        <w:tc>
          <w:tcPr>
            <w:tcW w:w="1843" w:type="dxa"/>
            <w:tcBorders>
              <w:bottom w:val="nil"/>
            </w:tcBorders>
            <w:vAlign w:val="center"/>
          </w:tcPr>
          <w:p w:rsidR="00000000" w:rsidRDefault="00000000">
            <w:pPr>
              <w:tabs>
                <w:tab w:val="clear" w:pos="1134"/>
                <w:tab w:val="clear" w:pos="1701"/>
              </w:tabs>
              <w:ind w:right="601"/>
              <w:jc w:val="right"/>
              <w:rPr>
                <w:lang w:val="en-US"/>
              </w:rPr>
            </w:pPr>
            <w:r>
              <w:rPr>
                <w:lang w:val="en-US"/>
              </w:rPr>
              <w:t>6</w:t>
            </w:r>
          </w:p>
        </w:tc>
      </w:tr>
      <w:tr w:rsidR="00000000">
        <w:tblPrEx>
          <w:tblCellMar>
            <w:top w:w="0" w:type="dxa"/>
            <w:bottom w:w="0" w:type="dxa"/>
          </w:tblCellMar>
        </w:tblPrEx>
        <w:tc>
          <w:tcPr>
            <w:tcW w:w="2835" w:type="dxa"/>
            <w:tcBorders>
              <w:top w:val="nil"/>
              <w:bottom w:val="nil"/>
            </w:tcBorders>
            <w:vAlign w:val="center"/>
          </w:tcPr>
          <w:p w:rsidR="00000000" w:rsidRDefault="00000000">
            <w:pPr>
              <w:pStyle w:val="Header"/>
            </w:pPr>
            <w:r>
              <w:t>Технические науки</w:t>
            </w:r>
          </w:p>
        </w:tc>
        <w:tc>
          <w:tcPr>
            <w:tcW w:w="1418" w:type="dxa"/>
            <w:tcBorders>
              <w:top w:val="nil"/>
              <w:bottom w:val="nil"/>
            </w:tcBorders>
            <w:vAlign w:val="center"/>
          </w:tcPr>
          <w:p w:rsidR="00000000" w:rsidRDefault="00000000">
            <w:pPr>
              <w:tabs>
                <w:tab w:val="clear" w:pos="1134"/>
              </w:tabs>
              <w:ind w:left="-108" w:right="317"/>
              <w:jc w:val="right"/>
              <w:rPr>
                <w:lang w:val="en-US"/>
              </w:rPr>
            </w:pPr>
            <w:r>
              <w:rPr>
                <w:lang w:val="en-US"/>
              </w:rPr>
              <w:t>64</w:t>
            </w:r>
          </w:p>
        </w:tc>
        <w:tc>
          <w:tcPr>
            <w:tcW w:w="1701" w:type="dxa"/>
            <w:tcBorders>
              <w:top w:val="nil"/>
              <w:bottom w:val="nil"/>
            </w:tcBorders>
            <w:vAlign w:val="center"/>
          </w:tcPr>
          <w:p w:rsidR="00000000" w:rsidRDefault="00000000">
            <w:pPr>
              <w:tabs>
                <w:tab w:val="clear" w:pos="1134"/>
              </w:tabs>
              <w:ind w:left="-108" w:right="459"/>
              <w:jc w:val="right"/>
              <w:rPr>
                <w:lang w:val="en-US"/>
              </w:rPr>
            </w:pPr>
            <w:r>
              <w:rPr>
                <w:lang w:val="en-US"/>
              </w:rPr>
              <w:t>83</w:t>
            </w:r>
          </w:p>
        </w:tc>
        <w:tc>
          <w:tcPr>
            <w:tcW w:w="1559" w:type="dxa"/>
            <w:tcBorders>
              <w:top w:val="nil"/>
              <w:bottom w:val="nil"/>
            </w:tcBorders>
          </w:tcPr>
          <w:p w:rsidR="00000000" w:rsidRDefault="00000000">
            <w:pPr>
              <w:jc w:val="right"/>
              <w:rPr>
                <w:lang w:val="en-US"/>
              </w:rPr>
            </w:pPr>
            <w:r>
              <w:rPr>
                <w:lang w:val="en-US"/>
              </w:rPr>
              <w:t>549 098,36</w:t>
            </w:r>
          </w:p>
        </w:tc>
        <w:tc>
          <w:tcPr>
            <w:tcW w:w="1843" w:type="dxa"/>
            <w:tcBorders>
              <w:top w:val="nil"/>
              <w:bottom w:val="nil"/>
            </w:tcBorders>
            <w:vAlign w:val="center"/>
          </w:tcPr>
          <w:p w:rsidR="00000000" w:rsidRDefault="00000000">
            <w:pPr>
              <w:tabs>
                <w:tab w:val="clear" w:pos="1134"/>
                <w:tab w:val="clear" w:pos="1701"/>
              </w:tabs>
              <w:ind w:right="601"/>
              <w:jc w:val="right"/>
              <w:rPr>
                <w:lang w:val="en-US"/>
              </w:rPr>
            </w:pPr>
            <w:r>
              <w:rPr>
                <w:lang w:val="en-US"/>
              </w:rPr>
              <w:t>80</w:t>
            </w:r>
          </w:p>
        </w:tc>
      </w:tr>
      <w:tr w:rsidR="00000000">
        <w:tblPrEx>
          <w:tblCellMar>
            <w:top w:w="0" w:type="dxa"/>
            <w:bottom w:w="0" w:type="dxa"/>
          </w:tblCellMar>
        </w:tblPrEx>
        <w:tc>
          <w:tcPr>
            <w:tcW w:w="2835" w:type="dxa"/>
            <w:tcBorders>
              <w:top w:val="nil"/>
              <w:bottom w:val="nil"/>
            </w:tcBorders>
            <w:vAlign w:val="center"/>
          </w:tcPr>
          <w:p w:rsidR="00000000" w:rsidRDefault="00000000">
            <w:r>
              <w:t>Медицина</w:t>
            </w:r>
          </w:p>
        </w:tc>
        <w:tc>
          <w:tcPr>
            <w:tcW w:w="1418" w:type="dxa"/>
            <w:tcBorders>
              <w:top w:val="nil"/>
              <w:bottom w:val="nil"/>
            </w:tcBorders>
            <w:vAlign w:val="center"/>
          </w:tcPr>
          <w:p w:rsidR="00000000" w:rsidRDefault="00000000">
            <w:pPr>
              <w:tabs>
                <w:tab w:val="clear" w:pos="1134"/>
              </w:tabs>
              <w:ind w:left="-108" w:right="317"/>
              <w:jc w:val="right"/>
              <w:rPr>
                <w:lang w:val="en-US"/>
              </w:rPr>
            </w:pPr>
            <w:r>
              <w:rPr>
                <w:lang w:val="en-US"/>
              </w:rPr>
              <w:t>1</w:t>
            </w:r>
          </w:p>
        </w:tc>
        <w:tc>
          <w:tcPr>
            <w:tcW w:w="1701" w:type="dxa"/>
            <w:tcBorders>
              <w:top w:val="nil"/>
              <w:bottom w:val="nil"/>
            </w:tcBorders>
            <w:vAlign w:val="center"/>
          </w:tcPr>
          <w:p w:rsidR="00000000" w:rsidRDefault="00000000">
            <w:pPr>
              <w:tabs>
                <w:tab w:val="clear" w:pos="1134"/>
              </w:tabs>
              <w:ind w:left="-108" w:right="459"/>
              <w:jc w:val="right"/>
              <w:rPr>
                <w:lang w:val="en-US"/>
              </w:rPr>
            </w:pPr>
            <w:r>
              <w:rPr>
                <w:lang w:val="en-US"/>
              </w:rPr>
              <w:t>1</w:t>
            </w:r>
          </w:p>
        </w:tc>
        <w:tc>
          <w:tcPr>
            <w:tcW w:w="1559" w:type="dxa"/>
            <w:tcBorders>
              <w:top w:val="nil"/>
              <w:bottom w:val="nil"/>
            </w:tcBorders>
          </w:tcPr>
          <w:p w:rsidR="00000000" w:rsidRDefault="00000000">
            <w:pPr>
              <w:jc w:val="right"/>
              <w:rPr>
                <w:lang w:val="en-US"/>
              </w:rPr>
            </w:pPr>
            <w:r>
              <w:rPr>
                <w:lang w:val="en-US"/>
              </w:rPr>
              <w:t>11 475,41</w:t>
            </w:r>
          </w:p>
        </w:tc>
        <w:tc>
          <w:tcPr>
            <w:tcW w:w="1843" w:type="dxa"/>
            <w:tcBorders>
              <w:top w:val="nil"/>
              <w:bottom w:val="nil"/>
            </w:tcBorders>
            <w:vAlign w:val="center"/>
          </w:tcPr>
          <w:p w:rsidR="00000000" w:rsidRDefault="00000000">
            <w:pPr>
              <w:tabs>
                <w:tab w:val="clear" w:pos="1134"/>
                <w:tab w:val="clear" w:pos="1701"/>
              </w:tabs>
              <w:ind w:right="601"/>
              <w:jc w:val="right"/>
              <w:rPr>
                <w:lang w:val="en-US"/>
              </w:rPr>
            </w:pPr>
            <w:r>
              <w:rPr>
                <w:lang w:val="en-US"/>
              </w:rPr>
              <w:t>2</w:t>
            </w:r>
          </w:p>
        </w:tc>
      </w:tr>
      <w:tr w:rsidR="00000000">
        <w:tblPrEx>
          <w:tblCellMar>
            <w:top w:w="0" w:type="dxa"/>
            <w:bottom w:w="0" w:type="dxa"/>
          </w:tblCellMar>
        </w:tblPrEx>
        <w:tc>
          <w:tcPr>
            <w:tcW w:w="2835" w:type="dxa"/>
            <w:tcBorders>
              <w:top w:val="nil"/>
            </w:tcBorders>
            <w:vAlign w:val="center"/>
          </w:tcPr>
          <w:p w:rsidR="00000000" w:rsidRDefault="00000000">
            <w:r>
              <w:t>Биотехнологии</w:t>
            </w:r>
          </w:p>
        </w:tc>
        <w:tc>
          <w:tcPr>
            <w:tcW w:w="1418" w:type="dxa"/>
            <w:tcBorders>
              <w:top w:val="nil"/>
            </w:tcBorders>
            <w:vAlign w:val="center"/>
          </w:tcPr>
          <w:p w:rsidR="00000000" w:rsidRDefault="00000000">
            <w:pPr>
              <w:tabs>
                <w:tab w:val="clear" w:pos="1134"/>
              </w:tabs>
              <w:ind w:left="-108" w:right="317"/>
              <w:jc w:val="right"/>
              <w:rPr>
                <w:lang w:val="en-US"/>
              </w:rPr>
            </w:pPr>
            <w:r>
              <w:rPr>
                <w:lang w:val="en-US"/>
              </w:rPr>
              <w:t>10</w:t>
            </w:r>
          </w:p>
        </w:tc>
        <w:tc>
          <w:tcPr>
            <w:tcW w:w="1701" w:type="dxa"/>
            <w:tcBorders>
              <w:top w:val="nil"/>
            </w:tcBorders>
            <w:vAlign w:val="center"/>
          </w:tcPr>
          <w:p w:rsidR="00000000" w:rsidRDefault="00000000">
            <w:pPr>
              <w:tabs>
                <w:tab w:val="clear" w:pos="1134"/>
              </w:tabs>
              <w:ind w:left="-108" w:right="459"/>
              <w:jc w:val="right"/>
              <w:rPr>
                <w:lang w:val="en-US"/>
              </w:rPr>
            </w:pPr>
            <w:r>
              <w:rPr>
                <w:lang w:val="en-US"/>
              </w:rPr>
              <w:t>13</w:t>
            </w:r>
          </w:p>
        </w:tc>
        <w:tc>
          <w:tcPr>
            <w:tcW w:w="1559" w:type="dxa"/>
            <w:tcBorders>
              <w:top w:val="nil"/>
            </w:tcBorders>
          </w:tcPr>
          <w:p w:rsidR="00000000" w:rsidRDefault="00000000">
            <w:pPr>
              <w:jc w:val="right"/>
              <w:rPr>
                <w:lang w:val="en-US"/>
              </w:rPr>
            </w:pPr>
            <w:r>
              <w:rPr>
                <w:lang w:val="en-US"/>
              </w:rPr>
              <w:t>86 491,80</w:t>
            </w:r>
          </w:p>
        </w:tc>
        <w:tc>
          <w:tcPr>
            <w:tcW w:w="1843" w:type="dxa"/>
            <w:tcBorders>
              <w:top w:val="nil"/>
            </w:tcBorders>
            <w:vAlign w:val="center"/>
          </w:tcPr>
          <w:p w:rsidR="00000000" w:rsidRDefault="00000000">
            <w:pPr>
              <w:tabs>
                <w:tab w:val="clear" w:pos="1134"/>
                <w:tab w:val="clear" w:pos="1701"/>
              </w:tabs>
              <w:ind w:right="601"/>
              <w:jc w:val="right"/>
              <w:rPr>
                <w:lang w:val="en-US"/>
              </w:rPr>
            </w:pPr>
            <w:r>
              <w:rPr>
                <w:lang w:val="en-US"/>
              </w:rPr>
              <w:t>12</w:t>
            </w:r>
          </w:p>
        </w:tc>
      </w:tr>
      <w:tr w:rsidR="00000000">
        <w:tblPrEx>
          <w:tblCellMar>
            <w:top w:w="0" w:type="dxa"/>
            <w:bottom w:w="0" w:type="dxa"/>
          </w:tblCellMar>
        </w:tblPrEx>
        <w:tc>
          <w:tcPr>
            <w:tcW w:w="2835" w:type="dxa"/>
            <w:vAlign w:val="center"/>
          </w:tcPr>
          <w:p w:rsidR="00000000" w:rsidRDefault="00000000">
            <w:pPr>
              <w:pStyle w:val="Header"/>
            </w:pPr>
            <w:r>
              <w:rPr>
                <w:lang w:val="en-US"/>
              </w:rPr>
              <w:t xml:space="preserve">     </w:t>
            </w:r>
            <w:r>
              <w:t>Итого</w:t>
            </w:r>
          </w:p>
        </w:tc>
        <w:tc>
          <w:tcPr>
            <w:tcW w:w="1418" w:type="dxa"/>
            <w:vAlign w:val="center"/>
          </w:tcPr>
          <w:p w:rsidR="00000000" w:rsidRDefault="00000000">
            <w:pPr>
              <w:tabs>
                <w:tab w:val="clear" w:pos="1134"/>
              </w:tabs>
              <w:ind w:left="-108" w:right="317"/>
              <w:jc w:val="right"/>
              <w:rPr>
                <w:lang w:val="en-US"/>
              </w:rPr>
            </w:pPr>
            <w:r>
              <w:rPr>
                <w:lang w:val="en-US"/>
              </w:rPr>
              <w:t>77</w:t>
            </w:r>
          </w:p>
        </w:tc>
        <w:tc>
          <w:tcPr>
            <w:tcW w:w="1701" w:type="dxa"/>
            <w:vAlign w:val="center"/>
          </w:tcPr>
          <w:p w:rsidR="00000000" w:rsidRDefault="00000000">
            <w:pPr>
              <w:tabs>
                <w:tab w:val="clear" w:pos="1134"/>
              </w:tabs>
              <w:ind w:left="-108" w:right="459"/>
              <w:jc w:val="right"/>
              <w:rPr>
                <w:lang w:val="en-US"/>
              </w:rPr>
            </w:pPr>
            <w:r>
              <w:rPr>
                <w:lang w:val="en-US"/>
              </w:rPr>
              <w:t>100</w:t>
            </w:r>
          </w:p>
        </w:tc>
        <w:tc>
          <w:tcPr>
            <w:tcW w:w="1559" w:type="dxa"/>
          </w:tcPr>
          <w:p w:rsidR="00000000" w:rsidRDefault="00000000">
            <w:pPr>
              <w:jc w:val="right"/>
              <w:rPr>
                <w:lang w:val="en-US"/>
              </w:rPr>
            </w:pPr>
            <w:r>
              <w:rPr>
                <w:lang w:val="en-US"/>
              </w:rPr>
              <w:t>689 098,36</w:t>
            </w:r>
          </w:p>
        </w:tc>
        <w:tc>
          <w:tcPr>
            <w:tcW w:w="1843" w:type="dxa"/>
            <w:vAlign w:val="center"/>
          </w:tcPr>
          <w:p w:rsidR="00000000" w:rsidRDefault="00000000">
            <w:pPr>
              <w:tabs>
                <w:tab w:val="clear" w:pos="1134"/>
                <w:tab w:val="clear" w:pos="1701"/>
              </w:tabs>
              <w:ind w:right="601"/>
              <w:jc w:val="right"/>
              <w:rPr>
                <w:lang w:val="en-US"/>
              </w:rPr>
            </w:pPr>
            <w:r>
              <w:rPr>
                <w:lang w:val="en-US"/>
              </w:rPr>
              <w:t>100</w:t>
            </w:r>
          </w:p>
        </w:tc>
      </w:tr>
    </w:tbl>
    <w:p w:rsidR="00000000" w:rsidRDefault="00000000">
      <w:pPr>
        <w:rPr>
          <w:bCs/>
          <w:i/>
        </w:rPr>
      </w:pPr>
    </w:p>
    <w:p w:rsidR="00000000" w:rsidRDefault="00000000">
      <w:pPr>
        <w:rPr>
          <w:bCs/>
          <w:iCs/>
        </w:rPr>
      </w:pPr>
      <w:r>
        <w:rPr>
          <w:bCs/>
          <w:i/>
        </w:rPr>
        <w:tab/>
        <w:t>Источник</w:t>
      </w:r>
      <w:r>
        <w:rPr>
          <w:bCs/>
          <w:iCs/>
        </w:rPr>
        <w:t>:  Министерство образования и науки.</w:t>
      </w:r>
    </w:p>
    <w:p w:rsidR="00000000" w:rsidRDefault="00000000">
      <w:pPr>
        <w:rPr>
          <w:bCs/>
          <w:iCs/>
        </w:rPr>
      </w:pPr>
    </w:p>
    <w:p w:rsidR="00000000" w:rsidRDefault="00000000">
      <w:pPr>
        <w:rPr>
          <w:bCs/>
          <w:iCs/>
        </w:rPr>
      </w:pPr>
      <w:r>
        <w:rPr>
          <w:bCs/>
          <w:iCs/>
        </w:rPr>
        <w:t>С 1995 по 2003 год Македонская академия наук и искусств осуществляла 146 проектов, финансируемых из государственного бюджета, структура которых показана в следующей таблице:</w:t>
      </w:r>
    </w:p>
    <w:p w:rsidR="00000000" w:rsidRDefault="00000000">
      <w:pPr>
        <w:rPr>
          <w:bCs/>
          <w: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418"/>
        <w:gridCol w:w="1701"/>
        <w:gridCol w:w="1559"/>
        <w:gridCol w:w="1843"/>
      </w:tblGrid>
      <w:tr w:rsidR="00000000">
        <w:tblPrEx>
          <w:tblCellMar>
            <w:top w:w="0" w:type="dxa"/>
            <w:bottom w:w="0" w:type="dxa"/>
          </w:tblCellMar>
        </w:tblPrEx>
        <w:tc>
          <w:tcPr>
            <w:tcW w:w="2835" w:type="dxa"/>
            <w:tcBorders>
              <w:bottom w:val="single" w:sz="4" w:space="0" w:color="auto"/>
            </w:tcBorders>
          </w:tcPr>
          <w:p w:rsidR="00000000" w:rsidRDefault="00000000">
            <w:pPr>
              <w:spacing w:line="240" w:lineRule="auto"/>
              <w:jc w:val="center"/>
            </w:pPr>
            <w:r>
              <w:t>Научная область</w:t>
            </w:r>
          </w:p>
        </w:tc>
        <w:tc>
          <w:tcPr>
            <w:tcW w:w="1418" w:type="dxa"/>
            <w:tcBorders>
              <w:bottom w:val="single" w:sz="4" w:space="0" w:color="auto"/>
            </w:tcBorders>
          </w:tcPr>
          <w:p w:rsidR="00000000" w:rsidRDefault="00000000">
            <w:pPr>
              <w:spacing w:line="240" w:lineRule="auto"/>
              <w:jc w:val="center"/>
            </w:pPr>
            <w:r>
              <w:t>Число проектов</w:t>
            </w:r>
          </w:p>
        </w:tc>
        <w:tc>
          <w:tcPr>
            <w:tcW w:w="1701" w:type="dxa"/>
            <w:tcBorders>
              <w:bottom w:val="single" w:sz="4" w:space="0" w:color="auto"/>
            </w:tcBorders>
          </w:tcPr>
          <w:p w:rsidR="00000000" w:rsidRDefault="00000000">
            <w:pPr>
              <w:spacing w:line="240" w:lineRule="auto"/>
              <w:jc w:val="center"/>
            </w:pPr>
            <w:r>
              <w:t>Доля конкретной научной области</w:t>
            </w:r>
          </w:p>
        </w:tc>
        <w:tc>
          <w:tcPr>
            <w:tcW w:w="1559" w:type="dxa"/>
            <w:tcBorders>
              <w:bottom w:val="single" w:sz="4" w:space="0" w:color="auto"/>
            </w:tcBorders>
          </w:tcPr>
          <w:p w:rsidR="00000000" w:rsidRDefault="00000000">
            <w:pPr>
              <w:spacing w:line="240" w:lineRule="auto"/>
              <w:jc w:val="center"/>
            </w:pPr>
            <w:r>
              <w:t>Ресурсы (в </w:t>
            </w:r>
            <w:proofErr w:type="spellStart"/>
            <w:r>
              <w:t>евро</w:t>
            </w:r>
            <w:proofErr w:type="spellEnd"/>
            <w:r>
              <w:t>)</w:t>
            </w:r>
          </w:p>
        </w:tc>
        <w:tc>
          <w:tcPr>
            <w:tcW w:w="1843" w:type="dxa"/>
            <w:tcBorders>
              <w:bottom w:val="single" w:sz="4" w:space="0" w:color="auto"/>
            </w:tcBorders>
          </w:tcPr>
          <w:p w:rsidR="00000000" w:rsidRDefault="00000000">
            <w:pPr>
              <w:spacing w:line="240" w:lineRule="auto"/>
              <w:jc w:val="center"/>
            </w:pPr>
            <w:r>
              <w:t>Доля конкретной научной области</w:t>
            </w:r>
          </w:p>
        </w:tc>
      </w:tr>
      <w:tr w:rsidR="00000000">
        <w:tblPrEx>
          <w:tblCellMar>
            <w:top w:w="0" w:type="dxa"/>
            <w:bottom w:w="0" w:type="dxa"/>
          </w:tblCellMar>
        </w:tblPrEx>
        <w:tc>
          <w:tcPr>
            <w:tcW w:w="2835" w:type="dxa"/>
            <w:tcBorders>
              <w:bottom w:val="nil"/>
            </w:tcBorders>
            <w:vAlign w:val="center"/>
          </w:tcPr>
          <w:p w:rsidR="00000000" w:rsidRDefault="00000000">
            <w:r>
              <w:t>Естественные науки и</w:t>
            </w:r>
            <w:r>
              <w:br/>
              <w:t xml:space="preserve">   математика</w:t>
            </w:r>
          </w:p>
        </w:tc>
        <w:tc>
          <w:tcPr>
            <w:tcW w:w="1418" w:type="dxa"/>
            <w:tcBorders>
              <w:bottom w:val="nil"/>
            </w:tcBorders>
            <w:vAlign w:val="center"/>
          </w:tcPr>
          <w:p w:rsidR="00000000" w:rsidRDefault="00000000">
            <w:pPr>
              <w:tabs>
                <w:tab w:val="clear" w:pos="1134"/>
              </w:tabs>
              <w:ind w:left="-108" w:right="317"/>
              <w:jc w:val="right"/>
              <w:rPr>
                <w:rFonts w:eastAsia="Arial Unicode MS"/>
                <w:lang w:val="en-US"/>
              </w:rPr>
            </w:pPr>
            <w:r>
              <w:rPr>
                <w:lang w:val="en-US"/>
              </w:rPr>
              <w:t>16</w:t>
            </w:r>
          </w:p>
        </w:tc>
        <w:tc>
          <w:tcPr>
            <w:tcW w:w="1701" w:type="dxa"/>
            <w:tcBorders>
              <w:bottom w:val="nil"/>
            </w:tcBorders>
            <w:vAlign w:val="center"/>
          </w:tcPr>
          <w:p w:rsidR="00000000" w:rsidRDefault="00000000">
            <w:pPr>
              <w:tabs>
                <w:tab w:val="clear" w:pos="1134"/>
              </w:tabs>
              <w:ind w:right="459"/>
              <w:jc w:val="right"/>
              <w:rPr>
                <w:rFonts w:eastAsia="Arial Unicode MS"/>
              </w:rPr>
            </w:pPr>
            <w:r>
              <w:t>10,96</w:t>
            </w:r>
          </w:p>
        </w:tc>
        <w:tc>
          <w:tcPr>
            <w:tcW w:w="1559" w:type="dxa"/>
            <w:tcBorders>
              <w:bottom w:val="nil"/>
            </w:tcBorders>
            <w:vAlign w:val="center"/>
          </w:tcPr>
          <w:p w:rsidR="00000000" w:rsidRDefault="00000000">
            <w:pPr>
              <w:jc w:val="right"/>
              <w:rPr>
                <w:rFonts w:eastAsia="Arial Unicode MS"/>
              </w:rPr>
            </w:pPr>
            <w:r>
              <w:t>207 426,22</w:t>
            </w:r>
          </w:p>
        </w:tc>
        <w:tc>
          <w:tcPr>
            <w:tcW w:w="1843" w:type="dxa"/>
            <w:tcBorders>
              <w:bottom w:val="nil"/>
            </w:tcBorders>
            <w:vAlign w:val="center"/>
          </w:tcPr>
          <w:p w:rsidR="00000000" w:rsidRDefault="00000000">
            <w:pPr>
              <w:tabs>
                <w:tab w:val="clear" w:pos="1701"/>
              </w:tabs>
              <w:ind w:right="317"/>
              <w:jc w:val="right"/>
              <w:rPr>
                <w:rFonts w:eastAsia="Arial Unicode MS"/>
              </w:rPr>
            </w:pPr>
            <w:r>
              <w:t>12,42</w:t>
            </w:r>
          </w:p>
        </w:tc>
      </w:tr>
      <w:tr w:rsidR="00000000">
        <w:tblPrEx>
          <w:tblCellMar>
            <w:top w:w="0" w:type="dxa"/>
            <w:bottom w:w="0" w:type="dxa"/>
          </w:tblCellMar>
        </w:tblPrEx>
        <w:tc>
          <w:tcPr>
            <w:tcW w:w="2835" w:type="dxa"/>
            <w:tcBorders>
              <w:top w:val="nil"/>
              <w:bottom w:val="nil"/>
            </w:tcBorders>
            <w:vAlign w:val="center"/>
          </w:tcPr>
          <w:p w:rsidR="00000000" w:rsidRDefault="00000000">
            <w:r>
              <w:t>Технические науки</w:t>
            </w:r>
          </w:p>
        </w:tc>
        <w:tc>
          <w:tcPr>
            <w:tcW w:w="1418" w:type="dxa"/>
            <w:tcBorders>
              <w:top w:val="nil"/>
              <w:bottom w:val="nil"/>
            </w:tcBorders>
          </w:tcPr>
          <w:p w:rsidR="00000000" w:rsidRDefault="00000000">
            <w:pPr>
              <w:tabs>
                <w:tab w:val="clear" w:pos="1134"/>
              </w:tabs>
              <w:ind w:left="-108" w:right="317"/>
              <w:jc w:val="right"/>
              <w:rPr>
                <w:rFonts w:eastAsia="Arial Unicode MS"/>
              </w:rPr>
            </w:pPr>
            <w:r>
              <w:t>24</w:t>
            </w:r>
          </w:p>
        </w:tc>
        <w:tc>
          <w:tcPr>
            <w:tcW w:w="1701" w:type="dxa"/>
            <w:tcBorders>
              <w:top w:val="nil"/>
              <w:bottom w:val="nil"/>
            </w:tcBorders>
          </w:tcPr>
          <w:p w:rsidR="00000000" w:rsidRDefault="00000000">
            <w:pPr>
              <w:tabs>
                <w:tab w:val="clear" w:pos="1134"/>
              </w:tabs>
              <w:ind w:right="459"/>
              <w:jc w:val="right"/>
              <w:rPr>
                <w:rFonts w:eastAsia="Arial Unicode MS"/>
              </w:rPr>
            </w:pPr>
            <w:r>
              <w:t>16,44</w:t>
            </w:r>
          </w:p>
        </w:tc>
        <w:tc>
          <w:tcPr>
            <w:tcW w:w="1559" w:type="dxa"/>
            <w:tcBorders>
              <w:top w:val="nil"/>
              <w:bottom w:val="nil"/>
            </w:tcBorders>
          </w:tcPr>
          <w:p w:rsidR="00000000" w:rsidRDefault="00000000">
            <w:pPr>
              <w:jc w:val="right"/>
              <w:rPr>
                <w:rFonts w:eastAsia="Arial Unicode MS"/>
              </w:rPr>
            </w:pPr>
            <w:r>
              <w:t>208 213,11</w:t>
            </w:r>
          </w:p>
        </w:tc>
        <w:tc>
          <w:tcPr>
            <w:tcW w:w="1843" w:type="dxa"/>
            <w:tcBorders>
              <w:top w:val="nil"/>
              <w:bottom w:val="nil"/>
            </w:tcBorders>
          </w:tcPr>
          <w:p w:rsidR="00000000" w:rsidRDefault="00000000">
            <w:pPr>
              <w:tabs>
                <w:tab w:val="clear" w:pos="1701"/>
              </w:tabs>
              <w:ind w:right="317"/>
              <w:jc w:val="right"/>
              <w:rPr>
                <w:rFonts w:eastAsia="Arial Unicode MS"/>
              </w:rPr>
            </w:pPr>
            <w:r>
              <w:t>12,47</w:t>
            </w:r>
          </w:p>
        </w:tc>
      </w:tr>
      <w:tr w:rsidR="00000000">
        <w:tblPrEx>
          <w:tblCellMar>
            <w:top w:w="0" w:type="dxa"/>
            <w:bottom w:w="0" w:type="dxa"/>
          </w:tblCellMar>
        </w:tblPrEx>
        <w:tc>
          <w:tcPr>
            <w:tcW w:w="2835" w:type="dxa"/>
            <w:tcBorders>
              <w:top w:val="nil"/>
              <w:bottom w:val="nil"/>
            </w:tcBorders>
            <w:vAlign w:val="center"/>
          </w:tcPr>
          <w:p w:rsidR="00000000" w:rsidRDefault="00000000">
            <w:r>
              <w:t>Медицина</w:t>
            </w:r>
          </w:p>
        </w:tc>
        <w:tc>
          <w:tcPr>
            <w:tcW w:w="1418" w:type="dxa"/>
            <w:tcBorders>
              <w:top w:val="nil"/>
              <w:bottom w:val="nil"/>
            </w:tcBorders>
          </w:tcPr>
          <w:p w:rsidR="00000000" w:rsidRDefault="00000000">
            <w:pPr>
              <w:tabs>
                <w:tab w:val="clear" w:pos="1134"/>
              </w:tabs>
              <w:ind w:left="-108" w:right="317"/>
              <w:jc w:val="right"/>
              <w:rPr>
                <w:rFonts w:eastAsia="Arial Unicode MS"/>
              </w:rPr>
            </w:pPr>
            <w:r>
              <w:t>26</w:t>
            </w:r>
          </w:p>
        </w:tc>
        <w:tc>
          <w:tcPr>
            <w:tcW w:w="1701" w:type="dxa"/>
            <w:tcBorders>
              <w:top w:val="nil"/>
              <w:bottom w:val="nil"/>
            </w:tcBorders>
          </w:tcPr>
          <w:p w:rsidR="00000000" w:rsidRDefault="00000000">
            <w:pPr>
              <w:tabs>
                <w:tab w:val="clear" w:pos="1134"/>
              </w:tabs>
              <w:ind w:right="459"/>
              <w:jc w:val="right"/>
              <w:rPr>
                <w:rFonts w:eastAsia="Arial Unicode MS"/>
              </w:rPr>
            </w:pPr>
            <w:r>
              <w:t>17,81</w:t>
            </w:r>
          </w:p>
        </w:tc>
        <w:tc>
          <w:tcPr>
            <w:tcW w:w="1559" w:type="dxa"/>
            <w:tcBorders>
              <w:top w:val="nil"/>
              <w:bottom w:val="nil"/>
            </w:tcBorders>
          </w:tcPr>
          <w:p w:rsidR="00000000" w:rsidRDefault="00000000">
            <w:pPr>
              <w:jc w:val="right"/>
              <w:rPr>
                <w:rFonts w:eastAsia="Arial Unicode MS"/>
              </w:rPr>
            </w:pPr>
            <w:r>
              <w:t>384 016,39</w:t>
            </w:r>
          </w:p>
        </w:tc>
        <w:tc>
          <w:tcPr>
            <w:tcW w:w="1843" w:type="dxa"/>
            <w:tcBorders>
              <w:top w:val="nil"/>
              <w:bottom w:val="nil"/>
            </w:tcBorders>
          </w:tcPr>
          <w:p w:rsidR="00000000" w:rsidRDefault="00000000">
            <w:pPr>
              <w:tabs>
                <w:tab w:val="clear" w:pos="1701"/>
              </w:tabs>
              <w:ind w:right="317"/>
              <w:jc w:val="right"/>
              <w:rPr>
                <w:rFonts w:eastAsia="Arial Unicode MS"/>
              </w:rPr>
            </w:pPr>
            <w:r>
              <w:t>22,99</w:t>
            </w:r>
          </w:p>
        </w:tc>
      </w:tr>
      <w:tr w:rsidR="00000000">
        <w:tblPrEx>
          <w:tblCellMar>
            <w:top w:w="0" w:type="dxa"/>
            <w:bottom w:w="0" w:type="dxa"/>
          </w:tblCellMar>
        </w:tblPrEx>
        <w:tc>
          <w:tcPr>
            <w:tcW w:w="2835" w:type="dxa"/>
            <w:tcBorders>
              <w:top w:val="nil"/>
              <w:bottom w:val="nil"/>
            </w:tcBorders>
            <w:vAlign w:val="center"/>
          </w:tcPr>
          <w:p w:rsidR="00000000" w:rsidRDefault="00000000">
            <w:r>
              <w:t>Биотехнологии</w:t>
            </w:r>
          </w:p>
        </w:tc>
        <w:tc>
          <w:tcPr>
            <w:tcW w:w="1418" w:type="dxa"/>
            <w:tcBorders>
              <w:top w:val="nil"/>
              <w:bottom w:val="nil"/>
            </w:tcBorders>
          </w:tcPr>
          <w:p w:rsidR="00000000" w:rsidRDefault="00000000">
            <w:pPr>
              <w:tabs>
                <w:tab w:val="clear" w:pos="1134"/>
              </w:tabs>
              <w:ind w:left="-108" w:right="317"/>
              <w:jc w:val="right"/>
              <w:rPr>
                <w:rFonts w:eastAsia="Arial Unicode MS"/>
              </w:rPr>
            </w:pPr>
            <w:r>
              <w:t>4</w:t>
            </w:r>
          </w:p>
        </w:tc>
        <w:tc>
          <w:tcPr>
            <w:tcW w:w="1701" w:type="dxa"/>
            <w:tcBorders>
              <w:top w:val="nil"/>
              <w:bottom w:val="nil"/>
            </w:tcBorders>
          </w:tcPr>
          <w:p w:rsidR="00000000" w:rsidRDefault="00000000">
            <w:pPr>
              <w:tabs>
                <w:tab w:val="clear" w:pos="1134"/>
              </w:tabs>
              <w:ind w:right="459"/>
              <w:jc w:val="right"/>
              <w:rPr>
                <w:rFonts w:eastAsia="Arial Unicode MS"/>
              </w:rPr>
            </w:pPr>
            <w:r>
              <w:t>2,74</w:t>
            </w:r>
          </w:p>
        </w:tc>
        <w:tc>
          <w:tcPr>
            <w:tcW w:w="1559" w:type="dxa"/>
            <w:tcBorders>
              <w:top w:val="nil"/>
              <w:bottom w:val="nil"/>
            </w:tcBorders>
          </w:tcPr>
          <w:p w:rsidR="00000000" w:rsidRDefault="00000000">
            <w:pPr>
              <w:jc w:val="right"/>
              <w:rPr>
                <w:rFonts w:eastAsia="Arial Unicode MS"/>
              </w:rPr>
            </w:pPr>
            <w:r>
              <w:t>45 409,83</w:t>
            </w:r>
          </w:p>
        </w:tc>
        <w:tc>
          <w:tcPr>
            <w:tcW w:w="1843" w:type="dxa"/>
            <w:tcBorders>
              <w:top w:val="nil"/>
              <w:bottom w:val="nil"/>
            </w:tcBorders>
          </w:tcPr>
          <w:p w:rsidR="00000000" w:rsidRDefault="00000000">
            <w:pPr>
              <w:tabs>
                <w:tab w:val="clear" w:pos="1701"/>
              </w:tabs>
              <w:ind w:right="317"/>
              <w:jc w:val="right"/>
              <w:rPr>
                <w:rFonts w:eastAsia="Arial Unicode MS"/>
              </w:rPr>
            </w:pPr>
            <w:r>
              <w:t>2,72</w:t>
            </w:r>
          </w:p>
        </w:tc>
      </w:tr>
      <w:tr w:rsidR="00000000">
        <w:tblPrEx>
          <w:tblCellMar>
            <w:top w:w="0" w:type="dxa"/>
            <w:bottom w:w="0" w:type="dxa"/>
          </w:tblCellMar>
        </w:tblPrEx>
        <w:tc>
          <w:tcPr>
            <w:tcW w:w="2835" w:type="dxa"/>
            <w:tcBorders>
              <w:top w:val="nil"/>
              <w:bottom w:val="nil"/>
            </w:tcBorders>
            <w:vAlign w:val="center"/>
          </w:tcPr>
          <w:p w:rsidR="00000000" w:rsidRDefault="00000000">
            <w:r>
              <w:t>Социальные науки</w:t>
            </w:r>
          </w:p>
        </w:tc>
        <w:tc>
          <w:tcPr>
            <w:tcW w:w="1418" w:type="dxa"/>
            <w:tcBorders>
              <w:top w:val="nil"/>
              <w:bottom w:val="nil"/>
            </w:tcBorders>
          </w:tcPr>
          <w:p w:rsidR="00000000" w:rsidRDefault="00000000">
            <w:pPr>
              <w:tabs>
                <w:tab w:val="clear" w:pos="1134"/>
              </w:tabs>
              <w:ind w:left="-108" w:right="317"/>
              <w:jc w:val="right"/>
              <w:rPr>
                <w:rFonts w:eastAsia="Arial Unicode MS"/>
              </w:rPr>
            </w:pPr>
            <w:r>
              <w:t>15</w:t>
            </w:r>
          </w:p>
        </w:tc>
        <w:tc>
          <w:tcPr>
            <w:tcW w:w="1701" w:type="dxa"/>
            <w:tcBorders>
              <w:top w:val="nil"/>
              <w:bottom w:val="nil"/>
            </w:tcBorders>
          </w:tcPr>
          <w:p w:rsidR="00000000" w:rsidRDefault="00000000">
            <w:pPr>
              <w:tabs>
                <w:tab w:val="clear" w:pos="1134"/>
              </w:tabs>
              <w:ind w:right="459"/>
              <w:jc w:val="right"/>
              <w:rPr>
                <w:rFonts w:eastAsia="Arial Unicode MS"/>
              </w:rPr>
            </w:pPr>
            <w:r>
              <w:t>10,27</w:t>
            </w:r>
          </w:p>
        </w:tc>
        <w:tc>
          <w:tcPr>
            <w:tcW w:w="1559" w:type="dxa"/>
            <w:tcBorders>
              <w:top w:val="nil"/>
              <w:bottom w:val="nil"/>
            </w:tcBorders>
          </w:tcPr>
          <w:p w:rsidR="00000000" w:rsidRDefault="00000000">
            <w:pPr>
              <w:jc w:val="right"/>
              <w:rPr>
                <w:rFonts w:eastAsia="Arial Unicode MS"/>
              </w:rPr>
            </w:pPr>
            <w:r>
              <w:t>82 312,15</w:t>
            </w:r>
          </w:p>
        </w:tc>
        <w:tc>
          <w:tcPr>
            <w:tcW w:w="1843" w:type="dxa"/>
            <w:tcBorders>
              <w:top w:val="nil"/>
              <w:bottom w:val="nil"/>
            </w:tcBorders>
          </w:tcPr>
          <w:p w:rsidR="00000000" w:rsidRDefault="00000000">
            <w:pPr>
              <w:tabs>
                <w:tab w:val="clear" w:pos="1701"/>
              </w:tabs>
              <w:ind w:right="317"/>
              <w:jc w:val="right"/>
              <w:rPr>
                <w:rFonts w:eastAsia="Arial Unicode MS"/>
              </w:rPr>
            </w:pPr>
            <w:r>
              <w:t>4,92</w:t>
            </w:r>
          </w:p>
        </w:tc>
      </w:tr>
      <w:tr w:rsidR="00000000">
        <w:tblPrEx>
          <w:tblCellMar>
            <w:top w:w="0" w:type="dxa"/>
            <w:bottom w:w="0" w:type="dxa"/>
          </w:tblCellMar>
        </w:tblPrEx>
        <w:tc>
          <w:tcPr>
            <w:tcW w:w="2835" w:type="dxa"/>
            <w:tcBorders>
              <w:top w:val="nil"/>
            </w:tcBorders>
            <w:vAlign w:val="center"/>
          </w:tcPr>
          <w:p w:rsidR="00000000" w:rsidRDefault="00000000">
            <w:r>
              <w:t>Гуманитарные науки</w:t>
            </w:r>
          </w:p>
        </w:tc>
        <w:tc>
          <w:tcPr>
            <w:tcW w:w="1418" w:type="dxa"/>
            <w:tcBorders>
              <w:top w:val="nil"/>
            </w:tcBorders>
          </w:tcPr>
          <w:p w:rsidR="00000000" w:rsidRDefault="00000000">
            <w:pPr>
              <w:tabs>
                <w:tab w:val="clear" w:pos="1134"/>
              </w:tabs>
              <w:ind w:left="-108" w:right="317"/>
              <w:jc w:val="right"/>
              <w:rPr>
                <w:rFonts w:eastAsia="Arial Unicode MS"/>
              </w:rPr>
            </w:pPr>
            <w:r>
              <w:t>61</w:t>
            </w:r>
          </w:p>
        </w:tc>
        <w:tc>
          <w:tcPr>
            <w:tcW w:w="1701" w:type="dxa"/>
            <w:tcBorders>
              <w:top w:val="nil"/>
            </w:tcBorders>
          </w:tcPr>
          <w:p w:rsidR="00000000" w:rsidRDefault="00000000">
            <w:pPr>
              <w:tabs>
                <w:tab w:val="clear" w:pos="1134"/>
              </w:tabs>
              <w:ind w:right="459"/>
              <w:jc w:val="right"/>
              <w:rPr>
                <w:rFonts w:eastAsia="Arial Unicode MS"/>
              </w:rPr>
            </w:pPr>
            <w:r>
              <w:t>41,78</w:t>
            </w:r>
          </w:p>
        </w:tc>
        <w:tc>
          <w:tcPr>
            <w:tcW w:w="1559" w:type="dxa"/>
            <w:tcBorders>
              <w:top w:val="nil"/>
            </w:tcBorders>
          </w:tcPr>
          <w:p w:rsidR="00000000" w:rsidRDefault="00000000">
            <w:pPr>
              <w:jc w:val="right"/>
              <w:rPr>
                <w:rFonts w:eastAsia="Arial Unicode MS"/>
              </w:rPr>
            </w:pPr>
            <w:r>
              <w:t>742 983,6</w:t>
            </w:r>
          </w:p>
        </w:tc>
        <w:tc>
          <w:tcPr>
            <w:tcW w:w="1843" w:type="dxa"/>
            <w:tcBorders>
              <w:top w:val="nil"/>
            </w:tcBorders>
          </w:tcPr>
          <w:p w:rsidR="00000000" w:rsidRDefault="00000000">
            <w:pPr>
              <w:tabs>
                <w:tab w:val="clear" w:pos="1701"/>
              </w:tabs>
              <w:ind w:right="317"/>
              <w:jc w:val="right"/>
              <w:rPr>
                <w:rFonts w:eastAsia="Arial Unicode MS"/>
              </w:rPr>
            </w:pPr>
            <w:r>
              <w:t>44,48</w:t>
            </w:r>
          </w:p>
        </w:tc>
      </w:tr>
      <w:tr w:rsidR="00000000">
        <w:tblPrEx>
          <w:tblCellMar>
            <w:top w:w="0" w:type="dxa"/>
            <w:bottom w:w="0" w:type="dxa"/>
          </w:tblCellMar>
        </w:tblPrEx>
        <w:tc>
          <w:tcPr>
            <w:tcW w:w="2835" w:type="dxa"/>
            <w:vAlign w:val="center"/>
          </w:tcPr>
          <w:p w:rsidR="00000000" w:rsidRDefault="00000000">
            <w:r>
              <w:t xml:space="preserve">     Итого</w:t>
            </w:r>
          </w:p>
        </w:tc>
        <w:tc>
          <w:tcPr>
            <w:tcW w:w="1418" w:type="dxa"/>
            <w:vAlign w:val="bottom"/>
          </w:tcPr>
          <w:p w:rsidR="00000000" w:rsidRDefault="00000000">
            <w:pPr>
              <w:tabs>
                <w:tab w:val="clear" w:pos="1134"/>
              </w:tabs>
              <w:ind w:left="-108" w:right="317"/>
              <w:jc w:val="right"/>
              <w:rPr>
                <w:rFonts w:eastAsia="Arial Unicode MS"/>
              </w:rPr>
            </w:pPr>
            <w:r>
              <w:t>146</w:t>
            </w:r>
          </w:p>
        </w:tc>
        <w:tc>
          <w:tcPr>
            <w:tcW w:w="1701" w:type="dxa"/>
            <w:vAlign w:val="bottom"/>
          </w:tcPr>
          <w:p w:rsidR="00000000" w:rsidRDefault="00000000">
            <w:pPr>
              <w:tabs>
                <w:tab w:val="clear" w:pos="1134"/>
              </w:tabs>
              <w:ind w:right="459"/>
              <w:jc w:val="right"/>
              <w:rPr>
                <w:rFonts w:eastAsia="Arial Unicode MS"/>
              </w:rPr>
            </w:pPr>
            <w:r>
              <w:t>100,00</w:t>
            </w:r>
          </w:p>
        </w:tc>
        <w:tc>
          <w:tcPr>
            <w:tcW w:w="1559" w:type="dxa"/>
            <w:vAlign w:val="bottom"/>
          </w:tcPr>
          <w:p w:rsidR="00000000" w:rsidRDefault="00000000">
            <w:pPr>
              <w:ind w:left="-108"/>
              <w:jc w:val="right"/>
              <w:rPr>
                <w:rFonts w:eastAsia="Arial Unicode MS"/>
              </w:rPr>
            </w:pPr>
            <w:r>
              <w:t>1 670 180,3</w:t>
            </w:r>
          </w:p>
        </w:tc>
        <w:tc>
          <w:tcPr>
            <w:tcW w:w="1843" w:type="dxa"/>
            <w:vAlign w:val="bottom"/>
          </w:tcPr>
          <w:p w:rsidR="00000000" w:rsidRDefault="00000000">
            <w:pPr>
              <w:tabs>
                <w:tab w:val="clear" w:pos="1701"/>
              </w:tabs>
              <w:ind w:right="317"/>
              <w:jc w:val="right"/>
              <w:rPr>
                <w:rFonts w:eastAsia="Arial Unicode MS"/>
              </w:rPr>
            </w:pPr>
            <w:r>
              <w:t>100,00</w:t>
            </w:r>
          </w:p>
        </w:tc>
      </w:tr>
    </w:tbl>
    <w:p w:rsidR="00000000" w:rsidRDefault="00000000"/>
    <w:p w:rsidR="00000000" w:rsidRDefault="00000000">
      <w:r>
        <w:rPr>
          <w:i/>
          <w:iCs/>
        </w:rPr>
        <w:tab/>
        <w:t>Источник</w:t>
      </w:r>
      <w:r>
        <w:t>:  Македонская академия наук и искусств.</w:t>
      </w:r>
    </w:p>
    <w:p w:rsidR="00000000" w:rsidRDefault="00000000"/>
    <w:p w:rsidR="00000000" w:rsidRDefault="00000000">
      <w:r>
        <w:t>927.</w:t>
      </w:r>
      <w:r>
        <w:tab/>
        <w:t xml:space="preserve">С учетом структуры экономики и институциональной инфрастуктуры в области науки технические и естественные науки рассматриваются правительством в качестве приоритетных областей научных знаний, поэтому большая часть утвержденных проектов, финансируемых министерством образования и науки, приходится на эти области.  С 1997 по 2000 год средние темпы роста </w:t>
      </w:r>
      <w:proofErr w:type="spellStart"/>
      <w:r>
        <w:t>ВВП</w:t>
      </w:r>
      <w:proofErr w:type="spellEnd"/>
      <w:r>
        <w:t xml:space="preserve"> в Македонии составляли </w:t>
      </w:r>
      <w:proofErr w:type="spellStart"/>
      <w:r>
        <w:t>2,4%</w:t>
      </w:r>
      <w:proofErr w:type="spellEnd"/>
      <w:r>
        <w:t>.  В этой связи общая факторная производительность, т.е. научно-технический прогресс в самом широком смысле этого слова, вносит решающий вклад в повышение динамики экономического роста в стране.</w:t>
      </w:r>
    </w:p>
    <w:p w:rsidR="00000000" w:rsidRDefault="00000000"/>
    <w:p w:rsidR="00000000" w:rsidRDefault="00000000">
      <w:r>
        <w:t>928.</w:t>
      </w:r>
      <w:r>
        <w:tab/>
        <w:t xml:space="preserve">Для того чтобы вести учет вклада македонских ученых в глобальную научную информацию, министерство образования и науки создало базу данных по исследованиям, проведенным учеными и опубликованным в ведущих научных изданиях, а также по их цитированию.  Информационным источником вышеуказанной базы данных служит международная база данных </w:t>
      </w:r>
      <w:proofErr w:type="spellStart"/>
      <w:r>
        <w:rPr>
          <w:lang w:val="en-US"/>
        </w:rPr>
        <w:t>ISI</w:t>
      </w:r>
      <w:proofErr w:type="spellEnd"/>
      <w:r>
        <w:t xml:space="preserve"> </w:t>
      </w:r>
      <w:r>
        <w:rPr>
          <w:lang w:val="en-US"/>
        </w:rPr>
        <w:t>Web</w:t>
      </w:r>
      <w:r>
        <w:t xml:space="preserve"> </w:t>
      </w:r>
      <w:r>
        <w:rPr>
          <w:lang w:val="en-US"/>
        </w:rPr>
        <w:t>of</w:t>
      </w:r>
      <w:r>
        <w:t xml:space="preserve"> </w:t>
      </w:r>
      <w:r>
        <w:rPr>
          <w:lang w:val="en-US"/>
        </w:rPr>
        <w:t>Knowledge</w:t>
      </w:r>
      <w:r>
        <w:t xml:space="preserve">.  Согласно данным из этого источника, за период 1981-2003 годов македонские ученые опубликовали в этих изданиях 1 652 исследования.  </w:t>
      </w:r>
    </w:p>
    <w:p w:rsidR="00000000" w:rsidRDefault="00000000"/>
    <w:p w:rsidR="00000000" w:rsidRDefault="00000000">
      <w:r>
        <w:t>929.</w:t>
      </w:r>
      <w:r>
        <w:tab/>
        <w:t>Что касается защиты авторских прав в области научно-технического прогресса, то по состоянию на август 2004 года были зарегистрированы 879 патентов, 389 образцов и 9 736 фирменных наименований.</w:t>
      </w:r>
    </w:p>
    <w:p w:rsidR="00000000" w:rsidRDefault="00000000"/>
    <w:p w:rsidR="00000000" w:rsidRDefault="00000000">
      <w:r>
        <w:t>930.</w:t>
      </w:r>
      <w:r>
        <w:tab/>
        <w:t>С 1996 по 2003 год министерство образования и науки участвовало в финансировании 77 проектов в области развития, перед которыми ставились следующие задачи:</w:t>
      </w:r>
    </w:p>
    <w:p w:rsidR="00000000" w:rsidRDefault="00000000"/>
    <w:p w:rsidR="00000000" w:rsidRDefault="00000000">
      <w:pPr>
        <w:numPr>
          <w:ilvl w:val="0"/>
          <w:numId w:val="98"/>
        </w:numPr>
      </w:pPr>
      <w:r>
        <w:t>создание новых товаров (</w:t>
      </w:r>
      <w:proofErr w:type="spellStart"/>
      <w:r>
        <w:t>34%</w:t>
      </w:r>
      <w:proofErr w:type="spellEnd"/>
      <w:r>
        <w:t>);</w:t>
      </w:r>
    </w:p>
    <w:p w:rsidR="00000000" w:rsidRDefault="00000000">
      <w:pPr>
        <w:tabs>
          <w:tab w:val="clear" w:pos="1134"/>
        </w:tabs>
      </w:pPr>
    </w:p>
    <w:p w:rsidR="00000000" w:rsidRDefault="00000000">
      <w:pPr>
        <w:numPr>
          <w:ilvl w:val="0"/>
          <w:numId w:val="98"/>
        </w:numPr>
      </w:pPr>
      <w:r>
        <w:t>создание новых материалов (</w:t>
      </w:r>
      <w:proofErr w:type="spellStart"/>
      <w:r>
        <w:t>4%</w:t>
      </w:r>
      <w:proofErr w:type="spellEnd"/>
      <w:r>
        <w:t>);</w:t>
      </w:r>
    </w:p>
    <w:p w:rsidR="00000000" w:rsidRDefault="00000000">
      <w:pPr>
        <w:tabs>
          <w:tab w:val="clear" w:pos="1134"/>
        </w:tabs>
      </w:pPr>
    </w:p>
    <w:p w:rsidR="00000000" w:rsidRDefault="00000000">
      <w:pPr>
        <w:numPr>
          <w:ilvl w:val="0"/>
          <w:numId w:val="98"/>
        </w:numPr>
      </w:pPr>
      <w:r>
        <w:t>внедрение новых технологий - новых технологических процессов (</w:t>
      </w:r>
      <w:proofErr w:type="spellStart"/>
      <w:r>
        <w:t>18%</w:t>
      </w:r>
      <w:proofErr w:type="spellEnd"/>
      <w:r>
        <w:t>);</w:t>
      </w:r>
    </w:p>
    <w:p w:rsidR="00000000" w:rsidRDefault="00000000">
      <w:pPr>
        <w:tabs>
          <w:tab w:val="clear" w:pos="1134"/>
        </w:tabs>
      </w:pPr>
    </w:p>
    <w:p w:rsidR="00000000" w:rsidRDefault="00000000">
      <w:pPr>
        <w:numPr>
          <w:ilvl w:val="0"/>
          <w:numId w:val="98"/>
        </w:numPr>
      </w:pPr>
      <w:r>
        <w:t>монтаж новых технологических линий (</w:t>
      </w:r>
      <w:proofErr w:type="spellStart"/>
      <w:r>
        <w:t>2%</w:t>
      </w:r>
      <w:proofErr w:type="spellEnd"/>
      <w:r>
        <w:t>);</w:t>
      </w:r>
    </w:p>
    <w:p w:rsidR="00000000" w:rsidRDefault="00000000">
      <w:pPr>
        <w:tabs>
          <w:tab w:val="clear" w:pos="1134"/>
        </w:tabs>
      </w:pPr>
    </w:p>
    <w:p w:rsidR="00000000" w:rsidRDefault="00000000">
      <w:pPr>
        <w:numPr>
          <w:ilvl w:val="0"/>
          <w:numId w:val="98"/>
        </w:numPr>
      </w:pPr>
      <w:r>
        <w:t>оптимизация (совершенствование) существующих технологических процессов (</w:t>
      </w:r>
      <w:proofErr w:type="spellStart"/>
      <w:r>
        <w:t>26%</w:t>
      </w:r>
      <w:proofErr w:type="spellEnd"/>
      <w:r>
        <w:t>);</w:t>
      </w:r>
    </w:p>
    <w:p w:rsidR="00000000" w:rsidRDefault="00000000">
      <w:pPr>
        <w:tabs>
          <w:tab w:val="clear" w:pos="1134"/>
        </w:tabs>
      </w:pPr>
    </w:p>
    <w:p w:rsidR="00000000" w:rsidRDefault="00000000">
      <w:pPr>
        <w:numPr>
          <w:ilvl w:val="0"/>
          <w:numId w:val="98"/>
        </w:numPr>
      </w:pPr>
      <w:r>
        <w:t>рационализация производства (</w:t>
      </w:r>
      <w:proofErr w:type="spellStart"/>
      <w:r>
        <w:t>5%</w:t>
      </w:r>
      <w:proofErr w:type="spellEnd"/>
      <w:r>
        <w:t>);</w:t>
      </w:r>
    </w:p>
    <w:p w:rsidR="00000000" w:rsidRDefault="00000000">
      <w:pPr>
        <w:tabs>
          <w:tab w:val="clear" w:pos="1134"/>
        </w:tabs>
      </w:pPr>
    </w:p>
    <w:p w:rsidR="00000000" w:rsidRDefault="00000000">
      <w:pPr>
        <w:numPr>
          <w:ilvl w:val="0"/>
          <w:numId w:val="98"/>
        </w:numPr>
      </w:pPr>
      <w:r>
        <w:t>повышение качества жизни (</w:t>
      </w:r>
      <w:proofErr w:type="spellStart"/>
      <w:r>
        <w:t>11%</w:t>
      </w:r>
      <w:proofErr w:type="spellEnd"/>
      <w:r>
        <w:t>).</w:t>
      </w:r>
    </w:p>
    <w:p w:rsidR="00000000" w:rsidRDefault="00000000">
      <w:pPr>
        <w:tabs>
          <w:tab w:val="clear" w:pos="1134"/>
        </w:tabs>
      </w:pPr>
    </w:p>
    <w:p w:rsidR="00000000" w:rsidRDefault="00000000">
      <w:r>
        <w:t>931.</w:t>
      </w:r>
      <w:r>
        <w:tab/>
        <w:t>Согласно пункту 5 статьи 47 Конституции, государство обязано стимулировать и поощрять технический прогресс.  Это конституционное требование развивается в Законе о стимулировании и поощрении технического прогресса.</w:t>
      </w:r>
    </w:p>
    <w:p w:rsidR="00000000" w:rsidRDefault="00000000"/>
    <w:p w:rsidR="00000000" w:rsidRDefault="00000000">
      <w:pPr>
        <w:rPr>
          <w:i/>
          <w:iCs/>
        </w:rPr>
      </w:pPr>
      <w:r>
        <w:rPr>
          <w:i/>
          <w:iCs/>
        </w:rPr>
        <w:t>Развитием технологий занимаются следующие учреждения:</w:t>
      </w:r>
    </w:p>
    <w:p w:rsidR="00000000" w:rsidRDefault="00000000">
      <w:pPr>
        <w:rPr>
          <w:i/>
          <w:iCs/>
        </w:rPr>
      </w:pPr>
    </w:p>
    <w:p w:rsidR="00000000" w:rsidRDefault="00000000">
      <w:pPr>
        <w:numPr>
          <w:ilvl w:val="0"/>
          <w:numId w:val="99"/>
        </w:numPr>
      </w:pPr>
      <w:r>
        <w:t>научно-исследовательские и опытно-конструкторские подразделения предприятий;</w:t>
      </w:r>
    </w:p>
    <w:p w:rsidR="00000000" w:rsidRDefault="00000000">
      <w:pPr>
        <w:tabs>
          <w:tab w:val="clear" w:pos="1134"/>
        </w:tabs>
      </w:pPr>
    </w:p>
    <w:p w:rsidR="00000000" w:rsidRDefault="00000000">
      <w:pPr>
        <w:numPr>
          <w:ilvl w:val="0"/>
          <w:numId w:val="99"/>
        </w:numPr>
      </w:pPr>
      <w:r>
        <w:t>инновационные центры;</w:t>
      </w:r>
    </w:p>
    <w:p w:rsidR="00000000" w:rsidRDefault="00000000">
      <w:pPr>
        <w:tabs>
          <w:tab w:val="clear" w:pos="1134"/>
        </w:tabs>
      </w:pPr>
    </w:p>
    <w:p w:rsidR="00000000" w:rsidRDefault="00000000">
      <w:pPr>
        <w:numPr>
          <w:ilvl w:val="0"/>
          <w:numId w:val="99"/>
        </w:numPr>
      </w:pPr>
      <w:r>
        <w:t>высшие учебные заведения;</w:t>
      </w:r>
    </w:p>
    <w:p w:rsidR="00000000" w:rsidRDefault="00000000">
      <w:pPr>
        <w:tabs>
          <w:tab w:val="clear" w:pos="1134"/>
        </w:tabs>
      </w:pPr>
    </w:p>
    <w:p w:rsidR="00000000" w:rsidRDefault="00000000">
      <w:pPr>
        <w:numPr>
          <w:ilvl w:val="0"/>
          <w:numId w:val="99"/>
        </w:numPr>
      </w:pPr>
      <w:r>
        <w:t>исследовательские центры Македонской академии наук и искусств;</w:t>
      </w:r>
    </w:p>
    <w:p w:rsidR="00000000" w:rsidRDefault="00000000">
      <w:pPr>
        <w:tabs>
          <w:tab w:val="clear" w:pos="1134"/>
        </w:tabs>
      </w:pPr>
    </w:p>
    <w:p w:rsidR="00000000" w:rsidRDefault="00000000">
      <w:pPr>
        <w:numPr>
          <w:ilvl w:val="0"/>
          <w:numId w:val="99"/>
        </w:numPr>
      </w:pPr>
      <w:r>
        <w:t>государственные научные институты;</w:t>
      </w:r>
    </w:p>
    <w:p w:rsidR="00000000" w:rsidRDefault="00000000">
      <w:pPr>
        <w:tabs>
          <w:tab w:val="clear" w:pos="1134"/>
        </w:tabs>
      </w:pPr>
    </w:p>
    <w:p w:rsidR="00000000" w:rsidRDefault="00000000">
      <w:pPr>
        <w:numPr>
          <w:ilvl w:val="0"/>
          <w:numId w:val="99"/>
        </w:numPr>
      </w:pPr>
      <w:r>
        <w:t>ассоциации граждан (Ассоциация изобретателей и участников технического прогресса, Ассоциация представителей наук и искусств, Политехническая ассоциация);  и</w:t>
      </w:r>
    </w:p>
    <w:p w:rsidR="00000000" w:rsidRDefault="00000000">
      <w:pPr>
        <w:tabs>
          <w:tab w:val="clear" w:pos="1134"/>
        </w:tabs>
      </w:pPr>
    </w:p>
    <w:p w:rsidR="00000000" w:rsidRDefault="00000000">
      <w:pPr>
        <w:numPr>
          <w:ilvl w:val="0"/>
          <w:numId w:val="99"/>
        </w:numPr>
      </w:pPr>
      <w:r>
        <w:t>организации, занимающиеся передачей ноу-хау (технические центры, технологические пулы, центры передачи технологий и т.д.).</w:t>
      </w:r>
    </w:p>
    <w:p w:rsidR="00000000" w:rsidRDefault="00000000">
      <w:pPr>
        <w:tabs>
          <w:tab w:val="clear" w:pos="1134"/>
        </w:tabs>
      </w:pPr>
    </w:p>
    <w:p w:rsidR="00000000" w:rsidRDefault="00000000">
      <w:r>
        <w:t>932.</w:t>
      </w:r>
      <w:r>
        <w:tab/>
        <w:t>По последним данным министерства образования и науки, в настоящее время в македонской экономике насчитывается 30 научно-исследовательских и опытно-конструкторских подразделений.</w:t>
      </w:r>
    </w:p>
    <w:p w:rsidR="00000000" w:rsidRDefault="00000000"/>
    <w:p w:rsidR="00000000" w:rsidRDefault="00000000">
      <w:r>
        <w:t>933.</w:t>
      </w:r>
      <w:r>
        <w:tab/>
        <w:t>Организации, занимающиеся передачей знаний, занимают важнейшее место среди всех вышеуказанных учреждений и организаций в силу той роли, которую они играют в обеспечении технического прогресса в стране.</w:t>
      </w:r>
    </w:p>
    <w:p w:rsidR="00000000" w:rsidRDefault="00000000"/>
    <w:p w:rsidR="00000000" w:rsidRDefault="00000000">
      <w:r>
        <w:t>934.</w:t>
      </w:r>
      <w:r>
        <w:tab/>
        <w:t>В 2002 году министерство образования и науки оказывало финансовую поддержку при создании технологических центров в следующих учреждениях:</w:t>
      </w:r>
    </w:p>
    <w:p w:rsidR="00000000" w:rsidRDefault="00000000"/>
    <w:p w:rsidR="00000000" w:rsidRDefault="00000000">
      <w:pPr>
        <w:numPr>
          <w:ilvl w:val="0"/>
          <w:numId w:val="100"/>
        </w:numPr>
      </w:pPr>
      <w:r>
        <w:t>на факультете естественных наук и математики - Скопье;</w:t>
      </w:r>
    </w:p>
    <w:p w:rsidR="00000000" w:rsidRDefault="00000000">
      <w:pPr>
        <w:tabs>
          <w:tab w:val="clear" w:pos="1134"/>
        </w:tabs>
      </w:pPr>
    </w:p>
    <w:p w:rsidR="00000000" w:rsidRDefault="00000000">
      <w:pPr>
        <w:numPr>
          <w:ilvl w:val="0"/>
          <w:numId w:val="100"/>
        </w:numPr>
      </w:pPr>
      <w:r>
        <w:t>на факультете механики - Скопье;</w:t>
      </w:r>
    </w:p>
    <w:p w:rsidR="00000000" w:rsidRDefault="00000000">
      <w:pPr>
        <w:tabs>
          <w:tab w:val="clear" w:pos="1134"/>
        </w:tabs>
      </w:pPr>
    </w:p>
    <w:p w:rsidR="00000000" w:rsidRDefault="00000000">
      <w:pPr>
        <w:numPr>
          <w:ilvl w:val="0"/>
          <w:numId w:val="100"/>
        </w:numPr>
      </w:pPr>
      <w:r>
        <w:t>на факультете электротехники - Скопье;  и</w:t>
      </w:r>
    </w:p>
    <w:p w:rsidR="00000000" w:rsidRDefault="00000000">
      <w:pPr>
        <w:tabs>
          <w:tab w:val="clear" w:pos="1134"/>
        </w:tabs>
      </w:pPr>
    </w:p>
    <w:p w:rsidR="00000000" w:rsidRDefault="00000000">
      <w:pPr>
        <w:numPr>
          <w:ilvl w:val="0"/>
          <w:numId w:val="100"/>
        </w:numPr>
      </w:pPr>
      <w:r>
        <w:t>на факультете медицины - Скопье.</w:t>
      </w:r>
    </w:p>
    <w:p w:rsidR="00000000" w:rsidRDefault="00000000">
      <w:pPr>
        <w:tabs>
          <w:tab w:val="clear" w:pos="1134"/>
        </w:tabs>
      </w:pPr>
    </w:p>
    <w:p w:rsidR="00000000" w:rsidRDefault="00000000">
      <w:r>
        <w:t>935.</w:t>
      </w:r>
      <w:r>
        <w:tab/>
        <w:t xml:space="preserve">Помимо четырех перечисленных технологических центров при финансовой поддержке программы </w:t>
      </w:r>
      <w:r>
        <w:rPr>
          <w:lang w:val="en-US"/>
        </w:rPr>
        <w:t>TEMPUS</w:t>
      </w:r>
      <w:r>
        <w:t xml:space="preserve"> были созданы еще пять центров передачи технологии:</w:t>
      </w:r>
    </w:p>
    <w:p w:rsidR="00000000" w:rsidRDefault="00000000"/>
    <w:p w:rsidR="00000000" w:rsidRDefault="00000000">
      <w:pPr>
        <w:numPr>
          <w:ilvl w:val="0"/>
          <w:numId w:val="101"/>
        </w:numPr>
      </w:pPr>
      <w:r>
        <w:t>центр исследований, развития и непрерывного обучения на факультете механики - Скопье,</w:t>
      </w:r>
    </w:p>
    <w:p w:rsidR="00000000" w:rsidRDefault="00000000">
      <w:pPr>
        <w:tabs>
          <w:tab w:val="clear" w:pos="1134"/>
        </w:tabs>
      </w:pPr>
    </w:p>
    <w:p w:rsidR="00000000" w:rsidRDefault="00000000">
      <w:pPr>
        <w:numPr>
          <w:ilvl w:val="0"/>
          <w:numId w:val="101"/>
        </w:numPr>
      </w:pPr>
      <w:r>
        <w:t>центр передачи технологии на факультете электротехники - Скопье;</w:t>
      </w:r>
    </w:p>
    <w:p w:rsidR="00000000" w:rsidRDefault="00000000">
      <w:pPr>
        <w:tabs>
          <w:tab w:val="clear" w:pos="1134"/>
        </w:tabs>
      </w:pPr>
    </w:p>
    <w:p w:rsidR="00000000" w:rsidRDefault="00000000">
      <w:pPr>
        <w:numPr>
          <w:ilvl w:val="0"/>
          <w:numId w:val="101"/>
        </w:numPr>
      </w:pPr>
      <w:r>
        <w:t>центр прикладных исследований и непрерывного обучения в области сельского хозяйства на факультете сельского хозяйства - Скопье;</w:t>
      </w:r>
    </w:p>
    <w:p w:rsidR="00000000" w:rsidRDefault="00000000">
      <w:pPr>
        <w:tabs>
          <w:tab w:val="clear" w:pos="1134"/>
        </w:tabs>
      </w:pPr>
    </w:p>
    <w:p w:rsidR="00000000" w:rsidRDefault="00000000">
      <w:pPr>
        <w:numPr>
          <w:ilvl w:val="0"/>
          <w:numId w:val="101"/>
        </w:numPr>
      </w:pPr>
      <w:proofErr w:type="spellStart"/>
      <w:r>
        <w:t>еврорегиональный</w:t>
      </w:r>
      <w:proofErr w:type="spellEnd"/>
      <w:r>
        <w:t xml:space="preserve"> технический центр на факультете технических исследований - </w:t>
      </w:r>
      <w:proofErr w:type="spellStart"/>
      <w:r>
        <w:t>Битола</w:t>
      </w:r>
      <w:proofErr w:type="spellEnd"/>
      <w:r>
        <w:t>;  и</w:t>
      </w:r>
    </w:p>
    <w:p w:rsidR="00000000" w:rsidRDefault="00000000">
      <w:pPr>
        <w:tabs>
          <w:tab w:val="clear" w:pos="1134"/>
        </w:tabs>
      </w:pPr>
    </w:p>
    <w:p w:rsidR="00000000" w:rsidRDefault="00000000">
      <w:pPr>
        <w:numPr>
          <w:ilvl w:val="0"/>
          <w:numId w:val="101"/>
        </w:numPr>
      </w:pPr>
      <w:r>
        <w:t>центр передачи технологии для химической и текстильной промышленности на факультете технологии и металлургии - Скопье.</w:t>
      </w:r>
    </w:p>
    <w:p w:rsidR="00000000" w:rsidRDefault="00000000">
      <w:pPr>
        <w:tabs>
          <w:tab w:val="clear" w:pos="1134"/>
        </w:tabs>
      </w:pPr>
    </w:p>
    <w:p w:rsidR="00000000" w:rsidRDefault="00000000">
      <w:r>
        <w:t>936.</w:t>
      </w:r>
      <w:r>
        <w:tab/>
        <w:t>Стратегия поддержки технического прогресса сформулирована в утвержденной министерством образования и науки программе стимулирования технического прогресса на 2002-2006 годы, в которой излагаются задачи и направления деятельности министерства образования и науки по стимулированию и поощрению технического прогресса, а также критерии отбора приоритетных областей в этой области.</w:t>
      </w:r>
    </w:p>
    <w:p w:rsidR="00000000" w:rsidRDefault="00000000"/>
    <w:p w:rsidR="00000000" w:rsidRDefault="00000000">
      <w:r>
        <w:t>937.</w:t>
      </w:r>
      <w:r>
        <w:tab/>
        <w:t>Согласно Закону о стимулировании и поощрении технического прогресса и Закону о стимулировании и поощрении технической культуры, уже осуществляется деятельность с целью организованного оказания научных услуг промышленности.</w:t>
      </w:r>
    </w:p>
    <w:p w:rsidR="00000000" w:rsidRDefault="00000000"/>
    <w:p w:rsidR="00000000" w:rsidRDefault="00000000">
      <w:r>
        <w:t>938.</w:t>
      </w:r>
      <w:r>
        <w:tab/>
        <w:t>Помимо этого, министерство образования и науки в соответствии с ежегодной программой стимулирования технического прогресса участвует в финансировании научно-исследовательских и опытно-конструкторских проектов, осуществляемых разработчиками технологий.  В 1995-2003 годах на основе совместного финансирования в бывшей югославской Республике Македонии осуществлялись 77 подобных проектов.  За этот период под эгидой Македонской академии наук и искусств и при финансовой помощи из государственного бюджета было реализовано 146 научных проектов.</w:t>
      </w:r>
    </w:p>
    <w:p w:rsidR="00000000" w:rsidRDefault="00000000"/>
    <w:p w:rsidR="00000000" w:rsidRDefault="00000000">
      <w:r>
        <w:t>939.</w:t>
      </w:r>
      <w:r>
        <w:tab/>
        <w:t>Защита интеллектуальной собственности регулируется Законом об авторских и смежных правах, согласно которому защите подлежат результаты индивидуального интеллектуального творчества, в том числе в научной сфере (статья 3 Закона).  Таким образом, результаты такого творчества пользуются такой же защитой, как и все другие виды авторских прав.</w:t>
      </w:r>
    </w:p>
    <w:p w:rsidR="00000000" w:rsidRDefault="00000000"/>
    <w:p w:rsidR="00000000" w:rsidRDefault="00000000">
      <w:r>
        <w:t>940.</w:t>
      </w:r>
      <w:r>
        <w:tab/>
        <w:t xml:space="preserve">Защита промышленной собственности и патентных прав относится к ведению Государственного бюро промышленной собственности. </w:t>
      </w:r>
    </w:p>
    <w:p w:rsidR="00000000" w:rsidRDefault="00000000"/>
    <w:p w:rsidR="00000000" w:rsidRDefault="00000000">
      <w:r>
        <w:t>941.</w:t>
      </w:r>
      <w:r>
        <w:tab/>
        <w:t>Промышленная собственность регулируется Законом о промышленной собственности ("Официальный вестник" бывшей югославской Республики Македонии № 47/2002, 42/2003 и 9/2004), а также следующими нормативными актами:  патентным регулированием, регулированием промышленных образцов, регулированием торговых марок, регулированием отметок о происхождении и географической маркировки товаров, регулированием профессиональных экзаменов для дипломированных сотрудников органов по защите прав промышленной собственности ("Официальный вестник" бывшей югославской Республики Македонии № 18/2004).</w:t>
      </w:r>
    </w:p>
    <w:p w:rsidR="00000000" w:rsidRDefault="00000000">
      <w:pPr>
        <w:rPr>
          <w:lang w:val="en-US"/>
        </w:rPr>
      </w:pPr>
    </w:p>
    <w:p w:rsidR="00000000" w:rsidRDefault="00000000">
      <w:r>
        <w:t>942.</w:t>
      </w:r>
      <w:r>
        <w:tab/>
        <w:t>Министерство образования и науки присуждает государственные стипендии для учебы в системе послевузовского цикла как в стране, так и за рубежом на основе открытого конкурса и в соответствии с нормами, регулирующими условия и критерии выделения средств научно-исследовательским кадрам.  Кроме того, министерство образования и науки выплачивает стипендии на основании двусторонних соглашений о сотрудничестве и соглашений с международными организациями.  Помимо этих общих принципов государственные стипендии на обучение за рубежом выделяются в том случае, когда послевузовского цикла в соответствующей области в стране нет.</w:t>
      </w:r>
    </w:p>
    <w:p w:rsidR="00000000" w:rsidRDefault="00000000"/>
    <w:p w:rsidR="00000000" w:rsidRDefault="00000000">
      <w:r>
        <w:t>943.</w:t>
      </w:r>
      <w:r>
        <w:tab/>
        <w:t>На факультетах университетов используются разные методы обучения:  специализированные программы, семинары или курсы, по завершении которых студентам выдаются дипломы или специальные свидетельства.</w:t>
      </w:r>
    </w:p>
    <w:p w:rsidR="00000000" w:rsidRDefault="00000000"/>
    <w:p w:rsidR="00000000" w:rsidRDefault="00000000">
      <w:r>
        <w:t>944.</w:t>
      </w:r>
      <w:r>
        <w:tab/>
        <w:t>В нижеследующей таблице приводятся данные о численности научных кадров в разбивке по секторам (коммерческий или государственный сектор) за период с 1997 по 2002 год:</w:t>
      </w:r>
    </w:p>
    <w:p w:rsidR="00000000" w:rsidRDefault="00000000"/>
    <w:p w:rsidR="00000000" w:rsidRDefault="00000000">
      <w:pPr>
        <w:pStyle w:val="Heading2"/>
        <w:jc w:val="center"/>
        <w:rPr>
          <w:b/>
          <w:bCs/>
          <w:u w:val="none"/>
        </w:rPr>
      </w:pPr>
      <w:r>
        <w:rPr>
          <w:b/>
          <w:bCs/>
          <w:u w:val="none"/>
        </w:rPr>
        <w:br w:type="page"/>
        <w:t>Сотрудники научно-исследовательских и опытно-конструкторских</w:t>
      </w:r>
    </w:p>
    <w:p w:rsidR="00000000" w:rsidRDefault="00000000">
      <w:pPr>
        <w:pStyle w:val="Heading2"/>
        <w:jc w:val="center"/>
        <w:rPr>
          <w:b/>
          <w:bCs/>
          <w:u w:val="none"/>
        </w:rPr>
      </w:pPr>
      <w:r>
        <w:rPr>
          <w:b/>
          <w:bCs/>
          <w:u w:val="none"/>
        </w:rPr>
        <w:t>подразделений в разбивке по секторам</w:t>
      </w:r>
    </w:p>
    <w:p w:rsidR="00000000" w:rsidRDefault="00000000"/>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3402"/>
        <w:gridCol w:w="991"/>
        <w:gridCol w:w="992"/>
        <w:gridCol w:w="991"/>
        <w:gridCol w:w="992"/>
        <w:gridCol w:w="991"/>
        <w:gridCol w:w="992"/>
      </w:tblGrid>
      <w:tr w:rsidR="00000000">
        <w:trPr>
          <w:trHeight w:val="20"/>
          <w:tblHeader/>
        </w:trPr>
        <w:tc>
          <w:tcPr>
            <w:tcW w:w="3402" w:type="dxa"/>
            <w:tcBorders>
              <w:bottom w:val="single" w:sz="4" w:space="0" w:color="auto"/>
            </w:tcBorders>
            <w:vAlign w:val="center"/>
          </w:tcPr>
          <w:p w:rsidR="00000000" w:rsidRDefault="00000000">
            <w:pPr>
              <w:keepNext/>
              <w:jc w:val="center"/>
              <w:rPr>
                <w:bCs/>
              </w:rPr>
            </w:pPr>
            <w:r>
              <w:rPr>
                <w:bCs/>
              </w:rPr>
              <w:t>Год</w:t>
            </w:r>
          </w:p>
        </w:tc>
        <w:tc>
          <w:tcPr>
            <w:tcW w:w="991" w:type="dxa"/>
            <w:tcBorders>
              <w:bottom w:val="single" w:sz="4" w:space="0" w:color="auto"/>
            </w:tcBorders>
            <w:vAlign w:val="center"/>
          </w:tcPr>
          <w:p w:rsidR="00000000" w:rsidRDefault="00000000">
            <w:pPr>
              <w:pStyle w:val="Header"/>
              <w:keepNext/>
              <w:jc w:val="center"/>
              <w:rPr>
                <w:bCs/>
                <w:lang w:val="en-US"/>
              </w:rPr>
            </w:pPr>
            <w:r>
              <w:rPr>
                <w:bCs/>
                <w:lang w:val="en-US"/>
              </w:rPr>
              <w:t>1997</w:t>
            </w:r>
          </w:p>
        </w:tc>
        <w:tc>
          <w:tcPr>
            <w:tcW w:w="992" w:type="dxa"/>
            <w:tcBorders>
              <w:bottom w:val="single" w:sz="4" w:space="0" w:color="auto"/>
            </w:tcBorders>
            <w:vAlign w:val="center"/>
          </w:tcPr>
          <w:p w:rsidR="00000000" w:rsidRDefault="00000000">
            <w:pPr>
              <w:keepNext/>
              <w:jc w:val="center"/>
              <w:rPr>
                <w:bCs/>
                <w:lang w:val="en-US"/>
              </w:rPr>
            </w:pPr>
            <w:r>
              <w:rPr>
                <w:bCs/>
                <w:lang w:val="en-US"/>
              </w:rPr>
              <w:t>1998</w:t>
            </w:r>
          </w:p>
        </w:tc>
        <w:tc>
          <w:tcPr>
            <w:tcW w:w="991" w:type="dxa"/>
            <w:tcBorders>
              <w:bottom w:val="single" w:sz="4" w:space="0" w:color="auto"/>
            </w:tcBorders>
            <w:vAlign w:val="center"/>
          </w:tcPr>
          <w:p w:rsidR="00000000" w:rsidRDefault="00000000">
            <w:pPr>
              <w:keepNext/>
              <w:jc w:val="center"/>
              <w:rPr>
                <w:bCs/>
                <w:lang w:val="en-US"/>
              </w:rPr>
            </w:pPr>
            <w:r>
              <w:rPr>
                <w:bCs/>
                <w:lang w:val="en-US"/>
              </w:rPr>
              <w:t>1999</w:t>
            </w:r>
          </w:p>
        </w:tc>
        <w:tc>
          <w:tcPr>
            <w:tcW w:w="992" w:type="dxa"/>
            <w:tcBorders>
              <w:bottom w:val="single" w:sz="4" w:space="0" w:color="auto"/>
            </w:tcBorders>
            <w:vAlign w:val="center"/>
          </w:tcPr>
          <w:p w:rsidR="00000000" w:rsidRDefault="00000000">
            <w:pPr>
              <w:keepNext/>
              <w:jc w:val="center"/>
              <w:rPr>
                <w:bCs/>
                <w:lang w:val="en-US"/>
              </w:rPr>
            </w:pPr>
            <w:r>
              <w:rPr>
                <w:bCs/>
                <w:lang w:val="en-US"/>
              </w:rPr>
              <w:t>2000</w:t>
            </w:r>
          </w:p>
        </w:tc>
        <w:tc>
          <w:tcPr>
            <w:tcW w:w="991" w:type="dxa"/>
            <w:tcBorders>
              <w:bottom w:val="single" w:sz="4" w:space="0" w:color="auto"/>
            </w:tcBorders>
            <w:vAlign w:val="center"/>
          </w:tcPr>
          <w:p w:rsidR="00000000" w:rsidRDefault="00000000">
            <w:pPr>
              <w:keepNext/>
              <w:jc w:val="center"/>
              <w:rPr>
                <w:bCs/>
                <w:lang w:val="en-US"/>
              </w:rPr>
            </w:pPr>
            <w:r>
              <w:rPr>
                <w:bCs/>
                <w:lang w:val="en-US"/>
              </w:rPr>
              <w:t>2001</w:t>
            </w:r>
          </w:p>
        </w:tc>
        <w:tc>
          <w:tcPr>
            <w:tcW w:w="992" w:type="dxa"/>
            <w:tcBorders>
              <w:bottom w:val="single" w:sz="4" w:space="0" w:color="auto"/>
            </w:tcBorders>
            <w:vAlign w:val="center"/>
          </w:tcPr>
          <w:p w:rsidR="00000000" w:rsidRDefault="00000000">
            <w:pPr>
              <w:keepNext/>
              <w:jc w:val="center"/>
              <w:rPr>
                <w:bCs/>
                <w:lang w:val="en-US"/>
              </w:rPr>
            </w:pPr>
            <w:r>
              <w:rPr>
                <w:bCs/>
                <w:lang w:val="en-US"/>
              </w:rPr>
              <w:t>2002</w:t>
            </w:r>
          </w:p>
        </w:tc>
      </w:tr>
      <w:tr w:rsidR="00000000">
        <w:trPr>
          <w:trHeight w:val="20"/>
        </w:trPr>
        <w:tc>
          <w:tcPr>
            <w:tcW w:w="3402" w:type="dxa"/>
            <w:tcBorders>
              <w:bottom w:val="nil"/>
            </w:tcBorders>
            <w:vAlign w:val="center"/>
          </w:tcPr>
          <w:p w:rsidR="00000000" w:rsidRDefault="00000000">
            <w:pPr>
              <w:pStyle w:val="Header"/>
              <w:rPr>
                <w:bCs/>
              </w:rPr>
            </w:pPr>
            <w:r>
              <w:rPr>
                <w:bCs/>
              </w:rPr>
              <w:t>Всего</w:t>
            </w:r>
          </w:p>
        </w:tc>
        <w:tc>
          <w:tcPr>
            <w:tcW w:w="991" w:type="dxa"/>
            <w:tcBorders>
              <w:bottom w:val="nil"/>
            </w:tcBorders>
            <w:vAlign w:val="center"/>
          </w:tcPr>
          <w:p w:rsidR="00000000" w:rsidRDefault="00000000">
            <w:pPr>
              <w:ind w:left="-159" w:right="216"/>
              <w:jc w:val="right"/>
              <w:rPr>
                <w:bCs/>
                <w:lang w:val="en-US"/>
              </w:rPr>
            </w:pPr>
            <w:r>
              <w:rPr>
                <w:bCs/>
                <w:lang w:val="en-US"/>
              </w:rPr>
              <w:t>2 936</w:t>
            </w:r>
          </w:p>
        </w:tc>
        <w:tc>
          <w:tcPr>
            <w:tcW w:w="992" w:type="dxa"/>
            <w:tcBorders>
              <w:bottom w:val="nil"/>
            </w:tcBorders>
            <w:vAlign w:val="center"/>
          </w:tcPr>
          <w:p w:rsidR="00000000" w:rsidRDefault="00000000">
            <w:pPr>
              <w:ind w:left="-159" w:right="92"/>
              <w:jc w:val="right"/>
              <w:rPr>
                <w:bCs/>
                <w:lang w:val="en-US"/>
              </w:rPr>
            </w:pPr>
            <w:r>
              <w:rPr>
                <w:bCs/>
                <w:lang w:val="en-US"/>
              </w:rPr>
              <w:t>3 275</w:t>
            </w:r>
          </w:p>
        </w:tc>
        <w:tc>
          <w:tcPr>
            <w:tcW w:w="991" w:type="dxa"/>
            <w:tcBorders>
              <w:bottom w:val="nil"/>
            </w:tcBorders>
            <w:vAlign w:val="center"/>
          </w:tcPr>
          <w:p w:rsidR="00000000" w:rsidRDefault="00000000">
            <w:pPr>
              <w:ind w:left="-159" w:right="148"/>
              <w:jc w:val="right"/>
              <w:rPr>
                <w:bCs/>
                <w:lang w:val="en-US"/>
              </w:rPr>
            </w:pPr>
            <w:r>
              <w:rPr>
                <w:bCs/>
                <w:lang w:val="en-US"/>
              </w:rPr>
              <w:t>3 168</w:t>
            </w:r>
          </w:p>
        </w:tc>
        <w:tc>
          <w:tcPr>
            <w:tcW w:w="992" w:type="dxa"/>
            <w:tcBorders>
              <w:bottom w:val="nil"/>
            </w:tcBorders>
            <w:vAlign w:val="center"/>
          </w:tcPr>
          <w:p w:rsidR="00000000" w:rsidRDefault="00000000">
            <w:pPr>
              <w:ind w:left="-159" w:right="205"/>
              <w:jc w:val="right"/>
              <w:rPr>
                <w:bCs/>
                <w:lang w:val="en-US"/>
              </w:rPr>
            </w:pPr>
            <w:r>
              <w:rPr>
                <w:bCs/>
                <w:lang w:val="en-US"/>
              </w:rPr>
              <w:t>3 094</w:t>
            </w:r>
          </w:p>
        </w:tc>
        <w:tc>
          <w:tcPr>
            <w:tcW w:w="991" w:type="dxa"/>
            <w:tcBorders>
              <w:bottom w:val="nil"/>
            </w:tcBorders>
            <w:vAlign w:val="center"/>
          </w:tcPr>
          <w:p w:rsidR="00000000" w:rsidRDefault="00000000">
            <w:pPr>
              <w:ind w:left="-159" w:right="74"/>
              <w:jc w:val="right"/>
              <w:rPr>
                <w:bCs/>
                <w:lang w:val="en-US"/>
              </w:rPr>
            </w:pPr>
            <w:r>
              <w:rPr>
                <w:bCs/>
                <w:lang w:val="en-US"/>
              </w:rPr>
              <w:t>2 909</w:t>
            </w:r>
          </w:p>
        </w:tc>
        <w:tc>
          <w:tcPr>
            <w:tcW w:w="992" w:type="dxa"/>
            <w:tcBorders>
              <w:bottom w:val="nil"/>
            </w:tcBorders>
            <w:vAlign w:val="center"/>
          </w:tcPr>
          <w:p w:rsidR="00000000" w:rsidRDefault="00000000">
            <w:pPr>
              <w:pStyle w:val="Header"/>
              <w:ind w:left="-159" w:right="131"/>
              <w:jc w:val="right"/>
              <w:rPr>
                <w:bCs/>
                <w:lang w:val="en-US"/>
              </w:rPr>
            </w:pPr>
            <w:r>
              <w:rPr>
                <w:bCs/>
                <w:lang w:val="en-US"/>
              </w:rPr>
              <w:t>2 869</w:t>
            </w:r>
          </w:p>
        </w:tc>
      </w:tr>
      <w:tr w:rsidR="00000000">
        <w:trPr>
          <w:trHeight w:val="20"/>
        </w:trPr>
        <w:tc>
          <w:tcPr>
            <w:tcW w:w="3402" w:type="dxa"/>
            <w:tcBorders>
              <w:top w:val="nil"/>
              <w:bottom w:val="nil"/>
            </w:tcBorders>
            <w:vAlign w:val="center"/>
          </w:tcPr>
          <w:p w:rsidR="00000000" w:rsidRDefault="00000000">
            <w:pPr>
              <w:rPr>
                <w:bCs/>
              </w:rPr>
            </w:pPr>
            <w:r>
              <w:rPr>
                <w:bCs/>
              </w:rPr>
              <w:t>Коммерческий сектор</w:t>
            </w:r>
          </w:p>
        </w:tc>
        <w:tc>
          <w:tcPr>
            <w:tcW w:w="991" w:type="dxa"/>
            <w:tcBorders>
              <w:top w:val="nil"/>
              <w:bottom w:val="nil"/>
            </w:tcBorders>
            <w:vAlign w:val="center"/>
          </w:tcPr>
          <w:p w:rsidR="00000000" w:rsidRDefault="00000000">
            <w:pPr>
              <w:ind w:left="-159" w:right="216"/>
              <w:jc w:val="right"/>
              <w:rPr>
                <w:bCs/>
                <w:lang w:val="en-US"/>
              </w:rPr>
            </w:pPr>
            <w:r>
              <w:rPr>
                <w:bCs/>
                <w:lang w:val="en-US"/>
              </w:rPr>
              <w:t>370</w:t>
            </w:r>
          </w:p>
        </w:tc>
        <w:tc>
          <w:tcPr>
            <w:tcW w:w="992" w:type="dxa"/>
            <w:tcBorders>
              <w:top w:val="nil"/>
              <w:bottom w:val="nil"/>
            </w:tcBorders>
            <w:vAlign w:val="center"/>
          </w:tcPr>
          <w:p w:rsidR="00000000" w:rsidRDefault="00000000">
            <w:pPr>
              <w:ind w:left="-159" w:right="92"/>
              <w:jc w:val="right"/>
              <w:rPr>
                <w:bCs/>
                <w:lang w:val="en-US"/>
              </w:rPr>
            </w:pPr>
            <w:r>
              <w:rPr>
                <w:bCs/>
                <w:lang w:val="en-US"/>
              </w:rPr>
              <w:t>361</w:t>
            </w:r>
          </w:p>
        </w:tc>
        <w:tc>
          <w:tcPr>
            <w:tcW w:w="991" w:type="dxa"/>
            <w:tcBorders>
              <w:top w:val="nil"/>
              <w:bottom w:val="nil"/>
            </w:tcBorders>
            <w:vAlign w:val="center"/>
          </w:tcPr>
          <w:p w:rsidR="00000000" w:rsidRDefault="00000000">
            <w:pPr>
              <w:ind w:left="-159" w:right="148"/>
              <w:jc w:val="right"/>
              <w:rPr>
                <w:bCs/>
                <w:lang w:val="en-US"/>
              </w:rPr>
            </w:pPr>
            <w:r>
              <w:rPr>
                <w:bCs/>
                <w:lang w:val="en-US"/>
              </w:rPr>
              <w:t>306</w:t>
            </w:r>
          </w:p>
        </w:tc>
        <w:tc>
          <w:tcPr>
            <w:tcW w:w="992" w:type="dxa"/>
            <w:tcBorders>
              <w:top w:val="nil"/>
              <w:bottom w:val="nil"/>
            </w:tcBorders>
            <w:vAlign w:val="center"/>
          </w:tcPr>
          <w:p w:rsidR="00000000" w:rsidRDefault="00000000">
            <w:pPr>
              <w:ind w:left="-159" w:right="205"/>
              <w:jc w:val="right"/>
              <w:rPr>
                <w:bCs/>
                <w:lang w:val="en-US"/>
              </w:rPr>
            </w:pPr>
            <w:r>
              <w:rPr>
                <w:bCs/>
                <w:lang w:val="en-US"/>
              </w:rPr>
              <w:t>241</w:t>
            </w:r>
          </w:p>
        </w:tc>
        <w:tc>
          <w:tcPr>
            <w:tcW w:w="991" w:type="dxa"/>
            <w:tcBorders>
              <w:top w:val="nil"/>
              <w:bottom w:val="nil"/>
            </w:tcBorders>
            <w:vAlign w:val="center"/>
          </w:tcPr>
          <w:p w:rsidR="00000000" w:rsidRDefault="00000000">
            <w:pPr>
              <w:ind w:left="-159" w:right="74"/>
              <w:jc w:val="right"/>
              <w:rPr>
                <w:bCs/>
                <w:lang w:val="en-US"/>
              </w:rPr>
            </w:pPr>
            <w:r>
              <w:rPr>
                <w:bCs/>
                <w:lang w:val="en-US"/>
              </w:rPr>
              <w:t>203</w:t>
            </w:r>
          </w:p>
        </w:tc>
        <w:tc>
          <w:tcPr>
            <w:tcW w:w="992" w:type="dxa"/>
            <w:tcBorders>
              <w:top w:val="nil"/>
              <w:bottom w:val="nil"/>
            </w:tcBorders>
            <w:vAlign w:val="center"/>
          </w:tcPr>
          <w:p w:rsidR="00000000" w:rsidRDefault="00000000">
            <w:pPr>
              <w:ind w:left="-159" w:right="131"/>
              <w:jc w:val="right"/>
              <w:rPr>
                <w:bCs/>
                <w:lang w:val="en-US"/>
              </w:rPr>
            </w:pPr>
            <w:r>
              <w:rPr>
                <w:bCs/>
                <w:lang w:val="en-US"/>
              </w:rPr>
              <w:t>100</w:t>
            </w:r>
          </w:p>
        </w:tc>
      </w:tr>
      <w:tr w:rsidR="00000000">
        <w:trPr>
          <w:trHeight w:val="20"/>
        </w:trPr>
        <w:tc>
          <w:tcPr>
            <w:tcW w:w="3402" w:type="dxa"/>
            <w:tcBorders>
              <w:top w:val="nil"/>
              <w:bottom w:val="nil"/>
            </w:tcBorders>
            <w:vAlign w:val="center"/>
          </w:tcPr>
          <w:p w:rsidR="00000000" w:rsidRDefault="00000000">
            <w:pPr>
              <w:rPr>
                <w:bCs/>
              </w:rPr>
            </w:pPr>
            <w:r>
              <w:rPr>
                <w:bCs/>
              </w:rPr>
              <w:t>Государственный сектор</w:t>
            </w:r>
          </w:p>
        </w:tc>
        <w:tc>
          <w:tcPr>
            <w:tcW w:w="991" w:type="dxa"/>
            <w:tcBorders>
              <w:top w:val="nil"/>
              <w:bottom w:val="nil"/>
            </w:tcBorders>
            <w:vAlign w:val="center"/>
          </w:tcPr>
          <w:p w:rsidR="00000000" w:rsidRDefault="00000000">
            <w:pPr>
              <w:ind w:left="-159" w:right="216"/>
              <w:jc w:val="right"/>
              <w:rPr>
                <w:bCs/>
                <w:lang w:val="en-US"/>
              </w:rPr>
            </w:pPr>
            <w:r>
              <w:rPr>
                <w:bCs/>
                <w:lang w:val="en-US"/>
              </w:rPr>
              <w:t>916</w:t>
            </w:r>
          </w:p>
        </w:tc>
        <w:tc>
          <w:tcPr>
            <w:tcW w:w="992" w:type="dxa"/>
            <w:tcBorders>
              <w:top w:val="nil"/>
              <w:bottom w:val="nil"/>
            </w:tcBorders>
            <w:vAlign w:val="center"/>
          </w:tcPr>
          <w:p w:rsidR="00000000" w:rsidRDefault="00000000">
            <w:pPr>
              <w:ind w:left="-159" w:right="92"/>
              <w:jc w:val="right"/>
              <w:rPr>
                <w:bCs/>
                <w:lang w:val="en-US"/>
              </w:rPr>
            </w:pPr>
            <w:r>
              <w:rPr>
                <w:bCs/>
                <w:lang w:val="en-US"/>
              </w:rPr>
              <w:t>957</w:t>
            </w:r>
          </w:p>
        </w:tc>
        <w:tc>
          <w:tcPr>
            <w:tcW w:w="991" w:type="dxa"/>
            <w:tcBorders>
              <w:top w:val="nil"/>
              <w:bottom w:val="nil"/>
            </w:tcBorders>
            <w:vAlign w:val="center"/>
          </w:tcPr>
          <w:p w:rsidR="00000000" w:rsidRDefault="00000000">
            <w:pPr>
              <w:ind w:left="-159" w:right="148"/>
              <w:jc w:val="right"/>
              <w:rPr>
                <w:bCs/>
                <w:lang w:val="en-US"/>
              </w:rPr>
            </w:pPr>
            <w:r>
              <w:rPr>
                <w:bCs/>
                <w:lang w:val="en-US"/>
              </w:rPr>
              <w:t>1 022</w:t>
            </w:r>
          </w:p>
        </w:tc>
        <w:tc>
          <w:tcPr>
            <w:tcW w:w="992" w:type="dxa"/>
            <w:tcBorders>
              <w:top w:val="nil"/>
              <w:bottom w:val="nil"/>
            </w:tcBorders>
            <w:vAlign w:val="center"/>
          </w:tcPr>
          <w:p w:rsidR="00000000" w:rsidRDefault="00000000">
            <w:pPr>
              <w:ind w:left="-159" w:right="205"/>
              <w:jc w:val="right"/>
              <w:rPr>
                <w:bCs/>
                <w:lang w:val="en-US"/>
              </w:rPr>
            </w:pPr>
            <w:r>
              <w:rPr>
                <w:bCs/>
                <w:lang w:val="en-US"/>
              </w:rPr>
              <w:t>1 044</w:t>
            </w:r>
          </w:p>
        </w:tc>
        <w:tc>
          <w:tcPr>
            <w:tcW w:w="991" w:type="dxa"/>
            <w:tcBorders>
              <w:top w:val="nil"/>
              <w:bottom w:val="nil"/>
            </w:tcBorders>
            <w:vAlign w:val="center"/>
          </w:tcPr>
          <w:p w:rsidR="00000000" w:rsidRDefault="00000000">
            <w:pPr>
              <w:ind w:left="-159" w:right="74"/>
              <w:jc w:val="right"/>
              <w:rPr>
                <w:bCs/>
                <w:lang w:val="en-US"/>
              </w:rPr>
            </w:pPr>
            <w:r>
              <w:rPr>
                <w:bCs/>
                <w:lang w:val="en-US"/>
              </w:rPr>
              <w:t>809</w:t>
            </w:r>
          </w:p>
        </w:tc>
        <w:tc>
          <w:tcPr>
            <w:tcW w:w="992" w:type="dxa"/>
            <w:tcBorders>
              <w:top w:val="nil"/>
              <w:bottom w:val="nil"/>
            </w:tcBorders>
            <w:vAlign w:val="center"/>
          </w:tcPr>
          <w:p w:rsidR="00000000" w:rsidRDefault="00000000">
            <w:pPr>
              <w:ind w:left="-159" w:right="131"/>
              <w:jc w:val="right"/>
              <w:rPr>
                <w:bCs/>
                <w:lang w:val="en-US"/>
              </w:rPr>
            </w:pPr>
            <w:r>
              <w:rPr>
                <w:bCs/>
                <w:lang w:val="en-US"/>
              </w:rPr>
              <w:t>820</w:t>
            </w:r>
          </w:p>
        </w:tc>
      </w:tr>
      <w:tr w:rsidR="00000000">
        <w:trPr>
          <w:trHeight w:val="20"/>
        </w:trPr>
        <w:tc>
          <w:tcPr>
            <w:tcW w:w="3402" w:type="dxa"/>
            <w:tcBorders>
              <w:top w:val="nil"/>
            </w:tcBorders>
            <w:vAlign w:val="center"/>
          </w:tcPr>
          <w:p w:rsidR="00000000" w:rsidRDefault="00000000">
            <w:pPr>
              <w:rPr>
                <w:bCs/>
              </w:rPr>
            </w:pPr>
            <w:r>
              <w:rPr>
                <w:bCs/>
              </w:rPr>
              <w:t>Высшее образование</w:t>
            </w:r>
          </w:p>
        </w:tc>
        <w:tc>
          <w:tcPr>
            <w:tcW w:w="991" w:type="dxa"/>
            <w:tcBorders>
              <w:top w:val="nil"/>
            </w:tcBorders>
            <w:vAlign w:val="center"/>
          </w:tcPr>
          <w:p w:rsidR="00000000" w:rsidRDefault="00000000">
            <w:pPr>
              <w:ind w:left="-159" w:right="216"/>
              <w:jc w:val="right"/>
              <w:rPr>
                <w:bCs/>
                <w:lang w:val="en-US"/>
              </w:rPr>
            </w:pPr>
            <w:r>
              <w:rPr>
                <w:bCs/>
                <w:lang w:val="en-US"/>
              </w:rPr>
              <w:t>1 650</w:t>
            </w:r>
          </w:p>
        </w:tc>
        <w:tc>
          <w:tcPr>
            <w:tcW w:w="992" w:type="dxa"/>
            <w:tcBorders>
              <w:top w:val="nil"/>
            </w:tcBorders>
            <w:vAlign w:val="center"/>
          </w:tcPr>
          <w:p w:rsidR="00000000" w:rsidRDefault="00000000">
            <w:pPr>
              <w:ind w:left="-159" w:right="92"/>
              <w:jc w:val="right"/>
              <w:rPr>
                <w:bCs/>
                <w:lang w:val="en-US"/>
              </w:rPr>
            </w:pPr>
            <w:r>
              <w:rPr>
                <w:bCs/>
                <w:lang w:val="en-US"/>
              </w:rPr>
              <w:t>1 957</w:t>
            </w:r>
          </w:p>
        </w:tc>
        <w:tc>
          <w:tcPr>
            <w:tcW w:w="991" w:type="dxa"/>
            <w:tcBorders>
              <w:top w:val="nil"/>
            </w:tcBorders>
            <w:vAlign w:val="center"/>
          </w:tcPr>
          <w:p w:rsidR="00000000" w:rsidRDefault="00000000">
            <w:pPr>
              <w:ind w:left="-159" w:right="148"/>
              <w:jc w:val="right"/>
              <w:rPr>
                <w:bCs/>
                <w:lang w:val="en-US"/>
              </w:rPr>
            </w:pPr>
            <w:r>
              <w:rPr>
                <w:bCs/>
                <w:lang w:val="en-US"/>
              </w:rPr>
              <w:t>1 840</w:t>
            </w:r>
          </w:p>
        </w:tc>
        <w:tc>
          <w:tcPr>
            <w:tcW w:w="992" w:type="dxa"/>
            <w:tcBorders>
              <w:top w:val="nil"/>
            </w:tcBorders>
            <w:vAlign w:val="center"/>
          </w:tcPr>
          <w:p w:rsidR="00000000" w:rsidRDefault="00000000">
            <w:pPr>
              <w:ind w:left="-159" w:right="205"/>
              <w:jc w:val="right"/>
              <w:rPr>
                <w:bCs/>
                <w:lang w:val="en-US"/>
              </w:rPr>
            </w:pPr>
            <w:r>
              <w:rPr>
                <w:bCs/>
                <w:lang w:val="en-US"/>
              </w:rPr>
              <w:t>1 809</w:t>
            </w:r>
          </w:p>
        </w:tc>
        <w:tc>
          <w:tcPr>
            <w:tcW w:w="991" w:type="dxa"/>
            <w:tcBorders>
              <w:top w:val="nil"/>
            </w:tcBorders>
            <w:vAlign w:val="center"/>
          </w:tcPr>
          <w:p w:rsidR="00000000" w:rsidRDefault="00000000">
            <w:pPr>
              <w:ind w:left="-159" w:right="74"/>
              <w:jc w:val="right"/>
              <w:rPr>
                <w:bCs/>
                <w:lang w:val="en-US"/>
              </w:rPr>
            </w:pPr>
            <w:r>
              <w:rPr>
                <w:bCs/>
                <w:lang w:val="en-US"/>
              </w:rPr>
              <w:t>1 897</w:t>
            </w:r>
          </w:p>
        </w:tc>
        <w:tc>
          <w:tcPr>
            <w:tcW w:w="992" w:type="dxa"/>
            <w:tcBorders>
              <w:top w:val="nil"/>
            </w:tcBorders>
            <w:vAlign w:val="center"/>
          </w:tcPr>
          <w:p w:rsidR="00000000" w:rsidRDefault="00000000">
            <w:pPr>
              <w:ind w:left="-159" w:right="131"/>
              <w:jc w:val="right"/>
              <w:rPr>
                <w:bCs/>
                <w:lang w:val="en-US"/>
              </w:rPr>
            </w:pPr>
            <w:r>
              <w:rPr>
                <w:bCs/>
                <w:lang w:val="en-US"/>
              </w:rPr>
              <w:t>1 949</w:t>
            </w:r>
          </w:p>
        </w:tc>
      </w:tr>
    </w:tbl>
    <w:p w:rsidR="00000000" w:rsidRDefault="00000000">
      <w:pPr>
        <w:rPr>
          <w:bCs/>
        </w:rPr>
      </w:pPr>
      <w:r>
        <w:br/>
      </w:r>
      <w:r>
        <w:tab/>
      </w:r>
      <w:r>
        <w:rPr>
          <w:bCs/>
          <w:i/>
          <w:iCs/>
        </w:rPr>
        <w:t>Источник</w:t>
      </w:r>
      <w:r>
        <w:rPr>
          <w:bCs/>
        </w:rPr>
        <w:t>:  Государственное статистическое управление, "Научно-исследовательские и опытно-конструкторские работы в бывшей югославской Республике Македонии </w:t>
      </w:r>
      <w:r>
        <w:rPr>
          <w:bCs/>
        </w:rPr>
        <w:noBreakHyphen/>
        <w:t xml:space="preserve"> статистический обзор".</w:t>
      </w:r>
    </w:p>
    <w:p w:rsidR="00000000" w:rsidRDefault="00000000">
      <w:pPr>
        <w:rPr>
          <w:bCs/>
        </w:rPr>
      </w:pPr>
    </w:p>
    <w:p w:rsidR="00000000" w:rsidRDefault="00000000">
      <w:r>
        <w:t>В нижеследующей таблице те же данные приводятся в пересчете на полную ставку (ПС), а также на тысячу сотрудников.</w:t>
      </w:r>
    </w:p>
    <w:p w:rsidR="00000000" w:rsidRDefault="00000000"/>
    <w:p w:rsidR="00000000" w:rsidRDefault="00000000">
      <w:pPr>
        <w:keepNext/>
        <w:jc w:val="center"/>
        <w:rPr>
          <w:b/>
        </w:rPr>
      </w:pPr>
      <w:r>
        <w:rPr>
          <w:b/>
        </w:rPr>
        <w:t>Занятость в научно-исследовательских и опытно-конструкторских подразделениях</w:t>
      </w:r>
    </w:p>
    <w:p w:rsidR="00000000" w:rsidRDefault="00000000">
      <w:pPr>
        <w:keepNext/>
        <w:jc w:val="center"/>
        <w:rPr>
          <w:b/>
        </w:rPr>
      </w:pPr>
      <w:r>
        <w:rPr>
          <w:b/>
        </w:rPr>
        <w:t>в пересчете на полную ставку (ПС) и на 1 000 сотрудников</w:t>
      </w:r>
    </w:p>
    <w:p w:rsidR="00000000" w:rsidRDefault="00000000">
      <w:pPr>
        <w:keepNext/>
        <w:jc w:val="center"/>
      </w:pPr>
    </w:p>
    <w:tbl>
      <w:tblPr>
        <w:tblW w:w="0" w:type="auto"/>
        <w:tblInd w:w="57" w:type="dxa"/>
        <w:tblLayout w:type="fixed"/>
        <w:tblCellMar>
          <w:top w:w="28" w:type="dxa"/>
          <w:left w:w="57" w:type="dxa"/>
          <w:bottom w:w="28" w:type="dxa"/>
          <w:right w:w="57" w:type="dxa"/>
        </w:tblCellMar>
        <w:tblLook w:val="0000" w:firstRow="0" w:lastRow="0" w:firstColumn="0" w:lastColumn="0" w:noHBand="0" w:noVBand="0"/>
      </w:tblPr>
      <w:tblGrid>
        <w:gridCol w:w="3402"/>
        <w:gridCol w:w="991"/>
        <w:gridCol w:w="992"/>
        <w:gridCol w:w="991"/>
        <w:gridCol w:w="992"/>
        <w:gridCol w:w="991"/>
        <w:gridCol w:w="992"/>
      </w:tblGrid>
      <w:tr w:rsidR="00000000">
        <w:trPr>
          <w:trHeight w:val="20"/>
          <w:tblHeader/>
        </w:trPr>
        <w:tc>
          <w:tcPr>
            <w:tcW w:w="3402" w:type="dxa"/>
            <w:tcBorders>
              <w:top w:val="single" w:sz="6" w:space="0" w:color="auto"/>
              <w:left w:val="single" w:sz="6" w:space="0" w:color="auto"/>
              <w:bottom w:val="single" w:sz="4" w:space="0" w:color="auto"/>
              <w:right w:val="single" w:sz="4" w:space="0" w:color="auto"/>
            </w:tcBorders>
            <w:vAlign w:val="center"/>
          </w:tcPr>
          <w:p w:rsidR="00000000" w:rsidRDefault="00000000">
            <w:pPr>
              <w:keepNext/>
              <w:jc w:val="center"/>
              <w:rPr>
                <w:bCs/>
              </w:rPr>
            </w:pPr>
            <w:r>
              <w:rPr>
                <w:bCs/>
              </w:rPr>
              <w:t>Год</w:t>
            </w:r>
          </w:p>
        </w:tc>
        <w:tc>
          <w:tcPr>
            <w:tcW w:w="99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Cs/>
                <w:lang w:val="en-US"/>
              </w:rPr>
            </w:pPr>
            <w:r>
              <w:rPr>
                <w:bCs/>
                <w:lang w:val="en-US"/>
              </w:rPr>
              <w:t>1997</w:t>
            </w:r>
          </w:p>
        </w:tc>
        <w:tc>
          <w:tcPr>
            <w:tcW w:w="99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Cs/>
                <w:lang w:val="en-US"/>
              </w:rPr>
            </w:pPr>
            <w:r>
              <w:rPr>
                <w:bCs/>
                <w:lang w:val="en-US"/>
              </w:rPr>
              <w:t>1998</w:t>
            </w:r>
          </w:p>
        </w:tc>
        <w:tc>
          <w:tcPr>
            <w:tcW w:w="99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Cs/>
                <w:lang w:val="en-US"/>
              </w:rPr>
            </w:pPr>
            <w:r>
              <w:rPr>
                <w:bCs/>
                <w:lang w:val="en-US"/>
              </w:rPr>
              <w:t>1999</w:t>
            </w:r>
          </w:p>
        </w:tc>
        <w:tc>
          <w:tcPr>
            <w:tcW w:w="99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Cs/>
                <w:lang w:val="en-US"/>
              </w:rPr>
            </w:pPr>
            <w:r>
              <w:rPr>
                <w:bCs/>
                <w:lang w:val="en-US"/>
              </w:rPr>
              <w:t>2000</w:t>
            </w:r>
          </w:p>
        </w:tc>
        <w:tc>
          <w:tcPr>
            <w:tcW w:w="99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Cs/>
                <w:lang w:val="en-US"/>
              </w:rPr>
            </w:pPr>
            <w:r>
              <w:rPr>
                <w:bCs/>
                <w:lang w:val="en-US"/>
              </w:rPr>
              <w:t>2001</w:t>
            </w:r>
          </w:p>
        </w:tc>
        <w:tc>
          <w:tcPr>
            <w:tcW w:w="99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Cs/>
                <w:lang w:val="en-US"/>
              </w:rPr>
            </w:pPr>
            <w:r>
              <w:rPr>
                <w:bCs/>
                <w:lang w:val="en-US"/>
              </w:rPr>
              <w:t>2002</w:t>
            </w:r>
          </w:p>
        </w:tc>
      </w:tr>
      <w:tr w:rsidR="00000000">
        <w:trPr>
          <w:trHeight w:val="20"/>
        </w:trPr>
        <w:tc>
          <w:tcPr>
            <w:tcW w:w="3402" w:type="dxa"/>
            <w:tcBorders>
              <w:top w:val="single" w:sz="4" w:space="0" w:color="auto"/>
              <w:left w:val="single" w:sz="4" w:space="0" w:color="auto"/>
              <w:right w:val="single" w:sz="4" w:space="0" w:color="auto"/>
            </w:tcBorders>
            <w:vAlign w:val="center"/>
          </w:tcPr>
          <w:p w:rsidR="00000000" w:rsidRDefault="00000000">
            <w:pPr>
              <w:rPr>
                <w:bCs/>
              </w:rPr>
            </w:pPr>
            <w:r>
              <w:rPr>
                <w:bCs/>
              </w:rPr>
              <w:t>Итого</w:t>
            </w:r>
          </w:p>
        </w:tc>
        <w:tc>
          <w:tcPr>
            <w:tcW w:w="991" w:type="dxa"/>
            <w:tcBorders>
              <w:top w:val="single" w:sz="4" w:space="0" w:color="auto"/>
              <w:left w:val="single" w:sz="4" w:space="0" w:color="auto"/>
              <w:right w:val="single" w:sz="4" w:space="0" w:color="auto"/>
            </w:tcBorders>
            <w:vAlign w:val="center"/>
          </w:tcPr>
          <w:p w:rsidR="00000000" w:rsidRDefault="00000000">
            <w:pPr>
              <w:pStyle w:val="Header"/>
              <w:jc w:val="center"/>
              <w:rPr>
                <w:bCs/>
                <w:lang w:val="en-US"/>
              </w:rPr>
            </w:pPr>
            <w:r>
              <w:rPr>
                <w:bCs/>
                <w:lang w:val="en-US"/>
              </w:rPr>
              <w:t>2 936</w:t>
            </w:r>
          </w:p>
        </w:tc>
        <w:tc>
          <w:tcPr>
            <w:tcW w:w="992" w:type="dxa"/>
            <w:tcBorders>
              <w:top w:val="single" w:sz="4" w:space="0" w:color="auto"/>
              <w:left w:val="single" w:sz="4" w:space="0" w:color="auto"/>
              <w:right w:val="single" w:sz="4" w:space="0" w:color="auto"/>
            </w:tcBorders>
            <w:vAlign w:val="center"/>
          </w:tcPr>
          <w:p w:rsidR="00000000" w:rsidRDefault="00000000">
            <w:pPr>
              <w:jc w:val="center"/>
              <w:rPr>
                <w:bCs/>
                <w:lang w:val="en-US"/>
              </w:rPr>
            </w:pPr>
            <w:r>
              <w:rPr>
                <w:bCs/>
                <w:lang w:val="en-US"/>
              </w:rPr>
              <w:t>3 275</w:t>
            </w:r>
          </w:p>
        </w:tc>
        <w:tc>
          <w:tcPr>
            <w:tcW w:w="991" w:type="dxa"/>
            <w:tcBorders>
              <w:top w:val="single" w:sz="4" w:space="0" w:color="auto"/>
              <w:left w:val="single" w:sz="4" w:space="0" w:color="auto"/>
              <w:right w:val="single" w:sz="4" w:space="0" w:color="auto"/>
            </w:tcBorders>
            <w:vAlign w:val="center"/>
          </w:tcPr>
          <w:p w:rsidR="00000000" w:rsidRDefault="00000000">
            <w:pPr>
              <w:jc w:val="center"/>
              <w:rPr>
                <w:bCs/>
                <w:lang w:val="en-US"/>
              </w:rPr>
            </w:pPr>
            <w:r>
              <w:rPr>
                <w:bCs/>
                <w:lang w:val="en-US"/>
              </w:rPr>
              <w:t>3 168</w:t>
            </w:r>
          </w:p>
        </w:tc>
        <w:tc>
          <w:tcPr>
            <w:tcW w:w="992" w:type="dxa"/>
            <w:tcBorders>
              <w:top w:val="single" w:sz="4" w:space="0" w:color="auto"/>
              <w:left w:val="single" w:sz="4" w:space="0" w:color="auto"/>
              <w:right w:val="single" w:sz="4" w:space="0" w:color="auto"/>
            </w:tcBorders>
            <w:vAlign w:val="center"/>
          </w:tcPr>
          <w:p w:rsidR="00000000" w:rsidRDefault="00000000">
            <w:pPr>
              <w:jc w:val="center"/>
              <w:rPr>
                <w:bCs/>
                <w:lang w:val="en-US"/>
              </w:rPr>
            </w:pPr>
            <w:r>
              <w:rPr>
                <w:bCs/>
                <w:lang w:val="en-US"/>
              </w:rPr>
              <w:t>3 094</w:t>
            </w:r>
          </w:p>
        </w:tc>
        <w:tc>
          <w:tcPr>
            <w:tcW w:w="991" w:type="dxa"/>
            <w:tcBorders>
              <w:top w:val="single" w:sz="4" w:space="0" w:color="auto"/>
              <w:left w:val="single" w:sz="4" w:space="0" w:color="auto"/>
              <w:right w:val="single" w:sz="4" w:space="0" w:color="auto"/>
            </w:tcBorders>
            <w:vAlign w:val="center"/>
          </w:tcPr>
          <w:p w:rsidR="00000000" w:rsidRDefault="00000000">
            <w:pPr>
              <w:jc w:val="center"/>
              <w:rPr>
                <w:bCs/>
                <w:lang w:val="en-US"/>
              </w:rPr>
            </w:pPr>
            <w:r>
              <w:rPr>
                <w:bCs/>
                <w:lang w:val="en-US"/>
              </w:rPr>
              <w:t>2 909</w:t>
            </w:r>
          </w:p>
        </w:tc>
        <w:tc>
          <w:tcPr>
            <w:tcW w:w="992" w:type="dxa"/>
            <w:tcBorders>
              <w:top w:val="single" w:sz="4" w:space="0" w:color="auto"/>
              <w:left w:val="single" w:sz="4" w:space="0" w:color="auto"/>
              <w:right w:val="single" w:sz="4" w:space="0" w:color="auto"/>
            </w:tcBorders>
            <w:vAlign w:val="center"/>
          </w:tcPr>
          <w:p w:rsidR="00000000" w:rsidRDefault="00000000">
            <w:pPr>
              <w:jc w:val="center"/>
              <w:rPr>
                <w:bCs/>
                <w:lang w:val="en-US"/>
              </w:rPr>
            </w:pPr>
            <w:r>
              <w:rPr>
                <w:bCs/>
                <w:lang w:val="en-US"/>
              </w:rPr>
              <w:t>2 869</w:t>
            </w:r>
          </w:p>
        </w:tc>
      </w:tr>
      <w:tr w:rsidR="00000000">
        <w:trPr>
          <w:trHeight w:val="20"/>
        </w:trPr>
        <w:tc>
          <w:tcPr>
            <w:tcW w:w="3402" w:type="dxa"/>
            <w:tcBorders>
              <w:left w:val="single" w:sz="4" w:space="0" w:color="auto"/>
              <w:right w:val="single" w:sz="4" w:space="0" w:color="auto"/>
            </w:tcBorders>
            <w:vAlign w:val="center"/>
          </w:tcPr>
          <w:p w:rsidR="00000000" w:rsidRDefault="00000000">
            <w:pPr>
              <w:rPr>
                <w:bCs/>
              </w:rPr>
            </w:pPr>
            <w:r>
              <w:rPr>
                <w:bCs/>
              </w:rPr>
              <w:t>ПС</w:t>
            </w:r>
          </w:p>
        </w:tc>
        <w:tc>
          <w:tcPr>
            <w:tcW w:w="991" w:type="dxa"/>
            <w:tcBorders>
              <w:left w:val="single" w:sz="4" w:space="0" w:color="auto"/>
              <w:right w:val="single" w:sz="4" w:space="0" w:color="auto"/>
            </w:tcBorders>
            <w:vAlign w:val="center"/>
          </w:tcPr>
          <w:p w:rsidR="00000000" w:rsidRDefault="00000000">
            <w:pPr>
              <w:jc w:val="center"/>
              <w:rPr>
                <w:bCs/>
                <w:lang w:val="en-US"/>
              </w:rPr>
            </w:pPr>
            <w:r>
              <w:rPr>
                <w:bCs/>
                <w:lang w:val="en-US"/>
              </w:rPr>
              <w:t>1 685</w:t>
            </w:r>
          </w:p>
        </w:tc>
        <w:tc>
          <w:tcPr>
            <w:tcW w:w="992" w:type="dxa"/>
            <w:tcBorders>
              <w:left w:val="single" w:sz="4" w:space="0" w:color="auto"/>
              <w:right w:val="single" w:sz="4" w:space="0" w:color="auto"/>
            </w:tcBorders>
            <w:vAlign w:val="center"/>
          </w:tcPr>
          <w:p w:rsidR="00000000" w:rsidRDefault="00000000">
            <w:pPr>
              <w:jc w:val="center"/>
              <w:rPr>
                <w:bCs/>
                <w:lang w:val="en-US"/>
              </w:rPr>
            </w:pPr>
            <w:r>
              <w:rPr>
                <w:bCs/>
                <w:lang w:val="en-US"/>
              </w:rPr>
              <w:t>1 892</w:t>
            </w:r>
          </w:p>
        </w:tc>
        <w:tc>
          <w:tcPr>
            <w:tcW w:w="991" w:type="dxa"/>
            <w:tcBorders>
              <w:left w:val="single" w:sz="4" w:space="0" w:color="auto"/>
              <w:right w:val="single" w:sz="4" w:space="0" w:color="auto"/>
            </w:tcBorders>
            <w:vAlign w:val="center"/>
          </w:tcPr>
          <w:p w:rsidR="00000000" w:rsidRDefault="00000000">
            <w:pPr>
              <w:jc w:val="center"/>
              <w:rPr>
                <w:bCs/>
                <w:lang w:val="en-US"/>
              </w:rPr>
            </w:pPr>
            <w:r>
              <w:rPr>
                <w:bCs/>
                <w:lang w:val="en-US"/>
              </w:rPr>
              <w:t>1 838</w:t>
            </w:r>
          </w:p>
        </w:tc>
        <w:tc>
          <w:tcPr>
            <w:tcW w:w="992" w:type="dxa"/>
            <w:tcBorders>
              <w:left w:val="single" w:sz="4" w:space="0" w:color="auto"/>
              <w:right w:val="single" w:sz="4" w:space="0" w:color="auto"/>
            </w:tcBorders>
            <w:vAlign w:val="center"/>
          </w:tcPr>
          <w:p w:rsidR="00000000" w:rsidRDefault="00000000">
            <w:pPr>
              <w:jc w:val="center"/>
              <w:rPr>
                <w:bCs/>
                <w:lang w:val="en-US"/>
              </w:rPr>
            </w:pPr>
            <w:r>
              <w:rPr>
                <w:bCs/>
                <w:lang w:val="en-US"/>
              </w:rPr>
              <w:t>1 786</w:t>
            </w:r>
          </w:p>
        </w:tc>
        <w:tc>
          <w:tcPr>
            <w:tcW w:w="991" w:type="dxa"/>
            <w:tcBorders>
              <w:left w:val="single" w:sz="4" w:space="0" w:color="auto"/>
              <w:right w:val="single" w:sz="4" w:space="0" w:color="auto"/>
            </w:tcBorders>
            <w:vAlign w:val="center"/>
          </w:tcPr>
          <w:p w:rsidR="00000000" w:rsidRDefault="00000000">
            <w:pPr>
              <w:jc w:val="center"/>
              <w:rPr>
                <w:bCs/>
                <w:lang w:val="en-US"/>
              </w:rPr>
            </w:pPr>
            <w:r>
              <w:rPr>
                <w:bCs/>
                <w:lang w:val="en-US"/>
              </w:rPr>
              <w:t>1 630</w:t>
            </w:r>
          </w:p>
        </w:tc>
        <w:tc>
          <w:tcPr>
            <w:tcW w:w="992" w:type="dxa"/>
            <w:tcBorders>
              <w:left w:val="single" w:sz="4" w:space="0" w:color="auto"/>
              <w:right w:val="single" w:sz="4" w:space="0" w:color="auto"/>
            </w:tcBorders>
            <w:vAlign w:val="center"/>
          </w:tcPr>
          <w:p w:rsidR="00000000" w:rsidRDefault="00000000">
            <w:pPr>
              <w:jc w:val="center"/>
              <w:rPr>
                <w:bCs/>
                <w:lang w:val="en-US"/>
              </w:rPr>
            </w:pPr>
            <w:r>
              <w:rPr>
                <w:bCs/>
                <w:lang w:val="en-US"/>
              </w:rPr>
              <w:t>1 519</w:t>
            </w:r>
          </w:p>
        </w:tc>
      </w:tr>
      <w:tr w:rsidR="00000000">
        <w:trPr>
          <w:trHeight w:val="20"/>
        </w:trPr>
        <w:tc>
          <w:tcPr>
            <w:tcW w:w="3402" w:type="dxa"/>
            <w:tcBorders>
              <w:left w:val="single" w:sz="4" w:space="0" w:color="auto"/>
              <w:bottom w:val="single" w:sz="4" w:space="0" w:color="auto"/>
              <w:right w:val="single" w:sz="4" w:space="0" w:color="auto"/>
            </w:tcBorders>
            <w:vAlign w:val="center"/>
          </w:tcPr>
          <w:p w:rsidR="00000000" w:rsidRDefault="00000000">
            <w:pPr>
              <w:rPr>
                <w:bCs/>
              </w:rPr>
            </w:pPr>
            <w:r>
              <w:rPr>
                <w:bCs/>
              </w:rPr>
              <w:t>ПС на тысячу сотрудников</w:t>
            </w:r>
          </w:p>
        </w:tc>
        <w:tc>
          <w:tcPr>
            <w:tcW w:w="991" w:type="dxa"/>
            <w:tcBorders>
              <w:left w:val="single" w:sz="4" w:space="0" w:color="auto"/>
              <w:bottom w:val="single" w:sz="4" w:space="0" w:color="auto"/>
              <w:right w:val="single" w:sz="4" w:space="0" w:color="auto"/>
            </w:tcBorders>
            <w:vAlign w:val="center"/>
          </w:tcPr>
          <w:p w:rsidR="00000000" w:rsidRDefault="00000000">
            <w:pPr>
              <w:jc w:val="center"/>
              <w:rPr>
                <w:bCs/>
              </w:rPr>
            </w:pPr>
            <w:r>
              <w:rPr>
                <w:bCs/>
              </w:rPr>
              <w:t>2,1</w:t>
            </w:r>
          </w:p>
        </w:tc>
        <w:tc>
          <w:tcPr>
            <w:tcW w:w="992" w:type="dxa"/>
            <w:tcBorders>
              <w:left w:val="single" w:sz="4" w:space="0" w:color="auto"/>
              <w:bottom w:val="single" w:sz="4" w:space="0" w:color="auto"/>
              <w:right w:val="single" w:sz="4" w:space="0" w:color="auto"/>
            </w:tcBorders>
            <w:vAlign w:val="center"/>
          </w:tcPr>
          <w:p w:rsidR="00000000" w:rsidRDefault="00000000">
            <w:pPr>
              <w:jc w:val="center"/>
              <w:rPr>
                <w:bCs/>
              </w:rPr>
            </w:pPr>
            <w:r>
              <w:rPr>
                <w:bCs/>
              </w:rPr>
              <w:t>2,3</w:t>
            </w:r>
          </w:p>
        </w:tc>
        <w:tc>
          <w:tcPr>
            <w:tcW w:w="991" w:type="dxa"/>
            <w:tcBorders>
              <w:left w:val="single" w:sz="4" w:space="0" w:color="auto"/>
              <w:bottom w:val="single" w:sz="4" w:space="0" w:color="auto"/>
              <w:right w:val="single" w:sz="4" w:space="0" w:color="auto"/>
            </w:tcBorders>
            <w:vAlign w:val="center"/>
          </w:tcPr>
          <w:p w:rsidR="00000000" w:rsidRDefault="00000000">
            <w:pPr>
              <w:jc w:val="center"/>
              <w:rPr>
                <w:bCs/>
              </w:rPr>
            </w:pPr>
            <w:r>
              <w:rPr>
                <w:bCs/>
              </w:rPr>
              <w:t>2,3</w:t>
            </w:r>
          </w:p>
        </w:tc>
        <w:tc>
          <w:tcPr>
            <w:tcW w:w="992" w:type="dxa"/>
            <w:tcBorders>
              <w:left w:val="single" w:sz="4" w:space="0" w:color="auto"/>
              <w:bottom w:val="single" w:sz="4" w:space="0" w:color="auto"/>
              <w:right w:val="single" w:sz="4" w:space="0" w:color="auto"/>
            </w:tcBorders>
            <w:vAlign w:val="center"/>
          </w:tcPr>
          <w:p w:rsidR="00000000" w:rsidRDefault="00000000">
            <w:pPr>
              <w:jc w:val="center"/>
              <w:rPr>
                <w:bCs/>
              </w:rPr>
            </w:pPr>
            <w:r>
              <w:rPr>
                <w:bCs/>
              </w:rPr>
              <w:t>2,2</w:t>
            </w:r>
          </w:p>
        </w:tc>
        <w:tc>
          <w:tcPr>
            <w:tcW w:w="991" w:type="dxa"/>
            <w:tcBorders>
              <w:left w:val="single" w:sz="4" w:space="0" w:color="auto"/>
              <w:bottom w:val="single" w:sz="4" w:space="0" w:color="auto"/>
              <w:right w:val="single" w:sz="4" w:space="0" w:color="auto"/>
            </w:tcBorders>
            <w:vAlign w:val="center"/>
          </w:tcPr>
          <w:p w:rsidR="00000000" w:rsidRDefault="00000000">
            <w:pPr>
              <w:jc w:val="center"/>
              <w:rPr>
                <w:bCs/>
              </w:rPr>
            </w:pPr>
            <w:r>
              <w:rPr>
                <w:bCs/>
              </w:rPr>
              <w:t>1,9</w:t>
            </w:r>
          </w:p>
        </w:tc>
        <w:tc>
          <w:tcPr>
            <w:tcW w:w="992" w:type="dxa"/>
            <w:tcBorders>
              <w:left w:val="single" w:sz="4" w:space="0" w:color="auto"/>
              <w:bottom w:val="single" w:sz="4" w:space="0" w:color="auto"/>
              <w:right w:val="single" w:sz="4" w:space="0" w:color="auto"/>
            </w:tcBorders>
            <w:vAlign w:val="center"/>
          </w:tcPr>
          <w:p w:rsidR="00000000" w:rsidRDefault="00000000">
            <w:pPr>
              <w:jc w:val="center"/>
              <w:rPr>
                <w:bCs/>
              </w:rPr>
            </w:pPr>
            <w:r>
              <w:rPr>
                <w:bCs/>
              </w:rPr>
              <w:t>1,8</w:t>
            </w:r>
          </w:p>
        </w:tc>
      </w:tr>
    </w:tbl>
    <w:p w:rsidR="00000000" w:rsidRDefault="00000000">
      <w:pPr>
        <w:rPr>
          <w:bCs/>
        </w:rPr>
      </w:pPr>
      <w:r>
        <w:rPr>
          <w:bCs/>
          <w:i/>
          <w:iCs/>
        </w:rPr>
        <w:br/>
      </w:r>
      <w:r>
        <w:rPr>
          <w:bCs/>
          <w:i/>
          <w:iCs/>
        </w:rPr>
        <w:tab/>
        <w:t>Источник</w:t>
      </w:r>
      <w:r>
        <w:rPr>
          <w:bCs/>
        </w:rPr>
        <w:t>:  Государственное статистическое управление, "Научно-исследовательские и опытно-конструкторские работы в бывшей югославской Республике Македонии </w:t>
      </w:r>
      <w:r>
        <w:rPr>
          <w:bCs/>
        </w:rPr>
        <w:noBreakHyphen/>
        <w:t xml:space="preserve"> статистический обзор".</w:t>
      </w:r>
    </w:p>
    <w:p w:rsidR="00000000" w:rsidRDefault="00000000">
      <w:pPr>
        <w:rPr>
          <w:bCs/>
        </w:rPr>
      </w:pPr>
    </w:p>
    <w:p w:rsidR="00000000" w:rsidRDefault="00000000">
      <w:r>
        <w:t>945.</w:t>
      </w:r>
      <w:r>
        <w:tab/>
        <w:t>Представленные в вышеуказанных таблицах данные свидетельствуют о том, что в условиях активизации процесса утечки умов и ограничений на трудоустройство отток ученых из бывшей югославской Республики Македонии продолжается.  Ввиду этого государство должно принять надлежащие меры, чтобы прекратить развитие этой тенденции.  Кроме того, согласно этим данным бóльшая часть младших научных сотрудников работает в высших учебных заведениях, что мешает налаживанию эффективных связей между наукой и промышленностью.</w:t>
      </w:r>
    </w:p>
    <w:p w:rsidR="00000000" w:rsidRDefault="00000000"/>
    <w:p w:rsidR="00000000" w:rsidRDefault="00000000">
      <w:pPr>
        <w:jc w:val="center"/>
        <w:rPr>
          <w:b/>
          <w:bCs/>
        </w:rPr>
      </w:pPr>
      <w:r>
        <w:rPr>
          <w:b/>
          <w:bCs/>
        </w:rPr>
        <w:br w:type="page"/>
        <w:t>Валовые внутренние расходы на научно-исследовательские и опытно-</w:t>
      </w:r>
    </w:p>
    <w:p w:rsidR="00000000" w:rsidRDefault="00000000">
      <w:pPr>
        <w:jc w:val="center"/>
        <w:rPr>
          <w:b/>
          <w:bCs/>
        </w:rPr>
      </w:pPr>
      <w:r>
        <w:rPr>
          <w:b/>
          <w:bCs/>
        </w:rPr>
        <w:t>конструкторские работы (НИОКР) по отношению к ВВП</w:t>
      </w:r>
    </w:p>
    <w:p w:rsidR="00000000" w:rsidRDefault="00000000">
      <w:pPr>
        <w:jc w:val="center"/>
        <w:rPr>
          <w:sz w:val="16"/>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3402"/>
        <w:gridCol w:w="991"/>
        <w:gridCol w:w="992"/>
        <w:gridCol w:w="991"/>
        <w:gridCol w:w="992"/>
        <w:gridCol w:w="991"/>
        <w:gridCol w:w="992"/>
      </w:tblGrid>
      <w:tr w:rsidR="00000000">
        <w:trPr>
          <w:trHeight w:val="20"/>
          <w:tblHeader/>
        </w:trPr>
        <w:tc>
          <w:tcPr>
            <w:tcW w:w="3402" w:type="dxa"/>
            <w:vAlign w:val="center"/>
          </w:tcPr>
          <w:p w:rsidR="00000000" w:rsidRDefault="00000000">
            <w:pPr>
              <w:spacing w:line="240" w:lineRule="auto"/>
              <w:jc w:val="center"/>
              <w:rPr>
                <w:bCs/>
                <w:lang w:val="en-US"/>
              </w:rPr>
            </w:pPr>
            <w:r>
              <w:rPr>
                <w:bCs/>
              </w:rPr>
              <w:t>Год</w:t>
            </w:r>
          </w:p>
        </w:tc>
        <w:tc>
          <w:tcPr>
            <w:tcW w:w="991" w:type="dxa"/>
            <w:vAlign w:val="center"/>
          </w:tcPr>
          <w:p w:rsidR="00000000" w:rsidRDefault="00000000">
            <w:pPr>
              <w:pStyle w:val="Header"/>
              <w:keepNext/>
              <w:spacing w:line="240" w:lineRule="auto"/>
              <w:jc w:val="center"/>
              <w:rPr>
                <w:bCs/>
                <w:lang w:val="en-US"/>
              </w:rPr>
            </w:pPr>
            <w:r>
              <w:rPr>
                <w:bCs/>
                <w:lang w:val="en-US"/>
              </w:rPr>
              <w:t>1997</w:t>
            </w:r>
          </w:p>
        </w:tc>
        <w:tc>
          <w:tcPr>
            <w:tcW w:w="992" w:type="dxa"/>
            <w:vAlign w:val="center"/>
          </w:tcPr>
          <w:p w:rsidR="00000000" w:rsidRDefault="00000000">
            <w:pPr>
              <w:spacing w:line="240" w:lineRule="auto"/>
              <w:jc w:val="center"/>
              <w:rPr>
                <w:bCs/>
                <w:lang w:val="en-US"/>
              </w:rPr>
            </w:pPr>
            <w:r>
              <w:rPr>
                <w:bCs/>
                <w:lang w:val="en-US"/>
              </w:rPr>
              <w:t>1998</w:t>
            </w:r>
          </w:p>
        </w:tc>
        <w:tc>
          <w:tcPr>
            <w:tcW w:w="991" w:type="dxa"/>
            <w:vAlign w:val="center"/>
          </w:tcPr>
          <w:p w:rsidR="00000000" w:rsidRDefault="00000000">
            <w:pPr>
              <w:spacing w:line="240" w:lineRule="auto"/>
              <w:jc w:val="center"/>
              <w:rPr>
                <w:bCs/>
                <w:lang w:val="en-US"/>
              </w:rPr>
            </w:pPr>
            <w:r>
              <w:rPr>
                <w:bCs/>
                <w:lang w:val="en-US"/>
              </w:rPr>
              <w:t>1999</w:t>
            </w:r>
          </w:p>
        </w:tc>
        <w:tc>
          <w:tcPr>
            <w:tcW w:w="992" w:type="dxa"/>
            <w:vAlign w:val="center"/>
          </w:tcPr>
          <w:p w:rsidR="00000000" w:rsidRDefault="00000000">
            <w:pPr>
              <w:spacing w:line="240" w:lineRule="auto"/>
              <w:jc w:val="center"/>
              <w:rPr>
                <w:bCs/>
                <w:lang w:val="en-US"/>
              </w:rPr>
            </w:pPr>
            <w:r>
              <w:rPr>
                <w:bCs/>
                <w:lang w:val="en-US"/>
              </w:rPr>
              <w:t>2000</w:t>
            </w:r>
          </w:p>
        </w:tc>
        <w:tc>
          <w:tcPr>
            <w:tcW w:w="991" w:type="dxa"/>
            <w:vAlign w:val="center"/>
          </w:tcPr>
          <w:p w:rsidR="00000000" w:rsidRDefault="00000000">
            <w:pPr>
              <w:spacing w:line="240" w:lineRule="auto"/>
              <w:jc w:val="center"/>
              <w:rPr>
                <w:bCs/>
                <w:lang w:val="en-US"/>
              </w:rPr>
            </w:pPr>
            <w:r>
              <w:rPr>
                <w:bCs/>
                <w:lang w:val="en-US"/>
              </w:rPr>
              <w:t>2001</w:t>
            </w:r>
          </w:p>
        </w:tc>
        <w:tc>
          <w:tcPr>
            <w:tcW w:w="992" w:type="dxa"/>
            <w:vAlign w:val="center"/>
          </w:tcPr>
          <w:p w:rsidR="00000000" w:rsidRDefault="00000000">
            <w:pPr>
              <w:spacing w:line="240" w:lineRule="auto"/>
              <w:jc w:val="center"/>
              <w:rPr>
                <w:bCs/>
                <w:lang w:val="en-US"/>
              </w:rPr>
            </w:pPr>
            <w:r>
              <w:rPr>
                <w:bCs/>
                <w:lang w:val="en-US"/>
              </w:rPr>
              <w:t>2002</w:t>
            </w:r>
          </w:p>
        </w:tc>
      </w:tr>
      <w:tr w:rsidR="00000000">
        <w:trPr>
          <w:trHeight w:val="20"/>
        </w:trPr>
        <w:tc>
          <w:tcPr>
            <w:tcW w:w="3402" w:type="dxa"/>
          </w:tcPr>
          <w:p w:rsidR="00000000" w:rsidRDefault="00000000">
            <w:pPr>
              <w:pStyle w:val="Header"/>
              <w:tabs>
                <w:tab w:val="left" w:pos="195"/>
              </w:tabs>
              <w:spacing w:line="240" w:lineRule="auto"/>
              <w:ind w:left="195" w:hanging="195"/>
              <w:rPr>
                <w:bCs/>
              </w:rPr>
            </w:pPr>
            <w:r>
              <w:rPr>
                <w:bCs/>
              </w:rPr>
              <w:t>Валовые внутренние расходы на НИОКР по отношению к ВВП</w:t>
            </w:r>
          </w:p>
        </w:tc>
        <w:tc>
          <w:tcPr>
            <w:tcW w:w="991" w:type="dxa"/>
          </w:tcPr>
          <w:p w:rsidR="00000000" w:rsidRDefault="00000000">
            <w:pPr>
              <w:pStyle w:val="Header"/>
              <w:spacing w:line="240" w:lineRule="auto"/>
              <w:jc w:val="center"/>
              <w:rPr>
                <w:bCs/>
              </w:rPr>
            </w:pPr>
            <w:r>
              <w:rPr>
                <w:bCs/>
              </w:rPr>
              <w:t>0,38</w:t>
            </w:r>
          </w:p>
        </w:tc>
        <w:tc>
          <w:tcPr>
            <w:tcW w:w="992" w:type="dxa"/>
          </w:tcPr>
          <w:p w:rsidR="00000000" w:rsidRDefault="00000000">
            <w:pPr>
              <w:spacing w:line="240" w:lineRule="auto"/>
              <w:jc w:val="center"/>
              <w:rPr>
                <w:bCs/>
              </w:rPr>
            </w:pPr>
            <w:r>
              <w:rPr>
                <w:bCs/>
              </w:rPr>
              <w:t>0,43</w:t>
            </w:r>
          </w:p>
        </w:tc>
        <w:tc>
          <w:tcPr>
            <w:tcW w:w="991" w:type="dxa"/>
          </w:tcPr>
          <w:p w:rsidR="00000000" w:rsidRDefault="00000000">
            <w:pPr>
              <w:pStyle w:val="FootnoteText"/>
              <w:jc w:val="center"/>
              <w:rPr>
                <w:bCs/>
              </w:rPr>
            </w:pPr>
            <w:r>
              <w:rPr>
                <w:bCs/>
              </w:rPr>
              <w:t>0,34</w:t>
            </w:r>
          </w:p>
        </w:tc>
        <w:tc>
          <w:tcPr>
            <w:tcW w:w="992" w:type="dxa"/>
          </w:tcPr>
          <w:p w:rsidR="00000000" w:rsidRDefault="00000000">
            <w:pPr>
              <w:spacing w:line="240" w:lineRule="auto"/>
              <w:jc w:val="center"/>
              <w:rPr>
                <w:bCs/>
              </w:rPr>
            </w:pPr>
            <w:r>
              <w:rPr>
                <w:bCs/>
              </w:rPr>
              <w:t>0,45</w:t>
            </w:r>
          </w:p>
        </w:tc>
        <w:tc>
          <w:tcPr>
            <w:tcW w:w="991" w:type="dxa"/>
          </w:tcPr>
          <w:p w:rsidR="00000000" w:rsidRDefault="00000000">
            <w:pPr>
              <w:spacing w:line="240" w:lineRule="auto"/>
              <w:jc w:val="center"/>
              <w:rPr>
                <w:bCs/>
              </w:rPr>
            </w:pPr>
            <w:r>
              <w:rPr>
                <w:bCs/>
              </w:rPr>
              <w:t>0,31</w:t>
            </w:r>
          </w:p>
        </w:tc>
        <w:tc>
          <w:tcPr>
            <w:tcW w:w="992" w:type="dxa"/>
          </w:tcPr>
          <w:p w:rsidR="00000000" w:rsidRDefault="00000000">
            <w:pPr>
              <w:spacing w:line="240" w:lineRule="auto"/>
              <w:jc w:val="center"/>
              <w:rPr>
                <w:bCs/>
              </w:rPr>
            </w:pPr>
            <w:r>
              <w:rPr>
                <w:bCs/>
              </w:rPr>
              <w:t>0,27</w:t>
            </w:r>
          </w:p>
        </w:tc>
      </w:tr>
    </w:tbl>
    <w:p w:rsidR="00000000" w:rsidRDefault="00000000">
      <w:pPr>
        <w:rPr>
          <w:sz w:val="16"/>
        </w:rPr>
      </w:pPr>
    </w:p>
    <w:p w:rsidR="00000000" w:rsidRDefault="00000000">
      <w:r>
        <w:tab/>
      </w:r>
      <w:r>
        <w:rPr>
          <w:i/>
          <w:iCs/>
        </w:rPr>
        <w:t>Источник</w:t>
      </w:r>
      <w:r>
        <w:t>:  Государственное статистическое управление.</w:t>
      </w:r>
    </w:p>
    <w:p w:rsidR="00000000" w:rsidRDefault="00000000">
      <w:pPr>
        <w:rPr>
          <w:sz w:val="16"/>
        </w:rPr>
      </w:pPr>
    </w:p>
    <w:p w:rsidR="00000000" w:rsidRDefault="00000000">
      <w:pPr>
        <w:keepNext/>
        <w:jc w:val="center"/>
        <w:rPr>
          <w:b/>
          <w:bCs/>
        </w:rPr>
      </w:pPr>
      <w:r>
        <w:rPr>
          <w:b/>
          <w:bCs/>
        </w:rPr>
        <w:t>Валовые государственные расходы на НИОКР по отношению к ВВП</w:t>
      </w:r>
    </w:p>
    <w:p w:rsidR="00000000" w:rsidRDefault="00000000">
      <w:pPr>
        <w:keepNext/>
        <w:jc w:val="center"/>
        <w:rPr>
          <w:sz w:val="16"/>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3402"/>
        <w:gridCol w:w="991"/>
        <w:gridCol w:w="992"/>
        <w:gridCol w:w="991"/>
        <w:gridCol w:w="992"/>
        <w:gridCol w:w="991"/>
        <w:gridCol w:w="992"/>
      </w:tblGrid>
      <w:tr w:rsidR="00000000">
        <w:trPr>
          <w:trHeight w:val="20"/>
          <w:tblHeader/>
        </w:trPr>
        <w:tc>
          <w:tcPr>
            <w:tcW w:w="3402" w:type="dxa"/>
          </w:tcPr>
          <w:p w:rsidR="00000000" w:rsidRDefault="00000000">
            <w:pPr>
              <w:pStyle w:val="Header"/>
              <w:keepNext/>
              <w:spacing w:line="240" w:lineRule="auto"/>
              <w:jc w:val="center"/>
              <w:rPr>
                <w:bCs/>
              </w:rPr>
            </w:pPr>
            <w:r>
              <w:rPr>
                <w:bCs/>
              </w:rPr>
              <w:t>Год</w:t>
            </w:r>
          </w:p>
        </w:tc>
        <w:tc>
          <w:tcPr>
            <w:tcW w:w="991" w:type="dxa"/>
          </w:tcPr>
          <w:p w:rsidR="00000000" w:rsidRDefault="00000000">
            <w:pPr>
              <w:pStyle w:val="Header"/>
              <w:keepNext/>
              <w:spacing w:line="240" w:lineRule="auto"/>
              <w:jc w:val="center"/>
              <w:rPr>
                <w:bCs/>
                <w:lang w:val="en-US"/>
              </w:rPr>
            </w:pPr>
            <w:r>
              <w:rPr>
                <w:bCs/>
                <w:lang w:val="en-US"/>
              </w:rPr>
              <w:t>1997</w:t>
            </w:r>
          </w:p>
        </w:tc>
        <w:tc>
          <w:tcPr>
            <w:tcW w:w="992" w:type="dxa"/>
          </w:tcPr>
          <w:p w:rsidR="00000000" w:rsidRDefault="00000000">
            <w:pPr>
              <w:pStyle w:val="Header"/>
              <w:keepNext/>
              <w:spacing w:line="240" w:lineRule="auto"/>
              <w:jc w:val="center"/>
              <w:rPr>
                <w:bCs/>
                <w:lang w:val="en-US"/>
              </w:rPr>
            </w:pPr>
            <w:r>
              <w:rPr>
                <w:bCs/>
                <w:lang w:val="en-US"/>
              </w:rPr>
              <w:t>1998</w:t>
            </w:r>
          </w:p>
        </w:tc>
        <w:tc>
          <w:tcPr>
            <w:tcW w:w="991" w:type="dxa"/>
          </w:tcPr>
          <w:p w:rsidR="00000000" w:rsidRDefault="00000000">
            <w:pPr>
              <w:pStyle w:val="Header"/>
              <w:keepNext/>
              <w:spacing w:line="240" w:lineRule="auto"/>
              <w:jc w:val="center"/>
              <w:rPr>
                <w:bCs/>
                <w:lang w:val="en-US"/>
              </w:rPr>
            </w:pPr>
            <w:r>
              <w:rPr>
                <w:bCs/>
                <w:lang w:val="en-US"/>
              </w:rPr>
              <w:t>1999</w:t>
            </w:r>
          </w:p>
        </w:tc>
        <w:tc>
          <w:tcPr>
            <w:tcW w:w="992" w:type="dxa"/>
          </w:tcPr>
          <w:p w:rsidR="00000000" w:rsidRDefault="00000000">
            <w:pPr>
              <w:pStyle w:val="Header"/>
              <w:keepNext/>
              <w:spacing w:line="240" w:lineRule="auto"/>
              <w:jc w:val="center"/>
              <w:rPr>
                <w:bCs/>
                <w:lang w:val="en-US"/>
              </w:rPr>
            </w:pPr>
            <w:r>
              <w:rPr>
                <w:bCs/>
                <w:lang w:val="en-US"/>
              </w:rPr>
              <w:t>2000</w:t>
            </w:r>
          </w:p>
        </w:tc>
        <w:tc>
          <w:tcPr>
            <w:tcW w:w="991" w:type="dxa"/>
          </w:tcPr>
          <w:p w:rsidR="00000000" w:rsidRDefault="00000000">
            <w:pPr>
              <w:pStyle w:val="Header"/>
              <w:keepNext/>
              <w:spacing w:line="240" w:lineRule="auto"/>
              <w:jc w:val="center"/>
              <w:rPr>
                <w:bCs/>
                <w:lang w:val="en-US"/>
              </w:rPr>
            </w:pPr>
            <w:r>
              <w:rPr>
                <w:bCs/>
                <w:lang w:val="en-US"/>
              </w:rPr>
              <w:t>2001</w:t>
            </w:r>
          </w:p>
        </w:tc>
        <w:tc>
          <w:tcPr>
            <w:tcW w:w="992" w:type="dxa"/>
          </w:tcPr>
          <w:p w:rsidR="00000000" w:rsidRDefault="00000000">
            <w:pPr>
              <w:pStyle w:val="Header"/>
              <w:keepNext/>
              <w:spacing w:line="240" w:lineRule="auto"/>
              <w:jc w:val="center"/>
              <w:rPr>
                <w:bCs/>
                <w:lang w:val="en-US"/>
              </w:rPr>
            </w:pPr>
            <w:r>
              <w:rPr>
                <w:bCs/>
                <w:lang w:val="en-US"/>
              </w:rPr>
              <w:t>2002</w:t>
            </w:r>
          </w:p>
        </w:tc>
      </w:tr>
      <w:tr w:rsidR="00000000">
        <w:trPr>
          <w:trHeight w:val="20"/>
        </w:trPr>
        <w:tc>
          <w:tcPr>
            <w:tcW w:w="3402" w:type="dxa"/>
          </w:tcPr>
          <w:p w:rsidR="00000000" w:rsidRDefault="00000000">
            <w:pPr>
              <w:pStyle w:val="Header"/>
              <w:tabs>
                <w:tab w:val="left" w:pos="195"/>
              </w:tabs>
              <w:spacing w:line="240" w:lineRule="auto"/>
              <w:ind w:left="195" w:hanging="195"/>
              <w:rPr>
                <w:bCs/>
              </w:rPr>
            </w:pPr>
            <w:r>
              <w:rPr>
                <w:bCs/>
              </w:rPr>
              <w:t>Внутренние расходы на НИОКР в государственном секторе по отношению к ВВП</w:t>
            </w:r>
          </w:p>
        </w:tc>
        <w:tc>
          <w:tcPr>
            <w:tcW w:w="991" w:type="dxa"/>
          </w:tcPr>
          <w:p w:rsidR="00000000" w:rsidRDefault="00000000">
            <w:pPr>
              <w:pStyle w:val="Header"/>
              <w:spacing w:line="240" w:lineRule="auto"/>
              <w:jc w:val="center"/>
              <w:rPr>
                <w:bCs/>
              </w:rPr>
            </w:pPr>
            <w:r>
              <w:rPr>
                <w:bCs/>
              </w:rPr>
              <w:t>0,18</w:t>
            </w:r>
          </w:p>
        </w:tc>
        <w:tc>
          <w:tcPr>
            <w:tcW w:w="992" w:type="dxa"/>
          </w:tcPr>
          <w:p w:rsidR="00000000" w:rsidRDefault="00000000">
            <w:pPr>
              <w:spacing w:line="240" w:lineRule="auto"/>
              <w:jc w:val="center"/>
              <w:rPr>
                <w:bCs/>
              </w:rPr>
            </w:pPr>
            <w:r>
              <w:rPr>
                <w:bCs/>
              </w:rPr>
              <w:t>0,15</w:t>
            </w:r>
          </w:p>
        </w:tc>
        <w:tc>
          <w:tcPr>
            <w:tcW w:w="991" w:type="dxa"/>
          </w:tcPr>
          <w:p w:rsidR="00000000" w:rsidRDefault="00000000">
            <w:pPr>
              <w:spacing w:line="240" w:lineRule="auto"/>
              <w:jc w:val="center"/>
              <w:rPr>
                <w:bCs/>
              </w:rPr>
            </w:pPr>
            <w:r>
              <w:rPr>
                <w:bCs/>
              </w:rPr>
              <w:t>0,16</w:t>
            </w:r>
          </w:p>
        </w:tc>
        <w:tc>
          <w:tcPr>
            <w:tcW w:w="992" w:type="dxa"/>
          </w:tcPr>
          <w:p w:rsidR="00000000" w:rsidRDefault="00000000">
            <w:pPr>
              <w:spacing w:line="240" w:lineRule="auto"/>
              <w:jc w:val="center"/>
              <w:rPr>
                <w:bCs/>
              </w:rPr>
            </w:pPr>
            <w:r>
              <w:rPr>
                <w:bCs/>
              </w:rPr>
              <w:t>0,15</w:t>
            </w:r>
          </w:p>
        </w:tc>
        <w:tc>
          <w:tcPr>
            <w:tcW w:w="991" w:type="dxa"/>
          </w:tcPr>
          <w:p w:rsidR="00000000" w:rsidRDefault="00000000">
            <w:pPr>
              <w:spacing w:line="240" w:lineRule="auto"/>
              <w:jc w:val="center"/>
              <w:rPr>
                <w:bCs/>
              </w:rPr>
            </w:pPr>
            <w:r>
              <w:rPr>
                <w:bCs/>
              </w:rPr>
              <w:t>0,16</w:t>
            </w:r>
          </w:p>
        </w:tc>
        <w:tc>
          <w:tcPr>
            <w:tcW w:w="992" w:type="dxa"/>
          </w:tcPr>
          <w:p w:rsidR="00000000" w:rsidRDefault="00000000">
            <w:pPr>
              <w:spacing w:line="240" w:lineRule="auto"/>
              <w:jc w:val="center"/>
              <w:rPr>
                <w:bCs/>
              </w:rPr>
            </w:pPr>
            <w:r>
              <w:rPr>
                <w:bCs/>
              </w:rPr>
              <w:t>0,15</w:t>
            </w:r>
          </w:p>
        </w:tc>
      </w:tr>
    </w:tbl>
    <w:p w:rsidR="00000000" w:rsidRDefault="00000000">
      <w:pPr>
        <w:rPr>
          <w:sz w:val="16"/>
        </w:rPr>
      </w:pPr>
    </w:p>
    <w:p w:rsidR="00000000" w:rsidRDefault="00000000">
      <w:r>
        <w:tab/>
      </w:r>
      <w:r>
        <w:rPr>
          <w:i/>
          <w:iCs/>
        </w:rPr>
        <w:t>Источник</w:t>
      </w:r>
      <w:r>
        <w:t>:  Государственное статистическое управление.</w:t>
      </w:r>
    </w:p>
    <w:p w:rsidR="00000000" w:rsidRDefault="00000000">
      <w:pPr>
        <w:rPr>
          <w:sz w:val="16"/>
        </w:rPr>
      </w:pPr>
    </w:p>
    <w:p w:rsidR="00000000" w:rsidRDefault="00000000">
      <w:pPr>
        <w:keepNext/>
        <w:jc w:val="center"/>
        <w:rPr>
          <w:b/>
          <w:bCs/>
        </w:rPr>
      </w:pPr>
      <w:r>
        <w:rPr>
          <w:b/>
          <w:bCs/>
        </w:rPr>
        <w:t>Валовые расходы на НИОКР в сфере высшего образования</w:t>
      </w:r>
    </w:p>
    <w:p w:rsidR="00000000" w:rsidRDefault="00000000">
      <w:pPr>
        <w:keepNext/>
        <w:jc w:val="center"/>
        <w:rPr>
          <w:b/>
          <w:bCs/>
        </w:rPr>
      </w:pPr>
      <w:r>
        <w:rPr>
          <w:b/>
          <w:bCs/>
        </w:rPr>
        <w:t xml:space="preserve">по отношению к </w:t>
      </w:r>
      <w:proofErr w:type="spellStart"/>
      <w:r>
        <w:rPr>
          <w:b/>
          <w:bCs/>
        </w:rPr>
        <w:t>ВВП</w:t>
      </w:r>
      <w:proofErr w:type="spellEnd"/>
    </w:p>
    <w:p w:rsidR="00000000" w:rsidRDefault="00000000">
      <w:pPr>
        <w:rPr>
          <w:sz w:val="16"/>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3402"/>
        <w:gridCol w:w="991"/>
        <w:gridCol w:w="992"/>
        <w:gridCol w:w="991"/>
        <w:gridCol w:w="992"/>
        <w:gridCol w:w="991"/>
        <w:gridCol w:w="992"/>
      </w:tblGrid>
      <w:tr w:rsidR="00000000">
        <w:trPr>
          <w:trHeight w:val="20"/>
          <w:tblHeader/>
        </w:trPr>
        <w:tc>
          <w:tcPr>
            <w:tcW w:w="3402" w:type="dxa"/>
            <w:tcBorders>
              <w:bottom w:val="single" w:sz="4" w:space="0" w:color="auto"/>
            </w:tcBorders>
            <w:vAlign w:val="center"/>
          </w:tcPr>
          <w:p w:rsidR="00000000" w:rsidRDefault="00000000">
            <w:pPr>
              <w:pStyle w:val="Header"/>
              <w:keepNext/>
              <w:spacing w:line="240" w:lineRule="auto"/>
              <w:jc w:val="center"/>
              <w:rPr>
                <w:bCs/>
                <w:lang w:val="en-US"/>
              </w:rPr>
            </w:pPr>
            <w:r>
              <w:rPr>
                <w:bCs/>
              </w:rPr>
              <w:t>Год</w:t>
            </w:r>
          </w:p>
        </w:tc>
        <w:tc>
          <w:tcPr>
            <w:tcW w:w="991" w:type="dxa"/>
            <w:tcBorders>
              <w:bottom w:val="single" w:sz="4" w:space="0" w:color="auto"/>
            </w:tcBorders>
            <w:vAlign w:val="center"/>
          </w:tcPr>
          <w:p w:rsidR="00000000" w:rsidRDefault="00000000">
            <w:pPr>
              <w:keepNext/>
              <w:spacing w:line="240" w:lineRule="auto"/>
              <w:jc w:val="center"/>
              <w:rPr>
                <w:bCs/>
                <w:lang w:val="en-US"/>
              </w:rPr>
            </w:pPr>
            <w:r>
              <w:rPr>
                <w:bCs/>
                <w:lang w:val="en-US"/>
              </w:rPr>
              <w:t>1997</w:t>
            </w:r>
          </w:p>
        </w:tc>
        <w:tc>
          <w:tcPr>
            <w:tcW w:w="992" w:type="dxa"/>
            <w:tcBorders>
              <w:bottom w:val="single" w:sz="4" w:space="0" w:color="auto"/>
            </w:tcBorders>
            <w:vAlign w:val="center"/>
          </w:tcPr>
          <w:p w:rsidR="00000000" w:rsidRDefault="00000000">
            <w:pPr>
              <w:keepNext/>
              <w:spacing w:line="240" w:lineRule="auto"/>
              <w:jc w:val="center"/>
              <w:rPr>
                <w:bCs/>
                <w:lang w:val="en-US"/>
              </w:rPr>
            </w:pPr>
            <w:r>
              <w:rPr>
                <w:bCs/>
                <w:lang w:val="en-US"/>
              </w:rPr>
              <w:t>1998</w:t>
            </w:r>
          </w:p>
        </w:tc>
        <w:tc>
          <w:tcPr>
            <w:tcW w:w="991" w:type="dxa"/>
            <w:tcBorders>
              <w:bottom w:val="single" w:sz="4" w:space="0" w:color="auto"/>
            </w:tcBorders>
            <w:vAlign w:val="center"/>
          </w:tcPr>
          <w:p w:rsidR="00000000" w:rsidRDefault="00000000">
            <w:pPr>
              <w:keepNext/>
              <w:spacing w:line="240" w:lineRule="auto"/>
              <w:jc w:val="center"/>
              <w:rPr>
                <w:bCs/>
                <w:lang w:val="en-US"/>
              </w:rPr>
            </w:pPr>
            <w:r>
              <w:rPr>
                <w:bCs/>
                <w:lang w:val="en-US"/>
              </w:rPr>
              <w:t>1999</w:t>
            </w:r>
          </w:p>
        </w:tc>
        <w:tc>
          <w:tcPr>
            <w:tcW w:w="992" w:type="dxa"/>
            <w:tcBorders>
              <w:bottom w:val="single" w:sz="4" w:space="0" w:color="auto"/>
            </w:tcBorders>
            <w:vAlign w:val="center"/>
          </w:tcPr>
          <w:p w:rsidR="00000000" w:rsidRDefault="00000000">
            <w:pPr>
              <w:keepNext/>
              <w:spacing w:line="240" w:lineRule="auto"/>
              <w:jc w:val="center"/>
              <w:rPr>
                <w:bCs/>
                <w:lang w:val="en-US"/>
              </w:rPr>
            </w:pPr>
            <w:r>
              <w:rPr>
                <w:bCs/>
                <w:lang w:val="en-US"/>
              </w:rPr>
              <w:t>2000</w:t>
            </w:r>
          </w:p>
        </w:tc>
        <w:tc>
          <w:tcPr>
            <w:tcW w:w="991" w:type="dxa"/>
            <w:tcBorders>
              <w:bottom w:val="single" w:sz="4" w:space="0" w:color="auto"/>
            </w:tcBorders>
            <w:vAlign w:val="center"/>
          </w:tcPr>
          <w:p w:rsidR="00000000" w:rsidRDefault="00000000">
            <w:pPr>
              <w:keepNext/>
              <w:spacing w:line="240" w:lineRule="auto"/>
              <w:jc w:val="center"/>
              <w:rPr>
                <w:bCs/>
                <w:lang w:val="en-US"/>
              </w:rPr>
            </w:pPr>
            <w:r>
              <w:rPr>
                <w:bCs/>
                <w:lang w:val="en-US"/>
              </w:rPr>
              <w:t>2001</w:t>
            </w:r>
          </w:p>
        </w:tc>
        <w:tc>
          <w:tcPr>
            <w:tcW w:w="992" w:type="dxa"/>
            <w:tcBorders>
              <w:bottom w:val="single" w:sz="4" w:space="0" w:color="auto"/>
            </w:tcBorders>
            <w:vAlign w:val="center"/>
          </w:tcPr>
          <w:p w:rsidR="00000000" w:rsidRDefault="00000000">
            <w:pPr>
              <w:keepNext/>
              <w:spacing w:line="240" w:lineRule="auto"/>
              <w:jc w:val="center"/>
              <w:rPr>
                <w:bCs/>
                <w:lang w:val="en-US"/>
              </w:rPr>
            </w:pPr>
            <w:r>
              <w:rPr>
                <w:bCs/>
                <w:lang w:val="en-US"/>
              </w:rPr>
              <w:t>2002</w:t>
            </w:r>
          </w:p>
        </w:tc>
      </w:tr>
      <w:tr w:rsidR="00000000">
        <w:trPr>
          <w:trHeight w:val="20"/>
        </w:trPr>
        <w:tc>
          <w:tcPr>
            <w:tcW w:w="3402" w:type="dxa"/>
            <w:tcBorders>
              <w:bottom w:val="single" w:sz="4" w:space="0" w:color="auto"/>
            </w:tcBorders>
          </w:tcPr>
          <w:p w:rsidR="00000000" w:rsidRDefault="00000000">
            <w:pPr>
              <w:pStyle w:val="Header"/>
              <w:tabs>
                <w:tab w:val="left" w:pos="195"/>
              </w:tabs>
              <w:spacing w:line="240" w:lineRule="auto"/>
              <w:ind w:left="195" w:hanging="195"/>
              <w:rPr>
                <w:bCs/>
              </w:rPr>
            </w:pPr>
            <w:r>
              <w:rPr>
                <w:bCs/>
              </w:rPr>
              <w:t xml:space="preserve">Расходы на НИОКР в сфере высшего </w:t>
            </w:r>
            <w:r>
              <w:t>образования</w:t>
            </w:r>
            <w:r>
              <w:rPr>
                <w:bCs/>
              </w:rPr>
              <w:t xml:space="preserve"> по отношению к ВВП</w:t>
            </w:r>
          </w:p>
        </w:tc>
        <w:tc>
          <w:tcPr>
            <w:tcW w:w="991" w:type="dxa"/>
            <w:tcBorders>
              <w:bottom w:val="single" w:sz="4" w:space="0" w:color="auto"/>
            </w:tcBorders>
          </w:tcPr>
          <w:p w:rsidR="00000000" w:rsidRDefault="00000000">
            <w:pPr>
              <w:spacing w:line="240" w:lineRule="auto"/>
              <w:jc w:val="center"/>
              <w:rPr>
                <w:bCs/>
              </w:rPr>
            </w:pPr>
            <w:r>
              <w:rPr>
                <w:bCs/>
              </w:rPr>
              <w:t>0,15</w:t>
            </w:r>
          </w:p>
        </w:tc>
        <w:tc>
          <w:tcPr>
            <w:tcW w:w="992" w:type="dxa"/>
            <w:tcBorders>
              <w:bottom w:val="single" w:sz="4" w:space="0" w:color="auto"/>
            </w:tcBorders>
          </w:tcPr>
          <w:p w:rsidR="00000000" w:rsidRDefault="00000000">
            <w:pPr>
              <w:spacing w:line="240" w:lineRule="auto"/>
              <w:jc w:val="center"/>
              <w:rPr>
                <w:bCs/>
              </w:rPr>
            </w:pPr>
            <w:r>
              <w:rPr>
                <w:bCs/>
              </w:rPr>
              <w:t>0,23</w:t>
            </w:r>
          </w:p>
        </w:tc>
        <w:tc>
          <w:tcPr>
            <w:tcW w:w="991" w:type="dxa"/>
            <w:tcBorders>
              <w:bottom w:val="single" w:sz="4" w:space="0" w:color="auto"/>
            </w:tcBorders>
          </w:tcPr>
          <w:p w:rsidR="00000000" w:rsidRDefault="00000000">
            <w:pPr>
              <w:spacing w:line="240" w:lineRule="auto"/>
              <w:jc w:val="center"/>
              <w:rPr>
                <w:bCs/>
              </w:rPr>
            </w:pPr>
            <w:r>
              <w:rPr>
                <w:bCs/>
              </w:rPr>
              <w:t>0,14</w:t>
            </w:r>
          </w:p>
        </w:tc>
        <w:tc>
          <w:tcPr>
            <w:tcW w:w="992" w:type="dxa"/>
            <w:tcBorders>
              <w:bottom w:val="single" w:sz="4" w:space="0" w:color="auto"/>
            </w:tcBorders>
          </w:tcPr>
          <w:p w:rsidR="00000000" w:rsidRDefault="00000000">
            <w:pPr>
              <w:spacing w:line="240" w:lineRule="auto"/>
              <w:jc w:val="center"/>
              <w:rPr>
                <w:bCs/>
              </w:rPr>
            </w:pPr>
            <w:r>
              <w:rPr>
                <w:bCs/>
              </w:rPr>
              <w:t>0,27</w:t>
            </w:r>
          </w:p>
        </w:tc>
        <w:tc>
          <w:tcPr>
            <w:tcW w:w="991" w:type="dxa"/>
            <w:tcBorders>
              <w:bottom w:val="single" w:sz="4" w:space="0" w:color="auto"/>
            </w:tcBorders>
          </w:tcPr>
          <w:p w:rsidR="00000000" w:rsidRDefault="00000000">
            <w:pPr>
              <w:spacing w:line="240" w:lineRule="auto"/>
              <w:jc w:val="center"/>
              <w:rPr>
                <w:bCs/>
              </w:rPr>
            </w:pPr>
            <w:r>
              <w:rPr>
                <w:bCs/>
              </w:rPr>
              <w:t>0,13</w:t>
            </w:r>
          </w:p>
        </w:tc>
        <w:tc>
          <w:tcPr>
            <w:tcW w:w="992" w:type="dxa"/>
            <w:tcBorders>
              <w:bottom w:val="single" w:sz="4" w:space="0" w:color="auto"/>
            </w:tcBorders>
          </w:tcPr>
          <w:p w:rsidR="00000000" w:rsidRDefault="00000000">
            <w:pPr>
              <w:spacing w:line="240" w:lineRule="auto"/>
              <w:jc w:val="center"/>
              <w:rPr>
                <w:bCs/>
              </w:rPr>
            </w:pPr>
            <w:r>
              <w:rPr>
                <w:bCs/>
              </w:rPr>
              <w:t>0,11</w:t>
            </w:r>
          </w:p>
        </w:tc>
      </w:tr>
    </w:tbl>
    <w:p w:rsidR="00000000" w:rsidRDefault="00000000">
      <w:pPr>
        <w:rPr>
          <w:sz w:val="16"/>
        </w:rPr>
      </w:pPr>
    </w:p>
    <w:p w:rsidR="00000000" w:rsidRDefault="00000000">
      <w:r>
        <w:tab/>
      </w:r>
      <w:r>
        <w:rPr>
          <w:i/>
          <w:iCs/>
        </w:rPr>
        <w:t>Источник</w:t>
      </w:r>
      <w:r>
        <w:t>:  Государственное статистическое управление.</w:t>
      </w:r>
    </w:p>
    <w:p w:rsidR="00000000" w:rsidRDefault="00000000">
      <w:pPr>
        <w:rPr>
          <w:sz w:val="16"/>
        </w:rPr>
      </w:pPr>
    </w:p>
    <w:p w:rsidR="00000000" w:rsidRDefault="00000000">
      <w:pPr>
        <w:keepNext/>
        <w:jc w:val="center"/>
        <w:rPr>
          <w:b/>
          <w:bCs/>
        </w:rPr>
      </w:pPr>
      <w:r>
        <w:rPr>
          <w:b/>
          <w:bCs/>
        </w:rPr>
        <w:t>Валовые расходы предпринимательского сектора на НИОКР по отношению</w:t>
      </w:r>
    </w:p>
    <w:p w:rsidR="00000000" w:rsidRDefault="00000000">
      <w:pPr>
        <w:keepNext/>
        <w:jc w:val="center"/>
        <w:rPr>
          <w:b/>
          <w:bCs/>
        </w:rPr>
      </w:pPr>
      <w:r>
        <w:rPr>
          <w:b/>
          <w:bCs/>
        </w:rPr>
        <w:t xml:space="preserve">к </w:t>
      </w:r>
      <w:proofErr w:type="spellStart"/>
      <w:r>
        <w:rPr>
          <w:b/>
          <w:bCs/>
        </w:rPr>
        <w:t>ВВП</w:t>
      </w:r>
      <w:proofErr w:type="spellEnd"/>
      <w:r>
        <w:rPr>
          <w:b/>
          <w:bCs/>
        </w:rPr>
        <w:t xml:space="preserve"> и валовым государственным расходам</w:t>
      </w:r>
    </w:p>
    <w:p w:rsidR="00000000" w:rsidRDefault="00000000">
      <w:pPr>
        <w:rPr>
          <w:sz w:val="16"/>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3402"/>
        <w:gridCol w:w="991"/>
        <w:gridCol w:w="992"/>
        <w:gridCol w:w="991"/>
        <w:gridCol w:w="992"/>
        <w:gridCol w:w="991"/>
        <w:gridCol w:w="992"/>
      </w:tblGrid>
      <w:tr w:rsidR="00000000">
        <w:trPr>
          <w:trHeight w:val="20"/>
          <w:tblHeader/>
        </w:trPr>
        <w:tc>
          <w:tcPr>
            <w:tcW w:w="3402" w:type="dxa"/>
            <w:tcBorders>
              <w:bottom w:val="single" w:sz="4" w:space="0" w:color="auto"/>
            </w:tcBorders>
            <w:vAlign w:val="center"/>
          </w:tcPr>
          <w:p w:rsidR="00000000" w:rsidRDefault="00000000">
            <w:pPr>
              <w:keepNext/>
              <w:spacing w:line="240" w:lineRule="auto"/>
              <w:jc w:val="center"/>
              <w:rPr>
                <w:bCs/>
              </w:rPr>
            </w:pPr>
            <w:r>
              <w:rPr>
                <w:bCs/>
              </w:rPr>
              <w:t>Год</w:t>
            </w:r>
          </w:p>
        </w:tc>
        <w:tc>
          <w:tcPr>
            <w:tcW w:w="991" w:type="dxa"/>
            <w:tcBorders>
              <w:bottom w:val="single" w:sz="4" w:space="0" w:color="auto"/>
            </w:tcBorders>
            <w:vAlign w:val="center"/>
          </w:tcPr>
          <w:p w:rsidR="00000000" w:rsidRDefault="00000000">
            <w:pPr>
              <w:pStyle w:val="Header"/>
              <w:keepNext/>
              <w:spacing w:line="240" w:lineRule="auto"/>
              <w:jc w:val="center"/>
              <w:rPr>
                <w:bCs/>
                <w:lang w:val="en-US"/>
              </w:rPr>
            </w:pPr>
            <w:r>
              <w:rPr>
                <w:bCs/>
                <w:lang w:val="en-US"/>
              </w:rPr>
              <w:t>1997</w:t>
            </w:r>
          </w:p>
        </w:tc>
        <w:tc>
          <w:tcPr>
            <w:tcW w:w="992" w:type="dxa"/>
            <w:tcBorders>
              <w:bottom w:val="single" w:sz="4" w:space="0" w:color="auto"/>
            </w:tcBorders>
            <w:vAlign w:val="center"/>
          </w:tcPr>
          <w:p w:rsidR="00000000" w:rsidRDefault="00000000">
            <w:pPr>
              <w:keepNext/>
              <w:spacing w:line="240" w:lineRule="auto"/>
              <w:jc w:val="center"/>
              <w:rPr>
                <w:bCs/>
                <w:lang w:val="en-US"/>
              </w:rPr>
            </w:pPr>
            <w:r>
              <w:rPr>
                <w:bCs/>
                <w:lang w:val="en-US"/>
              </w:rPr>
              <w:t>1998</w:t>
            </w:r>
          </w:p>
        </w:tc>
        <w:tc>
          <w:tcPr>
            <w:tcW w:w="991" w:type="dxa"/>
            <w:tcBorders>
              <w:bottom w:val="single" w:sz="4" w:space="0" w:color="auto"/>
            </w:tcBorders>
            <w:vAlign w:val="center"/>
          </w:tcPr>
          <w:p w:rsidR="00000000" w:rsidRDefault="00000000">
            <w:pPr>
              <w:keepNext/>
              <w:spacing w:line="240" w:lineRule="auto"/>
              <w:jc w:val="center"/>
              <w:rPr>
                <w:bCs/>
                <w:lang w:val="en-US"/>
              </w:rPr>
            </w:pPr>
            <w:r>
              <w:rPr>
                <w:bCs/>
                <w:lang w:val="en-US"/>
              </w:rPr>
              <w:t>1999</w:t>
            </w:r>
          </w:p>
        </w:tc>
        <w:tc>
          <w:tcPr>
            <w:tcW w:w="992" w:type="dxa"/>
            <w:tcBorders>
              <w:bottom w:val="single" w:sz="4" w:space="0" w:color="auto"/>
            </w:tcBorders>
            <w:vAlign w:val="center"/>
          </w:tcPr>
          <w:p w:rsidR="00000000" w:rsidRDefault="00000000">
            <w:pPr>
              <w:keepNext/>
              <w:spacing w:line="240" w:lineRule="auto"/>
              <w:jc w:val="center"/>
              <w:rPr>
                <w:bCs/>
                <w:lang w:val="en-US"/>
              </w:rPr>
            </w:pPr>
            <w:r>
              <w:rPr>
                <w:bCs/>
                <w:lang w:val="en-US"/>
              </w:rPr>
              <w:t>2000</w:t>
            </w:r>
          </w:p>
        </w:tc>
        <w:tc>
          <w:tcPr>
            <w:tcW w:w="991" w:type="dxa"/>
            <w:tcBorders>
              <w:bottom w:val="single" w:sz="4" w:space="0" w:color="auto"/>
            </w:tcBorders>
            <w:vAlign w:val="center"/>
          </w:tcPr>
          <w:p w:rsidR="00000000" w:rsidRDefault="00000000">
            <w:pPr>
              <w:keepNext/>
              <w:spacing w:line="240" w:lineRule="auto"/>
              <w:jc w:val="center"/>
              <w:rPr>
                <w:bCs/>
                <w:lang w:val="en-US"/>
              </w:rPr>
            </w:pPr>
            <w:r>
              <w:rPr>
                <w:bCs/>
                <w:lang w:val="en-US"/>
              </w:rPr>
              <w:t>2001</w:t>
            </w:r>
          </w:p>
        </w:tc>
        <w:tc>
          <w:tcPr>
            <w:tcW w:w="992" w:type="dxa"/>
            <w:tcBorders>
              <w:bottom w:val="single" w:sz="4" w:space="0" w:color="auto"/>
            </w:tcBorders>
            <w:vAlign w:val="center"/>
          </w:tcPr>
          <w:p w:rsidR="00000000" w:rsidRDefault="00000000">
            <w:pPr>
              <w:keepNext/>
              <w:spacing w:line="240" w:lineRule="auto"/>
              <w:jc w:val="center"/>
              <w:rPr>
                <w:bCs/>
                <w:lang w:val="en-US"/>
              </w:rPr>
            </w:pPr>
            <w:r>
              <w:rPr>
                <w:bCs/>
                <w:lang w:val="en-US"/>
              </w:rPr>
              <w:t>2002</w:t>
            </w:r>
          </w:p>
        </w:tc>
      </w:tr>
      <w:tr w:rsidR="00000000">
        <w:trPr>
          <w:trHeight w:val="20"/>
        </w:trPr>
        <w:tc>
          <w:tcPr>
            <w:tcW w:w="3402" w:type="dxa"/>
            <w:tcBorders>
              <w:bottom w:val="single" w:sz="4" w:space="0" w:color="auto"/>
            </w:tcBorders>
          </w:tcPr>
          <w:p w:rsidR="00000000" w:rsidRDefault="00000000">
            <w:pPr>
              <w:pStyle w:val="Header"/>
              <w:tabs>
                <w:tab w:val="left" w:pos="195"/>
              </w:tabs>
              <w:spacing w:line="240" w:lineRule="auto"/>
              <w:ind w:left="195" w:hanging="195"/>
              <w:rPr>
                <w:bCs/>
              </w:rPr>
            </w:pPr>
            <w:r>
              <w:rPr>
                <w:bCs/>
              </w:rPr>
              <w:t>Валовые расходы предпринимательского сектора на НИОКР по отношению к ВВП</w:t>
            </w:r>
          </w:p>
        </w:tc>
        <w:tc>
          <w:tcPr>
            <w:tcW w:w="991" w:type="dxa"/>
            <w:tcBorders>
              <w:bottom w:val="single" w:sz="4" w:space="0" w:color="auto"/>
            </w:tcBorders>
          </w:tcPr>
          <w:p w:rsidR="00000000" w:rsidRDefault="00000000">
            <w:pPr>
              <w:spacing w:line="240" w:lineRule="auto"/>
              <w:jc w:val="center"/>
              <w:rPr>
                <w:bCs/>
              </w:rPr>
            </w:pPr>
            <w:r>
              <w:rPr>
                <w:bCs/>
              </w:rPr>
              <w:t>0,05</w:t>
            </w:r>
          </w:p>
        </w:tc>
        <w:tc>
          <w:tcPr>
            <w:tcW w:w="992" w:type="dxa"/>
            <w:tcBorders>
              <w:bottom w:val="single" w:sz="4" w:space="0" w:color="auto"/>
            </w:tcBorders>
          </w:tcPr>
          <w:p w:rsidR="00000000" w:rsidRDefault="00000000">
            <w:pPr>
              <w:pStyle w:val="FootnoteText"/>
              <w:jc w:val="center"/>
              <w:rPr>
                <w:bCs/>
              </w:rPr>
            </w:pPr>
            <w:r>
              <w:rPr>
                <w:bCs/>
              </w:rPr>
              <w:t>0,05</w:t>
            </w:r>
          </w:p>
        </w:tc>
        <w:tc>
          <w:tcPr>
            <w:tcW w:w="991" w:type="dxa"/>
            <w:tcBorders>
              <w:bottom w:val="single" w:sz="4" w:space="0" w:color="auto"/>
            </w:tcBorders>
          </w:tcPr>
          <w:p w:rsidR="00000000" w:rsidRDefault="00000000">
            <w:pPr>
              <w:spacing w:line="240" w:lineRule="auto"/>
              <w:jc w:val="center"/>
              <w:rPr>
                <w:bCs/>
              </w:rPr>
            </w:pPr>
            <w:r>
              <w:rPr>
                <w:bCs/>
              </w:rPr>
              <w:t>0,04</w:t>
            </w:r>
          </w:p>
        </w:tc>
        <w:tc>
          <w:tcPr>
            <w:tcW w:w="992" w:type="dxa"/>
            <w:tcBorders>
              <w:bottom w:val="single" w:sz="4" w:space="0" w:color="auto"/>
            </w:tcBorders>
          </w:tcPr>
          <w:p w:rsidR="00000000" w:rsidRDefault="00000000">
            <w:pPr>
              <w:spacing w:line="240" w:lineRule="auto"/>
              <w:jc w:val="center"/>
              <w:rPr>
                <w:bCs/>
              </w:rPr>
            </w:pPr>
            <w:r>
              <w:rPr>
                <w:bCs/>
              </w:rPr>
              <w:t>0,03</w:t>
            </w:r>
          </w:p>
        </w:tc>
        <w:tc>
          <w:tcPr>
            <w:tcW w:w="991" w:type="dxa"/>
            <w:tcBorders>
              <w:bottom w:val="single" w:sz="4" w:space="0" w:color="auto"/>
            </w:tcBorders>
          </w:tcPr>
          <w:p w:rsidR="00000000" w:rsidRDefault="00000000">
            <w:pPr>
              <w:spacing w:line="240" w:lineRule="auto"/>
              <w:jc w:val="center"/>
              <w:rPr>
                <w:bCs/>
              </w:rPr>
            </w:pPr>
            <w:r>
              <w:rPr>
                <w:bCs/>
              </w:rPr>
              <w:t>0,02</w:t>
            </w:r>
          </w:p>
        </w:tc>
        <w:tc>
          <w:tcPr>
            <w:tcW w:w="992" w:type="dxa"/>
            <w:tcBorders>
              <w:bottom w:val="single" w:sz="4" w:space="0" w:color="auto"/>
            </w:tcBorders>
          </w:tcPr>
          <w:p w:rsidR="00000000" w:rsidRDefault="00000000">
            <w:pPr>
              <w:spacing w:line="240" w:lineRule="auto"/>
              <w:jc w:val="center"/>
              <w:rPr>
                <w:bCs/>
              </w:rPr>
            </w:pPr>
            <w:r>
              <w:rPr>
                <w:bCs/>
              </w:rPr>
              <w:t>0,01</w:t>
            </w:r>
          </w:p>
        </w:tc>
      </w:tr>
      <w:tr w:rsidR="00000000">
        <w:trPr>
          <w:trHeight w:val="20"/>
        </w:trPr>
        <w:tc>
          <w:tcPr>
            <w:tcW w:w="3402" w:type="dxa"/>
            <w:tcBorders>
              <w:top w:val="single" w:sz="4" w:space="0" w:color="auto"/>
            </w:tcBorders>
          </w:tcPr>
          <w:p w:rsidR="00000000" w:rsidRDefault="00000000">
            <w:pPr>
              <w:pStyle w:val="Header"/>
              <w:tabs>
                <w:tab w:val="left" w:pos="195"/>
              </w:tabs>
              <w:spacing w:line="240" w:lineRule="auto"/>
              <w:ind w:left="195" w:hanging="195"/>
            </w:pPr>
            <w:r>
              <w:t xml:space="preserve">Валовые расходы предпринимательского </w:t>
            </w:r>
            <w:r>
              <w:rPr>
                <w:bCs/>
              </w:rPr>
              <w:t>сектора</w:t>
            </w:r>
            <w:r>
              <w:t xml:space="preserve"> на НИОКР по отношению к валовым государственным расходам</w:t>
            </w:r>
          </w:p>
        </w:tc>
        <w:tc>
          <w:tcPr>
            <w:tcW w:w="991" w:type="dxa"/>
            <w:tcBorders>
              <w:top w:val="single" w:sz="4" w:space="0" w:color="auto"/>
            </w:tcBorders>
          </w:tcPr>
          <w:p w:rsidR="00000000" w:rsidRDefault="00000000">
            <w:pPr>
              <w:spacing w:line="240" w:lineRule="auto"/>
              <w:jc w:val="center"/>
              <w:rPr>
                <w:bCs/>
              </w:rPr>
            </w:pPr>
            <w:r>
              <w:rPr>
                <w:bCs/>
              </w:rPr>
              <w:t>30,00</w:t>
            </w:r>
          </w:p>
        </w:tc>
        <w:tc>
          <w:tcPr>
            <w:tcW w:w="992" w:type="dxa"/>
            <w:tcBorders>
              <w:top w:val="single" w:sz="4" w:space="0" w:color="auto"/>
            </w:tcBorders>
          </w:tcPr>
          <w:p w:rsidR="00000000" w:rsidRDefault="00000000">
            <w:pPr>
              <w:spacing w:line="240" w:lineRule="auto"/>
              <w:jc w:val="center"/>
              <w:rPr>
                <w:bCs/>
              </w:rPr>
            </w:pPr>
            <w:r>
              <w:rPr>
                <w:bCs/>
              </w:rPr>
              <w:t>32,65</w:t>
            </w:r>
          </w:p>
        </w:tc>
        <w:tc>
          <w:tcPr>
            <w:tcW w:w="991" w:type="dxa"/>
            <w:tcBorders>
              <w:top w:val="single" w:sz="4" w:space="0" w:color="auto"/>
            </w:tcBorders>
          </w:tcPr>
          <w:p w:rsidR="00000000" w:rsidRDefault="00000000">
            <w:pPr>
              <w:spacing w:line="240" w:lineRule="auto"/>
              <w:jc w:val="center"/>
              <w:rPr>
                <w:bCs/>
              </w:rPr>
            </w:pPr>
            <w:r>
              <w:rPr>
                <w:bCs/>
              </w:rPr>
              <w:t>27,31</w:t>
            </w:r>
          </w:p>
        </w:tc>
        <w:tc>
          <w:tcPr>
            <w:tcW w:w="992" w:type="dxa"/>
            <w:tcBorders>
              <w:top w:val="single" w:sz="4" w:space="0" w:color="auto"/>
            </w:tcBorders>
          </w:tcPr>
          <w:p w:rsidR="00000000" w:rsidRDefault="00000000">
            <w:pPr>
              <w:spacing w:line="240" w:lineRule="auto"/>
              <w:jc w:val="center"/>
              <w:rPr>
                <w:bCs/>
              </w:rPr>
            </w:pPr>
            <w:r>
              <w:rPr>
                <w:bCs/>
              </w:rPr>
              <w:t>16,72</w:t>
            </w:r>
          </w:p>
        </w:tc>
        <w:tc>
          <w:tcPr>
            <w:tcW w:w="991" w:type="dxa"/>
            <w:tcBorders>
              <w:top w:val="single" w:sz="4" w:space="0" w:color="auto"/>
            </w:tcBorders>
          </w:tcPr>
          <w:p w:rsidR="00000000" w:rsidRDefault="00000000">
            <w:pPr>
              <w:spacing w:line="240" w:lineRule="auto"/>
              <w:jc w:val="center"/>
              <w:rPr>
                <w:bCs/>
              </w:rPr>
            </w:pPr>
            <w:r>
              <w:rPr>
                <w:bCs/>
              </w:rPr>
              <w:t>11,96</w:t>
            </w:r>
          </w:p>
        </w:tc>
        <w:tc>
          <w:tcPr>
            <w:tcW w:w="992" w:type="dxa"/>
            <w:tcBorders>
              <w:top w:val="single" w:sz="4" w:space="0" w:color="auto"/>
            </w:tcBorders>
          </w:tcPr>
          <w:p w:rsidR="00000000" w:rsidRDefault="00000000">
            <w:pPr>
              <w:spacing w:line="240" w:lineRule="auto"/>
              <w:jc w:val="center"/>
              <w:rPr>
                <w:bCs/>
              </w:rPr>
            </w:pPr>
            <w:r>
              <w:rPr>
                <w:bCs/>
              </w:rPr>
              <w:t>4,60</w:t>
            </w:r>
          </w:p>
        </w:tc>
      </w:tr>
    </w:tbl>
    <w:p w:rsidR="00000000" w:rsidRDefault="00000000"/>
    <w:p w:rsidR="00000000" w:rsidRDefault="00000000">
      <w:r>
        <w:tab/>
      </w:r>
      <w:r>
        <w:rPr>
          <w:i/>
          <w:iCs/>
        </w:rPr>
        <w:t>Источник</w:t>
      </w:r>
      <w:r>
        <w:t>:  Государственное статистическое управление.</w:t>
      </w:r>
    </w:p>
    <w:p w:rsidR="00000000" w:rsidRDefault="00000000"/>
    <w:p w:rsidR="00000000" w:rsidRDefault="00000000">
      <w:pPr>
        <w:pStyle w:val="Heading2"/>
        <w:jc w:val="center"/>
        <w:rPr>
          <w:b/>
          <w:bCs/>
          <w:u w:val="none"/>
        </w:rPr>
      </w:pPr>
      <w:r>
        <w:rPr>
          <w:b/>
          <w:bCs/>
          <w:u w:val="none"/>
        </w:rPr>
        <w:t>Высшее образование и научно-исследовательские и опытно-конструкторские работы:  число выпускников вузов, области специализации,</w:t>
      </w:r>
      <w:r>
        <w:rPr>
          <w:b/>
          <w:bCs/>
          <w:u w:val="none"/>
        </w:rPr>
        <w:br/>
        <w:t>вузовское/послевузовское образование</w:t>
      </w:r>
    </w:p>
    <w:p w:rsidR="00000000" w:rsidRDefault="00000000">
      <w:pPr>
        <w:pStyle w:val="Heading2"/>
        <w:jc w:val="center"/>
        <w:rPr>
          <w:b/>
          <w:bCs/>
          <w:u w:val="none"/>
        </w:rPr>
      </w:pPr>
    </w:p>
    <w:p w:rsidR="00000000" w:rsidRDefault="00000000">
      <w:pPr>
        <w:jc w:val="center"/>
        <w:rPr>
          <w:b/>
          <w:bCs/>
        </w:rPr>
      </w:pPr>
      <w:r>
        <w:rPr>
          <w:b/>
          <w:bCs/>
        </w:rPr>
        <w:t>Высшее образование</w:t>
      </w:r>
    </w:p>
    <w:p w:rsidR="00000000" w:rsidRDefault="00000000">
      <w:pPr>
        <w:jc w:val="center"/>
        <w:rPr>
          <w:b/>
          <w:bCs/>
        </w:rPr>
      </w:pPr>
    </w:p>
    <w:tbl>
      <w:tblPr>
        <w:tblW w:w="0" w:type="auto"/>
        <w:tblInd w:w="5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2835"/>
        <w:gridCol w:w="930"/>
        <w:gridCol w:w="931"/>
        <w:gridCol w:w="931"/>
        <w:gridCol w:w="931"/>
        <w:gridCol w:w="931"/>
        <w:gridCol w:w="931"/>
        <w:gridCol w:w="931"/>
      </w:tblGrid>
      <w:tr w:rsidR="00000000">
        <w:trPr>
          <w:tblHeader/>
        </w:trPr>
        <w:tc>
          <w:tcPr>
            <w:tcW w:w="2835" w:type="dxa"/>
            <w:tcBorders>
              <w:top w:val="single" w:sz="4" w:space="0" w:color="auto"/>
              <w:bottom w:val="single" w:sz="4" w:space="0" w:color="auto"/>
            </w:tcBorders>
            <w:vAlign w:val="bottom"/>
          </w:tcPr>
          <w:p w:rsidR="00000000" w:rsidRDefault="00000000">
            <w:pPr>
              <w:keepNext/>
              <w:spacing w:line="240" w:lineRule="auto"/>
              <w:rPr>
                <w:bCs/>
              </w:rPr>
            </w:pPr>
          </w:p>
        </w:tc>
        <w:tc>
          <w:tcPr>
            <w:tcW w:w="930" w:type="dxa"/>
            <w:tcBorders>
              <w:top w:val="single" w:sz="4" w:space="0" w:color="auto"/>
              <w:bottom w:val="single" w:sz="4" w:space="0" w:color="auto"/>
            </w:tcBorders>
          </w:tcPr>
          <w:p w:rsidR="00000000" w:rsidRDefault="00000000">
            <w:pPr>
              <w:keepNext/>
              <w:spacing w:line="240" w:lineRule="auto"/>
              <w:jc w:val="center"/>
              <w:rPr>
                <w:bCs/>
                <w:lang w:val="en-US"/>
              </w:rPr>
            </w:pPr>
            <w:r>
              <w:rPr>
                <w:bCs/>
                <w:lang w:val="en-US"/>
              </w:rPr>
              <w:t>1997</w:t>
            </w:r>
          </w:p>
        </w:tc>
        <w:tc>
          <w:tcPr>
            <w:tcW w:w="931" w:type="dxa"/>
            <w:tcBorders>
              <w:top w:val="single" w:sz="4" w:space="0" w:color="auto"/>
              <w:bottom w:val="single" w:sz="4" w:space="0" w:color="auto"/>
            </w:tcBorders>
          </w:tcPr>
          <w:p w:rsidR="00000000" w:rsidRDefault="00000000">
            <w:pPr>
              <w:keepNext/>
              <w:spacing w:line="240" w:lineRule="auto"/>
              <w:jc w:val="center"/>
              <w:rPr>
                <w:bCs/>
                <w:lang w:val="en-US"/>
              </w:rPr>
            </w:pPr>
            <w:r>
              <w:rPr>
                <w:bCs/>
                <w:lang w:val="en-US"/>
              </w:rPr>
              <w:t>1998</w:t>
            </w:r>
          </w:p>
        </w:tc>
        <w:tc>
          <w:tcPr>
            <w:tcW w:w="931" w:type="dxa"/>
            <w:tcBorders>
              <w:top w:val="single" w:sz="4" w:space="0" w:color="auto"/>
              <w:bottom w:val="single" w:sz="4" w:space="0" w:color="auto"/>
            </w:tcBorders>
          </w:tcPr>
          <w:p w:rsidR="00000000" w:rsidRDefault="00000000">
            <w:pPr>
              <w:keepNext/>
              <w:spacing w:line="240" w:lineRule="auto"/>
              <w:jc w:val="center"/>
              <w:rPr>
                <w:bCs/>
                <w:lang w:val="en-US"/>
              </w:rPr>
            </w:pPr>
            <w:r>
              <w:rPr>
                <w:bCs/>
                <w:lang w:val="en-US"/>
              </w:rPr>
              <w:t>1999</w:t>
            </w:r>
          </w:p>
        </w:tc>
        <w:tc>
          <w:tcPr>
            <w:tcW w:w="931" w:type="dxa"/>
            <w:tcBorders>
              <w:top w:val="single" w:sz="4" w:space="0" w:color="auto"/>
              <w:bottom w:val="single" w:sz="4" w:space="0" w:color="auto"/>
            </w:tcBorders>
          </w:tcPr>
          <w:p w:rsidR="00000000" w:rsidRDefault="00000000">
            <w:pPr>
              <w:keepNext/>
              <w:spacing w:line="240" w:lineRule="auto"/>
              <w:jc w:val="center"/>
              <w:rPr>
                <w:bCs/>
                <w:lang w:val="en-US"/>
              </w:rPr>
            </w:pPr>
            <w:r>
              <w:rPr>
                <w:bCs/>
                <w:lang w:val="en-US"/>
              </w:rPr>
              <w:t>2000</w:t>
            </w:r>
          </w:p>
        </w:tc>
        <w:tc>
          <w:tcPr>
            <w:tcW w:w="931" w:type="dxa"/>
            <w:tcBorders>
              <w:top w:val="single" w:sz="4" w:space="0" w:color="auto"/>
              <w:bottom w:val="single" w:sz="4" w:space="0" w:color="auto"/>
            </w:tcBorders>
          </w:tcPr>
          <w:p w:rsidR="00000000" w:rsidRDefault="00000000">
            <w:pPr>
              <w:keepNext/>
              <w:spacing w:line="240" w:lineRule="auto"/>
              <w:jc w:val="center"/>
              <w:rPr>
                <w:bCs/>
                <w:lang w:val="en-US"/>
              </w:rPr>
            </w:pPr>
            <w:r>
              <w:rPr>
                <w:bCs/>
                <w:lang w:val="en-US"/>
              </w:rPr>
              <w:t>2001</w:t>
            </w:r>
          </w:p>
        </w:tc>
        <w:tc>
          <w:tcPr>
            <w:tcW w:w="931" w:type="dxa"/>
            <w:tcBorders>
              <w:top w:val="single" w:sz="4" w:space="0" w:color="auto"/>
              <w:bottom w:val="single" w:sz="4" w:space="0" w:color="auto"/>
            </w:tcBorders>
          </w:tcPr>
          <w:p w:rsidR="00000000" w:rsidRDefault="00000000">
            <w:pPr>
              <w:keepNext/>
              <w:spacing w:line="240" w:lineRule="auto"/>
              <w:jc w:val="center"/>
              <w:rPr>
                <w:bCs/>
                <w:lang w:val="en-US"/>
              </w:rPr>
            </w:pPr>
            <w:r>
              <w:rPr>
                <w:bCs/>
                <w:lang w:val="en-US"/>
              </w:rPr>
              <w:t>2002</w:t>
            </w:r>
          </w:p>
        </w:tc>
        <w:tc>
          <w:tcPr>
            <w:tcW w:w="931" w:type="dxa"/>
            <w:tcBorders>
              <w:top w:val="single" w:sz="4" w:space="0" w:color="auto"/>
              <w:bottom w:val="single" w:sz="4" w:space="0" w:color="auto"/>
            </w:tcBorders>
          </w:tcPr>
          <w:p w:rsidR="00000000" w:rsidRDefault="00000000">
            <w:pPr>
              <w:keepNext/>
              <w:spacing w:line="240" w:lineRule="auto"/>
              <w:jc w:val="center"/>
              <w:rPr>
                <w:bCs/>
                <w:lang w:val="en-US"/>
              </w:rPr>
            </w:pPr>
            <w:r>
              <w:rPr>
                <w:bCs/>
                <w:lang w:val="en-US"/>
              </w:rPr>
              <w:t>2003</w:t>
            </w:r>
          </w:p>
        </w:tc>
      </w:tr>
      <w:tr w:rsidR="00000000">
        <w:tc>
          <w:tcPr>
            <w:tcW w:w="2835" w:type="dxa"/>
            <w:tcBorders>
              <w:top w:val="single" w:sz="4" w:space="0" w:color="auto"/>
            </w:tcBorders>
            <w:vAlign w:val="bottom"/>
          </w:tcPr>
          <w:p w:rsidR="00000000" w:rsidRDefault="00000000">
            <w:pPr>
              <w:pStyle w:val="Header"/>
              <w:tabs>
                <w:tab w:val="left" w:pos="195"/>
              </w:tabs>
              <w:spacing w:line="240" w:lineRule="auto"/>
              <w:ind w:left="195" w:hanging="195"/>
            </w:pPr>
            <w:r>
              <w:t>Всего</w:t>
            </w:r>
          </w:p>
        </w:tc>
        <w:tc>
          <w:tcPr>
            <w:tcW w:w="930" w:type="dxa"/>
            <w:tcBorders>
              <w:top w:val="single" w:sz="4" w:space="0" w:color="auto"/>
            </w:tcBorders>
          </w:tcPr>
          <w:p w:rsidR="00000000" w:rsidRDefault="00000000">
            <w:pPr>
              <w:spacing w:line="240" w:lineRule="auto"/>
              <w:ind w:left="-79" w:right="113"/>
              <w:jc w:val="right"/>
              <w:rPr>
                <w:bCs/>
                <w:lang w:val="en-US"/>
              </w:rPr>
            </w:pPr>
            <w:r>
              <w:rPr>
                <w:bCs/>
                <w:lang w:val="en-US"/>
              </w:rPr>
              <w:t>3 049</w:t>
            </w:r>
          </w:p>
        </w:tc>
        <w:tc>
          <w:tcPr>
            <w:tcW w:w="931" w:type="dxa"/>
            <w:tcBorders>
              <w:top w:val="single" w:sz="4" w:space="0" w:color="auto"/>
            </w:tcBorders>
          </w:tcPr>
          <w:p w:rsidR="00000000" w:rsidRDefault="00000000">
            <w:pPr>
              <w:spacing w:line="240" w:lineRule="auto"/>
              <w:ind w:left="-79" w:right="113"/>
              <w:jc w:val="right"/>
              <w:rPr>
                <w:bCs/>
                <w:lang w:val="en-US"/>
              </w:rPr>
            </w:pPr>
            <w:r>
              <w:rPr>
                <w:bCs/>
                <w:lang w:val="en-US"/>
              </w:rPr>
              <w:t>2 956</w:t>
            </w:r>
          </w:p>
        </w:tc>
        <w:tc>
          <w:tcPr>
            <w:tcW w:w="931" w:type="dxa"/>
            <w:tcBorders>
              <w:top w:val="single" w:sz="4" w:space="0" w:color="auto"/>
            </w:tcBorders>
          </w:tcPr>
          <w:p w:rsidR="00000000" w:rsidRDefault="00000000">
            <w:pPr>
              <w:spacing w:line="240" w:lineRule="auto"/>
              <w:ind w:left="-79" w:right="113"/>
              <w:jc w:val="right"/>
              <w:rPr>
                <w:bCs/>
                <w:lang w:val="en-US"/>
              </w:rPr>
            </w:pPr>
            <w:r>
              <w:rPr>
                <w:bCs/>
                <w:lang w:val="en-US"/>
              </w:rPr>
              <w:t>3 687</w:t>
            </w:r>
          </w:p>
        </w:tc>
        <w:tc>
          <w:tcPr>
            <w:tcW w:w="931" w:type="dxa"/>
            <w:tcBorders>
              <w:top w:val="single" w:sz="4" w:space="0" w:color="auto"/>
            </w:tcBorders>
          </w:tcPr>
          <w:p w:rsidR="00000000" w:rsidRDefault="00000000">
            <w:pPr>
              <w:spacing w:line="240" w:lineRule="auto"/>
              <w:ind w:left="-79" w:right="113"/>
              <w:jc w:val="right"/>
              <w:rPr>
                <w:bCs/>
                <w:lang w:val="en-US"/>
              </w:rPr>
            </w:pPr>
            <w:r>
              <w:rPr>
                <w:bCs/>
                <w:lang w:val="en-US"/>
              </w:rPr>
              <w:t>3 706</w:t>
            </w:r>
          </w:p>
        </w:tc>
        <w:tc>
          <w:tcPr>
            <w:tcW w:w="931" w:type="dxa"/>
            <w:tcBorders>
              <w:top w:val="single" w:sz="4" w:space="0" w:color="auto"/>
            </w:tcBorders>
          </w:tcPr>
          <w:p w:rsidR="00000000" w:rsidRDefault="00000000">
            <w:pPr>
              <w:spacing w:line="240" w:lineRule="auto"/>
              <w:ind w:left="-79" w:right="113"/>
              <w:jc w:val="right"/>
              <w:rPr>
                <w:bCs/>
                <w:lang w:val="en-US"/>
              </w:rPr>
            </w:pPr>
            <w:r>
              <w:rPr>
                <w:bCs/>
                <w:lang w:val="en-US"/>
              </w:rPr>
              <w:t>3 446</w:t>
            </w:r>
          </w:p>
        </w:tc>
        <w:tc>
          <w:tcPr>
            <w:tcW w:w="931" w:type="dxa"/>
            <w:tcBorders>
              <w:top w:val="single" w:sz="4" w:space="0" w:color="auto"/>
            </w:tcBorders>
          </w:tcPr>
          <w:p w:rsidR="00000000" w:rsidRDefault="00000000">
            <w:pPr>
              <w:spacing w:line="240" w:lineRule="auto"/>
              <w:ind w:left="-79" w:right="113"/>
              <w:jc w:val="right"/>
              <w:rPr>
                <w:bCs/>
                <w:lang w:val="en-US"/>
              </w:rPr>
            </w:pPr>
            <w:r>
              <w:rPr>
                <w:bCs/>
                <w:lang w:val="en-US"/>
              </w:rPr>
              <w:t>3 603</w:t>
            </w:r>
          </w:p>
        </w:tc>
        <w:tc>
          <w:tcPr>
            <w:tcW w:w="931" w:type="dxa"/>
            <w:tcBorders>
              <w:top w:val="single" w:sz="4" w:space="0" w:color="auto"/>
            </w:tcBorders>
          </w:tcPr>
          <w:p w:rsidR="00000000" w:rsidRDefault="00000000">
            <w:pPr>
              <w:spacing w:line="240" w:lineRule="auto"/>
              <w:ind w:left="-79" w:right="113"/>
              <w:jc w:val="right"/>
              <w:rPr>
                <w:bCs/>
                <w:lang w:val="en-US"/>
              </w:rPr>
            </w:pPr>
            <w:r>
              <w:rPr>
                <w:bCs/>
                <w:lang w:val="en-US"/>
              </w:rPr>
              <w:t>4 382</w:t>
            </w:r>
          </w:p>
        </w:tc>
      </w:tr>
      <w:tr w:rsidR="00000000">
        <w:tc>
          <w:tcPr>
            <w:tcW w:w="2835" w:type="dxa"/>
            <w:vAlign w:val="bottom"/>
          </w:tcPr>
          <w:p w:rsidR="00000000" w:rsidRDefault="00000000">
            <w:pPr>
              <w:pStyle w:val="Header"/>
              <w:tabs>
                <w:tab w:val="left" w:pos="195"/>
              </w:tabs>
              <w:spacing w:line="240" w:lineRule="auto"/>
              <w:ind w:left="195" w:hanging="195"/>
            </w:pPr>
            <w:r>
              <w:t>Естественные науки и математика</w:t>
            </w:r>
          </w:p>
        </w:tc>
        <w:tc>
          <w:tcPr>
            <w:tcW w:w="930" w:type="dxa"/>
          </w:tcPr>
          <w:p w:rsidR="00000000" w:rsidRDefault="00000000">
            <w:pPr>
              <w:spacing w:line="240" w:lineRule="auto"/>
              <w:ind w:left="-79" w:right="113"/>
              <w:jc w:val="right"/>
              <w:rPr>
                <w:bCs/>
                <w:lang w:val="en-US"/>
              </w:rPr>
            </w:pPr>
            <w:r>
              <w:rPr>
                <w:bCs/>
                <w:lang w:val="en-US"/>
              </w:rPr>
              <w:t>165</w:t>
            </w:r>
          </w:p>
        </w:tc>
        <w:tc>
          <w:tcPr>
            <w:tcW w:w="931" w:type="dxa"/>
          </w:tcPr>
          <w:p w:rsidR="00000000" w:rsidRDefault="00000000">
            <w:pPr>
              <w:pStyle w:val="Header"/>
              <w:spacing w:line="240" w:lineRule="auto"/>
              <w:ind w:left="-79" w:right="113"/>
              <w:jc w:val="right"/>
              <w:rPr>
                <w:bCs/>
                <w:lang w:val="en-US"/>
              </w:rPr>
            </w:pPr>
            <w:r>
              <w:rPr>
                <w:bCs/>
                <w:lang w:val="en-US"/>
              </w:rPr>
              <w:t>243</w:t>
            </w:r>
          </w:p>
        </w:tc>
        <w:tc>
          <w:tcPr>
            <w:tcW w:w="931" w:type="dxa"/>
          </w:tcPr>
          <w:p w:rsidR="00000000" w:rsidRDefault="00000000">
            <w:pPr>
              <w:spacing w:line="240" w:lineRule="auto"/>
              <w:ind w:left="-79" w:right="113"/>
              <w:jc w:val="right"/>
              <w:rPr>
                <w:bCs/>
                <w:lang w:val="en-US"/>
              </w:rPr>
            </w:pPr>
            <w:r>
              <w:rPr>
                <w:bCs/>
                <w:lang w:val="en-US"/>
              </w:rPr>
              <w:t>203</w:t>
            </w:r>
          </w:p>
        </w:tc>
        <w:tc>
          <w:tcPr>
            <w:tcW w:w="931" w:type="dxa"/>
          </w:tcPr>
          <w:p w:rsidR="00000000" w:rsidRDefault="00000000">
            <w:pPr>
              <w:spacing w:line="240" w:lineRule="auto"/>
              <w:ind w:left="-79" w:right="113"/>
              <w:jc w:val="right"/>
              <w:rPr>
                <w:bCs/>
                <w:lang w:val="en-US"/>
              </w:rPr>
            </w:pPr>
            <w:r>
              <w:rPr>
                <w:bCs/>
                <w:lang w:val="en-US"/>
              </w:rPr>
              <w:t>245</w:t>
            </w:r>
          </w:p>
        </w:tc>
        <w:tc>
          <w:tcPr>
            <w:tcW w:w="931" w:type="dxa"/>
          </w:tcPr>
          <w:p w:rsidR="00000000" w:rsidRDefault="00000000">
            <w:pPr>
              <w:spacing w:line="240" w:lineRule="auto"/>
              <w:ind w:left="-79" w:right="113"/>
              <w:jc w:val="right"/>
              <w:rPr>
                <w:bCs/>
                <w:lang w:val="en-US"/>
              </w:rPr>
            </w:pPr>
            <w:r>
              <w:rPr>
                <w:bCs/>
                <w:lang w:val="en-US"/>
              </w:rPr>
              <w:t>235</w:t>
            </w:r>
          </w:p>
        </w:tc>
        <w:tc>
          <w:tcPr>
            <w:tcW w:w="931" w:type="dxa"/>
          </w:tcPr>
          <w:p w:rsidR="00000000" w:rsidRDefault="00000000">
            <w:pPr>
              <w:spacing w:line="240" w:lineRule="auto"/>
              <w:ind w:left="-79" w:right="113"/>
              <w:jc w:val="right"/>
              <w:rPr>
                <w:bCs/>
                <w:lang w:val="en-US"/>
              </w:rPr>
            </w:pPr>
            <w:r>
              <w:rPr>
                <w:bCs/>
                <w:lang w:val="en-US"/>
              </w:rPr>
              <w:t>246</w:t>
            </w:r>
          </w:p>
        </w:tc>
        <w:tc>
          <w:tcPr>
            <w:tcW w:w="931" w:type="dxa"/>
          </w:tcPr>
          <w:p w:rsidR="00000000" w:rsidRDefault="00000000">
            <w:pPr>
              <w:spacing w:line="240" w:lineRule="auto"/>
              <w:ind w:left="-79" w:right="113"/>
              <w:jc w:val="right"/>
              <w:rPr>
                <w:bCs/>
                <w:lang w:val="en-US"/>
              </w:rPr>
            </w:pPr>
            <w:r>
              <w:rPr>
                <w:bCs/>
                <w:lang w:val="en-US"/>
              </w:rPr>
              <w:t>272</w:t>
            </w:r>
          </w:p>
        </w:tc>
      </w:tr>
      <w:tr w:rsidR="00000000">
        <w:tc>
          <w:tcPr>
            <w:tcW w:w="2835" w:type="dxa"/>
            <w:vAlign w:val="bottom"/>
          </w:tcPr>
          <w:p w:rsidR="00000000" w:rsidRDefault="00000000">
            <w:pPr>
              <w:pStyle w:val="Header"/>
              <w:tabs>
                <w:tab w:val="left" w:pos="195"/>
              </w:tabs>
              <w:spacing w:line="240" w:lineRule="auto"/>
              <w:ind w:left="195" w:hanging="195"/>
            </w:pPr>
            <w:r>
              <w:t>Технические и технологические науки</w:t>
            </w:r>
          </w:p>
        </w:tc>
        <w:tc>
          <w:tcPr>
            <w:tcW w:w="930" w:type="dxa"/>
          </w:tcPr>
          <w:p w:rsidR="00000000" w:rsidRDefault="00000000">
            <w:pPr>
              <w:spacing w:line="240" w:lineRule="auto"/>
              <w:ind w:left="-79" w:right="113"/>
              <w:jc w:val="right"/>
              <w:rPr>
                <w:bCs/>
                <w:lang w:val="en-US"/>
              </w:rPr>
            </w:pPr>
            <w:r>
              <w:rPr>
                <w:bCs/>
                <w:lang w:val="en-US"/>
              </w:rPr>
              <w:t>939</w:t>
            </w:r>
          </w:p>
        </w:tc>
        <w:tc>
          <w:tcPr>
            <w:tcW w:w="931" w:type="dxa"/>
          </w:tcPr>
          <w:p w:rsidR="00000000" w:rsidRDefault="00000000">
            <w:pPr>
              <w:spacing w:line="240" w:lineRule="auto"/>
              <w:ind w:left="-79" w:right="113"/>
              <w:jc w:val="right"/>
              <w:rPr>
                <w:bCs/>
                <w:lang w:val="en-US"/>
              </w:rPr>
            </w:pPr>
            <w:r>
              <w:rPr>
                <w:bCs/>
                <w:lang w:val="en-US"/>
              </w:rPr>
              <w:t>844</w:t>
            </w:r>
          </w:p>
        </w:tc>
        <w:tc>
          <w:tcPr>
            <w:tcW w:w="931" w:type="dxa"/>
          </w:tcPr>
          <w:p w:rsidR="00000000" w:rsidRDefault="00000000">
            <w:pPr>
              <w:spacing w:line="240" w:lineRule="auto"/>
              <w:ind w:left="-79" w:right="113"/>
              <w:jc w:val="right"/>
              <w:rPr>
                <w:bCs/>
                <w:lang w:val="en-US"/>
              </w:rPr>
            </w:pPr>
            <w:r>
              <w:rPr>
                <w:bCs/>
                <w:lang w:val="en-US"/>
              </w:rPr>
              <w:t>881</w:t>
            </w:r>
          </w:p>
        </w:tc>
        <w:tc>
          <w:tcPr>
            <w:tcW w:w="931" w:type="dxa"/>
          </w:tcPr>
          <w:p w:rsidR="00000000" w:rsidRDefault="00000000">
            <w:pPr>
              <w:spacing w:line="240" w:lineRule="auto"/>
              <w:ind w:left="-79" w:right="113"/>
              <w:jc w:val="right"/>
              <w:rPr>
                <w:bCs/>
                <w:lang w:val="en-US"/>
              </w:rPr>
            </w:pPr>
            <w:r>
              <w:rPr>
                <w:bCs/>
                <w:lang w:val="en-US"/>
              </w:rPr>
              <w:t>840</w:t>
            </w:r>
          </w:p>
        </w:tc>
        <w:tc>
          <w:tcPr>
            <w:tcW w:w="931" w:type="dxa"/>
          </w:tcPr>
          <w:p w:rsidR="00000000" w:rsidRDefault="00000000">
            <w:pPr>
              <w:spacing w:line="240" w:lineRule="auto"/>
              <w:ind w:left="-79" w:right="113"/>
              <w:jc w:val="right"/>
              <w:rPr>
                <w:bCs/>
                <w:lang w:val="en-US"/>
              </w:rPr>
            </w:pPr>
            <w:r>
              <w:rPr>
                <w:bCs/>
                <w:lang w:val="en-US"/>
              </w:rPr>
              <w:t>693</w:t>
            </w:r>
          </w:p>
        </w:tc>
        <w:tc>
          <w:tcPr>
            <w:tcW w:w="931" w:type="dxa"/>
          </w:tcPr>
          <w:p w:rsidR="00000000" w:rsidRDefault="00000000">
            <w:pPr>
              <w:spacing w:line="240" w:lineRule="auto"/>
              <w:ind w:left="-79" w:right="113"/>
              <w:jc w:val="right"/>
              <w:rPr>
                <w:bCs/>
                <w:lang w:val="en-US"/>
              </w:rPr>
            </w:pPr>
            <w:r>
              <w:rPr>
                <w:bCs/>
                <w:lang w:val="en-US"/>
              </w:rPr>
              <w:t>642</w:t>
            </w:r>
          </w:p>
        </w:tc>
        <w:tc>
          <w:tcPr>
            <w:tcW w:w="931" w:type="dxa"/>
          </w:tcPr>
          <w:p w:rsidR="00000000" w:rsidRDefault="00000000">
            <w:pPr>
              <w:spacing w:line="240" w:lineRule="auto"/>
              <w:ind w:left="-79" w:right="113"/>
              <w:jc w:val="right"/>
              <w:rPr>
                <w:bCs/>
                <w:lang w:val="en-US"/>
              </w:rPr>
            </w:pPr>
            <w:r>
              <w:rPr>
                <w:bCs/>
                <w:lang w:val="en-US"/>
              </w:rPr>
              <w:t>690</w:t>
            </w:r>
          </w:p>
        </w:tc>
      </w:tr>
      <w:tr w:rsidR="00000000">
        <w:trPr>
          <w:trHeight w:val="285"/>
        </w:trPr>
        <w:tc>
          <w:tcPr>
            <w:tcW w:w="2835" w:type="dxa"/>
            <w:vAlign w:val="bottom"/>
          </w:tcPr>
          <w:p w:rsidR="00000000" w:rsidRDefault="00000000">
            <w:pPr>
              <w:pStyle w:val="Header"/>
              <w:tabs>
                <w:tab w:val="left" w:pos="195"/>
              </w:tabs>
              <w:spacing w:line="240" w:lineRule="auto"/>
              <w:ind w:left="195" w:hanging="195"/>
            </w:pPr>
            <w:r>
              <w:t>Медицина</w:t>
            </w:r>
          </w:p>
        </w:tc>
        <w:tc>
          <w:tcPr>
            <w:tcW w:w="930" w:type="dxa"/>
          </w:tcPr>
          <w:p w:rsidR="00000000" w:rsidRDefault="00000000">
            <w:pPr>
              <w:spacing w:line="240" w:lineRule="auto"/>
              <w:ind w:left="-79" w:right="113"/>
              <w:jc w:val="right"/>
              <w:rPr>
                <w:bCs/>
                <w:lang w:val="en-US"/>
              </w:rPr>
            </w:pPr>
            <w:r>
              <w:rPr>
                <w:bCs/>
                <w:lang w:val="en-US"/>
              </w:rPr>
              <w:t>369</w:t>
            </w:r>
          </w:p>
        </w:tc>
        <w:tc>
          <w:tcPr>
            <w:tcW w:w="931" w:type="dxa"/>
          </w:tcPr>
          <w:p w:rsidR="00000000" w:rsidRDefault="00000000">
            <w:pPr>
              <w:spacing w:line="240" w:lineRule="auto"/>
              <w:ind w:left="-79" w:right="113"/>
              <w:jc w:val="right"/>
              <w:rPr>
                <w:bCs/>
                <w:lang w:val="en-US"/>
              </w:rPr>
            </w:pPr>
            <w:r>
              <w:rPr>
                <w:bCs/>
                <w:lang w:val="en-US"/>
              </w:rPr>
              <w:t>357</w:t>
            </w:r>
          </w:p>
        </w:tc>
        <w:tc>
          <w:tcPr>
            <w:tcW w:w="931" w:type="dxa"/>
          </w:tcPr>
          <w:p w:rsidR="00000000" w:rsidRDefault="00000000">
            <w:pPr>
              <w:spacing w:line="240" w:lineRule="auto"/>
              <w:ind w:left="-79" w:right="113"/>
              <w:jc w:val="right"/>
              <w:rPr>
                <w:bCs/>
                <w:lang w:val="en-US"/>
              </w:rPr>
            </w:pPr>
            <w:r>
              <w:rPr>
                <w:bCs/>
                <w:lang w:val="en-US"/>
              </w:rPr>
              <w:t>344</w:t>
            </w:r>
          </w:p>
        </w:tc>
        <w:tc>
          <w:tcPr>
            <w:tcW w:w="931" w:type="dxa"/>
          </w:tcPr>
          <w:p w:rsidR="00000000" w:rsidRDefault="00000000">
            <w:pPr>
              <w:spacing w:line="240" w:lineRule="auto"/>
              <w:ind w:left="-79" w:right="113"/>
              <w:jc w:val="right"/>
              <w:rPr>
                <w:bCs/>
                <w:lang w:val="en-US"/>
              </w:rPr>
            </w:pPr>
            <w:r>
              <w:rPr>
                <w:bCs/>
                <w:lang w:val="en-US"/>
              </w:rPr>
              <w:t>388</w:t>
            </w:r>
          </w:p>
        </w:tc>
        <w:tc>
          <w:tcPr>
            <w:tcW w:w="931" w:type="dxa"/>
          </w:tcPr>
          <w:p w:rsidR="00000000" w:rsidRDefault="00000000">
            <w:pPr>
              <w:spacing w:line="240" w:lineRule="auto"/>
              <w:ind w:left="-79" w:right="113"/>
              <w:jc w:val="right"/>
              <w:rPr>
                <w:bCs/>
                <w:lang w:val="en-US"/>
              </w:rPr>
            </w:pPr>
            <w:r>
              <w:rPr>
                <w:bCs/>
                <w:lang w:val="en-US"/>
              </w:rPr>
              <w:t>360</w:t>
            </w:r>
          </w:p>
        </w:tc>
        <w:tc>
          <w:tcPr>
            <w:tcW w:w="931" w:type="dxa"/>
          </w:tcPr>
          <w:p w:rsidR="00000000" w:rsidRDefault="00000000">
            <w:pPr>
              <w:spacing w:line="240" w:lineRule="auto"/>
              <w:ind w:left="-79" w:right="113"/>
              <w:jc w:val="right"/>
              <w:rPr>
                <w:bCs/>
                <w:lang w:val="en-US"/>
              </w:rPr>
            </w:pPr>
            <w:r>
              <w:rPr>
                <w:bCs/>
                <w:lang w:val="en-US"/>
              </w:rPr>
              <w:t>396</w:t>
            </w:r>
          </w:p>
        </w:tc>
        <w:tc>
          <w:tcPr>
            <w:tcW w:w="931" w:type="dxa"/>
          </w:tcPr>
          <w:p w:rsidR="00000000" w:rsidRDefault="00000000">
            <w:pPr>
              <w:spacing w:line="240" w:lineRule="auto"/>
              <w:ind w:left="-79" w:right="113"/>
              <w:jc w:val="right"/>
              <w:rPr>
                <w:bCs/>
                <w:lang w:val="en-US"/>
              </w:rPr>
            </w:pPr>
            <w:r>
              <w:rPr>
                <w:bCs/>
                <w:lang w:val="en-US"/>
              </w:rPr>
              <w:t>384</w:t>
            </w:r>
          </w:p>
        </w:tc>
      </w:tr>
      <w:tr w:rsidR="00000000">
        <w:trPr>
          <w:trHeight w:val="285"/>
        </w:trPr>
        <w:tc>
          <w:tcPr>
            <w:tcW w:w="2835" w:type="dxa"/>
            <w:vAlign w:val="bottom"/>
          </w:tcPr>
          <w:p w:rsidR="00000000" w:rsidRDefault="00000000">
            <w:pPr>
              <w:pStyle w:val="Header"/>
              <w:tabs>
                <w:tab w:val="left" w:pos="195"/>
              </w:tabs>
              <w:spacing w:line="240" w:lineRule="auto"/>
              <w:ind w:left="195" w:hanging="195"/>
            </w:pPr>
            <w:r>
              <w:t>Биотехнология</w:t>
            </w:r>
          </w:p>
        </w:tc>
        <w:tc>
          <w:tcPr>
            <w:tcW w:w="930" w:type="dxa"/>
          </w:tcPr>
          <w:p w:rsidR="00000000" w:rsidRDefault="00000000">
            <w:pPr>
              <w:spacing w:line="240" w:lineRule="auto"/>
              <w:ind w:left="-79" w:right="113"/>
              <w:jc w:val="right"/>
              <w:rPr>
                <w:bCs/>
                <w:lang w:val="en-US"/>
              </w:rPr>
            </w:pPr>
            <w:r>
              <w:rPr>
                <w:bCs/>
                <w:lang w:val="en-US"/>
              </w:rPr>
              <w:t>229</w:t>
            </w:r>
          </w:p>
        </w:tc>
        <w:tc>
          <w:tcPr>
            <w:tcW w:w="931" w:type="dxa"/>
          </w:tcPr>
          <w:p w:rsidR="00000000" w:rsidRDefault="00000000">
            <w:pPr>
              <w:spacing w:line="240" w:lineRule="auto"/>
              <w:ind w:left="-79" w:right="113"/>
              <w:jc w:val="right"/>
              <w:rPr>
                <w:bCs/>
                <w:lang w:val="en-US"/>
              </w:rPr>
            </w:pPr>
            <w:r>
              <w:rPr>
                <w:bCs/>
                <w:lang w:val="en-US"/>
              </w:rPr>
              <w:t>201</w:t>
            </w:r>
          </w:p>
        </w:tc>
        <w:tc>
          <w:tcPr>
            <w:tcW w:w="931" w:type="dxa"/>
          </w:tcPr>
          <w:p w:rsidR="00000000" w:rsidRDefault="00000000">
            <w:pPr>
              <w:spacing w:line="240" w:lineRule="auto"/>
              <w:ind w:left="-79" w:right="113"/>
              <w:jc w:val="right"/>
              <w:rPr>
                <w:bCs/>
                <w:lang w:val="en-US"/>
              </w:rPr>
            </w:pPr>
            <w:r>
              <w:rPr>
                <w:bCs/>
                <w:lang w:val="en-US"/>
              </w:rPr>
              <w:t>233</w:t>
            </w:r>
          </w:p>
        </w:tc>
        <w:tc>
          <w:tcPr>
            <w:tcW w:w="931" w:type="dxa"/>
          </w:tcPr>
          <w:p w:rsidR="00000000" w:rsidRDefault="00000000">
            <w:pPr>
              <w:spacing w:line="240" w:lineRule="auto"/>
              <w:ind w:left="-79" w:right="113"/>
              <w:jc w:val="right"/>
              <w:rPr>
                <w:bCs/>
                <w:lang w:val="en-US"/>
              </w:rPr>
            </w:pPr>
            <w:r>
              <w:rPr>
                <w:bCs/>
                <w:lang w:val="en-US"/>
              </w:rPr>
              <w:t>206</w:t>
            </w:r>
          </w:p>
        </w:tc>
        <w:tc>
          <w:tcPr>
            <w:tcW w:w="931" w:type="dxa"/>
          </w:tcPr>
          <w:p w:rsidR="00000000" w:rsidRDefault="00000000">
            <w:pPr>
              <w:spacing w:line="240" w:lineRule="auto"/>
              <w:ind w:left="-79" w:right="113"/>
              <w:jc w:val="right"/>
              <w:rPr>
                <w:bCs/>
                <w:lang w:val="en-US"/>
              </w:rPr>
            </w:pPr>
            <w:r>
              <w:rPr>
                <w:bCs/>
                <w:lang w:val="en-US"/>
              </w:rPr>
              <w:t>192</w:t>
            </w:r>
          </w:p>
        </w:tc>
        <w:tc>
          <w:tcPr>
            <w:tcW w:w="931" w:type="dxa"/>
          </w:tcPr>
          <w:p w:rsidR="00000000" w:rsidRDefault="00000000">
            <w:pPr>
              <w:spacing w:line="240" w:lineRule="auto"/>
              <w:ind w:left="-79" w:right="113"/>
              <w:jc w:val="right"/>
              <w:rPr>
                <w:bCs/>
                <w:lang w:val="en-US"/>
              </w:rPr>
            </w:pPr>
            <w:r>
              <w:rPr>
                <w:bCs/>
                <w:lang w:val="en-US"/>
              </w:rPr>
              <w:t>200</w:t>
            </w:r>
          </w:p>
        </w:tc>
        <w:tc>
          <w:tcPr>
            <w:tcW w:w="931" w:type="dxa"/>
          </w:tcPr>
          <w:p w:rsidR="00000000" w:rsidRDefault="00000000">
            <w:pPr>
              <w:spacing w:line="240" w:lineRule="auto"/>
              <w:ind w:left="-79" w:right="113"/>
              <w:jc w:val="right"/>
              <w:rPr>
                <w:bCs/>
                <w:lang w:val="en-US"/>
              </w:rPr>
            </w:pPr>
            <w:r>
              <w:rPr>
                <w:bCs/>
                <w:lang w:val="en-US"/>
              </w:rPr>
              <w:t>246</w:t>
            </w:r>
          </w:p>
        </w:tc>
      </w:tr>
      <w:tr w:rsidR="00000000">
        <w:trPr>
          <w:trHeight w:val="285"/>
        </w:trPr>
        <w:tc>
          <w:tcPr>
            <w:tcW w:w="2835" w:type="dxa"/>
            <w:vAlign w:val="bottom"/>
          </w:tcPr>
          <w:p w:rsidR="00000000" w:rsidRDefault="00000000">
            <w:pPr>
              <w:pStyle w:val="Header"/>
              <w:tabs>
                <w:tab w:val="left" w:pos="195"/>
              </w:tabs>
              <w:spacing w:line="240" w:lineRule="auto"/>
              <w:ind w:left="195" w:hanging="195"/>
            </w:pPr>
            <w:r>
              <w:t>Социальные науки</w:t>
            </w:r>
          </w:p>
        </w:tc>
        <w:tc>
          <w:tcPr>
            <w:tcW w:w="930" w:type="dxa"/>
          </w:tcPr>
          <w:p w:rsidR="00000000" w:rsidRDefault="00000000">
            <w:pPr>
              <w:spacing w:line="240" w:lineRule="auto"/>
              <w:ind w:left="-79" w:right="113"/>
              <w:jc w:val="right"/>
              <w:rPr>
                <w:bCs/>
                <w:lang w:val="en-US"/>
              </w:rPr>
            </w:pPr>
            <w:r>
              <w:rPr>
                <w:bCs/>
                <w:lang w:val="en-US"/>
              </w:rPr>
              <w:t>1 241</w:t>
            </w:r>
          </w:p>
        </w:tc>
        <w:tc>
          <w:tcPr>
            <w:tcW w:w="931" w:type="dxa"/>
          </w:tcPr>
          <w:p w:rsidR="00000000" w:rsidRDefault="00000000">
            <w:pPr>
              <w:spacing w:line="240" w:lineRule="auto"/>
              <w:ind w:left="-79" w:right="113"/>
              <w:jc w:val="right"/>
              <w:rPr>
                <w:bCs/>
                <w:lang w:val="en-US"/>
              </w:rPr>
            </w:pPr>
            <w:r>
              <w:rPr>
                <w:bCs/>
                <w:lang w:val="en-US"/>
              </w:rPr>
              <w:t>1 231</w:t>
            </w:r>
          </w:p>
        </w:tc>
        <w:tc>
          <w:tcPr>
            <w:tcW w:w="931" w:type="dxa"/>
          </w:tcPr>
          <w:p w:rsidR="00000000" w:rsidRDefault="00000000">
            <w:pPr>
              <w:spacing w:line="240" w:lineRule="auto"/>
              <w:ind w:left="-79" w:right="113"/>
              <w:jc w:val="right"/>
              <w:rPr>
                <w:bCs/>
                <w:lang w:val="en-US"/>
              </w:rPr>
            </w:pPr>
            <w:r>
              <w:rPr>
                <w:bCs/>
                <w:lang w:val="en-US"/>
              </w:rPr>
              <w:t>1 898</w:t>
            </w:r>
          </w:p>
        </w:tc>
        <w:tc>
          <w:tcPr>
            <w:tcW w:w="931" w:type="dxa"/>
          </w:tcPr>
          <w:p w:rsidR="00000000" w:rsidRDefault="00000000">
            <w:pPr>
              <w:spacing w:line="240" w:lineRule="auto"/>
              <w:ind w:left="-79" w:right="113"/>
              <w:jc w:val="right"/>
              <w:rPr>
                <w:bCs/>
                <w:lang w:val="en-US"/>
              </w:rPr>
            </w:pPr>
            <w:r>
              <w:rPr>
                <w:bCs/>
                <w:lang w:val="en-US"/>
              </w:rPr>
              <w:t>1 881</w:t>
            </w:r>
          </w:p>
        </w:tc>
        <w:tc>
          <w:tcPr>
            <w:tcW w:w="931" w:type="dxa"/>
          </w:tcPr>
          <w:p w:rsidR="00000000" w:rsidRDefault="00000000">
            <w:pPr>
              <w:spacing w:line="240" w:lineRule="auto"/>
              <w:ind w:left="-79" w:right="113"/>
              <w:jc w:val="right"/>
              <w:rPr>
                <w:bCs/>
                <w:lang w:val="en-US"/>
              </w:rPr>
            </w:pPr>
            <w:r>
              <w:rPr>
                <w:bCs/>
                <w:lang w:val="en-US"/>
              </w:rPr>
              <w:t>1 851</w:t>
            </w:r>
          </w:p>
        </w:tc>
        <w:tc>
          <w:tcPr>
            <w:tcW w:w="931" w:type="dxa"/>
          </w:tcPr>
          <w:p w:rsidR="00000000" w:rsidRDefault="00000000">
            <w:pPr>
              <w:spacing w:line="240" w:lineRule="auto"/>
              <w:ind w:left="-79" w:right="113"/>
              <w:jc w:val="right"/>
              <w:rPr>
                <w:bCs/>
                <w:lang w:val="en-US"/>
              </w:rPr>
            </w:pPr>
            <w:r>
              <w:rPr>
                <w:bCs/>
                <w:lang w:val="en-US"/>
              </w:rPr>
              <w:t>1 992</w:t>
            </w:r>
          </w:p>
        </w:tc>
        <w:tc>
          <w:tcPr>
            <w:tcW w:w="931" w:type="dxa"/>
          </w:tcPr>
          <w:p w:rsidR="00000000" w:rsidRDefault="00000000">
            <w:pPr>
              <w:spacing w:line="240" w:lineRule="auto"/>
              <w:ind w:left="-79" w:right="113"/>
              <w:jc w:val="right"/>
              <w:rPr>
                <w:bCs/>
                <w:lang w:val="en-US"/>
              </w:rPr>
            </w:pPr>
            <w:r>
              <w:rPr>
                <w:bCs/>
                <w:lang w:val="en-US"/>
              </w:rPr>
              <w:t>2 191</w:t>
            </w:r>
          </w:p>
        </w:tc>
      </w:tr>
      <w:tr w:rsidR="00000000">
        <w:trPr>
          <w:trHeight w:val="285"/>
        </w:trPr>
        <w:tc>
          <w:tcPr>
            <w:tcW w:w="2835" w:type="dxa"/>
            <w:vAlign w:val="bottom"/>
          </w:tcPr>
          <w:p w:rsidR="00000000" w:rsidRDefault="00000000">
            <w:pPr>
              <w:pStyle w:val="Header"/>
              <w:tabs>
                <w:tab w:val="left" w:pos="195"/>
              </w:tabs>
              <w:spacing w:line="240" w:lineRule="auto"/>
              <w:ind w:left="195" w:hanging="195"/>
            </w:pPr>
            <w:r>
              <w:t>Гуманитарные науки</w:t>
            </w:r>
          </w:p>
        </w:tc>
        <w:tc>
          <w:tcPr>
            <w:tcW w:w="930" w:type="dxa"/>
          </w:tcPr>
          <w:p w:rsidR="00000000" w:rsidRDefault="00000000">
            <w:pPr>
              <w:spacing w:line="240" w:lineRule="auto"/>
              <w:ind w:left="-79" w:right="113"/>
              <w:jc w:val="right"/>
              <w:rPr>
                <w:bCs/>
                <w:lang w:val="en-US"/>
              </w:rPr>
            </w:pPr>
            <w:r>
              <w:rPr>
                <w:bCs/>
                <w:lang w:val="en-US"/>
              </w:rPr>
              <w:t>106</w:t>
            </w:r>
          </w:p>
        </w:tc>
        <w:tc>
          <w:tcPr>
            <w:tcW w:w="931" w:type="dxa"/>
          </w:tcPr>
          <w:p w:rsidR="00000000" w:rsidRDefault="00000000">
            <w:pPr>
              <w:spacing w:line="240" w:lineRule="auto"/>
              <w:ind w:left="-79" w:right="113"/>
              <w:jc w:val="right"/>
              <w:rPr>
                <w:bCs/>
                <w:lang w:val="en-US"/>
              </w:rPr>
            </w:pPr>
            <w:r>
              <w:rPr>
                <w:bCs/>
                <w:lang w:val="en-US"/>
              </w:rPr>
              <w:t>80</w:t>
            </w:r>
          </w:p>
        </w:tc>
        <w:tc>
          <w:tcPr>
            <w:tcW w:w="931" w:type="dxa"/>
          </w:tcPr>
          <w:p w:rsidR="00000000" w:rsidRDefault="00000000">
            <w:pPr>
              <w:spacing w:line="240" w:lineRule="auto"/>
              <w:ind w:left="-79" w:right="113"/>
              <w:jc w:val="right"/>
              <w:rPr>
                <w:bCs/>
                <w:lang w:val="en-US"/>
              </w:rPr>
            </w:pPr>
            <w:r>
              <w:rPr>
                <w:bCs/>
                <w:lang w:val="en-US"/>
              </w:rPr>
              <w:t>128</w:t>
            </w:r>
          </w:p>
        </w:tc>
        <w:tc>
          <w:tcPr>
            <w:tcW w:w="931" w:type="dxa"/>
          </w:tcPr>
          <w:p w:rsidR="00000000" w:rsidRDefault="00000000">
            <w:pPr>
              <w:spacing w:line="240" w:lineRule="auto"/>
              <w:ind w:left="-79" w:right="113"/>
              <w:jc w:val="right"/>
              <w:rPr>
                <w:bCs/>
                <w:lang w:val="en-US"/>
              </w:rPr>
            </w:pPr>
            <w:r>
              <w:rPr>
                <w:bCs/>
                <w:lang w:val="en-US"/>
              </w:rPr>
              <w:t>146</w:t>
            </w:r>
          </w:p>
        </w:tc>
        <w:tc>
          <w:tcPr>
            <w:tcW w:w="931" w:type="dxa"/>
          </w:tcPr>
          <w:p w:rsidR="00000000" w:rsidRDefault="00000000">
            <w:pPr>
              <w:spacing w:line="240" w:lineRule="auto"/>
              <w:ind w:left="-79" w:right="113"/>
              <w:jc w:val="right"/>
              <w:rPr>
                <w:bCs/>
                <w:lang w:val="en-US"/>
              </w:rPr>
            </w:pPr>
            <w:r>
              <w:rPr>
                <w:bCs/>
                <w:lang w:val="en-US"/>
              </w:rPr>
              <w:t>115</w:t>
            </w:r>
          </w:p>
        </w:tc>
        <w:tc>
          <w:tcPr>
            <w:tcW w:w="931" w:type="dxa"/>
          </w:tcPr>
          <w:p w:rsidR="00000000" w:rsidRDefault="00000000">
            <w:pPr>
              <w:spacing w:line="240" w:lineRule="auto"/>
              <w:ind w:left="-79" w:right="113"/>
              <w:jc w:val="right"/>
              <w:rPr>
                <w:bCs/>
                <w:lang w:val="en-US"/>
              </w:rPr>
            </w:pPr>
            <w:r>
              <w:rPr>
                <w:bCs/>
                <w:lang w:val="en-US"/>
              </w:rPr>
              <w:t>127</w:t>
            </w:r>
          </w:p>
        </w:tc>
        <w:tc>
          <w:tcPr>
            <w:tcW w:w="931" w:type="dxa"/>
          </w:tcPr>
          <w:p w:rsidR="00000000" w:rsidRDefault="00000000">
            <w:pPr>
              <w:spacing w:line="240" w:lineRule="auto"/>
              <w:ind w:left="-79" w:right="113"/>
              <w:jc w:val="right"/>
              <w:rPr>
                <w:bCs/>
                <w:lang w:val="en-US"/>
              </w:rPr>
            </w:pPr>
            <w:r>
              <w:rPr>
                <w:bCs/>
                <w:lang w:val="en-US"/>
              </w:rPr>
              <w:t>599</w:t>
            </w:r>
          </w:p>
        </w:tc>
      </w:tr>
    </w:tbl>
    <w:p w:rsidR="00000000" w:rsidRDefault="00000000"/>
    <w:p w:rsidR="00000000" w:rsidRDefault="00000000">
      <w:r>
        <w:tab/>
      </w:r>
      <w:r>
        <w:rPr>
          <w:i/>
          <w:iCs/>
        </w:rPr>
        <w:t>Источник</w:t>
      </w:r>
      <w:r>
        <w:t>:  Государственное статистическое управление.</w:t>
      </w:r>
    </w:p>
    <w:p w:rsidR="00000000" w:rsidRDefault="00000000"/>
    <w:p w:rsidR="00000000" w:rsidRDefault="00000000">
      <w:pPr>
        <w:keepNext/>
        <w:jc w:val="center"/>
        <w:rPr>
          <w:b/>
          <w:bCs/>
        </w:rPr>
      </w:pPr>
      <w:r>
        <w:rPr>
          <w:b/>
          <w:bCs/>
        </w:rPr>
        <w:t>Магистры и специалисты</w:t>
      </w:r>
    </w:p>
    <w:p w:rsidR="00000000" w:rsidRDefault="00000000">
      <w:pPr>
        <w:keepNext/>
        <w:jc w:val="center"/>
        <w:rPr>
          <w:b/>
          <w:bCs/>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2836"/>
        <w:gridCol w:w="930"/>
        <w:gridCol w:w="931"/>
        <w:gridCol w:w="931"/>
        <w:gridCol w:w="931"/>
        <w:gridCol w:w="931"/>
        <w:gridCol w:w="931"/>
        <w:gridCol w:w="931"/>
      </w:tblGrid>
      <w:tr w:rsidR="00000000">
        <w:trPr>
          <w:tblHeader/>
        </w:trPr>
        <w:tc>
          <w:tcPr>
            <w:tcW w:w="2836" w:type="dxa"/>
            <w:tcBorders>
              <w:bottom w:val="single" w:sz="4" w:space="0" w:color="auto"/>
            </w:tcBorders>
            <w:vAlign w:val="bottom"/>
          </w:tcPr>
          <w:p w:rsidR="00000000" w:rsidRDefault="00000000">
            <w:pPr>
              <w:keepNext/>
            </w:pPr>
          </w:p>
        </w:tc>
        <w:tc>
          <w:tcPr>
            <w:tcW w:w="930" w:type="dxa"/>
            <w:tcBorders>
              <w:bottom w:val="single" w:sz="4" w:space="0" w:color="auto"/>
            </w:tcBorders>
          </w:tcPr>
          <w:p w:rsidR="00000000" w:rsidRDefault="00000000">
            <w:pPr>
              <w:keepNext/>
              <w:jc w:val="center"/>
              <w:rPr>
                <w:bCs/>
              </w:rPr>
            </w:pPr>
            <w:r>
              <w:rPr>
                <w:bCs/>
              </w:rPr>
              <w:t>1997</w:t>
            </w:r>
          </w:p>
        </w:tc>
        <w:tc>
          <w:tcPr>
            <w:tcW w:w="931" w:type="dxa"/>
            <w:tcBorders>
              <w:bottom w:val="single" w:sz="4" w:space="0" w:color="auto"/>
            </w:tcBorders>
          </w:tcPr>
          <w:p w:rsidR="00000000" w:rsidRDefault="00000000">
            <w:pPr>
              <w:keepNext/>
              <w:jc w:val="center"/>
              <w:rPr>
                <w:bCs/>
                <w:lang w:val="en-US"/>
              </w:rPr>
            </w:pPr>
            <w:r>
              <w:rPr>
                <w:bCs/>
                <w:lang w:val="en-US"/>
              </w:rPr>
              <w:t>1998</w:t>
            </w:r>
          </w:p>
        </w:tc>
        <w:tc>
          <w:tcPr>
            <w:tcW w:w="931" w:type="dxa"/>
            <w:tcBorders>
              <w:bottom w:val="single" w:sz="4" w:space="0" w:color="auto"/>
            </w:tcBorders>
          </w:tcPr>
          <w:p w:rsidR="00000000" w:rsidRDefault="00000000">
            <w:pPr>
              <w:keepNext/>
              <w:jc w:val="center"/>
              <w:rPr>
                <w:bCs/>
                <w:lang w:val="en-US"/>
              </w:rPr>
            </w:pPr>
            <w:r>
              <w:rPr>
                <w:bCs/>
                <w:lang w:val="en-US"/>
              </w:rPr>
              <w:t>1999</w:t>
            </w:r>
          </w:p>
        </w:tc>
        <w:tc>
          <w:tcPr>
            <w:tcW w:w="931" w:type="dxa"/>
            <w:tcBorders>
              <w:bottom w:val="single" w:sz="4" w:space="0" w:color="auto"/>
            </w:tcBorders>
          </w:tcPr>
          <w:p w:rsidR="00000000" w:rsidRDefault="00000000">
            <w:pPr>
              <w:keepNext/>
              <w:jc w:val="center"/>
              <w:rPr>
                <w:bCs/>
                <w:lang w:val="en-US"/>
              </w:rPr>
            </w:pPr>
            <w:r>
              <w:rPr>
                <w:bCs/>
                <w:lang w:val="en-US"/>
              </w:rPr>
              <w:t>2000</w:t>
            </w:r>
          </w:p>
        </w:tc>
        <w:tc>
          <w:tcPr>
            <w:tcW w:w="931" w:type="dxa"/>
            <w:tcBorders>
              <w:bottom w:val="single" w:sz="4" w:space="0" w:color="auto"/>
            </w:tcBorders>
          </w:tcPr>
          <w:p w:rsidR="00000000" w:rsidRDefault="00000000">
            <w:pPr>
              <w:keepNext/>
              <w:jc w:val="center"/>
              <w:rPr>
                <w:bCs/>
                <w:lang w:val="en-US"/>
              </w:rPr>
            </w:pPr>
            <w:r>
              <w:rPr>
                <w:bCs/>
                <w:lang w:val="en-US"/>
              </w:rPr>
              <w:t>2001</w:t>
            </w:r>
          </w:p>
        </w:tc>
        <w:tc>
          <w:tcPr>
            <w:tcW w:w="931" w:type="dxa"/>
            <w:tcBorders>
              <w:bottom w:val="single" w:sz="4" w:space="0" w:color="auto"/>
            </w:tcBorders>
          </w:tcPr>
          <w:p w:rsidR="00000000" w:rsidRDefault="00000000">
            <w:pPr>
              <w:keepNext/>
              <w:jc w:val="center"/>
              <w:rPr>
                <w:bCs/>
                <w:lang w:val="en-US"/>
              </w:rPr>
            </w:pPr>
            <w:r>
              <w:rPr>
                <w:bCs/>
                <w:lang w:val="en-US"/>
              </w:rPr>
              <w:t>2002</w:t>
            </w:r>
          </w:p>
        </w:tc>
        <w:tc>
          <w:tcPr>
            <w:tcW w:w="931" w:type="dxa"/>
            <w:tcBorders>
              <w:bottom w:val="single" w:sz="4" w:space="0" w:color="auto"/>
            </w:tcBorders>
          </w:tcPr>
          <w:p w:rsidR="00000000" w:rsidRDefault="00000000">
            <w:pPr>
              <w:keepNext/>
              <w:jc w:val="center"/>
              <w:rPr>
                <w:bCs/>
                <w:lang w:val="en-US"/>
              </w:rPr>
            </w:pPr>
            <w:r>
              <w:rPr>
                <w:bCs/>
                <w:lang w:val="en-US"/>
              </w:rPr>
              <w:t>2003</w:t>
            </w:r>
          </w:p>
        </w:tc>
      </w:tr>
      <w:tr w:rsidR="00000000">
        <w:tc>
          <w:tcPr>
            <w:tcW w:w="2836" w:type="dxa"/>
            <w:tcBorders>
              <w:bottom w:val="nil"/>
            </w:tcBorders>
            <w:vAlign w:val="bottom"/>
          </w:tcPr>
          <w:p w:rsidR="00000000" w:rsidRDefault="00000000">
            <w:pPr>
              <w:pStyle w:val="Header"/>
              <w:tabs>
                <w:tab w:val="left" w:pos="195"/>
              </w:tabs>
              <w:ind w:left="195" w:hanging="195"/>
            </w:pPr>
            <w:r>
              <w:t>Всего</w:t>
            </w:r>
          </w:p>
        </w:tc>
        <w:tc>
          <w:tcPr>
            <w:tcW w:w="930" w:type="dxa"/>
            <w:tcBorders>
              <w:bottom w:val="nil"/>
            </w:tcBorders>
          </w:tcPr>
          <w:p w:rsidR="00000000" w:rsidRDefault="00000000">
            <w:pPr>
              <w:ind w:left="-363" w:right="170"/>
              <w:jc w:val="right"/>
              <w:rPr>
                <w:bCs/>
                <w:lang w:val="en-US"/>
              </w:rPr>
            </w:pPr>
            <w:r>
              <w:rPr>
                <w:bCs/>
                <w:lang w:val="en-US"/>
              </w:rPr>
              <w:t>77</w:t>
            </w:r>
          </w:p>
        </w:tc>
        <w:tc>
          <w:tcPr>
            <w:tcW w:w="931" w:type="dxa"/>
            <w:tcBorders>
              <w:bottom w:val="nil"/>
            </w:tcBorders>
          </w:tcPr>
          <w:p w:rsidR="00000000" w:rsidRDefault="00000000">
            <w:pPr>
              <w:ind w:left="-363" w:right="170"/>
              <w:jc w:val="right"/>
              <w:rPr>
                <w:bCs/>
                <w:lang w:val="en-US"/>
              </w:rPr>
            </w:pPr>
            <w:r>
              <w:rPr>
                <w:bCs/>
                <w:lang w:val="en-US"/>
              </w:rPr>
              <w:t>71</w:t>
            </w:r>
          </w:p>
        </w:tc>
        <w:tc>
          <w:tcPr>
            <w:tcW w:w="931" w:type="dxa"/>
            <w:tcBorders>
              <w:bottom w:val="nil"/>
            </w:tcBorders>
          </w:tcPr>
          <w:p w:rsidR="00000000" w:rsidRDefault="00000000">
            <w:pPr>
              <w:ind w:left="-363" w:right="170"/>
              <w:jc w:val="right"/>
              <w:rPr>
                <w:bCs/>
                <w:lang w:val="en-US"/>
              </w:rPr>
            </w:pPr>
            <w:r>
              <w:rPr>
                <w:bCs/>
                <w:lang w:val="en-US"/>
              </w:rPr>
              <w:t>104</w:t>
            </w:r>
          </w:p>
        </w:tc>
        <w:tc>
          <w:tcPr>
            <w:tcW w:w="931" w:type="dxa"/>
            <w:tcBorders>
              <w:bottom w:val="nil"/>
            </w:tcBorders>
          </w:tcPr>
          <w:p w:rsidR="00000000" w:rsidRDefault="00000000">
            <w:pPr>
              <w:ind w:left="-363" w:right="170"/>
              <w:jc w:val="right"/>
              <w:rPr>
                <w:bCs/>
                <w:lang w:val="en-US"/>
              </w:rPr>
            </w:pPr>
            <w:r>
              <w:rPr>
                <w:bCs/>
                <w:lang w:val="en-US"/>
              </w:rPr>
              <w:t>83</w:t>
            </w:r>
          </w:p>
        </w:tc>
        <w:tc>
          <w:tcPr>
            <w:tcW w:w="931" w:type="dxa"/>
            <w:tcBorders>
              <w:bottom w:val="nil"/>
            </w:tcBorders>
          </w:tcPr>
          <w:p w:rsidR="00000000" w:rsidRDefault="00000000">
            <w:pPr>
              <w:ind w:left="-363" w:right="170"/>
              <w:jc w:val="right"/>
              <w:rPr>
                <w:bCs/>
                <w:lang w:val="en-US"/>
              </w:rPr>
            </w:pPr>
            <w:r>
              <w:rPr>
                <w:bCs/>
                <w:lang w:val="en-US"/>
              </w:rPr>
              <w:t>155</w:t>
            </w:r>
          </w:p>
        </w:tc>
        <w:tc>
          <w:tcPr>
            <w:tcW w:w="931" w:type="dxa"/>
            <w:tcBorders>
              <w:bottom w:val="nil"/>
            </w:tcBorders>
          </w:tcPr>
          <w:p w:rsidR="00000000" w:rsidRDefault="00000000">
            <w:pPr>
              <w:ind w:left="-363" w:right="170"/>
              <w:jc w:val="right"/>
              <w:rPr>
                <w:bCs/>
                <w:lang w:val="en-US"/>
              </w:rPr>
            </w:pPr>
            <w:r>
              <w:rPr>
                <w:bCs/>
                <w:lang w:val="en-US"/>
              </w:rPr>
              <w:t>95</w:t>
            </w:r>
          </w:p>
        </w:tc>
        <w:tc>
          <w:tcPr>
            <w:tcW w:w="931" w:type="dxa"/>
            <w:tcBorders>
              <w:bottom w:val="nil"/>
            </w:tcBorders>
          </w:tcPr>
          <w:p w:rsidR="00000000" w:rsidRDefault="00000000">
            <w:pPr>
              <w:pStyle w:val="Header"/>
              <w:ind w:left="-363" w:right="170"/>
              <w:jc w:val="right"/>
              <w:rPr>
                <w:bCs/>
                <w:lang w:val="en-US"/>
              </w:rPr>
            </w:pPr>
            <w:r>
              <w:rPr>
                <w:bCs/>
                <w:lang w:val="en-US"/>
              </w:rPr>
              <w:t>61</w:t>
            </w:r>
          </w:p>
        </w:tc>
      </w:tr>
      <w:tr w:rsidR="00000000">
        <w:tc>
          <w:tcPr>
            <w:tcW w:w="2836" w:type="dxa"/>
            <w:tcBorders>
              <w:top w:val="nil"/>
              <w:bottom w:val="nil"/>
            </w:tcBorders>
            <w:vAlign w:val="bottom"/>
          </w:tcPr>
          <w:p w:rsidR="00000000" w:rsidRDefault="00000000">
            <w:pPr>
              <w:pStyle w:val="Header"/>
              <w:tabs>
                <w:tab w:val="left" w:pos="195"/>
              </w:tabs>
              <w:ind w:left="195" w:hanging="195"/>
            </w:pPr>
            <w:r>
              <w:t>Естественные науки и математика</w:t>
            </w:r>
          </w:p>
        </w:tc>
        <w:tc>
          <w:tcPr>
            <w:tcW w:w="930" w:type="dxa"/>
            <w:tcBorders>
              <w:top w:val="nil"/>
              <w:bottom w:val="nil"/>
            </w:tcBorders>
          </w:tcPr>
          <w:p w:rsidR="00000000" w:rsidRDefault="00000000">
            <w:pPr>
              <w:ind w:left="-363" w:right="170"/>
              <w:jc w:val="right"/>
              <w:rPr>
                <w:bCs/>
                <w:lang w:val="en-US"/>
              </w:rPr>
            </w:pPr>
            <w:r>
              <w:rPr>
                <w:bCs/>
                <w:lang w:val="en-US"/>
              </w:rPr>
              <w:t>22</w:t>
            </w:r>
          </w:p>
        </w:tc>
        <w:tc>
          <w:tcPr>
            <w:tcW w:w="931" w:type="dxa"/>
            <w:tcBorders>
              <w:top w:val="nil"/>
              <w:bottom w:val="nil"/>
            </w:tcBorders>
          </w:tcPr>
          <w:p w:rsidR="00000000" w:rsidRDefault="00000000">
            <w:pPr>
              <w:ind w:left="-363" w:right="170"/>
              <w:jc w:val="right"/>
              <w:rPr>
                <w:bCs/>
                <w:lang w:val="en-US"/>
              </w:rPr>
            </w:pPr>
            <w:r>
              <w:rPr>
                <w:bCs/>
                <w:lang w:val="en-US"/>
              </w:rPr>
              <w:t>21</w:t>
            </w:r>
          </w:p>
        </w:tc>
        <w:tc>
          <w:tcPr>
            <w:tcW w:w="931" w:type="dxa"/>
            <w:tcBorders>
              <w:top w:val="nil"/>
              <w:bottom w:val="nil"/>
            </w:tcBorders>
          </w:tcPr>
          <w:p w:rsidR="00000000" w:rsidRDefault="00000000">
            <w:pPr>
              <w:ind w:left="-363" w:right="170"/>
              <w:jc w:val="right"/>
              <w:rPr>
                <w:bCs/>
                <w:lang w:val="en-US"/>
              </w:rPr>
            </w:pPr>
            <w:r>
              <w:rPr>
                <w:bCs/>
                <w:lang w:val="en-US"/>
              </w:rPr>
              <w:t>11</w:t>
            </w:r>
          </w:p>
        </w:tc>
        <w:tc>
          <w:tcPr>
            <w:tcW w:w="931" w:type="dxa"/>
            <w:tcBorders>
              <w:top w:val="nil"/>
              <w:bottom w:val="nil"/>
            </w:tcBorders>
          </w:tcPr>
          <w:p w:rsidR="00000000" w:rsidRDefault="00000000">
            <w:pPr>
              <w:ind w:left="-363" w:right="170"/>
              <w:jc w:val="right"/>
              <w:rPr>
                <w:bCs/>
                <w:lang w:val="en-US"/>
              </w:rPr>
            </w:pPr>
            <w:r>
              <w:rPr>
                <w:bCs/>
                <w:lang w:val="en-US"/>
              </w:rPr>
              <w:t>12</w:t>
            </w:r>
          </w:p>
        </w:tc>
        <w:tc>
          <w:tcPr>
            <w:tcW w:w="931" w:type="dxa"/>
            <w:tcBorders>
              <w:top w:val="nil"/>
              <w:bottom w:val="nil"/>
            </w:tcBorders>
          </w:tcPr>
          <w:p w:rsidR="00000000" w:rsidRDefault="00000000">
            <w:pPr>
              <w:ind w:left="-363" w:right="170"/>
              <w:jc w:val="right"/>
              <w:rPr>
                <w:bCs/>
                <w:lang w:val="en-US"/>
              </w:rPr>
            </w:pPr>
            <w:r>
              <w:rPr>
                <w:bCs/>
                <w:lang w:val="en-US"/>
              </w:rPr>
              <w:t>22</w:t>
            </w:r>
          </w:p>
        </w:tc>
        <w:tc>
          <w:tcPr>
            <w:tcW w:w="931" w:type="dxa"/>
            <w:tcBorders>
              <w:top w:val="nil"/>
              <w:bottom w:val="nil"/>
            </w:tcBorders>
          </w:tcPr>
          <w:p w:rsidR="00000000" w:rsidRDefault="00000000">
            <w:pPr>
              <w:ind w:left="-363" w:right="170"/>
              <w:jc w:val="right"/>
              <w:rPr>
                <w:bCs/>
                <w:lang w:val="en-US"/>
              </w:rPr>
            </w:pPr>
            <w:r>
              <w:rPr>
                <w:bCs/>
                <w:lang w:val="en-US"/>
              </w:rPr>
              <w:t>19</w:t>
            </w:r>
          </w:p>
        </w:tc>
        <w:tc>
          <w:tcPr>
            <w:tcW w:w="931" w:type="dxa"/>
            <w:tcBorders>
              <w:top w:val="nil"/>
              <w:bottom w:val="nil"/>
            </w:tcBorders>
          </w:tcPr>
          <w:p w:rsidR="00000000" w:rsidRDefault="00000000">
            <w:pPr>
              <w:ind w:left="-363" w:right="170"/>
              <w:jc w:val="right"/>
              <w:rPr>
                <w:bCs/>
                <w:lang w:val="en-US"/>
              </w:rPr>
            </w:pPr>
            <w:r>
              <w:rPr>
                <w:bCs/>
                <w:lang w:val="en-US"/>
              </w:rPr>
              <w:t>2</w:t>
            </w:r>
          </w:p>
        </w:tc>
      </w:tr>
      <w:tr w:rsidR="00000000">
        <w:tc>
          <w:tcPr>
            <w:tcW w:w="2836" w:type="dxa"/>
            <w:tcBorders>
              <w:top w:val="nil"/>
              <w:bottom w:val="nil"/>
            </w:tcBorders>
            <w:vAlign w:val="bottom"/>
          </w:tcPr>
          <w:p w:rsidR="00000000" w:rsidRDefault="00000000">
            <w:pPr>
              <w:pStyle w:val="Header"/>
              <w:tabs>
                <w:tab w:val="left" w:pos="195"/>
              </w:tabs>
              <w:ind w:left="195" w:hanging="195"/>
            </w:pPr>
            <w:r>
              <w:t>Технические и технологические науки</w:t>
            </w:r>
          </w:p>
        </w:tc>
        <w:tc>
          <w:tcPr>
            <w:tcW w:w="930" w:type="dxa"/>
            <w:tcBorders>
              <w:top w:val="nil"/>
              <w:bottom w:val="nil"/>
            </w:tcBorders>
          </w:tcPr>
          <w:p w:rsidR="00000000" w:rsidRDefault="00000000">
            <w:pPr>
              <w:ind w:left="-363" w:right="170"/>
              <w:jc w:val="right"/>
              <w:rPr>
                <w:bCs/>
                <w:lang w:val="en-US"/>
              </w:rPr>
            </w:pPr>
            <w:r>
              <w:rPr>
                <w:bCs/>
                <w:lang w:val="en-US"/>
              </w:rPr>
              <w:t>22</w:t>
            </w:r>
          </w:p>
        </w:tc>
        <w:tc>
          <w:tcPr>
            <w:tcW w:w="931" w:type="dxa"/>
            <w:tcBorders>
              <w:top w:val="nil"/>
              <w:bottom w:val="nil"/>
            </w:tcBorders>
          </w:tcPr>
          <w:p w:rsidR="00000000" w:rsidRDefault="00000000">
            <w:pPr>
              <w:ind w:left="-363" w:right="170"/>
              <w:jc w:val="right"/>
              <w:rPr>
                <w:bCs/>
                <w:lang w:val="en-US"/>
              </w:rPr>
            </w:pPr>
            <w:r>
              <w:rPr>
                <w:bCs/>
                <w:lang w:val="en-US"/>
              </w:rPr>
              <w:t>17</w:t>
            </w:r>
          </w:p>
        </w:tc>
        <w:tc>
          <w:tcPr>
            <w:tcW w:w="931" w:type="dxa"/>
            <w:tcBorders>
              <w:top w:val="nil"/>
              <w:bottom w:val="nil"/>
            </w:tcBorders>
          </w:tcPr>
          <w:p w:rsidR="00000000" w:rsidRDefault="00000000">
            <w:pPr>
              <w:ind w:left="-363" w:right="170"/>
              <w:jc w:val="right"/>
              <w:rPr>
                <w:bCs/>
                <w:lang w:val="en-US"/>
              </w:rPr>
            </w:pPr>
            <w:r>
              <w:rPr>
                <w:bCs/>
                <w:lang w:val="en-US"/>
              </w:rPr>
              <w:t>37</w:t>
            </w:r>
          </w:p>
        </w:tc>
        <w:tc>
          <w:tcPr>
            <w:tcW w:w="931" w:type="dxa"/>
            <w:tcBorders>
              <w:top w:val="nil"/>
              <w:bottom w:val="nil"/>
            </w:tcBorders>
          </w:tcPr>
          <w:p w:rsidR="00000000" w:rsidRDefault="00000000">
            <w:pPr>
              <w:ind w:left="-363" w:right="170"/>
              <w:jc w:val="right"/>
              <w:rPr>
                <w:bCs/>
                <w:lang w:val="en-US"/>
              </w:rPr>
            </w:pPr>
            <w:r>
              <w:rPr>
                <w:bCs/>
                <w:lang w:val="en-US"/>
              </w:rPr>
              <w:t>24</w:t>
            </w:r>
          </w:p>
        </w:tc>
        <w:tc>
          <w:tcPr>
            <w:tcW w:w="931" w:type="dxa"/>
            <w:tcBorders>
              <w:top w:val="nil"/>
              <w:bottom w:val="nil"/>
            </w:tcBorders>
          </w:tcPr>
          <w:p w:rsidR="00000000" w:rsidRDefault="00000000">
            <w:pPr>
              <w:ind w:left="-363" w:right="170"/>
              <w:jc w:val="right"/>
              <w:rPr>
                <w:bCs/>
                <w:lang w:val="en-US"/>
              </w:rPr>
            </w:pPr>
            <w:r>
              <w:rPr>
                <w:bCs/>
                <w:lang w:val="en-US"/>
              </w:rPr>
              <w:t>43</w:t>
            </w:r>
          </w:p>
        </w:tc>
        <w:tc>
          <w:tcPr>
            <w:tcW w:w="931" w:type="dxa"/>
            <w:tcBorders>
              <w:top w:val="nil"/>
              <w:bottom w:val="nil"/>
            </w:tcBorders>
          </w:tcPr>
          <w:p w:rsidR="00000000" w:rsidRDefault="00000000">
            <w:pPr>
              <w:ind w:left="-363" w:right="170"/>
              <w:jc w:val="right"/>
              <w:rPr>
                <w:bCs/>
                <w:lang w:val="en-US"/>
              </w:rPr>
            </w:pPr>
            <w:r>
              <w:rPr>
                <w:bCs/>
                <w:lang w:val="en-US"/>
              </w:rPr>
              <w:t>30</w:t>
            </w:r>
          </w:p>
        </w:tc>
        <w:tc>
          <w:tcPr>
            <w:tcW w:w="931" w:type="dxa"/>
            <w:tcBorders>
              <w:top w:val="nil"/>
              <w:bottom w:val="nil"/>
            </w:tcBorders>
          </w:tcPr>
          <w:p w:rsidR="00000000" w:rsidRDefault="00000000">
            <w:pPr>
              <w:ind w:left="-363" w:right="170"/>
              <w:jc w:val="right"/>
              <w:rPr>
                <w:bCs/>
                <w:lang w:val="en-US"/>
              </w:rPr>
            </w:pPr>
            <w:r>
              <w:rPr>
                <w:bCs/>
                <w:lang w:val="en-US"/>
              </w:rPr>
              <w:t>20</w:t>
            </w:r>
          </w:p>
        </w:tc>
      </w:tr>
      <w:tr w:rsidR="00000000">
        <w:trPr>
          <w:trHeight w:val="285"/>
        </w:trPr>
        <w:tc>
          <w:tcPr>
            <w:tcW w:w="2836" w:type="dxa"/>
            <w:tcBorders>
              <w:top w:val="nil"/>
              <w:bottom w:val="nil"/>
            </w:tcBorders>
            <w:vAlign w:val="bottom"/>
          </w:tcPr>
          <w:p w:rsidR="00000000" w:rsidRDefault="00000000">
            <w:pPr>
              <w:pStyle w:val="Header"/>
              <w:tabs>
                <w:tab w:val="left" w:pos="195"/>
              </w:tabs>
              <w:ind w:left="195" w:hanging="195"/>
            </w:pPr>
            <w:r>
              <w:t>Медицина</w:t>
            </w:r>
          </w:p>
        </w:tc>
        <w:tc>
          <w:tcPr>
            <w:tcW w:w="930" w:type="dxa"/>
            <w:tcBorders>
              <w:top w:val="nil"/>
              <w:bottom w:val="nil"/>
            </w:tcBorders>
          </w:tcPr>
          <w:p w:rsidR="00000000" w:rsidRDefault="00000000">
            <w:pPr>
              <w:ind w:left="-363" w:right="170"/>
              <w:jc w:val="right"/>
              <w:rPr>
                <w:bCs/>
                <w:lang w:val="en-US"/>
              </w:rPr>
            </w:pPr>
            <w:r>
              <w:rPr>
                <w:bCs/>
                <w:lang w:val="en-US"/>
              </w:rPr>
              <w:t>1</w:t>
            </w:r>
          </w:p>
        </w:tc>
        <w:tc>
          <w:tcPr>
            <w:tcW w:w="931" w:type="dxa"/>
            <w:tcBorders>
              <w:top w:val="nil"/>
              <w:bottom w:val="nil"/>
            </w:tcBorders>
          </w:tcPr>
          <w:p w:rsidR="00000000" w:rsidRDefault="00000000">
            <w:pPr>
              <w:ind w:left="-363" w:right="170"/>
              <w:jc w:val="right"/>
              <w:rPr>
                <w:bCs/>
                <w:lang w:val="en-US"/>
              </w:rPr>
            </w:pPr>
            <w:r>
              <w:rPr>
                <w:bCs/>
                <w:lang w:val="en-US"/>
              </w:rPr>
              <w:t>0</w:t>
            </w:r>
          </w:p>
        </w:tc>
        <w:tc>
          <w:tcPr>
            <w:tcW w:w="931" w:type="dxa"/>
            <w:tcBorders>
              <w:top w:val="nil"/>
              <w:bottom w:val="nil"/>
            </w:tcBorders>
          </w:tcPr>
          <w:p w:rsidR="00000000" w:rsidRDefault="00000000">
            <w:pPr>
              <w:ind w:left="-363" w:right="170"/>
              <w:jc w:val="right"/>
              <w:rPr>
                <w:bCs/>
                <w:lang w:val="en-US"/>
              </w:rPr>
            </w:pPr>
            <w:r>
              <w:rPr>
                <w:bCs/>
                <w:lang w:val="en-US"/>
              </w:rPr>
              <w:t>20</w:t>
            </w:r>
          </w:p>
        </w:tc>
        <w:tc>
          <w:tcPr>
            <w:tcW w:w="931" w:type="dxa"/>
            <w:tcBorders>
              <w:top w:val="nil"/>
              <w:bottom w:val="nil"/>
            </w:tcBorders>
          </w:tcPr>
          <w:p w:rsidR="00000000" w:rsidRDefault="00000000">
            <w:pPr>
              <w:ind w:left="-363" w:right="170"/>
              <w:jc w:val="right"/>
              <w:rPr>
                <w:bCs/>
                <w:lang w:val="en-US"/>
              </w:rPr>
            </w:pPr>
            <w:r>
              <w:rPr>
                <w:bCs/>
                <w:lang w:val="en-US"/>
              </w:rPr>
              <w:t>3</w:t>
            </w:r>
          </w:p>
        </w:tc>
        <w:tc>
          <w:tcPr>
            <w:tcW w:w="931" w:type="dxa"/>
            <w:tcBorders>
              <w:top w:val="nil"/>
              <w:bottom w:val="nil"/>
            </w:tcBorders>
          </w:tcPr>
          <w:p w:rsidR="00000000" w:rsidRDefault="00000000">
            <w:pPr>
              <w:ind w:left="-363" w:right="170"/>
              <w:jc w:val="right"/>
              <w:rPr>
                <w:bCs/>
                <w:lang w:val="en-US"/>
              </w:rPr>
            </w:pPr>
            <w:r>
              <w:rPr>
                <w:bCs/>
                <w:lang w:val="en-US"/>
              </w:rPr>
              <w:t>10</w:t>
            </w:r>
          </w:p>
        </w:tc>
        <w:tc>
          <w:tcPr>
            <w:tcW w:w="931" w:type="dxa"/>
            <w:tcBorders>
              <w:top w:val="nil"/>
              <w:bottom w:val="nil"/>
            </w:tcBorders>
          </w:tcPr>
          <w:p w:rsidR="00000000" w:rsidRDefault="00000000">
            <w:pPr>
              <w:ind w:left="-363" w:right="170"/>
              <w:jc w:val="right"/>
              <w:rPr>
                <w:bCs/>
                <w:lang w:val="en-US"/>
              </w:rPr>
            </w:pPr>
            <w:r>
              <w:rPr>
                <w:bCs/>
                <w:lang w:val="en-US"/>
              </w:rPr>
              <w:t>4</w:t>
            </w:r>
          </w:p>
        </w:tc>
        <w:tc>
          <w:tcPr>
            <w:tcW w:w="931" w:type="dxa"/>
            <w:tcBorders>
              <w:top w:val="nil"/>
              <w:bottom w:val="nil"/>
            </w:tcBorders>
          </w:tcPr>
          <w:p w:rsidR="00000000" w:rsidRDefault="00000000">
            <w:pPr>
              <w:ind w:left="-363" w:right="170"/>
              <w:jc w:val="right"/>
              <w:rPr>
                <w:bCs/>
                <w:lang w:val="en-US"/>
              </w:rPr>
            </w:pPr>
            <w:r>
              <w:rPr>
                <w:bCs/>
                <w:lang w:val="en-US"/>
              </w:rPr>
              <w:t>0</w:t>
            </w:r>
          </w:p>
        </w:tc>
      </w:tr>
      <w:tr w:rsidR="00000000">
        <w:trPr>
          <w:trHeight w:val="285"/>
        </w:trPr>
        <w:tc>
          <w:tcPr>
            <w:tcW w:w="2836" w:type="dxa"/>
            <w:tcBorders>
              <w:top w:val="nil"/>
              <w:bottom w:val="nil"/>
            </w:tcBorders>
            <w:vAlign w:val="bottom"/>
          </w:tcPr>
          <w:p w:rsidR="00000000" w:rsidRDefault="00000000">
            <w:pPr>
              <w:pStyle w:val="Header"/>
              <w:tabs>
                <w:tab w:val="left" w:pos="195"/>
              </w:tabs>
              <w:ind w:left="195" w:hanging="195"/>
            </w:pPr>
            <w:r>
              <w:t>Биотехнология</w:t>
            </w:r>
          </w:p>
        </w:tc>
        <w:tc>
          <w:tcPr>
            <w:tcW w:w="930" w:type="dxa"/>
            <w:tcBorders>
              <w:top w:val="nil"/>
              <w:bottom w:val="nil"/>
            </w:tcBorders>
          </w:tcPr>
          <w:p w:rsidR="00000000" w:rsidRDefault="00000000">
            <w:pPr>
              <w:ind w:left="-363" w:right="170"/>
              <w:jc w:val="right"/>
              <w:rPr>
                <w:bCs/>
                <w:lang w:val="en-US"/>
              </w:rPr>
            </w:pPr>
            <w:r>
              <w:rPr>
                <w:bCs/>
                <w:lang w:val="en-US"/>
              </w:rPr>
              <w:t>4</w:t>
            </w:r>
          </w:p>
        </w:tc>
        <w:tc>
          <w:tcPr>
            <w:tcW w:w="931" w:type="dxa"/>
            <w:tcBorders>
              <w:top w:val="nil"/>
              <w:bottom w:val="nil"/>
            </w:tcBorders>
          </w:tcPr>
          <w:p w:rsidR="00000000" w:rsidRDefault="00000000">
            <w:pPr>
              <w:ind w:left="-363" w:right="170"/>
              <w:jc w:val="right"/>
              <w:rPr>
                <w:bCs/>
                <w:lang w:val="en-US"/>
              </w:rPr>
            </w:pPr>
            <w:r>
              <w:rPr>
                <w:bCs/>
                <w:lang w:val="en-US"/>
              </w:rPr>
              <w:t>4</w:t>
            </w:r>
          </w:p>
        </w:tc>
        <w:tc>
          <w:tcPr>
            <w:tcW w:w="931" w:type="dxa"/>
            <w:tcBorders>
              <w:top w:val="nil"/>
              <w:bottom w:val="nil"/>
            </w:tcBorders>
          </w:tcPr>
          <w:p w:rsidR="00000000" w:rsidRDefault="00000000">
            <w:pPr>
              <w:ind w:left="-363" w:right="170"/>
              <w:jc w:val="right"/>
              <w:rPr>
                <w:bCs/>
                <w:lang w:val="en-US"/>
              </w:rPr>
            </w:pPr>
            <w:r>
              <w:rPr>
                <w:bCs/>
                <w:lang w:val="en-US"/>
              </w:rPr>
              <w:t>20</w:t>
            </w:r>
          </w:p>
        </w:tc>
        <w:tc>
          <w:tcPr>
            <w:tcW w:w="931" w:type="dxa"/>
            <w:tcBorders>
              <w:top w:val="nil"/>
              <w:bottom w:val="nil"/>
            </w:tcBorders>
          </w:tcPr>
          <w:p w:rsidR="00000000" w:rsidRDefault="00000000">
            <w:pPr>
              <w:ind w:left="-363" w:right="170"/>
              <w:jc w:val="right"/>
              <w:rPr>
                <w:bCs/>
                <w:lang w:val="en-US"/>
              </w:rPr>
            </w:pPr>
            <w:r>
              <w:rPr>
                <w:bCs/>
                <w:lang w:val="en-US"/>
              </w:rPr>
              <w:t>16</w:t>
            </w:r>
          </w:p>
        </w:tc>
        <w:tc>
          <w:tcPr>
            <w:tcW w:w="931" w:type="dxa"/>
            <w:tcBorders>
              <w:top w:val="nil"/>
              <w:bottom w:val="nil"/>
            </w:tcBorders>
          </w:tcPr>
          <w:p w:rsidR="00000000" w:rsidRDefault="00000000">
            <w:pPr>
              <w:ind w:left="-363" w:right="170"/>
              <w:jc w:val="right"/>
              <w:rPr>
                <w:bCs/>
                <w:lang w:val="en-US"/>
              </w:rPr>
            </w:pPr>
            <w:r>
              <w:rPr>
                <w:bCs/>
                <w:lang w:val="en-US"/>
              </w:rPr>
              <w:t>6</w:t>
            </w:r>
          </w:p>
        </w:tc>
        <w:tc>
          <w:tcPr>
            <w:tcW w:w="931" w:type="dxa"/>
            <w:tcBorders>
              <w:top w:val="nil"/>
              <w:bottom w:val="nil"/>
            </w:tcBorders>
          </w:tcPr>
          <w:p w:rsidR="00000000" w:rsidRDefault="00000000">
            <w:pPr>
              <w:ind w:left="-363" w:right="170"/>
              <w:jc w:val="right"/>
              <w:rPr>
                <w:bCs/>
                <w:lang w:val="en-US"/>
              </w:rPr>
            </w:pPr>
            <w:r>
              <w:rPr>
                <w:bCs/>
                <w:lang w:val="en-US"/>
              </w:rPr>
              <w:t>11</w:t>
            </w:r>
          </w:p>
        </w:tc>
        <w:tc>
          <w:tcPr>
            <w:tcW w:w="931" w:type="dxa"/>
            <w:tcBorders>
              <w:top w:val="nil"/>
              <w:bottom w:val="nil"/>
            </w:tcBorders>
          </w:tcPr>
          <w:p w:rsidR="00000000" w:rsidRDefault="00000000">
            <w:pPr>
              <w:ind w:left="-363" w:right="170"/>
              <w:jc w:val="right"/>
              <w:rPr>
                <w:bCs/>
                <w:lang w:val="en-US"/>
              </w:rPr>
            </w:pPr>
            <w:r>
              <w:rPr>
                <w:bCs/>
                <w:lang w:val="en-US"/>
              </w:rPr>
              <w:t>2</w:t>
            </w:r>
          </w:p>
        </w:tc>
      </w:tr>
      <w:tr w:rsidR="00000000">
        <w:trPr>
          <w:trHeight w:val="285"/>
        </w:trPr>
        <w:tc>
          <w:tcPr>
            <w:tcW w:w="2836" w:type="dxa"/>
            <w:tcBorders>
              <w:top w:val="nil"/>
              <w:bottom w:val="nil"/>
            </w:tcBorders>
            <w:vAlign w:val="bottom"/>
          </w:tcPr>
          <w:p w:rsidR="00000000" w:rsidRDefault="00000000">
            <w:pPr>
              <w:pStyle w:val="Header"/>
              <w:tabs>
                <w:tab w:val="left" w:pos="195"/>
              </w:tabs>
              <w:ind w:left="195" w:hanging="195"/>
            </w:pPr>
            <w:r>
              <w:t>Социальные науки</w:t>
            </w:r>
          </w:p>
        </w:tc>
        <w:tc>
          <w:tcPr>
            <w:tcW w:w="930" w:type="dxa"/>
            <w:tcBorders>
              <w:top w:val="nil"/>
              <w:bottom w:val="nil"/>
            </w:tcBorders>
          </w:tcPr>
          <w:p w:rsidR="00000000" w:rsidRDefault="00000000">
            <w:pPr>
              <w:ind w:left="-363" w:right="170"/>
              <w:jc w:val="right"/>
              <w:rPr>
                <w:bCs/>
                <w:lang w:val="en-US"/>
              </w:rPr>
            </w:pPr>
            <w:r>
              <w:rPr>
                <w:bCs/>
                <w:lang w:val="en-US"/>
              </w:rPr>
              <w:t>11</w:t>
            </w:r>
          </w:p>
        </w:tc>
        <w:tc>
          <w:tcPr>
            <w:tcW w:w="931" w:type="dxa"/>
            <w:tcBorders>
              <w:top w:val="nil"/>
              <w:bottom w:val="nil"/>
            </w:tcBorders>
          </w:tcPr>
          <w:p w:rsidR="00000000" w:rsidRDefault="00000000">
            <w:pPr>
              <w:ind w:left="-363" w:right="170"/>
              <w:jc w:val="right"/>
              <w:rPr>
                <w:bCs/>
                <w:lang w:val="en-US"/>
              </w:rPr>
            </w:pPr>
            <w:r>
              <w:rPr>
                <w:bCs/>
                <w:lang w:val="en-US"/>
              </w:rPr>
              <w:t>12</w:t>
            </w:r>
          </w:p>
        </w:tc>
        <w:tc>
          <w:tcPr>
            <w:tcW w:w="931" w:type="dxa"/>
            <w:tcBorders>
              <w:top w:val="nil"/>
              <w:bottom w:val="nil"/>
            </w:tcBorders>
          </w:tcPr>
          <w:p w:rsidR="00000000" w:rsidRDefault="00000000">
            <w:pPr>
              <w:ind w:left="-363" w:right="170"/>
              <w:jc w:val="right"/>
              <w:rPr>
                <w:bCs/>
                <w:lang w:val="en-US"/>
              </w:rPr>
            </w:pPr>
            <w:r>
              <w:rPr>
                <w:bCs/>
                <w:lang w:val="en-US"/>
              </w:rPr>
              <w:t>5</w:t>
            </w:r>
          </w:p>
        </w:tc>
        <w:tc>
          <w:tcPr>
            <w:tcW w:w="931" w:type="dxa"/>
            <w:tcBorders>
              <w:top w:val="nil"/>
              <w:bottom w:val="nil"/>
            </w:tcBorders>
          </w:tcPr>
          <w:p w:rsidR="00000000" w:rsidRDefault="00000000">
            <w:pPr>
              <w:ind w:left="-363" w:right="170"/>
              <w:jc w:val="right"/>
              <w:rPr>
                <w:bCs/>
                <w:lang w:val="en-US"/>
              </w:rPr>
            </w:pPr>
            <w:r>
              <w:rPr>
                <w:bCs/>
                <w:lang w:val="en-US"/>
              </w:rPr>
              <w:t>24</w:t>
            </w:r>
          </w:p>
        </w:tc>
        <w:tc>
          <w:tcPr>
            <w:tcW w:w="931" w:type="dxa"/>
            <w:tcBorders>
              <w:top w:val="nil"/>
              <w:bottom w:val="nil"/>
            </w:tcBorders>
          </w:tcPr>
          <w:p w:rsidR="00000000" w:rsidRDefault="00000000">
            <w:pPr>
              <w:ind w:left="-363" w:right="170"/>
              <w:jc w:val="right"/>
              <w:rPr>
                <w:bCs/>
                <w:lang w:val="en-US"/>
              </w:rPr>
            </w:pPr>
            <w:r>
              <w:rPr>
                <w:bCs/>
                <w:lang w:val="en-US"/>
              </w:rPr>
              <w:t>31</w:t>
            </w:r>
          </w:p>
        </w:tc>
        <w:tc>
          <w:tcPr>
            <w:tcW w:w="931" w:type="dxa"/>
            <w:tcBorders>
              <w:top w:val="nil"/>
              <w:bottom w:val="nil"/>
            </w:tcBorders>
          </w:tcPr>
          <w:p w:rsidR="00000000" w:rsidRDefault="00000000">
            <w:pPr>
              <w:ind w:left="-363" w:right="170"/>
              <w:jc w:val="right"/>
              <w:rPr>
                <w:bCs/>
                <w:lang w:val="en-US"/>
              </w:rPr>
            </w:pPr>
            <w:r>
              <w:rPr>
                <w:bCs/>
                <w:lang w:val="en-US"/>
              </w:rPr>
              <w:t>17</w:t>
            </w:r>
          </w:p>
        </w:tc>
        <w:tc>
          <w:tcPr>
            <w:tcW w:w="931" w:type="dxa"/>
            <w:tcBorders>
              <w:top w:val="nil"/>
              <w:bottom w:val="nil"/>
            </w:tcBorders>
          </w:tcPr>
          <w:p w:rsidR="00000000" w:rsidRDefault="00000000">
            <w:pPr>
              <w:ind w:left="-363" w:right="170"/>
              <w:jc w:val="right"/>
              <w:rPr>
                <w:bCs/>
                <w:lang w:val="en-US"/>
              </w:rPr>
            </w:pPr>
            <w:r>
              <w:rPr>
                <w:bCs/>
                <w:lang w:val="en-US"/>
              </w:rPr>
              <w:t>17</w:t>
            </w:r>
          </w:p>
        </w:tc>
      </w:tr>
      <w:tr w:rsidR="00000000">
        <w:trPr>
          <w:trHeight w:val="285"/>
        </w:trPr>
        <w:tc>
          <w:tcPr>
            <w:tcW w:w="2836" w:type="dxa"/>
            <w:tcBorders>
              <w:top w:val="nil"/>
            </w:tcBorders>
            <w:vAlign w:val="bottom"/>
          </w:tcPr>
          <w:p w:rsidR="00000000" w:rsidRDefault="00000000">
            <w:pPr>
              <w:pStyle w:val="Header"/>
              <w:tabs>
                <w:tab w:val="left" w:pos="195"/>
              </w:tabs>
              <w:ind w:left="195" w:hanging="195"/>
            </w:pPr>
            <w:r>
              <w:t>Гуманитарные науки</w:t>
            </w:r>
          </w:p>
        </w:tc>
        <w:tc>
          <w:tcPr>
            <w:tcW w:w="930" w:type="dxa"/>
            <w:tcBorders>
              <w:top w:val="nil"/>
            </w:tcBorders>
          </w:tcPr>
          <w:p w:rsidR="00000000" w:rsidRDefault="00000000">
            <w:pPr>
              <w:ind w:left="-363" w:right="170"/>
              <w:jc w:val="right"/>
              <w:rPr>
                <w:bCs/>
                <w:lang w:val="en-US"/>
              </w:rPr>
            </w:pPr>
            <w:r>
              <w:rPr>
                <w:bCs/>
                <w:lang w:val="en-US"/>
              </w:rPr>
              <w:t>17</w:t>
            </w:r>
          </w:p>
        </w:tc>
        <w:tc>
          <w:tcPr>
            <w:tcW w:w="931" w:type="dxa"/>
            <w:tcBorders>
              <w:top w:val="nil"/>
            </w:tcBorders>
          </w:tcPr>
          <w:p w:rsidR="00000000" w:rsidRDefault="00000000">
            <w:pPr>
              <w:ind w:left="-363" w:right="170"/>
              <w:jc w:val="right"/>
              <w:rPr>
                <w:bCs/>
                <w:lang w:val="en-US"/>
              </w:rPr>
            </w:pPr>
            <w:r>
              <w:rPr>
                <w:bCs/>
                <w:lang w:val="en-US"/>
              </w:rPr>
              <w:t>17</w:t>
            </w:r>
          </w:p>
        </w:tc>
        <w:tc>
          <w:tcPr>
            <w:tcW w:w="931" w:type="dxa"/>
            <w:tcBorders>
              <w:top w:val="nil"/>
            </w:tcBorders>
          </w:tcPr>
          <w:p w:rsidR="00000000" w:rsidRDefault="00000000">
            <w:pPr>
              <w:ind w:left="-363" w:right="170"/>
              <w:jc w:val="right"/>
              <w:rPr>
                <w:bCs/>
                <w:lang w:val="en-US"/>
              </w:rPr>
            </w:pPr>
            <w:r>
              <w:rPr>
                <w:bCs/>
                <w:lang w:val="en-US"/>
              </w:rPr>
              <w:t>11</w:t>
            </w:r>
          </w:p>
        </w:tc>
        <w:tc>
          <w:tcPr>
            <w:tcW w:w="931" w:type="dxa"/>
            <w:tcBorders>
              <w:top w:val="nil"/>
            </w:tcBorders>
          </w:tcPr>
          <w:p w:rsidR="00000000" w:rsidRDefault="00000000">
            <w:pPr>
              <w:ind w:left="-363" w:right="170"/>
              <w:jc w:val="right"/>
              <w:rPr>
                <w:bCs/>
                <w:lang w:val="en-US"/>
              </w:rPr>
            </w:pPr>
            <w:r>
              <w:rPr>
                <w:bCs/>
                <w:lang w:val="en-US"/>
              </w:rPr>
              <w:t>4</w:t>
            </w:r>
          </w:p>
        </w:tc>
        <w:tc>
          <w:tcPr>
            <w:tcW w:w="931" w:type="dxa"/>
            <w:tcBorders>
              <w:top w:val="nil"/>
            </w:tcBorders>
          </w:tcPr>
          <w:p w:rsidR="00000000" w:rsidRDefault="00000000">
            <w:pPr>
              <w:ind w:left="-363" w:right="170"/>
              <w:jc w:val="right"/>
              <w:rPr>
                <w:bCs/>
                <w:lang w:val="en-US"/>
              </w:rPr>
            </w:pPr>
            <w:r>
              <w:rPr>
                <w:bCs/>
                <w:lang w:val="en-US"/>
              </w:rPr>
              <w:t>43</w:t>
            </w:r>
          </w:p>
        </w:tc>
        <w:tc>
          <w:tcPr>
            <w:tcW w:w="931" w:type="dxa"/>
            <w:tcBorders>
              <w:top w:val="nil"/>
            </w:tcBorders>
          </w:tcPr>
          <w:p w:rsidR="00000000" w:rsidRDefault="00000000">
            <w:pPr>
              <w:ind w:left="-363" w:right="170"/>
              <w:jc w:val="right"/>
              <w:rPr>
                <w:bCs/>
                <w:lang w:val="en-US"/>
              </w:rPr>
            </w:pPr>
            <w:r>
              <w:rPr>
                <w:bCs/>
                <w:lang w:val="en-US"/>
              </w:rPr>
              <w:t>14</w:t>
            </w:r>
          </w:p>
        </w:tc>
        <w:tc>
          <w:tcPr>
            <w:tcW w:w="931" w:type="dxa"/>
            <w:tcBorders>
              <w:top w:val="nil"/>
            </w:tcBorders>
          </w:tcPr>
          <w:p w:rsidR="00000000" w:rsidRDefault="00000000">
            <w:pPr>
              <w:ind w:left="-363" w:right="170"/>
              <w:jc w:val="right"/>
              <w:rPr>
                <w:bCs/>
                <w:lang w:val="en-US"/>
              </w:rPr>
            </w:pPr>
            <w:r>
              <w:rPr>
                <w:bCs/>
                <w:lang w:val="en-US"/>
              </w:rPr>
              <w:t>20</w:t>
            </w:r>
          </w:p>
        </w:tc>
      </w:tr>
    </w:tbl>
    <w:p w:rsidR="00000000" w:rsidRDefault="00000000"/>
    <w:p w:rsidR="00000000" w:rsidRDefault="00000000">
      <w:r>
        <w:tab/>
      </w:r>
      <w:r>
        <w:rPr>
          <w:i/>
          <w:iCs/>
        </w:rPr>
        <w:t>Источник</w:t>
      </w:r>
      <w:r>
        <w:t>:  Государственное статистическое управление.</w:t>
      </w:r>
    </w:p>
    <w:p w:rsidR="00000000" w:rsidRDefault="00000000"/>
    <w:p w:rsidR="00000000" w:rsidRDefault="00000000">
      <w:pPr>
        <w:jc w:val="center"/>
        <w:rPr>
          <w:b/>
          <w:bCs/>
        </w:rPr>
      </w:pPr>
      <w:r>
        <w:rPr>
          <w:b/>
          <w:bCs/>
        </w:rPr>
        <w:br w:type="page"/>
        <w:t>Доктора наук</w:t>
      </w:r>
    </w:p>
    <w:p w:rsidR="00000000" w:rsidRDefault="00000000">
      <w:pPr>
        <w:jc w:val="center"/>
        <w:rPr>
          <w:b/>
          <w:bCs/>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2836"/>
        <w:gridCol w:w="930"/>
        <w:gridCol w:w="931"/>
        <w:gridCol w:w="931"/>
        <w:gridCol w:w="931"/>
        <w:gridCol w:w="931"/>
        <w:gridCol w:w="931"/>
        <w:gridCol w:w="931"/>
      </w:tblGrid>
      <w:tr w:rsidR="00000000">
        <w:tc>
          <w:tcPr>
            <w:tcW w:w="2836" w:type="dxa"/>
            <w:tcBorders>
              <w:bottom w:val="single" w:sz="4" w:space="0" w:color="auto"/>
            </w:tcBorders>
            <w:vAlign w:val="bottom"/>
          </w:tcPr>
          <w:p w:rsidR="00000000" w:rsidRDefault="00000000">
            <w:pPr>
              <w:rPr>
                <w:lang w:val="en-US"/>
              </w:rPr>
            </w:pPr>
          </w:p>
        </w:tc>
        <w:tc>
          <w:tcPr>
            <w:tcW w:w="930" w:type="dxa"/>
            <w:tcBorders>
              <w:bottom w:val="single" w:sz="4" w:space="0" w:color="auto"/>
            </w:tcBorders>
          </w:tcPr>
          <w:p w:rsidR="00000000" w:rsidRDefault="00000000">
            <w:pPr>
              <w:pStyle w:val="Header"/>
              <w:jc w:val="center"/>
              <w:rPr>
                <w:lang w:val="en-US"/>
              </w:rPr>
            </w:pPr>
            <w:r>
              <w:rPr>
                <w:lang w:val="en-US"/>
              </w:rPr>
              <w:t>1997</w:t>
            </w:r>
          </w:p>
        </w:tc>
        <w:tc>
          <w:tcPr>
            <w:tcW w:w="931" w:type="dxa"/>
            <w:tcBorders>
              <w:bottom w:val="single" w:sz="4" w:space="0" w:color="auto"/>
            </w:tcBorders>
          </w:tcPr>
          <w:p w:rsidR="00000000" w:rsidRDefault="00000000">
            <w:pPr>
              <w:jc w:val="center"/>
              <w:rPr>
                <w:lang w:val="en-US"/>
              </w:rPr>
            </w:pPr>
            <w:r>
              <w:rPr>
                <w:lang w:val="en-US"/>
              </w:rPr>
              <w:t>1998</w:t>
            </w:r>
          </w:p>
        </w:tc>
        <w:tc>
          <w:tcPr>
            <w:tcW w:w="931" w:type="dxa"/>
            <w:tcBorders>
              <w:bottom w:val="single" w:sz="4" w:space="0" w:color="auto"/>
            </w:tcBorders>
          </w:tcPr>
          <w:p w:rsidR="00000000" w:rsidRDefault="00000000">
            <w:pPr>
              <w:jc w:val="center"/>
              <w:rPr>
                <w:lang w:val="en-US"/>
              </w:rPr>
            </w:pPr>
            <w:r>
              <w:rPr>
                <w:lang w:val="en-US"/>
              </w:rPr>
              <w:t>1999</w:t>
            </w:r>
          </w:p>
        </w:tc>
        <w:tc>
          <w:tcPr>
            <w:tcW w:w="931" w:type="dxa"/>
            <w:tcBorders>
              <w:bottom w:val="single" w:sz="4" w:space="0" w:color="auto"/>
            </w:tcBorders>
          </w:tcPr>
          <w:p w:rsidR="00000000" w:rsidRDefault="00000000">
            <w:pPr>
              <w:jc w:val="center"/>
              <w:rPr>
                <w:lang w:val="en-US"/>
              </w:rPr>
            </w:pPr>
            <w:r>
              <w:rPr>
                <w:lang w:val="en-US"/>
              </w:rPr>
              <w:t>2000</w:t>
            </w:r>
          </w:p>
        </w:tc>
        <w:tc>
          <w:tcPr>
            <w:tcW w:w="931" w:type="dxa"/>
            <w:tcBorders>
              <w:bottom w:val="single" w:sz="4" w:space="0" w:color="auto"/>
            </w:tcBorders>
          </w:tcPr>
          <w:p w:rsidR="00000000" w:rsidRDefault="00000000">
            <w:pPr>
              <w:jc w:val="center"/>
              <w:rPr>
                <w:lang w:val="en-US"/>
              </w:rPr>
            </w:pPr>
            <w:r>
              <w:rPr>
                <w:lang w:val="en-US"/>
              </w:rPr>
              <w:t>2001</w:t>
            </w:r>
          </w:p>
        </w:tc>
        <w:tc>
          <w:tcPr>
            <w:tcW w:w="931" w:type="dxa"/>
            <w:tcBorders>
              <w:bottom w:val="single" w:sz="4" w:space="0" w:color="auto"/>
            </w:tcBorders>
          </w:tcPr>
          <w:p w:rsidR="00000000" w:rsidRDefault="00000000">
            <w:pPr>
              <w:jc w:val="center"/>
              <w:rPr>
                <w:lang w:val="en-US"/>
              </w:rPr>
            </w:pPr>
            <w:r>
              <w:rPr>
                <w:lang w:val="en-US"/>
              </w:rPr>
              <w:t>2002</w:t>
            </w:r>
          </w:p>
        </w:tc>
        <w:tc>
          <w:tcPr>
            <w:tcW w:w="931" w:type="dxa"/>
            <w:tcBorders>
              <w:bottom w:val="single" w:sz="4" w:space="0" w:color="auto"/>
            </w:tcBorders>
          </w:tcPr>
          <w:p w:rsidR="00000000" w:rsidRDefault="00000000">
            <w:pPr>
              <w:jc w:val="center"/>
              <w:rPr>
                <w:lang w:val="en-US"/>
              </w:rPr>
            </w:pPr>
            <w:r>
              <w:rPr>
                <w:lang w:val="en-US"/>
              </w:rPr>
              <w:t>2003</w:t>
            </w:r>
          </w:p>
        </w:tc>
      </w:tr>
      <w:tr w:rsidR="00000000">
        <w:tc>
          <w:tcPr>
            <w:tcW w:w="2836" w:type="dxa"/>
            <w:tcBorders>
              <w:bottom w:val="nil"/>
            </w:tcBorders>
            <w:vAlign w:val="bottom"/>
          </w:tcPr>
          <w:p w:rsidR="00000000" w:rsidRDefault="00000000">
            <w:pPr>
              <w:pStyle w:val="Header"/>
              <w:tabs>
                <w:tab w:val="left" w:pos="195"/>
              </w:tabs>
              <w:ind w:left="195" w:hanging="195"/>
            </w:pPr>
            <w:r>
              <w:t>Всего</w:t>
            </w:r>
          </w:p>
        </w:tc>
        <w:tc>
          <w:tcPr>
            <w:tcW w:w="930" w:type="dxa"/>
            <w:tcBorders>
              <w:bottom w:val="nil"/>
            </w:tcBorders>
          </w:tcPr>
          <w:p w:rsidR="00000000" w:rsidRDefault="00000000">
            <w:pPr>
              <w:ind w:left="-391" w:right="170"/>
              <w:jc w:val="right"/>
              <w:rPr>
                <w:lang w:val="en-US"/>
              </w:rPr>
            </w:pPr>
            <w:r>
              <w:rPr>
                <w:lang w:val="en-US"/>
              </w:rPr>
              <w:t>53</w:t>
            </w:r>
          </w:p>
        </w:tc>
        <w:tc>
          <w:tcPr>
            <w:tcW w:w="931" w:type="dxa"/>
            <w:tcBorders>
              <w:bottom w:val="nil"/>
            </w:tcBorders>
          </w:tcPr>
          <w:p w:rsidR="00000000" w:rsidRDefault="00000000">
            <w:pPr>
              <w:ind w:left="-391" w:right="170"/>
              <w:jc w:val="right"/>
              <w:rPr>
                <w:lang w:val="en-US"/>
              </w:rPr>
            </w:pPr>
            <w:r>
              <w:rPr>
                <w:lang w:val="en-US"/>
              </w:rPr>
              <w:t>50</w:t>
            </w:r>
          </w:p>
        </w:tc>
        <w:tc>
          <w:tcPr>
            <w:tcW w:w="931" w:type="dxa"/>
            <w:tcBorders>
              <w:bottom w:val="nil"/>
            </w:tcBorders>
          </w:tcPr>
          <w:p w:rsidR="00000000" w:rsidRDefault="00000000">
            <w:pPr>
              <w:ind w:left="-391" w:right="170"/>
              <w:jc w:val="right"/>
              <w:rPr>
                <w:lang w:val="en-US"/>
              </w:rPr>
            </w:pPr>
            <w:r>
              <w:rPr>
                <w:lang w:val="en-US"/>
              </w:rPr>
              <w:t>33</w:t>
            </w:r>
          </w:p>
        </w:tc>
        <w:tc>
          <w:tcPr>
            <w:tcW w:w="931" w:type="dxa"/>
            <w:tcBorders>
              <w:bottom w:val="nil"/>
            </w:tcBorders>
          </w:tcPr>
          <w:p w:rsidR="00000000" w:rsidRDefault="00000000">
            <w:pPr>
              <w:ind w:left="-391" w:right="170"/>
              <w:jc w:val="right"/>
              <w:rPr>
                <w:lang w:val="en-US"/>
              </w:rPr>
            </w:pPr>
            <w:r>
              <w:rPr>
                <w:lang w:val="en-US"/>
              </w:rPr>
              <w:t>46</w:t>
            </w:r>
          </w:p>
        </w:tc>
        <w:tc>
          <w:tcPr>
            <w:tcW w:w="931" w:type="dxa"/>
            <w:tcBorders>
              <w:bottom w:val="nil"/>
            </w:tcBorders>
          </w:tcPr>
          <w:p w:rsidR="00000000" w:rsidRDefault="00000000">
            <w:pPr>
              <w:ind w:left="-391" w:right="170"/>
              <w:jc w:val="right"/>
              <w:rPr>
                <w:lang w:val="en-US"/>
              </w:rPr>
            </w:pPr>
            <w:r>
              <w:rPr>
                <w:lang w:val="en-US"/>
              </w:rPr>
              <w:t>66</w:t>
            </w:r>
          </w:p>
        </w:tc>
        <w:tc>
          <w:tcPr>
            <w:tcW w:w="931" w:type="dxa"/>
            <w:tcBorders>
              <w:bottom w:val="nil"/>
            </w:tcBorders>
          </w:tcPr>
          <w:p w:rsidR="00000000" w:rsidRDefault="00000000">
            <w:pPr>
              <w:ind w:left="-391" w:right="170"/>
              <w:jc w:val="right"/>
              <w:rPr>
                <w:lang w:val="en-US"/>
              </w:rPr>
            </w:pPr>
            <w:r>
              <w:rPr>
                <w:lang w:val="en-US"/>
              </w:rPr>
              <w:t>50</w:t>
            </w:r>
          </w:p>
        </w:tc>
        <w:tc>
          <w:tcPr>
            <w:tcW w:w="931" w:type="dxa"/>
            <w:tcBorders>
              <w:bottom w:val="nil"/>
            </w:tcBorders>
          </w:tcPr>
          <w:p w:rsidR="00000000" w:rsidRDefault="00000000">
            <w:pPr>
              <w:ind w:left="-391" w:right="170"/>
              <w:jc w:val="right"/>
              <w:rPr>
                <w:lang w:val="en-US"/>
              </w:rPr>
            </w:pPr>
            <w:r>
              <w:rPr>
                <w:lang w:val="en-US"/>
              </w:rPr>
              <w:t>59</w:t>
            </w:r>
          </w:p>
        </w:tc>
      </w:tr>
      <w:tr w:rsidR="00000000">
        <w:tc>
          <w:tcPr>
            <w:tcW w:w="2836" w:type="dxa"/>
            <w:tcBorders>
              <w:top w:val="nil"/>
              <w:bottom w:val="nil"/>
            </w:tcBorders>
            <w:vAlign w:val="bottom"/>
          </w:tcPr>
          <w:p w:rsidR="00000000" w:rsidRDefault="00000000">
            <w:pPr>
              <w:pStyle w:val="Header"/>
              <w:tabs>
                <w:tab w:val="left" w:pos="195"/>
              </w:tabs>
              <w:ind w:left="195" w:hanging="195"/>
            </w:pPr>
            <w:r>
              <w:t>Естественные науки и математика</w:t>
            </w:r>
          </w:p>
        </w:tc>
        <w:tc>
          <w:tcPr>
            <w:tcW w:w="930" w:type="dxa"/>
            <w:tcBorders>
              <w:top w:val="nil"/>
              <w:bottom w:val="nil"/>
            </w:tcBorders>
          </w:tcPr>
          <w:p w:rsidR="00000000" w:rsidRDefault="00000000">
            <w:pPr>
              <w:ind w:left="-391" w:right="170"/>
              <w:jc w:val="right"/>
              <w:rPr>
                <w:lang w:val="en-US"/>
              </w:rPr>
            </w:pPr>
            <w:r>
              <w:rPr>
                <w:lang w:val="en-US"/>
              </w:rPr>
              <w:t>6</w:t>
            </w:r>
          </w:p>
        </w:tc>
        <w:tc>
          <w:tcPr>
            <w:tcW w:w="931" w:type="dxa"/>
            <w:tcBorders>
              <w:top w:val="nil"/>
              <w:bottom w:val="nil"/>
            </w:tcBorders>
          </w:tcPr>
          <w:p w:rsidR="00000000" w:rsidRDefault="00000000">
            <w:pPr>
              <w:ind w:left="-391" w:right="170"/>
              <w:jc w:val="right"/>
              <w:rPr>
                <w:lang w:val="en-US"/>
              </w:rPr>
            </w:pPr>
            <w:r>
              <w:rPr>
                <w:lang w:val="en-US"/>
              </w:rPr>
              <w:t>0</w:t>
            </w:r>
          </w:p>
        </w:tc>
        <w:tc>
          <w:tcPr>
            <w:tcW w:w="931" w:type="dxa"/>
            <w:tcBorders>
              <w:top w:val="nil"/>
              <w:bottom w:val="nil"/>
            </w:tcBorders>
          </w:tcPr>
          <w:p w:rsidR="00000000" w:rsidRDefault="00000000">
            <w:pPr>
              <w:ind w:left="-391" w:right="170"/>
              <w:jc w:val="right"/>
              <w:rPr>
                <w:lang w:val="en-US"/>
              </w:rPr>
            </w:pPr>
            <w:r>
              <w:rPr>
                <w:lang w:val="en-US"/>
              </w:rPr>
              <w:t>8</w:t>
            </w:r>
          </w:p>
        </w:tc>
        <w:tc>
          <w:tcPr>
            <w:tcW w:w="931" w:type="dxa"/>
            <w:tcBorders>
              <w:top w:val="nil"/>
              <w:bottom w:val="nil"/>
            </w:tcBorders>
          </w:tcPr>
          <w:p w:rsidR="00000000" w:rsidRDefault="00000000">
            <w:pPr>
              <w:ind w:left="-391" w:right="170"/>
              <w:jc w:val="right"/>
              <w:rPr>
                <w:lang w:val="en-US"/>
              </w:rPr>
            </w:pPr>
            <w:r>
              <w:rPr>
                <w:lang w:val="en-US"/>
              </w:rPr>
              <w:t>5</w:t>
            </w:r>
          </w:p>
        </w:tc>
        <w:tc>
          <w:tcPr>
            <w:tcW w:w="931" w:type="dxa"/>
            <w:tcBorders>
              <w:top w:val="nil"/>
              <w:bottom w:val="nil"/>
            </w:tcBorders>
          </w:tcPr>
          <w:p w:rsidR="00000000" w:rsidRDefault="00000000">
            <w:pPr>
              <w:ind w:left="-391" w:right="170"/>
              <w:jc w:val="right"/>
              <w:rPr>
                <w:lang w:val="en-US"/>
              </w:rPr>
            </w:pPr>
            <w:r>
              <w:rPr>
                <w:lang w:val="en-US"/>
              </w:rPr>
              <w:t>8</w:t>
            </w:r>
          </w:p>
        </w:tc>
        <w:tc>
          <w:tcPr>
            <w:tcW w:w="931" w:type="dxa"/>
            <w:tcBorders>
              <w:top w:val="nil"/>
              <w:bottom w:val="nil"/>
            </w:tcBorders>
          </w:tcPr>
          <w:p w:rsidR="00000000" w:rsidRDefault="00000000">
            <w:pPr>
              <w:ind w:left="-391" w:right="170"/>
              <w:jc w:val="right"/>
              <w:rPr>
                <w:lang w:val="en-US"/>
              </w:rPr>
            </w:pPr>
            <w:r>
              <w:rPr>
                <w:lang w:val="en-US"/>
              </w:rPr>
              <w:t>25</w:t>
            </w:r>
          </w:p>
        </w:tc>
        <w:tc>
          <w:tcPr>
            <w:tcW w:w="931" w:type="dxa"/>
            <w:tcBorders>
              <w:top w:val="nil"/>
              <w:bottom w:val="nil"/>
            </w:tcBorders>
          </w:tcPr>
          <w:p w:rsidR="00000000" w:rsidRDefault="00000000">
            <w:pPr>
              <w:ind w:left="-391" w:right="170"/>
              <w:jc w:val="right"/>
              <w:rPr>
                <w:lang w:val="en-US"/>
              </w:rPr>
            </w:pPr>
            <w:r>
              <w:rPr>
                <w:lang w:val="en-US"/>
              </w:rPr>
              <w:t>12</w:t>
            </w:r>
          </w:p>
        </w:tc>
      </w:tr>
      <w:tr w:rsidR="00000000">
        <w:tc>
          <w:tcPr>
            <w:tcW w:w="2836" w:type="dxa"/>
            <w:tcBorders>
              <w:top w:val="nil"/>
              <w:bottom w:val="nil"/>
            </w:tcBorders>
            <w:vAlign w:val="bottom"/>
          </w:tcPr>
          <w:p w:rsidR="00000000" w:rsidRDefault="00000000">
            <w:pPr>
              <w:pStyle w:val="Header"/>
              <w:tabs>
                <w:tab w:val="left" w:pos="195"/>
              </w:tabs>
              <w:ind w:left="195" w:hanging="195"/>
            </w:pPr>
            <w:r>
              <w:t>Технические и технологические науки</w:t>
            </w:r>
          </w:p>
        </w:tc>
        <w:tc>
          <w:tcPr>
            <w:tcW w:w="930" w:type="dxa"/>
            <w:tcBorders>
              <w:top w:val="nil"/>
              <w:bottom w:val="nil"/>
            </w:tcBorders>
          </w:tcPr>
          <w:p w:rsidR="00000000" w:rsidRDefault="00000000">
            <w:pPr>
              <w:ind w:left="-391" w:right="170"/>
              <w:jc w:val="right"/>
              <w:rPr>
                <w:lang w:val="en-US"/>
              </w:rPr>
            </w:pPr>
            <w:r>
              <w:rPr>
                <w:lang w:val="en-US"/>
              </w:rPr>
              <w:t>17</w:t>
            </w:r>
          </w:p>
        </w:tc>
        <w:tc>
          <w:tcPr>
            <w:tcW w:w="931" w:type="dxa"/>
            <w:tcBorders>
              <w:top w:val="nil"/>
              <w:bottom w:val="nil"/>
            </w:tcBorders>
          </w:tcPr>
          <w:p w:rsidR="00000000" w:rsidRDefault="00000000">
            <w:pPr>
              <w:ind w:left="-391" w:right="170"/>
              <w:jc w:val="right"/>
              <w:rPr>
                <w:lang w:val="en-US"/>
              </w:rPr>
            </w:pPr>
            <w:r>
              <w:rPr>
                <w:lang w:val="en-US"/>
              </w:rPr>
              <w:t>12</w:t>
            </w:r>
          </w:p>
        </w:tc>
        <w:tc>
          <w:tcPr>
            <w:tcW w:w="931" w:type="dxa"/>
            <w:tcBorders>
              <w:top w:val="nil"/>
              <w:bottom w:val="nil"/>
            </w:tcBorders>
          </w:tcPr>
          <w:p w:rsidR="00000000" w:rsidRDefault="00000000">
            <w:pPr>
              <w:ind w:left="-391" w:right="170"/>
              <w:jc w:val="right"/>
              <w:rPr>
                <w:lang w:val="en-US"/>
              </w:rPr>
            </w:pPr>
            <w:r>
              <w:rPr>
                <w:lang w:val="en-US"/>
              </w:rPr>
              <w:t>9</w:t>
            </w:r>
          </w:p>
        </w:tc>
        <w:tc>
          <w:tcPr>
            <w:tcW w:w="931" w:type="dxa"/>
            <w:tcBorders>
              <w:top w:val="nil"/>
              <w:bottom w:val="nil"/>
            </w:tcBorders>
          </w:tcPr>
          <w:p w:rsidR="00000000" w:rsidRDefault="00000000">
            <w:pPr>
              <w:ind w:left="-391" w:right="170"/>
              <w:jc w:val="right"/>
              <w:rPr>
                <w:lang w:val="en-US"/>
              </w:rPr>
            </w:pPr>
            <w:r>
              <w:rPr>
                <w:lang w:val="en-US"/>
              </w:rPr>
              <w:t>11</w:t>
            </w:r>
          </w:p>
        </w:tc>
        <w:tc>
          <w:tcPr>
            <w:tcW w:w="931" w:type="dxa"/>
            <w:tcBorders>
              <w:top w:val="nil"/>
              <w:bottom w:val="nil"/>
            </w:tcBorders>
          </w:tcPr>
          <w:p w:rsidR="00000000" w:rsidRDefault="00000000">
            <w:pPr>
              <w:ind w:left="-391" w:right="170"/>
              <w:jc w:val="right"/>
              <w:rPr>
                <w:lang w:val="en-US"/>
              </w:rPr>
            </w:pPr>
            <w:r>
              <w:rPr>
                <w:lang w:val="en-US"/>
              </w:rPr>
              <w:t>21</w:t>
            </w:r>
          </w:p>
        </w:tc>
        <w:tc>
          <w:tcPr>
            <w:tcW w:w="931" w:type="dxa"/>
            <w:tcBorders>
              <w:top w:val="nil"/>
              <w:bottom w:val="nil"/>
            </w:tcBorders>
          </w:tcPr>
          <w:p w:rsidR="00000000" w:rsidRDefault="00000000">
            <w:pPr>
              <w:ind w:left="-391" w:right="170"/>
              <w:jc w:val="right"/>
              <w:rPr>
                <w:lang w:val="en-US"/>
              </w:rPr>
            </w:pPr>
            <w:r>
              <w:rPr>
                <w:lang w:val="en-US"/>
              </w:rPr>
              <w:t>8</w:t>
            </w:r>
          </w:p>
        </w:tc>
        <w:tc>
          <w:tcPr>
            <w:tcW w:w="931" w:type="dxa"/>
            <w:tcBorders>
              <w:top w:val="nil"/>
              <w:bottom w:val="nil"/>
            </w:tcBorders>
          </w:tcPr>
          <w:p w:rsidR="00000000" w:rsidRDefault="00000000">
            <w:pPr>
              <w:ind w:left="-391" w:right="170"/>
              <w:jc w:val="right"/>
              <w:rPr>
                <w:lang w:val="en-US"/>
              </w:rPr>
            </w:pPr>
            <w:r>
              <w:rPr>
                <w:lang w:val="en-US"/>
              </w:rPr>
              <w:t>12</w:t>
            </w:r>
          </w:p>
        </w:tc>
      </w:tr>
      <w:tr w:rsidR="00000000">
        <w:trPr>
          <w:trHeight w:val="285"/>
        </w:trPr>
        <w:tc>
          <w:tcPr>
            <w:tcW w:w="2836" w:type="dxa"/>
            <w:tcBorders>
              <w:top w:val="nil"/>
              <w:bottom w:val="nil"/>
            </w:tcBorders>
            <w:vAlign w:val="bottom"/>
          </w:tcPr>
          <w:p w:rsidR="00000000" w:rsidRDefault="00000000">
            <w:pPr>
              <w:pStyle w:val="Header"/>
              <w:tabs>
                <w:tab w:val="left" w:pos="195"/>
              </w:tabs>
              <w:ind w:left="195" w:hanging="195"/>
            </w:pPr>
            <w:r>
              <w:t>Медицина</w:t>
            </w:r>
          </w:p>
        </w:tc>
        <w:tc>
          <w:tcPr>
            <w:tcW w:w="930" w:type="dxa"/>
            <w:tcBorders>
              <w:top w:val="nil"/>
              <w:bottom w:val="nil"/>
            </w:tcBorders>
          </w:tcPr>
          <w:p w:rsidR="00000000" w:rsidRDefault="00000000">
            <w:pPr>
              <w:ind w:left="-391" w:right="170"/>
              <w:jc w:val="right"/>
              <w:rPr>
                <w:lang w:val="en-US"/>
              </w:rPr>
            </w:pPr>
            <w:r>
              <w:rPr>
                <w:lang w:val="en-US"/>
              </w:rPr>
              <w:t>3</w:t>
            </w:r>
          </w:p>
        </w:tc>
        <w:tc>
          <w:tcPr>
            <w:tcW w:w="931" w:type="dxa"/>
            <w:tcBorders>
              <w:top w:val="nil"/>
              <w:bottom w:val="nil"/>
            </w:tcBorders>
          </w:tcPr>
          <w:p w:rsidR="00000000" w:rsidRDefault="00000000">
            <w:pPr>
              <w:ind w:left="-391" w:right="170"/>
              <w:jc w:val="right"/>
              <w:rPr>
                <w:lang w:val="en-US"/>
              </w:rPr>
            </w:pPr>
            <w:r>
              <w:rPr>
                <w:lang w:val="en-US"/>
              </w:rPr>
              <w:t>2</w:t>
            </w:r>
          </w:p>
        </w:tc>
        <w:tc>
          <w:tcPr>
            <w:tcW w:w="931" w:type="dxa"/>
            <w:tcBorders>
              <w:top w:val="nil"/>
              <w:bottom w:val="nil"/>
            </w:tcBorders>
          </w:tcPr>
          <w:p w:rsidR="00000000" w:rsidRDefault="00000000">
            <w:pPr>
              <w:ind w:left="-391" w:right="170"/>
              <w:jc w:val="right"/>
              <w:rPr>
                <w:lang w:val="en-US"/>
              </w:rPr>
            </w:pPr>
            <w:r>
              <w:rPr>
                <w:lang w:val="en-US"/>
              </w:rPr>
              <w:t>0</w:t>
            </w:r>
          </w:p>
        </w:tc>
        <w:tc>
          <w:tcPr>
            <w:tcW w:w="931" w:type="dxa"/>
            <w:tcBorders>
              <w:top w:val="nil"/>
              <w:bottom w:val="nil"/>
            </w:tcBorders>
          </w:tcPr>
          <w:p w:rsidR="00000000" w:rsidRDefault="00000000">
            <w:pPr>
              <w:ind w:left="-391" w:right="170"/>
              <w:jc w:val="right"/>
              <w:rPr>
                <w:lang w:val="en-US"/>
              </w:rPr>
            </w:pPr>
            <w:r>
              <w:rPr>
                <w:lang w:val="en-US"/>
              </w:rPr>
              <w:t>8</w:t>
            </w:r>
          </w:p>
        </w:tc>
        <w:tc>
          <w:tcPr>
            <w:tcW w:w="931" w:type="dxa"/>
            <w:tcBorders>
              <w:top w:val="nil"/>
              <w:bottom w:val="nil"/>
            </w:tcBorders>
          </w:tcPr>
          <w:p w:rsidR="00000000" w:rsidRDefault="00000000">
            <w:pPr>
              <w:ind w:left="-391" w:right="170"/>
              <w:jc w:val="right"/>
              <w:rPr>
                <w:lang w:val="en-US"/>
              </w:rPr>
            </w:pPr>
            <w:r>
              <w:rPr>
                <w:lang w:val="en-US"/>
              </w:rPr>
              <w:t>4</w:t>
            </w:r>
          </w:p>
        </w:tc>
        <w:tc>
          <w:tcPr>
            <w:tcW w:w="931" w:type="dxa"/>
            <w:tcBorders>
              <w:top w:val="nil"/>
              <w:bottom w:val="nil"/>
            </w:tcBorders>
          </w:tcPr>
          <w:p w:rsidR="00000000" w:rsidRDefault="00000000">
            <w:pPr>
              <w:ind w:left="-391" w:right="170"/>
              <w:jc w:val="right"/>
              <w:rPr>
                <w:lang w:val="en-US"/>
              </w:rPr>
            </w:pPr>
            <w:r>
              <w:rPr>
                <w:lang w:val="en-US"/>
              </w:rPr>
              <w:t>2</w:t>
            </w:r>
          </w:p>
        </w:tc>
        <w:tc>
          <w:tcPr>
            <w:tcW w:w="931" w:type="dxa"/>
            <w:tcBorders>
              <w:top w:val="nil"/>
              <w:bottom w:val="nil"/>
            </w:tcBorders>
          </w:tcPr>
          <w:p w:rsidR="00000000" w:rsidRDefault="00000000">
            <w:pPr>
              <w:ind w:left="-391" w:right="170"/>
              <w:jc w:val="right"/>
              <w:rPr>
                <w:lang w:val="en-US"/>
              </w:rPr>
            </w:pPr>
            <w:r>
              <w:rPr>
                <w:lang w:val="en-US"/>
              </w:rPr>
              <w:t>21</w:t>
            </w:r>
          </w:p>
        </w:tc>
      </w:tr>
      <w:tr w:rsidR="00000000">
        <w:trPr>
          <w:trHeight w:val="285"/>
        </w:trPr>
        <w:tc>
          <w:tcPr>
            <w:tcW w:w="2836" w:type="dxa"/>
            <w:tcBorders>
              <w:top w:val="nil"/>
              <w:bottom w:val="nil"/>
            </w:tcBorders>
            <w:vAlign w:val="bottom"/>
          </w:tcPr>
          <w:p w:rsidR="00000000" w:rsidRDefault="00000000">
            <w:pPr>
              <w:pStyle w:val="Header"/>
              <w:tabs>
                <w:tab w:val="left" w:pos="195"/>
              </w:tabs>
              <w:ind w:left="195" w:hanging="195"/>
            </w:pPr>
            <w:r>
              <w:t>Биотехнология</w:t>
            </w:r>
          </w:p>
        </w:tc>
        <w:tc>
          <w:tcPr>
            <w:tcW w:w="930" w:type="dxa"/>
            <w:tcBorders>
              <w:top w:val="nil"/>
              <w:bottom w:val="nil"/>
            </w:tcBorders>
          </w:tcPr>
          <w:p w:rsidR="00000000" w:rsidRDefault="00000000">
            <w:pPr>
              <w:ind w:left="-391" w:right="170"/>
              <w:jc w:val="right"/>
              <w:rPr>
                <w:lang w:val="en-US"/>
              </w:rPr>
            </w:pPr>
            <w:r>
              <w:rPr>
                <w:lang w:val="en-US"/>
              </w:rPr>
              <w:t>5</w:t>
            </w:r>
          </w:p>
        </w:tc>
        <w:tc>
          <w:tcPr>
            <w:tcW w:w="931" w:type="dxa"/>
            <w:tcBorders>
              <w:top w:val="nil"/>
              <w:bottom w:val="nil"/>
            </w:tcBorders>
          </w:tcPr>
          <w:p w:rsidR="00000000" w:rsidRDefault="00000000">
            <w:pPr>
              <w:ind w:left="-391" w:right="170"/>
              <w:jc w:val="right"/>
              <w:rPr>
                <w:lang w:val="en-US"/>
              </w:rPr>
            </w:pPr>
            <w:r>
              <w:rPr>
                <w:lang w:val="en-US"/>
              </w:rPr>
              <w:t>3</w:t>
            </w:r>
          </w:p>
        </w:tc>
        <w:tc>
          <w:tcPr>
            <w:tcW w:w="931" w:type="dxa"/>
            <w:tcBorders>
              <w:top w:val="nil"/>
              <w:bottom w:val="nil"/>
            </w:tcBorders>
          </w:tcPr>
          <w:p w:rsidR="00000000" w:rsidRDefault="00000000">
            <w:pPr>
              <w:ind w:left="-391" w:right="170"/>
              <w:jc w:val="right"/>
              <w:rPr>
                <w:lang w:val="en-US"/>
              </w:rPr>
            </w:pPr>
            <w:r>
              <w:rPr>
                <w:lang w:val="en-US"/>
              </w:rPr>
              <w:t>3</w:t>
            </w:r>
          </w:p>
        </w:tc>
        <w:tc>
          <w:tcPr>
            <w:tcW w:w="931" w:type="dxa"/>
            <w:tcBorders>
              <w:top w:val="nil"/>
              <w:bottom w:val="nil"/>
            </w:tcBorders>
          </w:tcPr>
          <w:p w:rsidR="00000000" w:rsidRDefault="00000000">
            <w:pPr>
              <w:ind w:left="-391" w:right="170"/>
              <w:jc w:val="right"/>
              <w:rPr>
                <w:lang w:val="en-US"/>
              </w:rPr>
            </w:pPr>
            <w:r>
              <w:rPr>
                <w:lang w:val="en-US"/>
              </w:rPr>
              <w:t>3</w:t>
            </w:r>
          </w:p>
        </w:tc>
        <w:tc>
          <w:tcPr>
            <w:tcW w:w="931" w:type="dxa"/>
            <w:tcBorders>
              <w:top w:val="nil"/>
              <w:bottom w:val="nil"/>
            </w:tcBorders>
          </w:tcPr>
          <w:p w:rsidR="00000000" w:rsidRDefault="00000000">
            <w:pPr>
              <w:ind w:left="-391" w:right="170"/>
              <w:jc w:val="right"/>
              <w:rPr>
                <w:lang w:val="en-US"/>
              </w:rPr>
            </w:pPr>
            <w:r>
              <w:rPr>
                <w:lang w:val="en-US"/>
              </w:rPr>
              <w:t>2</w:t>
            </w:r>
          </w:p>
        </w:tc>
        <w:tc>
          <w:tcPr>
            <w:tcW w:w="931" w:type="dxa"/>
            <w:tcBorders>
              <w:top w:val="nil"/>
              <w:bottom w:val="nil"/>
            </w:tcBorders>
          </w:tcPr>
          <w:p w:rsidR="00000000" w:rsidRDefault="00000000">
            <w:pPr>
              <w:ind w:left="-391" w:right="170"/>
              <w:jc w:val="right"/>
              <w:rPr>
                <w:lang w:val="en-US"/>
              </w:rPr>
            </w:pPr>
            <w:r>
              <w:rPr>
                <w:lang w:val="en-US"/>
              </w:rPr>
              <w:t>2</w:t>
            </w:r>
          </w:p>
        </w:tc>
        <w:tc>
          <w:tcPr>
            <w:tcW w:w="931" w:type="dxa"/>
            <w:tcBorders>
              <w:top w:val="nil"/>
              <w:bottom w:val="nil"/>
            </w:tcBorders>
          </w:tcPr>
          <w:p w:rsidR="00000000" w:rsidRDefault="00000000">
            <w:pPr>
              <w:ind w:left="-391" w:right="170"/>
              <w:jc w:val="right"/>
              <w:rPr>
                <w:lang w:val="en-US"/>
              </w:rPr>
            </w:pPr>
            <w:r>
              <w:rPr>
                <w:lang w:val="en-US"/>
              </w:rPr>
              <w:t>1</w:t>
            </w:r>
          </w:p>
        </w:tc>
      </w:tr>
      <w:tr w:rsidR="00000000">
        <w:trPr>
          <w:trHeight w:val="285"/>
        </w:trPr>
        <w:tc>
          <w:tcPr>
            <w:tcW w:w="2836" w:type="dxa"/>
            <w:tcBorders>
              <w:top w:val="nil"/>
              <w:bottom w:val="nil"/>
            </w:tcBorders>
            <w:vAlign w:val="bottom"/>
          </w:tcPr>
          <w:p w:rsidR="00000000" w:rsidRDefault="00000000">
            <w:pPr>
              <w:pStyle w:val="Header"/>
              <w:tabs>
                <w:tab w:val="left" w:pos="195"/>
              </w:tabs>
              <w:ind w:left="195" w:hanging="195"/>
            </w:pPr>
            <w:r>
              <w:t>Социальные науки</w:t>
            </w:r>
          </w:p>
        </w:tc>
        <w:tc>
          <w:tcPr>
            <w:tcW w:w="930" w:type="dxa"/>
            <w:tcBorders>
              <w:top w:val="nil"/>
              <w:bottom w:val="nil"/>
            </w:tcBorders>
          </w:tcPr>
          <w:p w:rsidR="00000000" w:rsidRDefault="00000000">
            <w:pPr>
              <w:ind w:left="-391" w:right="170"/>
              <w:jc w:val="right"/>
              <w:rPr>
                <w:lang w:val="en-US"/>
              </w:rPr>
            </w:pPr>
            <w:r>
              <w:rPr>
                <w:lang w:val="en-US"/>
              </w:rPr>
              <w:t>12</w:t>
            </w:r>
          </w:p>
        </w:tc>
        <w:tc>
          <w:tcPr>
            <w:tcW w:w="931" w:type="dxa"/>
            <w:tcBorders>
              <w:top w:val="nil"/>
              <w:bottom w:val="nil"/>
            </w:tcBorders>
          </w:tcPr>
          <w:p w:rsidR="00000000" w:rsidRDefault="00000000">
            <w:pPr>
              <w:ind w:left="-391" w:right="170"/>
              <w:jc w:val="right"/>
              <w:rPr>
                <w:lang w:val="en-US"/>
              </w:rPr>
            </w:pPr>
            <w:r>
              <w:rPr>
                <w:lang w:val="en-US"/>
              </w:rPr>
              <w:t>22</w:t>
            </w:r>
          </w:p>
        </w:tc>
        <w:tc>
          <w:tcPr>
            <w:tcW w:w="931" w:type="dxa"/>
            <w:tcBorders>
              <w:top w:val="nil"/>
              <w:bottom w:val="nil"/>
            </w:tcBorders>
          </w:tcPr>
          <w:p w:rsidR="00000000" w:rsidRDefault="00000000">
            <w:pPr>
              <w:ind w:left="-391" w:right="170"/>
              <w:jc w:val="right"/>
              <w:rPr>
                <w:lang w:val="en-US"/>
              </w:rPr>
            </w:pPr>
            <w:r>
              <w:rPr>
                <w:lang w:val="en-US"/>
              </w:rPr>
              <w:t>12</w:t>
            </w:r>
          </w:p>
        </w:tc>
        <w:tc>
          <w:tcPr>
            <w:tcW w:w="931" w:type="dxa"/>
            <w:tcBorders>
              <w:top w:val="nil"/>
              <w:bottom w:val="nil"/>
            </w:tcBorders>
          </w:tcPr>
          <w:p w:rsidR="00000000" w:rsidRDefault="00000000">
            <w:pPr>
              <w:ind w:left="-391" w:right="170"/>
              <w:jc w:val="right"/>
              <w:rPr>
                <w:lang w:val="en-US"/>
              </w:rPr>
            </w:pPr>
            <w:r>
              <w:rPr>
                <w:lang w:val="en-US"/>
              </w:rPr>
              <w:t>8</w:t>
            </w:r>
          </w:p>
        </w:tc>
        <w:tc>
          <w:tcPr>
            <w:tcW w:w="931" w:type="dxa"/>
            <w:tcBorders>
              <w:top w:val="nil"/>
              <w:bottom w:val="nil"/>
            </w:tcBorders>
          </w:tcPr>
          <w:p w:rsidR="00000000" w:rsidRDefault="00000000">
            <w:pPr>
              <w:ind w:left="-391" w:right="170"/>
              <w:jc w:val="right"/>
              <w:rPr>
                <w:lang w:val="en-US"/>
              </w:rPr>
            </w:pPr>
            <w:r>
              <w:rPr>
                <w:lang w:val="en-US"/>
              </w:rPr>
              <w:t>18</w:t>
            </w:r>
          </w:p>
        </w:tc>
        <w:tc>
          <w:tcPr>
            <w:tcW w:w="931" w:type="dxa"/>
            <w:tcBorders>
              <w:top w:val="nil"/>
              <w:bottom w:val="nil"/>
            </w:tcBorders>
          </w:tcPr>
          <w:p w:rsidR="00000000" w:rsidRDefault="00000000">
            <w:pPr>
              <w:ind w:left="-391" w:right="170"/>
              <w:jc w:val="right"/>
              <w:rPr>
                <w:lang w:val="en-US"/>
              </w:rPr>
            </w:pPr>
            <w:r>
              <w:rPr>
                <w:lang w:val="en-US"/>
              </w:rPr>
              <w:t>8</w:t>
            </w:r>
          </w:p>
        </w:tc>
        <w:tc>
          <w:tcPr>
            <w:tcW w:w="931" w:type="dxa"/>
            <w:tcBorders>
              <w:top w:val="nil"/>
              <w:bottom w:val="nil"/>
            </w:tcBorders>
          </w:tcPr>
          <w:p w:rsidR="00000000" w:rsidRDefault="00000000">
            <w:pPr>
              <w:ind w:left="-391" w:right="170"/>
              <w:jc w:val="right"/>
              <w:rPr>
                <w:lang w:val="en-US"/>
              </w:rPr>
            </w:pPr>
            <w:r>
              <w:rPr>
                <w:lang w:val="en-US"/>
              </w:rPr>
              <w:t>10</w:t>
            </w:r>
          </w:p>
        </w:tc>
      </w:tr>
      <w:tr w:rsidR="00000000">
        <w:trPr>
          <w:trHeight w:val="285"/>
        </w:trPr>
        <w:tc>
          <w:tcPr>
            <w:tcW w:w="2836" w:type="dxa"/>
            <w:tcBorders>
              <w:top w:val="nil"/>
            </w:tcBorders>
            <w:vAlign w:val="bottom"/>
          </w:tcPr>
          <w:p w:rsidR="00000000" w:rsidRDefault="00000000">
            <w:pPr>
              <w:pStyle w:val="Header"/>
              <w:tabs>
                <w:tab w:val="left" w:pos="195"/>
              </w:tabs>
              <w:ind w:left="195" w:hanging="195"/>
            </w:pPr>
            <w:r>
              <w:t>Гуманитарные науки</w:t>
            </w:r>
          </w:p>
        </w:tc>
        <w:tc>
          <w:tcPr>
            <w:tcW w:w="930" w:type="dxa"/>
            <w:tcBorders>
              <w:top w:val="nil"/>
            </w:tcBorders>
          </w:tcPr>
          <w:p w:rsidR="00000000" w:rsidRDefault="00000000">
            <w:pPr>
              <w:ind w:left="-391" w:right="170"/>
              <w:jc w:val="right"/>
              <w:rPr>
                <w:lang w:val="en-US"/>
              </w:rPr>
            </w:pPr>
            <w:r>
              <w:rPr>
                <w:lang w:val="en-US"/>
              </w:rPr>
              <w:t>10</w:t>
            </w:r>
          </w:p>
        </w:tc>
        <w:tc>
          <w:tcPr>
            <w:tcW w:w="931" w:type="dxa"/>
            <w:tcBorders>
              <w:top w:val="nil"/>
            </w:tcBorders>
          </w:tcPr>
          <w:p w:rsidR="00000000" w:rsidRDefault="00000000">
            <w:pPr>
              <w:ind w:left="-391" w:right="170"/>
              <w:jc w:val="right"/>
              <w:rPr>
                <w:lang w:val="en-US"/>
              </w:rPr>
            </w:pPr>
            <w:r>
              <w:rPr>
                <w:lang w:val="en-US"/>
              </w:rPr>
              <w:t>11</w:t>
            </w:r>
          </w:p>
        </w:tc>
        <w:tc>
          <w:tcPr>
            <w:tcW w:w="931" w:type="dxa"/>
            <w:tcBorders>
              <w:top w:val="nil"/>
            </w:tcBorders>
          </w:tcPr>
          <w:p w:rsidR="00000000" w:rsidRDefault="00000000">
            <w:pPr>
              <w:ind w:left="-391" w:right="170"/>
              <w:jc w:val="right"/>
              <w:rPr>
                <w:lang w:val="en-US"/>
              </w:rPr>
            </w:pPr>
            <w:r>
              <w:rPr>
                <w:lang w:val="en-US"/>
              </w:rPr>
              <w:t>1</w:t>
            </w:r>
          </w:p>
        </w:tc>
        <w:tc>
          <w:tcPr>
            <w:tcW w:w="931" w:type="dxa"/>
            <w:tcBorders>
              <w:top w:val="nil"/>
            </w:tcBorders>
          </w:tcPr>
          <w:p w:rsidR="00000000" w:rsidRDefault="00000000">
            <w:pPr>
              <w:ind w:left="-391" w:right="170"/>
              <w:jc w:val="right"/>
              <w:rPr>
                <w:lang w:val="en-US"/>
              </w:rPr>
            </w:pPr>
            <w:r>
              <w:rPr>
                <w:lang w:val="en-US"/>
              </w:rPr>
              <w:t>11</w:t>
            </w:r>
          </w:p>
        </w:tc>
        <w:tc>
          <w:tcPr>
            <w:tcW w:w="931" w:type="dxa"/>
            <w:tcBorders>
              <w:top w:val="nil"/>
            </w:tcBorders>
          </w:tcPr>
          <w:p w:rsidR="00000000" w:rsidRDefault="00000000">
            <w:pPr>
              <w:ind w:left="-391" w:right="170"/>
              <w:jc w:val="right"/>
              <w:rPr>
                <w:lang w:val="en-US"/>
              </w:rPr>
            </w:pPr>
            <w:r>
              <w:rPr>
                <w:lang w:val="en-US"/>
              </w:rPr>
              <w:t>13</w:t>
            </w:r>
          </w:p>
        </w:tc>
        <w:tc>
          <w:tcPr>
            <w:tcW w:w="931" w:type="dxa"/>
            <w:tcBorders>
              <w:top w:val="nil"/>
            </w:tcBorders>
          </w:tcPr>
          <w:p w:rsidR="00000000" w:rsidRDefault="00000000">
            <w:pPr>
              <w:ind w:left="-391" w:right="170"/>
              <w:jc w:val="right"/>
              <w:rPr>
                <w:lang w:val="en-US"/>
              </w:rPr>
            </w:pPr>
            <w:r>
              <w:rPr>
                <w:lang w:val="en-US"/>
              </w:rPr>
              <w:t>5</w:t>
            </w:r>
          </w:p>
        </w:tc>
        <w:tc>
          <w:tcPr>
            <w:tcW w:w="931" w:type="dxa"/>
            <w:tcBorders>
              <w:top w:val="nil"/>
            </w:tcBorders>
          </w:tcPr>
          <w:p w:rsidR="00000000" w:rsidRDefault="00000000">
            <w:pPr>
              <w:ind w:left="-391" w:right="170"/>
              <w:jc w:val="right"/>
              <w:rPr>
                <w:lang w:val="en-US"/>
              </w:rPr>
            </w:pPr>
            <w:r>
              <w:rPr>
                <w:lang w:val="en-US"/>
              </w:rPr>
              <w:t>3</w:t>
            </w:r>
          </w:p>
        </w:tc>
      </w:tr>
    </w:tbl>
    <w:p w:rsidR="00000000" w:rsidRDefault="00000000"/>
    <w:p w:rsidR="00000000" w:rsidRDefault="00000000">
      <w:r>
        <w:tab/>
      </w:r>
      <w:r>
        <w:rPr>
          <w:i/>
          <w:iCs/>
        </w:rPr>
        <w:t>Источник</w:t>
      </w:r>
      <w:r>
        <w:t>:  Государственное статистическое управление.</w:t>
      </w:r>
    </w:p>
    <w:p w:rsidR="00000000" w:rsidRDefault="00000000"/>
    <w:p w:rsidR="00000000" w:rsidRDefault="00000000">
      <w:r>
        <w:t>946.</w:t>
      </w:r>
      <w:r>
        <w:tab/>
        <w:t>Результаты исследований македонских ученых ежегодно публикуются в 45 научных периодических изданиях, 25 общетематических изданиях и примерно в 200 монографиях.  В финансировании всех этих публикаций участвует и министерство образования и науки.</w:t>
      </w:r>
    </w:p>
    <w:p w:rsidR="00000000" w:rsidRDefault="00000000"/>
    <w:p w:rsidR="00000000" w:rsidRDefault="00000000">
      <w:r>
        <w:t>947.</w:t>
      </w:r>
      <w:r>
        <w:tab/>
        <w:t>Ежегодно министерство образования и науки присуждает 150 стипендий безработным специалистам для учебы в магистратуре и докторантуре.  Критериями для отбора кандидатов на получение стипендий являются результаты учебы в вузе и область специализации.  Помимо этого для завершения учебы и защиты диссертаций, необходимых для получения степеней магистра и доктора наук, может предоставляться единовременная финансовая помощь.</w:t>
      </w:r>
    </w:p>
    <w:p w:rsidR="00000000" w:rsidRDefault="00000000"/>
    <w:p w:rsidR="00000000" w:rsidRDefault="00000000">
      <w:r>
        <w:t>948.</w:t>
      </w:r>
      <w:r>
        <w:tab/>
        <w:t>В рамках программы научных исследований министерство образования и науки оказывает также помощь в организации как национальных, так и международных научных конференций.  Ежегодно в среднем проходит около 50 таких мероприятий.</w:t>
      </w:r>
    </w:p>
    <w:p w:rsidR="00000000" w:rsidRDefault="00000000"/>
    <w:p w:rsidR="00000000" w:rsidRDefault="00000000">
      <w:r>
        <w:t>949.</w:t>
      </w:r>
      <w:r>
        <w:tab/>
        <w:t>Министерство образования и науки оказывает представителям научных кругов финансовую помощь для участия в проходящих за рубежом международных конференциях, семинарах, конгрессах и симпозиумах.  Ежегодно в министерство поступает около 550 заявок на участие в международных конференциях.  Отбор осуществляется с учетом характера конференции и формы участия в ней.</w:t>
      </w:r>
    </w:p>
    <w:p w:rsidR="00000000" w:rsidRDefault="00000000"/>
    <w:p w:rsidR="00000000" w:rsidRDefault="00000000">
      <w:r>
        <w:t>950.</w:t>
      </w:r>
      <w:r>
        <w:tab/>
        <w:t>Ежегодно министерство образования и науки оказывает финансовую помощь в организации 125 учебных поездок за рубеж.</w:t>
      </w:r>
    </w:p>
    <w:p w:rsidR="00000000" w:rsidRDefault="00000000">
      <w:r>
        <w:t>951.</w:t>
      </w:r>
      <w:r>
        <w:tab/>
        <w:t>Финансирование государственных научных учреждений осуществляется на основе ежегодно представляемых программ работы;  выделяемые средства идут на выплату заработной платы и премий, а также на финансирование следующей научной деятельности:  исследовательских проектов, публикаций, научных конференций, участия в зарубежных научных конференциях и учебных поездках, закупки исследовательского оборудования и иностранной научной литературы, а также адаптации и модернизации помещений.  Государственные научные учреждения получают доходы от оказываемых ими услуг, которыми они распоряжаются самостоятельно.</w:t>
      </w:r>
    </w:p>
    <w:p w:rsidR="00000000" w:rsidRDefault="00000000"/>
    <w:p w:rsidR="00000000" w:rsidRDefault="00000000">
      <w:r>
        <w:t>952.</w:t>
      </w:r>
      <w:r>
        <w:tab/>
        <w:t>Исследования в области естественных, биотехнологических, медицинских и технических наук требуют использования современного оборудования.  В последние несколько лет министерство образования и науки было в состоянии выделять для закупки исследовательского оборудования лишь символические суммы.</w:t>
      </w:r>
    </w:p>
    <w:p w:rsidR="00000000" w:rsidRDefault="00000000"/>
    <w:p w:rsidR="00000000" w:rsidRDefault="00000000">
      <w:r>
        <w:t>953.</w:t>
      </w:r>
      <w:r>
        <w:tab/>
        <w:t>После того как в 1991 году на свет появилось независимое и суверенное государство </w:t>
      </w:r>
      <w:r>
        <w:noBreakHyphen/>
        <w:t xml:space="preserve"> бывшая югославская Республика Македония, </w:t>
      </w:r>
      <w:r>
        <w:noBreakHyphen/>
        <w:t xml:space="preserve"> оно пошла по пути институционального оформления своего международного сотрудничества в области науки и техники.  В этой связи было подписано большое число двусторонних и многосторонних соглашений о сотрудничестве.  Бывшая югославская Республика Македония подписала двусторонние соглашения о сотрудничестве в области НИОКР с 15 странами:  Албанией, Беларусью, Болгарией, Германией, Египтом, Италией, Китаем, Российской Федерацией, Сербией и Черногорией, Словенией, Соединенным Королевством Великобритании и Северной Ирландии, Турцией, Украиной, Францией и Хорватией.  Сотрудничество осуществляется на взаимной основе и включает в себя совместное проведение исследовательских проектов, присуждение стипендий для углубленной академической подготовки и организацию учебных поездок.</w:t>
      </w:r>
    </w:p>
    <w:p w:rsidR="00000000" w:rsidRDefault="00000000"/>
    <w:p w:rsidR="00000000" w:rsidRDefault="00000000">
      <w:r>
        <w:t>954.</w:t>
      </w:r>
      <w:r>
        <w:tab/>
        <w:t>Хотя двусторонние соглашения еще не подписаны, граждане бывшей югославской Республики Македонии получают стипендии на профессиональную подготовку от правительств Чешской Республики, Польши и Словакии.  Кроме того, кандидаты из бывшей югославской Республики Македонии прошли углубленную академическую подготовку в Египте (60), Израиле (40), Индии (15) и Китае (12).</w:t>
      </w:r>
    </w:p>
    <w:p w:rsidR="00000000" w:rsidRDefault="00000000"/>
    <w:p w:rsidR="00000000" w:rsidRDefault="00000000">
      <w:r>
        <w:t>955.</w:t>
      </w:r>
      <w:r>
        <w:tab/>
        <w:t>Что касается двустороннего сотрудничества, правительство подчеркивает важность сотрудничества с Японским агентством международного сотрудничества (</w:t>
      </w:r>
      <w:proofErr w:type="spellStart"/>
      <w:r>
        <w:t>ДЖИКА</w:t>
      </w:r>
      <w:proofErr w:type="spellEnd"/>
      <w:r>
        <w:t>). ДЖИКА оказывает техническую помощь министерству образования и науки, в том числе поощряя проведение исследований по вопросам развития, готовя экспертов в Японии и оказывая экспертные услуги.  До настоящего момента проведено два исследования по указанной тематике.  Кроме того, в рамках программы подготовки кадров ДЖИКА 150 кандидатов из бывшей югославской Республики Македонии приняли участие в учебных курсах на различных уровнях.  По инициативе правительства сотрудничество с Японией было налажено в 2003 году с целью углубления знаний и содействия передаче технологии в рамках прикладных проектов.</w:t>
      </w:r>
    </w:p>
    <w:p w:rsidR="00000000" w:rsidRDefault="00000000"/>
    <w:p w:rsidR="00000000" w:rsidRDefault="00000000">
      <w:r>
        <w:t>956.</w:t>
      </w:r>
      <w:r>
        <w:tab/>
        <w:t xml:space="preserve">Что касается международного сотрудничества, правительство поддерживает плодотворное сотрудничество с МАГАТЭ, Программой НАТО по поддержке научных исследований, а также с рядом специализированных учреждений Организации Объединенных Наций, в том числе с ЮНЕСКО и </w:t>
      </w:r>
      <w:proofErr w:type="spellStart"/>
      <w:r>
        <w:t>ПРООН</w:t>
      </w:r>
      <w:proofErr w:type="spellEnd"/>
      <w:r>
        <w:t>.</w:t>
      </w:r>
    </w:p>
    <w:p w:rsidR="00000000" w:rsidRDefault="00000000"/>
    <w:p w:rsidR="00000000" w:rsidRDefault="00000000">
      <w:r>
        <w:t>957.</w:t>
      </w:r>
      <w:r>
        <w:tab/>
        <w:t>Сотрудничество с МАГАТЭ осуществляется на основании Соглашения о техническом сотрудничестве и Национальной рамочной программы.  На сегодняшний день осуществлено 12 национальных проектов, касающихся применения ядерных технологий в медицинских и ветеринарных целях, в сельском хозяйстве, в области охраны окружающей среды и в промышленности.  Что касается Региональной рамочной программы МАГАТЭ, правительство принимает активное участие в 11 проектах в области защиты от радиации.</w:t>
      </w:r>
    </w:p>
    <w:p w:rsidR="00000000" w:rsidRDefault="00000000"/>
    <w:p w:rsidR="00000000" w:rsidRDefault="00000000">
      <w:r>
        <w:t>958.</w:t>
      </w:r>
      <w:r>
        <w:tab/>
        <w:t>В рамках программы участия ЮНЕСКО правительство разработало 21 проект в области образования и науки.  Четыре из них еще осуществляются, а пять других находятся на завершающем этапе оценки и, как ожидается, будут утверждены.  С 2004 года бывшая югославская Республика Македония участвует в программе фундаментальных исследований.</w:t>
      </w:r>
    </w:p>
    <w:p w:rsidR="00000000" w:rsidRDefault="00000000"/>
    <w:p w:rsidR="00000000" w:rsidRDefault="00000000">
      <w:pPr>
        <w:rPr>
          <w:b/>
          <w:bCs/>
        </w:rPr>
      </w:pPr>
      <w:r>
        <w:rPr>
          <w:b/>
          <w:bCs/>
        </w:rPr>
        <w:t>Развитие информационного общества</w:t>
      </w:r>
    </w:p>
    <w:p w:rsidR="00000000" w:rsidRDefault="00000000">
      <w:pPr>
        <w:rPr>
          <w:b/>
          <w:bCs/>
        </w:rPr>
      </w:pPr>
    </w:p>
    <w:p w:rsidR="00000000" w:rsidRDefault="00000000">
      <w:r>
        <w:t>959.</w:t>
      </w:r>
      <w:r>
        <w:tab/>
        <w:t>В июле 2002 года Собрание бывшей югославской Республики Македонии приняло "Электронную декларацию 2002 года" - рекомендации по ускорению развития информационного общества и цифровой экономики в бывшей югославской Республики Македонии ("Официальный вестник" бывшей югославской Республики Македонии № 48/2002).  Таким образом, развитие "общества знаний" стало национальным приоритетом.  В декабре того же года правительство создало Комиссию по информационной технологии, которой были поручены следующие задачи:  анализ деятельности в области информационной и коммуникационной технологии (ИКТ);  координация деятельности по развитию информационного общества;  и подготовка проекта национальной стратегии в области ИКТ, содержащей рекомендации для правительства, а также по секторам экономики, образования, науки, здравоохранения и культуры.</w:t>
      </w:r>
    </w:p>
    <w:p w:rsidR="00000000" w:rsidRDefault="00000000"/>
    <w:p w:rsidR="00000000" w:rsidRDefault="00000000">
      <w:r>
        <w:t>960.</w:t>
      </w:r>
      <w:r>
        <w:tab/>
        <w:t>На региональном уровне в рамках Пакта стабильности для Юго-Восточной Европы бывшая югославская Республика Македония на проходившей в Белграде в 2002 году Конференции "Телекоммуникации на службе развития" поставила свою подпись под инициативой "Электронная повестка дня для стран Юго-Восточной Европы по построению информационного общества".  Государство подтвердило свои обязательства в этой области, подписав в 2004 году в Будапеште совместное заявление о построении информационного общества.</w:t>
      </w:r>
    </w:p>
    <w:p w:rsidR="00000000" w:rsidRDefault="00000000"/>
    <w:p w:rsidR="00000000" w:rsidRDefault="00000000">
      <w:r>
        <w:t>961.</w:t>
      </w:r>
      <w:r>
        <w:tab/>
        <w:t>В соответствии с планом действий "Электронная Европа" и "Электронная Европа +" Комиссия по информационной технологии утвердила программу работы на период 2003</w:t>
      </w:r>
      <w:r>
        <w:noBreakHyphen/>
        <w:t xml:space="preserve">2007 годов.  В 2004 году при поддержке Фонда Института открытого общества "Македония" началась реализация проекта "Формулирование национальной стратегии развития информационного общества".  Были подготовлены отдельные стратегии в области электронной торговли и электронного управления.  В программе рекомендуется комплексный подход, охватывающий следующие области:  гармонизация с законодательством и правоприменительной деятельностью ЕС;  </w:t>
      </w:r>
      <w:proofErr w:type="spellStart"/>
      <w:r>
        <w:t>ИКТ</w:t>
      </w:r>
      <w:proofErr w:type="spellEnd"/>
      <w:r>
        <w:t xml:space="preserve"> и экономика;  ИКТ в образовании и науке;  ИКТ в здравоохранении;  ИКТ в культуре;  государственное управление онлайн и ИКТ и местное управление.  В рамках программы запланировано осуществление следующих проектов:  "Македония в </w:t>
      </w:r>
      <w:proofErr w:type="spellStart"/>
      <w:r>
        <w:t>Интернете</w:t>
      </w:r>
      <w:proofErr w:type="spellEnd"/>
      <w:r>
        <w:t xml:space="preserve">", "Электронная торговля", </w:t>
      </w:r>
      <w:r>
        <w:rPr>
          <w:lang w:val="en-US"/>
        </w:rPr>
        <w:t>Macedonia</w:t>
      </w:r>
      <w:r>
        <w:t>.</w:t>
      </w:r>
      <w:proofErr w:type="spellStart"/>
      <w:r>
        <w:rPr>
          <w:lang w:val="en-US"/>
        </w:rPr>
        <w:t>mk</w:t>
      </w:r>
      <w:proofErr w:type="spellEnd"/>
      <w:r>
        <w:t xml:space="preserve">, "Новости в </w:t>
      </w:r>
      <w:proofErr w:type="spellStart"/>
      <w:r>
        <w:t>Интернете</w:t>
      </w:r>
      <w:proofErr w:type="spellEnd"/>
      <w:r>
        <w:t>", "Электронный рынок" и "Электронная экономика".</w:t>
      </w:r>
    </w:p>
    <w:p w:rsidR="00000000" w:rsidRDefault="00000000"/>
    <w:p w:rsidR="00000000" w:rsidRDefault="00000000">
      <w:r>
        <w:t>962.</w:t>
      </w:r>
      <w:r>
        <w:tab/>
        <w:t xml:space="preserve">Компьютерные дисциплины преподаются в трех университетах.  В университете Св. Кирилла и </w:t>
      </w:r>
      <w:proofErr w:type="spellStart"/>
      <w:r>
        <w:t>Мефодия</w:t>
      </w:r>
      <w:proofErr w:type="spellEnd"/>
      <w:r>
        <w:t xml:space="preserve"> в Скопье на факультете электротехники для студентов и аспирантов организованы курсы по информатике и компьютерным технологиям, телекоммуникациям и автоматике.  На факультете естественных наук и математики Института информатики в Скопье для студентов и аспирантов организована программа обучения компьютерным наукам.  На факультете экономики в Скопье преподаются курсы, по электронным коммерческим операциям.</w:t>
      </w:r>
    </w:p>
    <w:p w:rsidR="00000000" w:rsidRDefault="00000000"/>
    <w:p w:rsidR="00000000" w:rsidRDefault="00000000">
      <w:r>
        <w:t>963.</w:t>
      </w:r>
      <w:r>
        <w:tab/>
        <w:t>В университете Св. </w:t>
      </w:r>
      <w:proofErr w:type="spellStart"/>
      <w:r>
        <w:t>Климента</w:t>
      </w:r>
      <w:proofErr w:type="spellEnd"/>
      <w:r>
        <w:t xml:space="preserve"> </w:t>
      </w:r>
      <w:proofErr w:type="spellStart"/>
      <w:r>
        <w:t>Охридского</w:t>
      </w:r>
      <w:proofErr w:type="spellEnd"/>
      <w:r>
        <w:t xml:space="preserve"> в Битоле на факультете экономики в Прилепе преподаются курсы деловой статистики и информатики;  на техническом факультете в Битоле действует трехлетняя программа в области технической информатики.</w:t>
      </w:r>
    </w:p>
    <w:p w:rsidR="00000000" w:rsidRDefault="00000000"/>
    <w:p w:rsidR="00000000" w:rsidRDefault="00000000">
      <w:r>
        <w:t>964.</w:t>
      </w:r>
      <w:r>
        <w:tab/>
        <w:t>Четырехлетние программы вузовского образования предлагаются начинающим студентам на факультете коммуникационных наук и технологий Университета Юго-Восточной Европы в Тетово.  Концепция учебной программы Университета предполагает, что за первые два семестра все студенты приобретут общие знания, обучившись, в частности, использованию информационных технологий и Интернета.  Университет обладает современной информационной инфраструктурой, отвечающей высоким требованиям ЕС и Соединенных Штатов.</w:t>
      </w:r>
    </w:p>
    <w:p w:rsidR="00000000" w:rsidRDefault="00000000"/>
    <w:p w:rsidR="00000000" w:rsidRDefault="00000000">
      <w:r>
        <w:t>965.</w:t>
      </w:r>
      <w:r>
        <w:tab/>
        <w:t>ЕС оказывает стране серьезную поддержку в разработке современных учебных программ и в создании условий для электронного обучения.</w:t>
      </w:r>
    </w:p>
    <w:p w:rsidR="00000000" w:rsidRDefault="00000000"/>
    <w:p w:rsidR="00000000" w:rsidRDefault="00000000">
      <w:pPr>
        <w:numPr>
          <w:ilvl w:val="0"/>
          <w:numId w:val="102"/>
        </w:numPr>
        <w:ind w:hanging="597"/>
      </w:pPr>
      <w:r>
        <w:t xml:space="preserve">На период 1999-2000 годов бывшая югославская Республика Македония была включена в проект </w:t>
      </w:r>
      <w:proofErr w:type="spellStart"/>
      <w:r>
        <w:rPr>
          <w:lang w:val="en-US"/>
        </w:rPr>
        <w:t>PHARE</w:t>
      </w:r>
      <w:proofErr w:type="spellEnd"/>
      <w:r>
        <w:t xml:space="preserve"> "Международное сотрудничество в сфере научного обучения", в рамках которого в Институте информатики факультета естественных наук и математики Университета Св. Кирилла и </w:t>
      </w:r>
      <w:proofErr w:type="spellStart"/>
      <w:r>
        <w:t>Мефодия</w:t>
      </w:r>
      <w:proofErr w:type="spellEnd"/>
      <w:r>
        <w:t xml:space="preserve"> в Скопье был создан национальный контактный центр, а на факультете электротехники Университета Св. Кирилла и Святого </w:t>
      </w:r>
      <w:proofErr w:type="spellStart"/>
      <w:r>
        <w:t>Мефодия</w:t>
      </w:r>
      <w:proofErr w:type="spellEnd"/>
      <w:r>
        <w:t xml:space="preserve"> в Скопье и на факультете педагогики Университета Св. </w:t>
      </w:r>
      <w:proofErr w:type="spellStart"/>
      <w:r>
        <w:t>Климента</w:t>
      </w:r>
      <w:proofErr w:type="spellEnd"/>
      <w:r>
        <w:t xml:space="preserve"> </w:t>
      </w:r>
      <w:proofErr w:type="spellStart"/>
      <w:r>
        <w:t>Охридского</w:t>
      </w:r>
      <w:proofErr w:type="spellEnd"/>
      <w:r>
        <w:t xml:space="preserve"> в </w:t>
      </w:r>
      <w:proofErr w:type="spellStart"/>
      <w:r>
        <w:t>Битоле</w:t>
      </w:r>
      <w:proofErr w:type="spellEnd"/>
      <w:r>
        <w:t xml:space="preserve"> - учебные центры;</w:t>
      </w:r>
    </w:p>
    <w:p w:rsidR="00000000" w:rsidRDefault="00000000">
      <w:pPr>
        <w:tabs>
          <w:tab w:val="clear" w:pos="1134"/>
        </w:tabs>
        <w:ind w:left="201"/>
      </w:pPr>
    </w:p>
    <w:p w:rsidR="00000000" w:rsidRDefault="00000000">
      <w:pPr>
        <w:numPr>
          <w:ilvl w:val="0"/>
          <w:numId w:val="102"/>
        </w:numPr>
        <w:ind w:hanging="597"/>
      </w:pPr>
      <w:r>
        <w:t>в период 1996-2004 годов большое число проектов финансировалось по линии программы "</w:t>
      </w:r>
      <w:proofErr w:type="spellStart"/>
      <w:r>
        <w:t>Темпус</w:t>
      </w:r>
      <w:proofErr w:type="spellEnd"/>
      <w:r>
        <w:t xml:space="preserve">".  Благодаря серии из четырех совместных европейских проектов удалось выработать концепцию "виртуального университета", включающую в себя виртуальные классные комнаты, виртуальные лаборатории, виртуальные библиотеки и виртуальный университетский городок (технические факультеты и институты университетов в Скопье и Битоле).  На факультете естественных наук и математики Университета Св. Кирилла и </w:t>
      </w:r>
      <w:proofErr w:type="spellStart"/>
      <w:r>
        <w:t>Мефодия</w:t>
      </w:r>
      <w:proofErr w:type="spellEnd"/>
      <w:r>
        <w:t xml:space="preserve"> в Скопье завершено или осуществляется большое число проектов, финансируемых по линии "</w:t>
      </w:r>
      <w:proofErr w:type="spellStart"/>
      <w:r>
        <w:t>Темпус</w:t>
      </w:r>
      <w:proofErr w:type="spellEnd"/>
      <w:r>
        <w:t>", НАТО и других доноров, цель которых заключается в создании инфраструктуры и использовании полученных информационных технологий для организации гибкого обучения, управления, коммерческой деятельности и разработки программного обеспечения.  На факультете экономики Университета в Скопье в рамках программы "</w:t>
      </w:r>
      <w:proofErr w:type="spellStart"/>
      <w:r>
        <w:t>Темпус</w:t>
      </w:r>
      <w:proofErr w:type="spellEnd"/>
      <w:r>
        <w:t>" осуществляется отдельный проект в области электронного бизнеса и управления.  Дополнительная помощь в его осуществлении в рамках двустороннего сотрудничества оказывают Нидерланды.</w:t>
      </w:r>
    </w:p>
    <w:p w:rsidR="00000000" w:rsidRDefault="00000000">
      <w:pPr>
        <w:tabs>
          <w:tab w:val="clear" w:pos="1134"/>
        </w:tabs>
        <w:ind w:left="201"/>
      </w:pPr>
    </w:p>
    <w:p w:rsidR="00000000" w:rsidRDefault="00000000">
      <w:r>
        <w:t>966.</w:t>
      </w:r>
      <w:r>
        <w:tab/>
        <w:t>Развивать систему заочного обучения помогают три региональных проекта в рамках программы "</w:t>
      </w:r>
      <w:proofErr w:type="spellStart"/>
      <w:r>
        <w:t>Темпус</w:t>
      </w:r>
      <w:proofErr w:type="spellEnd"/>
      <w:r>
        <w:t>":</w:t>
      </w:r>
    </w:p>
    <w:p w:rsidR="00000000" w:rsidRDefault="00000000"/>
    <w:p w:rsidR="00000000" w:rsidRDefault="00000000">
      <w:pPr>
        <w:numPr>
          <w:ilvl w:val="0"/>
          <w:numId w:val="103"/>
        </w:numPr>
        <w:tabs>
          <w:tab w:val="clear" w:pos="567"/>
          <w:tab w:val="clear" w:pos="845"/>
        </w:tabs>
        <w:ind w:left="1134" w:hanging="573"/>
      </w:pPr>
      <w:r>
        <w:t>проект непрерывного обучения для судей из Албании, Боснии и Герцеговины и бывшей югославской Республики Македонии (в сотрудничестве с Университетом Болоньи);</w:t>
      </w:r>
    </w:p>
    <w:p w:rsidR="00000000" w:rsidRDefault="00000000">
      <w:pPr>
        <w:numPr>
          <w:ilvl w:val="0"/>
          <w:numId w:val="103"/>
        </w:numPr>
        <w:tabs>
          <w:tab w:val="clear" w:pos="567"/>
          <w:tab w:val="clear" w:pos="845"/>
        </w:tabs>
        <w:ind w:left="1134" w:hanging="573"/>
      </w:pPr>
      <w:r>
        <w:t xml:space="preserve">программы </w:t>
      </w:r>
      <w:proofErr w:type="spellStart"/>
      <w:r>
        <w:t>послевузовского</w:t>
      </w:r>
      <w:proofErr w:type="spellEnd"/>
      <w:r>
        <w:t xml:space="preserve"> цикла по тематике туризма и общественного питания в Албании, Хорватии, бывшей югославской Республике Македонии и Сербии и Черногории;</w:t>
      </w:r>
    </w:p>
    <w:p w:rsidR="00000000" w:rsidRDefault="00000000">
      <w:pPr>
        <w:ind w:left="201"/>
      </w:pPr>
    </w:p>
    <w:p w:rsidR="00000000" w:rsidRDefault="00000000">
      <w:pPr>
        <w:numPr>
          <w:ilvl w:val="0"/>
          <w:numId w:val="103"/>
        </w:numPr>
        <w:tabs>
          <w:tab w:val="clear" w:pos="567"/>
          <w:tab w:val="clear" w:pos="845"/>
        </w:tabs>
        <w:ind w:left="1134" w:hanging="573"/>
      </w:pPr>
      <w:r>
        <w:t xml:space="preserve">развитие программ </w:t>
      </w:r>
      <w:proofErr w:type="spellStart"/>
      <w:r>
        <w:t>послевузовского</w:t>
      </w:r>
      <w:proofErr w:type="spellEnd"/>
      <w:r>
        <w:t xml:space="preserve"> образования в области компьютерного программного обеспечения, по окончании которых их слушатели получают "двойной диплом" Университета Св. Кирилла и </w:t>
      </w:r>
      <w:proofErr w:type="spellStart"/>
      <w:r>
        <w:t>Мефодия</w:t>
      </w:r>
      <w:proofErr w:type="spellEnd"/>
      <w:r>
        <w:t xml:space="preserve"> в Скопье и Университета </w:t>
      </w:r>
      <w:proofErr w:type="spellStart"/>
      <w:r>
        <w:t>Нови-Сад</w:t>
      </w:r>
      <w:proofErr w:type="spellEnd"/>
      <w:r>
        <w:t xml:space="preserve"> (Сербия и Черногория).  Благодаря этим программам двойные дипломы впервые появились в бывшей югославской Республике Македонии.</w:t>
      </w:r>
    </w:p>
    <w:p w:rsidR="00000000" w:rsidRDefault="00000000">
      <w:pPr>
        <w:ind w:left="201"/>
      </w:pPr>
    </w:p>
    <w:p w:rsidR="00000000" w:rsidRDefault="00000000">
      <w:r>
        <w:t>967.</w:t>
      </w:r>
      <w:r>
        <w:tab/>
        <w:t>Проекты в рамках программы "</w:t>
      </w:r>
      <w:proofErr w:type="spellStart"/>
      <w:r>
        <w:t>Темпус</w:t>
      </w:r>
      <w:proofErr w:type="spellEnd"/>
      <w:r>
        <w:t xml:space="preserve">" содействуют созданию электронных библиотек и модернизации библиотечных информационных систем на факультетах технологии и металлургии, естественных наук и математики и электротехники Университета Св. Кирилла и </w:t>
      </w:r>
      <w:proofErr w:type="spellStart"/>
      <w:r>
        <w:t>Мефодия</w:t>
      </w:r>
      <w:proofErr w:type="spellEnd"/>
      <w:r>
        <w:t xml:space="preserve"> в Скопье, а также в национальной библиотеке Университета Св. </w:t>
      </w:r>
      <w:proofErr w:type="spellStart"/>
      <w:r>
        <w:t>Климента</w:t>
      </w:r>
      <w:proofErr w:type="spellEnd"/>
      <w:r>
        <w:t xml:space="preserve"> </w:t>
      </w:r>
      <w:proofErr w:type="spellStart"/>
      <w:r>
        <w:t>Охридского</w:t>
      </w:r>
      <w:proofErr w:type="spellEnd"/>
      <w:r>
        <w:t xml:space="preserve"> в Скопье.</w:t>
      </w:r>
    </w:p>
    <w:p w:rsidR="00000000" w:rsidRDefault="00000000"/>
    <w:p w:rsidR="00000000" w:rsidRDefault="00000000">
      <w:r>
        <w:t>968.</w:t>
      </w:r>
      <w:r>
        <w:tab/>
        <w:t xml:space="preserve">С учетом важности наличия специалистов в области компьютеров в нижеследующей таблице приводятся данные о студентах вузов, изучавших компьютерные науки и информатику в период с 1990 по 2003 год:  </w:t>
      </w:r>
    </w:p>
    <w:p w:rsidR="00000000" w:rsidRDefault="00000000"/>
    <w:p w:rsidR="00000000" w:rsidRDefault="00000000">
      <w:pPr>
        <w:jc w:val="center"/>
        <w:rPr>
          <w:b/>
          <w:bCs/>
        </w:rPr>
      </w:pPr>
      <w:r>
        <w:rPr>
          <w:b/>
          <w:bCs/>
        </w:rPr>
        <w:t>Студенты вузов, изучающие компьютерные науки и информатику,</w:t>
      </w:r>
    </w:p>
    <w:p w:rsidR="00000000" w:rsidRDefault="00000000">
      <w:pPr>
        <w:jc w:val="center"/>
        <w:rPr>
          <w:b/>
          <w:bCs/>
        </w:rPr>
      </w:pPr>
      <w:r>
        <w:rPr>
          <w:b/>
          <w:bCs/>
          <w:lang w:val="en-US"/>
        </w:rPr>
        <w:t xml:space="preserve">1990-2003 </w:t>
      </w:r>
      <w:r>
        <w:rPr>
          <w:b/>
          <w:bCs/>
        </w:rPr>
        <w:t>годы</w:t>
      </w:r>
    </w:p>
    <w:p w:rsidR="00000000" w:rsidRDefault="00000000">
      <w:pPr>
        <w:jc w:val="center"/>
        <w:rPr>
          <w:b/>
          <w:bCs/>
          <w:lang w:val="en-US"/>
        </w:rPr>
      </w:pPr>
    </w:p>
    <w:tbl>
      <w:tblPr>
        <w:tblW w:w="936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57"/>
        <w:gridCol w:w="410"/>
        <w:gridCol w:w="576"/>
        <w:gridCol w:w="577"/>
        <w:gridCol w:w="576"/>
        <w:gridCol w:w="577"/>
        <w:gridCol w:w="576"/>
        <w:gridCol w:w="577"/>
        <w:gridCol w:w="576"/>
        <w:gridCol w:w="576"/>
        <w:gridCol w:w="577"/>
        <w:gridCol w:w="576"/>
        <w:gridCol w:w="577"/>
        <w:gridCol w:w="576"/>
        <w:gridCol w:w="577"/>
      </w:tblGrid>
      <w:tr w:rsidR="00000000">
        <w:tblPrEx>
          <w:tblCellMar>
            <w:top w:w="0" w:type="dxa"/>
            <w:left w:w="0" w:type="dxa"/>
            <w:bottom w:w="0" w:type="dxa"/>
            <w:right w:w="0" w:type="dxa"/>
          </w:tblCellMar>
        </w:tblPrEx>
        <w:trPr>
          <w:trHeight w:val="232"/>
        </w:trPr>
        <w:tc>
          <w:tcPr>
            <w:tcW w:w="1457" w:type="dxa"/>
            <w:vAlign w:val="bottom"/>
          </w:tcPr>
          <w:p w:rsidR="00000000" w:rsidRDefault="00000000">
            <w:pPr>
              <w:jc w:val="center"/>
              <w:rPr>
                <w:bCs/>
                <w:sz w:val="20"/>
              </w:rPr>
            </w:pPr>
            <w:r>
              <w:rPr>
                <w:bCs/>
                <w:sz w:val="20"/>
              </w:rPr>
              <w:t>Год</w:t>
            </w:r>
          </w:p>
        </w:tc>
        <w:tc>
          <w:tcPr>
            <w:tcW w:w="410" w:type="dxa"/>
            <w:vAlign w:val="bottom"/>
          </w:tcPr>
          <w:p w:rsidR="00000000" w:rsidRDefault="00000000">
            <w:pPr>
              <w:jc w:val="center"/>
              <w:rPr>
                <w:rFonts w:eastAsia="Arial Unicode MS"/>
                <w:bCs/>
                <w:sz w:val="20"/>
                <w:lang w:val="en-US"/>
              </w:rPr>
            </w:pPr>
            <w:r>
              <w:rPr>
                <w:bCs/>
                <w:sz w:val="20"/>
                <w:lang w:val="en-US"/>
              </w:rPr>
              <w:t>1990</w:t>
            </w:r>
          </w:p>
        </w:tc>
        <w:tc>
          <w:tcPr>
            <w:tcW w:w="576" w:type="dxa"/>
            <w:vAlign w:val="bottom"/>
          </w:tcPr>
          <w:p w:rsidR="00000000" w:rsidRDefault="00000000">
            <w:pPr>
              <w:jc w:val="center"/>
              <w:rPr>
                <w:rFonts w:eastAsia="Arial Unicode MS"/>
                <w:bCs/>
                <w:sz w:val="20"/>
                <w:lang w:val="en-US"/>
              </w:rPr>
            </w:pPr>
            <w:r>
              <w:rPr>
                <w:bCs/>
                <w:sz w:val="20"/>
                <w:lang w:val="en-US"/>
              </w:rPr>
              <w:t>1991</w:t>
            </w:r>
          </w:p>
        </w:tc>
        <w:tc>
          <w:tcPr>
            <w:tcW w:w="577" w:type="dxa"/>
            <w:vAlign w:val="bottom"/>
          </w:tcPr>
          <w:p w:rsidR="00000000" w:rsidRDefault="00000000">
            <w:pPr>
              <w:jc w:val="center"/>
              <w:rPr>
                <w:rFonts w:eastAsia="Arial Unicode MS"/>
                <w:bCs/>
                <w:sz w:val="20"/>
                <w:lang w:val="en-US"/>
              </w:rPr>
            </w:pPr>
            <w:r>
              <w:rPr>
                <w:bCs/>
                <w:sz w:val="20"/>
                <w:lang w:val="en-US"/>
              </w:rPr>
              <w:t>1992</w:t>
            </w:r>
          </w:p>
        </w:tc>
        <w:tc>
          <w:tcPr>
            <w:tcW w:w="576" w:type="dxa"/>
            <w:vAlign w:val="bottom"/>
          </w:tcPr>
          <w:p w:rsidR="00000000" w:rsidRDefault="00000000">
            <w:pPr>
              <w:jc w:val="center"/>
              <w:rPr>
                <w:rFonts w:eastAsia="Arial Unicode MS"/>
                <w:bCs/>
                <w:sz w:val="20"/>
                <w:lang w:val="en-US"/>
              </w:rPr>
            </w:pPr>
            <w:r>
              <w:rPr>
                <w:bCs/>
                <w:sz w:val="20"/>
                <w:lang w:val="en-US"/>
              </w:rPr>
              <w:t>1993</w:t>
            </w:r>
          </w:p>
        </w:tc>
        <w:tc>
          <w:tcPr>
            <w:tcW w:w="577" w:type="dxa"/>
            <w:vAlign w:val="bottom"/>
          </w:tcPr>
          <w:p w:rsidR="00000000" w:rsidRDefault="00000000">
            <w:pPr>
              <w:jc w:val="center"/>
              <w:rPr>
                <w:rFonts w:eastAsia="Arial Unicode MS"/>
                <w:bCs/>
                <w:sz w:val="20"/>
                <w:lang w:val="en-US"/>
              </w:rPr>
            </w:pPr>
            <w:r>
              <w:rPr>
                <w:bCs/>
                <w:sz w:val="20"/>
                <w:lang w:val="en-US"/>
              </w:rPr>
              <w:t>1994</w:t>
            </w:r>
          </w:p>
        </w:tc>
        <w:tc>
          <w:tcPr>
            <w:tcW w:w="576" w:type="dxa"/>
            <w:vAlign w:val="bottom"/>
          </w:tcPr>
          <w:p w:rsidR="00000000" w:rsidRDefault="00000000">
            <w:pPr>
              <w:jc w:val="center"/>
              <w:rPr>
                <w:rFonts w:eastAsia="Arial Unicode MS"/>
                <w:bCs/>
                <w:sz w:val="20"/>
                <w:lang w:val="en-US"/>
              </w:rPr>
            </w:pPr>
            <w:r>
              <w:rPr>
                <w:bCs/>
                <w:sz w:val="20"/>
                <w:lang w:val="en-US"/>
              </w:rPr>
              <w:t>1995</w:t>
            </w:r>
          </w:p>
        </w:tc>
        <w:tc>
          <w:tcPr>
            <w:tcW w:w="577" w:type="dxa"/>
            <w:vAlign w:val="bottom"/>
          </w:tcPr>
          <w:p w:rsidR="00000000" w:rsidRDefault="00000000">
            <w:pPr>
              <w:jc w:val="center"/>
              <w:rPr>
                <w:rFonts w:eastAsia="Arial Unicode MS"/>
                <w:bCs/>
                <w:sz w:val="20"/>
                <w:lang w:val="en-US"/>
              </w:rPr>
            </w:pPr>
            <w:r>
              <w:rPr>
                <w:bCs/>
                <w:sz w:val="20"/>
                <w:lang w:val="en-US"/>
              </w:rPr>
              <w:t>1996</w:t>
            </w:r>
          </w:p>
        </w:tc>
        <w:tc>
          <w:tcPr>
            <w:tcW w:w="576" w:type="dxa"/>
            <w:vAlign w:val="bottom"/>
          </w:tcPr>
          <w:p w:rsidR="00000000" w:rsidRDefault="00000000">
            <w:pPr>
              <w:jc w:val="center"/>
              <w:rPr>
                <w:rFonts w:eastAsia="Arial Unicode MS"/>
                <w:bCs/>
                <w:sz w:val="20"/>
                <w:lang w:val="en-US"/>
              </w:rPr>
            </w:pPr>
            <w:r>
              <w:rPr>
                <w:bCs/>
                <w:sz w:val="20"/>
                <w:lang w:val="en-US"/>
              </w:rPr>
              <w:t>1997</w:t>
            </w:r>
          </w:p>
        </w:tc>
        <w:tc>
          <w:tcPr>
            <w:tcW w:w="576" w:type="dxa"/>
            <w:vAlign w:val="bottom"/>
          </w:tcPr>
          <w:p w:rsidR="00000000" w:rsidRDefault="00000000">
            <w:pPr>
              <w:jc w:val="center"/>
              <w:rPr>
                <w:rFonts w:eastAsia="Arial Unicode MS"/>
                <w:bCs/>
                <w:sz w:val="20"/>
                <w:lang w:val="en-US"/>
              </w:rPr>
            </w:pPr>
            <w:r>
              <w:rPr>
                <w:bCs/>
                <w:sz w:val="20"/>
                <w:lang w:val="en-US"/>
              </w:rPr>
              <w:t>1998</w:t>
            </w:r>
          </w:p>
        </w:tc>
        <w:tc>
          <w:tcPr>
            <w:tcW w:w="577" w:type="dxa"/>
            <w:vAlign w:val="bottom"/>
          </w:tcPr>
          <w:p w:rsidR="00000000" w:rsidRDefault="00000000">
            <w:pPr>
              <w:jc w:val="center"/>
              <w:rPr>
                <w:rFonts w:eastAsia="Arial Unicode MS"/>
                <w:bCs/>
                <w:sz w:val="20"/>
                <w:lang w:val="en-US"/>
              </w:rPr>
            </w:pPr>
            <w:r>
              <w:rPr>
                <w:bCs/>
                <w:sz w:val="20"/>
                <w:lang w:val="en-US"/>
              </w:rPr>
              <w:t>1999</w:t>
            </w:r>
          </w:p>
        </w:tc>
        <w:tc>
          <w:tcPr>
            <w:tcW w:w="576" w:type="dxa"/>
            <w:vAlign w:val="bottom"/>
          </w:tcPr>
          <w:p w:rsidR="00000000" w:rsidRDefault="00000000">
            <w:pPr>
              <w:jc w:val="center"/>
              <w:rPr>
                <w:rFonts w:eastAsia="Arial Unicode MS"/>
                <w:bCs/>
                <w:sz w:val="20"/>
                <w:lang w:val="en-US"/>
              </w:rPr>
            </w:pPr>
            <w:r>
              <w:rPr>
                <w:bCs/>
                <w:sz w:val="20"/>
                <w:lang w:val="en-US"/>
              </w:rPr>
              <w:t>2000</w:t>
            </w:r>
          </w:p>
        </w:tc>
        <w:tc>
          <w:tcPr>
            <w:tcW w:w="577" w:type="dxa"/>
            <w:vAlign w:val="bottom"/>
          </w:tcPr>
          <w:p w:rsidR="00000000" w:rsidRDefault="00000000">
            <w:pPr>
              <w:jc w:val="center"/>
              <w:rPr>
                <w:rFonts w:eastAsia="Arial Unicode MS"/>
                <w:bCs/>
                <w:sz w:val="20"/>
                <w:lang w:val="en-US"/>
              </w:rPr>
            </w:pPr>
            <w:r>
              <w:rPr>
                <w:bCs/>
                <w:sz w:val="20"/>
                <w:lang w:val="en-US"/>
              </w:rPr>
              <w:t>2001</w:t>
            </w:r>
          </w:p>
        </w:tc>
        <w:tc>
          <w:tcPr>
            <w:tcW w:w="576" w:type="dxa"/>
            <w:vAlign w:val="bottom"/>
          </w:tcPr>
          <w:p w:rsidR="00000000" w:rsidRDefault="00000000">
            <w:pPr>
              <w:jc w:val="center"/>
              <w:rPr>
                <w:rFonts w:eastAsia="Arial Unicode MS"/>
                <w:bCs/>
                <w:sz w:val="20"/>
                <w:lang w:val="en-US"/>
              </w:rPr>
            </w:pPr>
            <w:r>
              <w:rPr>
                <w:bCs/>
                <w:sz w:val="20"/>
                <w:lang w:val="en-US"/>
              </w:rPr>
              <w:t>2002</w:t>
            </w:r>
          </w:p>
        </w:tc>
        <w:tc>
          <w:tcPr>
            <w:tcW w:w="577" w:type="dxa"/>
            <w:vAlign w:val="bottom"/>
          </w:tcPr>
          <w:p w:rsidR="00000000" w:rsidRDefault="00000000">
            <w:pPr>
              <w:jc w:val="center"/>
              <w:rPr>
                <w:rFonts w:eastAsia="Arial Unicode MS"/>
                <w:bCs/>
                <w:sz w:val="20"/>
                <w:lang w:val="en-US"/>
              </w:rPr>
            </w:pPr>
            <w:r>
              <w:rPr>
                <w:bCs/>
                <w:sz w:val="20"/>
                <w:lang w:val="en-US"/>
              </w:rPr>
              <w:t>2003</w:t>
            </w:r>
          </w:p>
        </w:tc>
      </w:tr>
      <w:tr w:rsidR="00000000">
        <w:tblPrEx>
          <w:tblCellMar>
            <w:top w:w="0" w:type="dxa"/>
            <w:left w:w="0" w:type="dxa"/>
            <w:bottom w:w="0" w:type="dxa"/>
            <w:right w:w="0" w:type="dxa"/>
          </w:tblCellMar>
        </w:tblPrEx>
        <w:trPr>
          <w:trHeight w:val="929"/>
        </w:trPr>
        <w:tc>
          <w:tcPr>
            <w:tcW w:w="1457" w:type="dxa"/>
            <w:vAlign w:val="center"/>
          </w:tcPr>
          <w:p w:rsidR="00000000" w:rsidRDefault="00000000">
            <w:pPr>
              <w:rPr>
                <w:rFonts w:eastAsia="Arial Unicode MS"/>
                <w:sz w:val="20"/>
              </w:rPr>
            </w:pPr>
            <w:r>
              <w:rPr>
                <w:rFonts w:eastAsia="Arial Unicode MS"/>
                <w:sz w:val="20"/>
              </w:rPr>
              <w:t>Студенты,</w:t>
            </w:r>
          </w:p>
          <w:p w:rsidR="00000000" w:rsidRDefault="00000000">
            <w:pPr>
              <w:tabs>
                <w:tab w:val="left" w:pos="202"/>
              </w:tabs>
              <w:ind w:left="141" w:hanging="141"/>
              <w:rPr>
                <w:rFonts w:eastAsia="Arial Unicode MS"/>
                <w:sz w:val="20"/>
              </w:rPr>
            </w:pPr>
            <w:r>
              <w:rPr>
                <w:rFonts w:eastAsia="Arial Unicode MS"/>
                <w:sz w:val="20"/>
              </w:rPr>
              <w:tab/>
              <w:t>изучающие компьютерные науки и информатику</w:t>
            </w:r>
          </w:p>
        </w:tc>
        <w:tc>
          <w:tcPr>
            <w:tcW w:w="410" w:type="dxa"/>
          </w:tcPr>
          <w:p w:rsidR="00000000" w:rsidRDefault="00000000">
            <w:pPr>
              <w:jc w:val="center"/>
              <w:rPr>
                <w:rFonts w:eastAsia="Arial Unicode MS"/>
                <w:sz w:val="20"/>
              </w:rPr>
            </w:pPr>
            <w:r>
              <w:rPr>
                <w:sz w:val="20"/>
              </w:rPr>
              <w:t>557</w:t>
            </w:r>
          </w:p>
        </w:tc>
        <w:tc>
          <w:tcPr>
            <w:tcW w:w="576" w:type="dxa"/>
          </w:tcPr>
          <w:p w:rsidR="00000000" w:rsidRDefault="00000000">
            <w:pPr>
              <w:pStyle w:val="FootnoteText"/>
              <w:spacing w:line="288" w:lineRule="auto"/>
              <w:jc w:val="center"/>
              <w:rPr>
                <w:rFonts w:eastAsia="Arial Unicode MS"/>
                <w:sz w:val="20"/>
              </w:rPr>
            </w:pPr>
            <w:r>
              <w:rPr>
                <w:sz w:val="20"/>
              </w:rPr>
              <w:t>580</w:t>
            </w:r>
          </w:p>
        </w:tc>
        <w:tc>
          <w:tcPr>
            <w:tcW w:w="577" w:type="dxa"/>
          </w:tcPr>
          <w:p w:rsidR="00000000" w:rsidRDefault="00000000">
            <w:pPr>
              <w:jc w:val="center"/>
              <w:rPr>
                <w:rFonts w:eastAsia="Arial Unicode MS"/>
                <w:sz w:val="20"/>
              </w:rPr>
            </w:pPr>
            <w:r>
              <w:rPr>
                <w:sz w:val="20"/>
              </w:rPr>
              <w:t>1 031</w:t>
            </w:r>
          </w:p>
        </w:tc>
        <w:tc>
          <w:tcPr>
            <w:tcW w:w="576" w:type="dxa"/>
          </w:tcPr>
          <w:p w:rsidR="00000000" w:rsidRDefault="00000000">
            <w:pPr>
              <w:jc w:val="center"/>
              <w:rPr>
                <w:rFonts w:eastAsia="Arial Unicode MS"/>
                <w:sz w:val="20"/>
              </w:rPr>
            </w:pPr>
            <w:r>
              <w:rPr>
                <w:sz w:val="20"/>
              </w:rPr>
              <w:t>1 042</w:t>
            </w:r>
          </w:p>
        </w:tc>
        <w:tc>
          <w:tcPr>
            <w:tcW w:w="577" w:type="dxa"/>
          </w:tcPr>
          <w:p w:rsidR="00000000" w:rsidRDefault="00000000">
            <w:pPr>
              <w:jc w:val="center"/>
              <w:rPr>
                <w:rFonts w:eastAsia="Arial Unicode MS"/>
                <w:sz w:val="20"/>
              </w:rPr>
            </w:pPr>
            <w:r>
              <w:rPr>
                <w:sz w:val="20"/>
              </w:rPr>
              <w:t>1 077</w:t>
            </w:r>
          </w:p>
        </w:tc>
        <w:tc>
          <w:tcPr>
            <w:tcW w:w="576" w:type="dxa"/>
          </w:tcPr>
          <w:p w:rsidR="00000000" w:rsidRDefault="00000000">
            <w:pPr>
              <w:jc w:val="center"/>
              <w:rPr>
                <w:rFonts w:eastAsia="Arial Unicode MS"/>
                <w:sz w:val="20"/>
              </w:rPr>
            </w:pPr>
            <w:r>
              <w:rPr>
                <w:sz w:val="20"/>
              </w:rPr>
              <w:t>1 082</w:t>
            </w:r>
          </w:p>
        </w:tc>
        <w:tc>
          <w:tcPr>
            <w:tcW w:w="577" w:type="dxa"/>
          </w:tcPr>
          <w:p w:rsidR="00000000" w:rsidRDefault="00000000">
            <w:pPr>
              <w:jc w:val="center"/>
              <w:rPr>
                <w:rFonts w:eastAsia="Arial Unicode MS"/>
                <w:sz w:val="20"/>
              </w:rPr>
            </w:pPr>
            <w:r>
              <w:rPr>
                <w:sz w:val="20"/>
              </w:rPr>
              <w:t>1 024</w:t>
            </w:r>
          </w:p>
        </w:tc>
        <w:tc>
          <w:tcPr>
            <w:tcW w:w="576" w:type="dxa"/>
          </w:tcPr>
          <w:p w:rsidR="00000000" w:rsidRDefault="00000000">
            <w:pPr>
              <w:jc w:val="center"/>
              <w:rPr>
                <w:rFonts w:eastAsia="Arial Unicode MS"/>
                <w:sz w:val="20"/>
              </w:rPr>
            </w:pPr>
            <w:r>
              <w:rPr>
                <w:sz w:val="20"/>
              </w:rPr>
              <w:t>1 013</w:t>
            </w:r>
          </w:p>
        </w:tc>
        <w:tc>
          <w:tcPr>
            <w:tcW w:w="576" w:type="dxa"/>
          </w:tcPr>
          <w:p w:rsidR="00000000" w:rsidRDefault="00000000">
            <w:pPr>
              <w:jc w:val="center"/>
              <w:rPr>
                <w:rFonts w:eastAsia="Arial Unicode MS"/>
                <w:sz w:val="20"/>
              </w:rPr>
            </w:pPr>
            <w:r>
              <w:rPr>
                <w:sz w:val="20"/>
              </w:rPr>
              <w:t>1 092</w:t>
            </w:r>
          </w:p>
        </w:tc>
        <w:tc>
          <w:tcPr>
            <w:tcW w:w="577" w:type="dxa"/>
          </w:tcPr>
          <w:p w:rsidR="00000000" w:rsidRDefault="00000000">
            <w:pPr>
              <w:jc w:val="center"/>
              <w:rPr>
                <w:rFonts w:eastAsia="Arial Unicode MS"/>
                <w:sz w:val="20"/>
              </w:rPr>
            </w:pPr>
            <w:r>
              <w:rPr>
                <w:sz w:val="20"/>
              </w:rPr>
              <w:t>1 138</w:t>
            </w:r>
          </w:p>
        </w:tc>
        <w:tc>
          <w:tcPr>
            <w:tcW w:w="576" w:type="dxa"/>
          </w:tcPr>
          <w:p w:rsidR="00000000" w:rsidRDefault="00000000">
            <w:pPr>
              <w:jc w:val="center"/>
              <w:rPr>
                <w:rFonts w:eastAsia="Arial Unicode MS"/>
                <w:sz w:val="20"/>
              </w:rPr>
            </w:pPr>
            <w:r>
              <w:rPr>
                <w:sz w:val="20"/>
              </w:rPr>
              <w:t>1 123</w:t>
            </w:r>
          </w:p>
        </w:tc>
        <w:tc>
          <w:tcPr>
            <w:tcW w:w="577" w:type="dxa"/>
          </w:tcPr>
          <w:p w:rsidR="00000000" w:rsidRDefault="00000000">
            <w:pPr>
              <w:jc w:val="center"/>
              <w:rPr>
                <w:rFonts w:eastAsia="Arial Unicode MS"/>
                <w:sz w:val="20"/>
              </w:rPr>
            </w:pPr>
            <w:r>
              <w:rPr>
                <w:sz w:val="20"/>
              </w:rPr>
              <w:t>1 351</w:t>
            </w:r>
          </w:p>
        </w:tc>
        <w:tc>
          <w:tcPr>
            <w:tcW w:w="576" w:type="dxa"/>
          </w:tcPr>
          <w:p w:rsidR="00000000" w:rsidRDefault="00000000">
            <w:pPr>
              <w:jc w:val="center"/>
              <w:rPr>
                <w:rFonts w:eastAsia="Arial Unicode MS"/>
                <w:sz w:val="20"/>
              </w:rPr>
            </w:pPr>
            <w:r>
              <w:rPr>
                <w:sz w:val="20"/>
              </w:rPr>
              <w:t>1 576</w:t>
            </w:r>
          </w:p>
        </w:tc>
        <w:tc>
          <w:tcPr>
            <w:tcW w:w="577" w:type="dxa"/>
          </w:tcPr>
          <w:p w:rsidR="00000000" w:rsidRDefault="00000000">
            <w:pPr>
              <w:jc w:val="center"/>
              <w:rPr>
                <w:rFonts w:eastAsia="Arial Unicode MS"/>
                <w:sz w:val="20"/>
              </w:rPr>
            </w:pPr>
            <w:r>
              <w:rPr>
                <w:sz w:val="20"/>
              </w:rPr>
              <w:t>1 966</w:t>
            </w:r>
          </w:p>
        </w:tc>
      </w:tr>
    </w:tbl>
    <w:p w:rsidR="00000000" w:rsidRDefault="00000000">
      <w:pPr>
        <w:jc w:val="center"/>
      </w:pPr>
    </w:p>
    <w:p w:rsidR="00000000" w:rsidRDefault="00000000">
      <w:r>
        <w:tab/>
      </w:r>
      <w:r>
        <w:rPr>
          <w:i/>
          <w:iCs/>
        </w:rPr>
        <w:t>Официальный источник данных</w:t>
      </w:r>
      <w:r>
        <w:t>:  Государственное статистическое управление.</w:t>
      </w:r>
    </w:p>
    <w:p w:rsidR="00000000" w:rsidRDefault="00000000">
      <w:pPr>
        <w:rPr>
          <w:i/>
          <w:iCs/>
        </w:rPr>
      </w:pPr>
    </w:p>
    <w:p w:rsidR="00000000" w:rsidRDefault="00000000">
      <w:r>
        <w:t>969.</w:t>
      </w:r>
      <w:r>
        <w:tab/>
        <w:t>Компьютерные науки и информатика входят в учебную программу большинства других факультетов, особенно технических, технологических и других факультетов прикладных наук, а также высших технических школ.</w:t>
      </w:r>
    </w:p>
    <w:p w:rsidR="00000000" w:rsidRDefault="00000000"/>
    <w:p w:rsidR="00000000" w:rsidRDefault="00000000">
      <w:r>
        <w:t>970.</w:t>
      </w:r>
      <w:r>
        <w:tab/>
        <w:t>В Законе о высшем образовании заочное обучение предусматривается в качестве одной из форм непрерывного обучения (статья 123).  Ввиду важности такой формы получения образования с внесением поправок в законодательные акты заочное обучение (мы считаем более правильным термин "электронное обучение") должно стать неотъемлемой частью системы образования всех уровней (самостоятельно или в сочетании с традиционными формами обучения).</w:t>
      </w:r>
    </w:p>
    <w:p w:rsidR="00000000" w:rsidRDefault="00000000"/>
    <w:p w:rsidR="00000000" w:rsidRDefault="00000000">
      <w:r>
        <w:t>971.</w:t>
      </w:r>
      <w:r>
        <w:tab/>
        <w:t>Что касается полного среднего образования, компьютерные науки являются обязательным предметом для учащихся на первом году обучения, причем на отдельных курсах обучение компьютерным наукам продолжается и в старших классах.</w:t>
      </w:r>
    </w:p>
    <w:p w:rsidR="00000000" w:rsidRDefault="00000000"/>
    <w:p w:rsidR="00000000" w:rsidRDefault="00000000">
      <w:r>
        <w:t>972.</w:t>
      </w:r>
      <w:r>
        <w:tab/>
        <w:t>Приобретение навыков работы с компьютерами является составной частью среднего профессионально-технического образования.  Важными компонентами первого и второго этапов реформы системы профессионально-технического образования, VET1 и VET2, осуществлявшейся при поддержке Европейской комиссии, была закупка оборудования ИКТ, компьютеризованной цифровой техники, учебного программного обеспечения, пособий для учителей и учащихся, а также подготовка преподавателей.  Этой деятельностью было охвачено 56 средних профессионально-технических школ.</w:t>
      </w:r>
    </w:p>
    <w:p w:rsidR="00000000" w:rsidRDefault="00000000"/>
    <w:p w:rsidR="00000000" w:rsidRDefault="00000000">
      <w:r>
        <w:t>973.</w:t>
      </w:r>
      <w:r>
        <w:tab/>
        <w:t>В системе начального образования компьютерные науки изучаются факультативно в седьмом и восьмом классах.</w:t>
      </w:r>
    </w:p>
    <w:p w:rsidR="00000000" w:rsidRDefault="00000000"/>
    <w:p w:rsidR="00000000" w:rsidRDefault="00000000">
      <w:r>
        <w:t>974.</w:t>
      </w:r>
      <w:r>
        <w:tab/>
        <w:t>Большое число частных компаний организуют подготовку сотрудников по тематике информационных технологий и использования Интернета.  Обучение и подготовка такого рода организуются и в центрах профессионально-технической подготовки.  Этими возможностями пользуются большое число работников, стремящихся получить или расширить свои знания и навыки работы с компьютерами, а также безработные, стремящиеся найти новую работу.</w:t>
      </w:r>
    </w:p>
    <w:p w:rsidR="00000000" w:rsidRDefault="00000000"/>
    <w:p w:rsidR="00000000" w:rsidRDefault="00000000">
      <w:r>
        <w:t>975.</w:t>
      </w:r>
      <w:r>
        <w:tab/>
        <w:t>ЮСЭЙД в сотрудничестве с министерством образования и науки содействует осуществлению проектов в начальной и средней школах, которые важны в деле развития информационного общества.  Речь, в частности, идет о проектах творческого преподавания и обучения (2002-2005 годы), программе среднего профессионально-технического образования (2003</w:t>
      </w:r>
      <w:r>
        <w:noBreakHyphen/>
        <w:t xml:space="preserve">2008 годы), внедрении информационных технологий в начальных и средних школах (2003-2007 годы), а также о программе обучения работе с </w:t>
      </w:r>
      <w:proofErr w:type="spellStart"/>
      <w:r>
        <w:t>Интернетом</w:t>
      </w:r>
      <w:proofErr w:type="spellEnd"/>
      <w:r>
        <w:t xml:space="preserve"> (2004-2007 годы).</w:t>
      </w:r>
    </w:p>
    <w:p w:rsidR="00000000" w:rsidRDefault="00000000"/>
    <w:p w:rsidR="00000000" w:rsidRDefault="00000000">
      <w:r>
        <w:t>976.</w:t>
      </w:r>
      <w:r>
        <w:tab/>
        <w:t>Согласно программе работы Комиссии по информационной технологии на 2003</w:t>
      </w:r>
      <w:r>
        <w:noBreakHyphen/>
        <w:t>2007 годы, правительство будет и впредь поддерживать проекты развития информационно-коммуникационной сети, объединяющей научные и учебные центры, делая при этом особый акцент на развитие беспроводных компьютерных сетей.  Высокоскоростной Интернет станет доступен представителям научных кругов, студентам и исследовательским кадрам как в институтах, так и центрах НИОКР.  Для повышения компьютерной грамотности населения планируются следующие меры:  стимулирование перевода и издания литературы по информационно-коммуникационным технологиям;  включение обязательной компьютерной подготовки в программу пятого класса начальной школы;  предоставление субсидий на оснащение исследовательских и учебных центров компьютерными лабораториями, имеющими доступ к Интернету;  создание факультета компьютерных наук;  поддержка разработки программы борьбы с утечкой умов из страны.</w:t>
      </w:r>
    </w:p>
    <w:p w:rsidR="00000000" w:rsidRDefault="00000000"/>
    <w:p w:rsidR="00000000" w:rsidRDefault="00000000">
      <w:pPr>
        <w:spacing w:line="240" w:lineRule="auto"/>
      </w:pPr>
    </w:p>
    <w:p w:rsidR="00000000" w:rsidRDefault="00000000">
      <w:pPr>
        <w:spacing w:line="240" w:lineRule="auto"/>
        <w:jc w:val="center"/>
        <w:rPr>
          <w:b/>
          <w:bCs/>
        </w:rPr>
      </w:pPr>
      <w:r>
        <w:rPr>
          <w:b/>
          <w:bCs/>
        </w:rPr>
        <w:t>Примечания</w:t>
      </w:r>
    </w:p>
    <w:p w:rsidR="00000000" w:rsidRDefault="00000000">
      <w:pPr>
        <w:spacing w:line="240" w:lineRule="auto"/>
        <w:jc w:val="center"/>
        <w:rPr>
          <w:b/>
          <w:bCs/>
        </w:rPr>
      </w:pPr>
    </w:p>
    <w:p w:rsidR="00000000" w:rsidRDefault="00000000">
      <w:pPr>
        <w:spacing w:line="240" w:lineRule="auto"/>
      </w:pPr>
      <w:r>
        <w:rPr>
          <w:b/>
          <w:bCs/>
          <w:vertAlign w:val="superscript"/>
        </w:rPr>
        <w:t>1</w:t>
      </w:r>
      <w:r>
        <w:tab/>
        <w:t xml:space="preserve">Для международных правовых документов, унаследованных от бывшей Союзной Республики Югославии, дата преемственности, согласно Конституционному закону об осуществлении Конституции Республики Македонии, является 17 ноября 1991 года.  </w:t>
      </w:r>
    </w:p>
    <w:p w:rsidR="00000000" w:rsidRDefault="00000000">
      <w:pPr>
        <w:spacing w:line="240" w:lineRule="auto"/>
      </w:pPr>
    </w:p>
    <w:p w:rsidR="00000000" w:rsidRDefault="00000000">
      <w:pPr>
        <w:spacing w:line="240" w:lineRule="auto"/>
      </w:pPr>
      <w:r>
        <w:rPr>
          <w:b/>
          <w:bCs/>
          <w:vertAlign w:val="superscript"/>
        </w:rPr>
        <w:t>2</w:t>
      </w:r>
      <w:r>
        <w:tab/>
        <w:t>Более подробно о выполнении этой статьи см. первоначальный, второй и третий периодический доклады бывшей югославской Республики Македонии по вопросу об осуществлении Конвенции о ликвидации всех форм дискриминации в отношении женщин (</w:t>
      </w:r>
      <w:proofErr w:type="spellStart"/>
      <w:r>
        <w:rPr>
          <w:lang w:val="en-US"/>
        </w:rPr>
        <w:t>CEDAW</w:t>
      </w:r>
      <w:proofErr w:type="spellEnd"/>
      <w:r>
        <w:t>/</w:t>
      </w:r>
      <w:r>
        <w:rPr>
          <w:lang w:val="en-US"/>
        </w:rPr>
        <w:t>C</w:t>
      </w:r>
      <w:r>
        <w:t>/</w:t>
      </w:r>
      <w:proofErr w:type="spellStart"/>
      <w:r>
        <w:rPr>
          <w:lang w:val="en-US"/>
        </w:rPr>
        <w:t>MCD</w:t>
      </w:r>
      <w:proofErr w:type="spellEnd"/>
      <w:r>
        <w:t>/1-3).</w:t>
      </w:r>
    </w:p>
    <w:p w:rsidR="00000000" w:rsidRDefault="00000000">
      <w:pPr>
        <w:spacing w:line="240" w:lineRule="auto"/>
      </w:pPr>
    </w:p>
    <w:p w:rsidR="00000000" w:rsidRDefault="00000000">
      <w:pPr>
        <w:spacing w:line="240" w:lineRule="auto"/>
      </w:pPr>
      <w:r>
        <w:rPr>
          <w:b/>
          <w:bCs/>
          <w:vertAlign w:val="superscript"/>
        </w:rPr>
        <w:t>3</w:t>
      </w:r>
      <w:r>
        <w:tab/>
        <w:t>В Конституции предусматривается ограничение следующих свобод и прав:  права на свободу (статья 12);  тайны переписки (пункт 1 статья 17);  свободы объединений (статья 20);  права мирных собраний (статья 21);  неприкосновенности жилища (статья 126);  права свободного передвижения по территории Республики Македонии и свободного выбора места жительства (статья 27);  права собственности (статья 30);  права учреждения профсоюза (статья 37) и права на забастовку (статья 38).</w:t>
      </w:r>
    </w:p>
    <w:p w:rsidR="00000000" w:rsidRDefault="00000000">
      <w:pPr>
        <w:spacing w:line="240" w:lineRule="auto"/>
      </w:pPr>
    </w:p>
    <w:p w:rsidR="00000000" w:rsidRDefault="00000000">
      <w:pPr>
        <w:spacing w:line="240" w:lineRule="auto"/>
      </w:pPr>
      <w:r>
        <w:rPr>
          <w:b/>
          <w:bCs/>
          <w:vertAlign w:val="superscript"/>
        </w:rPr>
        <w:t>4</w:t>
      </w:r>
      <w:r>
        <w:tab/>
        <w:t xml:space="preserve">Среднемесячная чистая заработная плата на одного работника в </w:t>
      </w:r>
      <w:r>
        <w:rPr>
          <w:lang w:val="en-US"/>
        </w:rPr>
        <w:t>I</w:t>
      </w:r>
      <w:r>
        <w:t>-</w:t>
      </w:r>
      <w:r>
        <w:rPr>
          <w:lang w:val="en-US"/>
        </w:rPr>
        <w:t>VI</w:t>
      </w:r>
      <w:r>
        <w:t>.2004 - 12 182,00 </w:t>
      </w:r>
      <w:proofErr w:type="spellStart"/>
      <w:r>
        <w:t>денара</w:t>
      </w:r>
      <w:proofErr w:type="spellEnd"/>
      <w:r>
        <w:t xml:space="preserve"> (источник:  бюллетень 4.1.4.64 от 26 августа 2004 года, Государственное статистическое управление, Скопье).</w:t>
      </w:r>
    </w:p>
    <w:p w:rsidR="00000000" w:rsidRDefault="00000000">
      <w:pPr>
        <w:spacing w:line="240" w:lineRule="auto"/>
      </w:pPr>
    </w:p>
    <w:p w:rsidR="00000000" w:rsidRDefault="00000000">
      <w:pPr>
        <w:spacing w:line="240" w:lineRule="auto"/>
      </w:pPr>
      <w:r>
        <w:rPr>
          <w:b/>
          <w:bCs/>
          <w:vertAlign w:val="superscript"/>
        </w:rPr>
        <w:t>5</w:t>
      </w:r>
      <w:r>
        <w:tab/>
        <w:t>Впервые расчет валового внутреннего продукта в соответствии с методологией системы национальных счетов (</w:t>
      </w:r>
      <w:proofErr w:type="spellStart"/>
      <w:r>
        <w:t>СНС</w:t>
      </w:r>
      <w:proofErr w:type="spellEnd"/>
      <w:r>
        <w:t>) производился в 1990</w:t>
      </w:r>
      <w:r>
        <w:noBreakHyphen/>
        <w:t>1993 годах, при этом был опубликован баланс доходов и расходов населения.</w:t>
      </w:r>
    </w:p>
    <w:p w:rsidR="00000000" w:rsidRDefault="00000000">
      <w:pPr>
        <w:spacing w:line="240" w:lineRule="auto"/>
      </w:pPr>
    </w:p>
    <w:p w:rsidR="00000000" w:rsidRDefault="00000000">
      <w:pPr>
        <w:spacing w:line="240" w:lineRule="auto"/>
      </w:pPr>
      <w:r>
        <w:rPr>
          <w:b/>
          <w:bCs/>
          <w:vertAlign w:val="superscript"/>
        </w:rPr>
        <w:t>6</w:t>
      </w:r>
      <w:r>
        <w:tab/>
        <w:t>Пересчитано с использованием методики обменного курса, скорректированного на уровень цен.  Методология Организации Объединенных Наций.</w:t>
      </w:r>
    </w:p>
    <w:p w:rsidR="00000000" w:rsidRDefault="00000000">
      <w:pPr>
        <w:spacing w:line="240" w:lineRule="auto"/>
      </w:pPr>
    </w:p>
    <w:p w:rsidR="00000000" w:rsidRDefault="00000000">
      <w:pPr>
        <w:spacing w:line="240" w:lineRule="auto"/>
      </w:pPr>
      <w:r>
        <w:rPr>
          <w:b/>
          <w:bCs/>
          <w:vertAlign w:val="superscript"/>
        </w:rPr>
        <w:t>7</w:t>
      </w:r>
      <w:r>
        <w:tab/>
      </w:r>
      <w:proofErr w:type="spellStart"/>
      <w:r>
        <w:rPr>
          <w:rStyle w:val="EndnoteReference"/>
          <w:b w:val="0"/>
          <w:vertAlign w:val="baseline"/>
        </w:rPr>
        <w:t>Macedonia</w:t>
      </w:r>
      <w:proofErr w:type="spellEnd"/>
      <w:r>
        <w:rPr>
          <w:rStyle w:val="EndnoteReference"/>
          <w:b w:val="0"/>
          <w:vertAlign w:val="baseline"/>
        </w:rPr>
        <w:t xml:space="preserve"> </w:t>
      </w:r>
      <w:proofErr w:type="spellStart"/>
      <w:r>
        <w:rPr>
          <w:rStyle w:val="EndnoteReference"/>
          <w:b w:val="0"/>
          <w:vertAlign w:val="baseline"/>
        </w:rPr>
        <w:t>in</w:t>
      </w:r>
      <w:proofErr w:type="spellEnd"/>
      <w:r>
        <w:rPr>
          <w:rStyle w:val="EndnoteReference"/>
          <w:b w:val="0"/>
          <w:vertAlign w:val="baseline"/>
        </w:rPr>
        <w:t xml:space="preserve"> </w:t>
      </w:r>
      <w:proofErr w:type="spellStart"/>
      <w:r>
        <w:rPr>
          <w:rStyle w:val="EndnoteReference"/>
          <w:b w:val="0"/>
          <w:vertAlign w:val="baseline"/>
        </w:rPr>
        <w:t>numbers</w:t>
      </w:r>
      <w:proofErr w:type="spellEnd"/>
      <w:r>
        <w:rPr>
          <w:rStyle w:val="EndnoteReference"/>
          <w:b w:val="0"/>
          <w:vertAlign w:val="baseline"/>
        </w:rPr>
        <w:t xml:space="preserve">, 1998, </w:t>
      </w:r>
      <w:proofErr w:type="spellStart"/>
      <w:r>
        <w:rPr>
          <w:rStyle w:val="EndnoteReference"/>
          <w:b w:val="0"/>
          <w:vertAlign w:val="baseline"/>
        </w:rPr>
        <w:t>Skopje</w:t>
      </w:r>
      <w:proofErr w:type="spellEnd"/>
      <w:r>
        <w:t>,</w:t>
      </w:r>
      <w:r>
        <w:rPr>
          <w:rStyle w:val="EndnoteReference"/>
          <w:b w:val="0"/>
          <w:vertAlign w:val="baseline"/>
        </w:rPr>
        <w:t xml:space="preserve"> </w:t>
      </w:r>
      <w:proofErr w:type="spellStart"/>
      <w:r>
        <w:rPr>
          <w:rStyle w:val="EndnoteReference"/>
          <w:b w:val="0"/>
          <w:vertAlign w:val="baseline"/>
        </w:rPr>
        <w:t>June</w:t>
      </w:r>
      <w:proofErr w:type="spellEnd"/>
      <w:r>
        <w:rPr>
          <w:rStyle w:val="EndnoteReference"/>
          <w:b w:val="0"/>
          <w:vertAlign w:val="baseline"/>
        </w:rPr>
        <w:t xml:space="preserve"> 1998, </w:t>
      </w:r>
      <w:proofErr w:type="spellStart"/>
      <w:r>
        <w:rPr>
          <w:rStyle w:val="EndnoteReference"/>
          <w:b w:val="0"/>
          <w:vertAlign w:val="baseline"/>
        </w:rPr>
        <w:t>Statistical</w:t>
      </w:r>
      <w:proofErr w:type="spellEnd"/>
      <w:r>
        <w:rPr>
          <w:rStyle w:val="EndnoteReference"/>
          <w:b w:val="0"/>
          <w:vertAlign w:val="baseline"/>
        </w:rPr>
        <w:t xml:space="preserve"> </w:t>
      </w:r>
      <w:proofErr w:type="spellStart"/>
      <w:r>
        <w:rPr>
          <w:rStyle w:val="EndnoteReference"/>
          <w:b w:val="0"/>
          <w:vertAlign w:val="baseline"/>
        </w:rPr>
        <w:t>Office</w:t>
      </w:r>
      <w:proofErr w:type="spellEnd"/>
      <w:r>
        <w:rPr>
          <w:rStyle w:val="EndnoteReference"/>
          <w:b w:val="0"/>
          <w:vertAlign w:val="baseline"/>
        </w:rPr>
        <w:t xml:space="preserve"> </w:t>
      </w:r>
      <w:proofErr w:type="spellStart"/>
      <w:r>
        <w:rPr>
          <w:rStyle w:val="EndnoteReference"/>
          <w:b w:val="0"/>
          <w:vertAlign w:val="baseline"/>
        </w:rPr>
        <w:t>of</w:t>
      </w:r>
      <w:proofErr w:type="spellEnd"/>
      <w:r>
        <w:rPr>
          <w:rStyle w:val="EndnoteReference"/>
          <w:b w:val="0"/>
          <w:vertAlign w:val="baseline"/>
        </w:rPr>
        <w:t xml:space="preserve"> </w:t>
      </w:r>
      <w:proofErr w:type="spellStart"/>
      <w:r>
        <w:rPr>
          <w:rStyle w:val="EndnoteReference"/>
          <w:b w:val="0"/>
          <w:vertAlign w:val="baseline"/>
        </w:rPr>
        <w:t>The</w:t>
      </w:r>
      <w:proofErr w:type="spellEnd"/>
      <w:r>
        <w:rPr>
          <w:rStyle w:val="EndnoteReference"/>
          <w:b w:val="0"/>
          <w:vertAlign w:val="baseline"/>
        </w:rPr>
        <w:t xml:space="preserve"> </w:t>
      </w:r>
      <w:proofErr w:type="spellStart"/>
      <w:r>
        <w:rPr>
          <w:rStyle w:val="EndnoteReference"/>
          <w:b w:val="0"/>
          <w:vertAlign w:val="baseline"/>
        </w:rPr>
        <w:t>former</w:t>
      </w:r>
      <w:proofErr w:type="spellEnd"/>
      <w:r>
        <w:rPr>
          <w:rStyle w:val="EndnoteReference"/>
          <w:b w:val="0"/>
          <w:vertAlign w:val="baseline"/>
        </w:rPr>
        <w:t xml:space="preserve"> </w:t>
      </w:r>
      <w:proofErr w:type="spellStart"/>
      <w:r>
        <w:rPr>
          <w:rStyle w:val="EndnoteReference"/>
          <w:b w:val="0"/>
          <w:vertAlign w:val="baseline"/>
        </w:rPr>
        <w:t>Yugoslav</w:t>
      </w:r>
      <w:proofErr w:type="spellEnd"/>
      <w:r>
        <w:rPr>
          <w:rStyle w:val="EndnoteReference"/>
          <w:b w:val="0"/>
          <w:vertAlign w:val="baseline"/>
        </w:rPr>
        <w:t xml:space="preserve"> </w:t>
      </w:r>
      <w:proofErr w:type="spellStart"/>
      <w:r>
        <w:rPr>
          <w:rStyle w:val="EndnoteReference"/>
          <w:b w:val="0"/>
          <w:vertAlign w:val="baseline"/>
        </w:rPr>
        <w:t>Republic</w:t>
      </w:r>
      <w:proofErr w:type="spellEnd"/>
      <w:r>
        <w:rPr>
          <w:rStyle w:val="EndnoteReference"/>
          <w:b w:val="0"/>
          <w:vertAlign w:val="baseline"/>
        </w:rPr>
        <w:t xml:space="preserve"> </w:t>
      </w:r>
      <w:proofErr w:type="spellStart"/>
      <w:r>
        <w:rPr>
          <w:rStyle w:val="EndnoteReference"/>
          <w:b w:val="0"/>
          <w:vertAlign w:val="baseline"/>
        </w:rPr>
        <w:t>of</w:t>
      </w:r>
      <w:proofErr w:type="spellEnd"/>
      <w:r>
        <w:rPr>
          <w:rStyle w:val="EndnoteReference"/>
          <w:b w:val="0"/>
          <w:vertAlign w:val="baseline"/>
        </w:rPr>
        <w:t xml:space="preserve"> </w:t>
      </w:r>
      <w:proofErr w:type="spellStart"/>
      <w:r>
        <w:rPr>
          <w:rStyle w:val="EndnoteReference"/>
          <w:b w:val="0"/>
          <w:vertAlign w:val="baseline"/>
        </w:rPr>
        <w:t>Macedonia</w:t>
      </w:r>
      <w:proofErr w:type="spellEnd"/>
      <w:r>
        <w:rPr>
          <w:rStyle w:val="EndnoteReference"/>
          <w:b w:val="0"/>
          <w:vertAlign w:val="baseline"/>
        </w:rPr>
        <w:t>.</w:t>
      </w:r>
    </w:p>
    <w:p w:rsidR="00000000" w:rsidRDefault="00000000">
      <w:pPr>
        <w:spacing w:line="240" w:lineRule="auto"/>
      </w:pPr>
    </w:p>
    <w:p w:rsidR="00000000" w:rsidRDefault="00000000">
      <w:pPr>
        <w:spacing w:line="240" w:lineRule="auto"/>
      </w:pPr>
      <w:r>
        <w:rPr>
          <w:b/>
          <w:bCs/>
          <w:vertAlign w:val="superscript"/>
        </w:rPr>
        <w:t>8</w:t>
      </w:r>
      <w:r>
        <w:tab/>
      </w:r>
      <w:proofErr w:type="spellStart"/>
      <w:r>
        <w:rPr>
          <w:rStyle w:val="EndnoteReference"/>
          <w:b w:val="0"/>
          <w:vertAlign w:val="baseline"/>
        </w:rPr>
        <w:t>Macedonia</w:t>
      </w:r>
      <w:proofErr w:type="spellEnd"/>
      <w:r>
        <w:rPr>
          <w:rStyle w:val="EndnoteReference"/>
          <w:b w:val="0"/>
          <w:vertAlign w:val="baseline"/>
        </w:rPr>
        <w:t xml:space="preserve"> </w:t>
      </w:r>
      <w:proofErr w:type="spellStart"/>
      <w:r>
        <w:rPr>
          <w:rStyle w:val="EndnoteReference"/>
          <w:b w:val="0"/>
          <w:vertAlign w:val="baseline"/>
        </w:rPr>
        <w:t>in</w:t>
      </w:r>
      <w:proofErr w:type="spellEnd"/>
      <w:r>
        <w:rPr>
          <w:rStyle w:val="EndnoteReference"/>
          <w:b w:val="0"/>
          <w:vertAlign w:val="baseline"/>
        </w:rPr>
        <w:t xml:space="preserve"> </w:t>
      </w:r>
      <w:proofErr w:type="spellStart"/>
      <w:r>
        <w:rPr>
          <w:rStyle w:val="EndnoteReference"/>
          <w:b w:val="0"/>
          <w:vertAlign w:val="baseline"/>
        </w:rPr>
        <w:t>numbers</w:t>
      </w:r>
      <w:proofErr w:type="spellEnd"/>
      <w:r>
        <w:rPr>
          <w:rStyle w:val="EndnoteReference"/>
          <w:b w:val="0"/>
          <w:vertAlign w:val="baseline"/>
        </w:rPr>
        <w:t xml:space="preserve">, 1998, </w:t>
      </w:r>
      <w:proofErr w:type="spellStart"/>
      <w:r>
        <w:rPr>
          <w:rStyle w:val="EndnoteReference"/>
          <w:b w:val="0"/>
          <w:vertAlign w:val="baseline"/>
        </w:rPr>
        <w:t>Skopje</w:t>
      </w:r>
      <w:proofErr w:type="spellEnd"/>
      <w:r>
        <w:t>,</w:t>
      </w:r>
      <w:r>
        <w:rPr>
          <w:rStyle w:val="EndnoteReference"/>
          <w:b w:val="0"/>
          <w:vertAlign w:val="baseline"/>
        </w:rPr>
        <w:t xml:space="preserve"> </w:t>
      </w:r>
      <w:proofErr w:type="spellStart"/>
      <w:r>
        <w:rPr>
          <w:rStyle w:val="EndnoteReference"/>
          <w:b w:val="0"/>
          <w:vertAlign w:val="baseline"/>
        </w:rPr>
        <w:t>June</w:t>
      </w:r>
      <w:proofErr w:type="spellEnd"/>
      <w:r>
        <w:rPr>
          <w:rStyle w:val="EndnoteReference"/>
          <w:b w:val="0"/>
          <w:vertAlign w:val="baseline"/>
        </w:rPr>
        <w:t xml:space="preserve"> 1998, </w:t>
      </w:r>
      <w:proofErr w:type="spellStart"/>
      <w:r>
        <w:rPr>
          <w:rStyle w:val="EndnoteReference"/>
          <w:b w:val="0"/>
          <w:vertAlign w:val="baseline"/>
        </w:rPr>
        <w:t>Statistical</w:t>
      </w:r>
      <w:proofErr w:type="spellEnd"/>
      <w:r>
        <w:rPr>
          <w:rStyle w:val="EndnoteReference"/>
          <w:b w:val="0"/>
          <w:vertAlign w:val="baseline"/>
        </w:rPr>
        <w:t xml:space="preserve"> </w:t>
      </w:r>
      <w:proofErr w:type="spellStart"/>
      <w:r>
        <w:rPr>
          <w:rStyle w:val="EndnoteReference"/>
          <w:b w:val="0"/>
          <w:vertAlign w:val="baseline"/>
        </w:rPr>
        <w:t>Office</w:t>
      </w:r>
      <w:proofErr w:type="spellEnd"/>
      <w:r>
        <w:rPr>
          <w:rStyle w:val="EndnoteReference"/>
          <w:b w:val="0"/>
          <w:vertAlign w:val="baseline"/>
        </w:rPr>
        <w:t xml:space="preserve"> </w:t>
      </w:r>
      <w:proofErr w:type="spellStart"/>
      <w:r>
        <w:rPr>
          <w:rStyle w:val="EndnoteReference"/>
          <w:b w:val="0"/>
          <w:vertAlign w:val="baseline"/>
        </w:rPr>
        <w:t>of</w:t>
      </w:r>
      <w:proofErr w:type="spellEnd"/>
      <w:r>
        <w:rPr>
          <w:rStyle w:val="EndnoteReference"/>
          <w:b w:val="0"/>
          <w:vertAlign w:val="baseline"/>
        </w:rPr>
        <w:t xml:space="preserve"> </w:t>
      </w:r>
      <w:proofErr w:type="spellStart"/>
      <w:r>
        <w:rPr>
          <w:rStyle w:val="EndnoteReference"/>
          <w:b w:val="0"/>
          <w:vertAlign w:val="baseline"/>
        </w:rPr>
        <w:t>The</w:t>
      </w:r>
      <w:proofErr w:type="spellEnd"/>
      <w:r>
        <w:rPr>
          <w:rStyle w:val="EndnoteReference"/>
          <w:b w:val="0"/>
          <w:vertAlign w:val="baseline"/>
        </w:rPr>
        <w:t xml:space="preserve"> </w:t>
      </w:r>
      <w:proofErr w:type="spellStart"/>
      <w:r>
        <w:rPr>
          <w:rStyle w:val="EndnoteReference"/>
          <w:b w:val="0"/>
          <w:vertAlign w:val="baseline"/>
        </w:rPr>
        <w:t>former</w:t>
      </w:r>
      <w:proofErr w:type="spellEnd"/>
      <w:r>
        <w:rPr>
          <w:rStyle w:val="EndnoteReference"/>
          <w:b w:val="0"/>
          <w:vertAlign w:val="baseline"/>
        </w:rPr>
        <w:t xml:space="preserve"> </w:t>
      </w:r>
      <w:proofErr w:type="spellStart"/>
      <w:r>
        <w:rPr>
          <w:rStyle w:val="EndnoteReference"/>
          <w:b w:val="0"/>
          <w:vertAlign w:val="baseline"/>
        </w:rPr>
        <w:t>Yugoslav</w:t>
      </w:r>
      <w:proofErr w:type="spellEnd"/>
      <w:r>
        <w:rPr>
          <w:rStyle w:val="EndnoteReference"/>
          <w:b w:val="0"/>
          <w:vertAlign w:val="baseline"/>
        </w:rPr>
        <w:t xml:space="preserve"> </w:t>
      </w:r>
      <w:proofErr w:type="spellStart"/>
      <w:r>
        <w:rPr>
          <w:rStyle w:val="EndnoteReference"/>
          <w:b w:val="0"/>
          <w:vertAlign w:val="baseline"/>
        </w:rPr>
        <w:t>Republic</w:t>
      </w:r>
      <w:proofErr w:type="spellEnd"/>
      <w:r>
        <w:rPr>
          <w:rStyle w:val="EndnoteReference"/>
          <w:b w:val="0"/>
          <w:vertAlign w:val="baseline"/>
        </w:rPr>
        <w:t xml:space="preserve"> </w:t>
      </w:r>
      <w:proofErr w:type="spellStart"/>
      <w:r>
        <w:rPr>
          <w:rStyle w:val="EndnoteReference"/>
          <w:b w:val="0"/>
          <w:vertAlign w:val="baseline"/>
        </w:rPr>
        <w:t>of</w:t>
      </w:r>
      <w:proofErr w:type="spellEnd"/>
      <w:r>
        <w:rPr>
          <w:rStyle w:val="EndnoteReference"/>
          <w:b w:val="0"/>
          <w:vertAlign w:val="baseline"/>
        </w:rPr>
        <w:t xml:space="preserve"> </w:t>
      </w:r>
      <w:proofErr w:type="spellStart"/>
      <w:r>
        <w:rPr>
          <w:rStyle w:val="EndnoteReference"/>
          <w:b w:val="0"/>
          <w:vertAlign w:val="baseline"/>
        </w:rPr>
        <w:t>Macedonia</w:t>
      </w:r>
      <w:proofErr w:type="spellEnd"/>
      <w:r>
        <w:rPr>
          <w:rStyle w:val="EndnoteReference"/>
          <w:b w:val="0"/>
          <w:vertAlign w:val="baseline"/>
        </w:rPr>
        <w:t>.</w:t>
      </w:r>
    </w:p>
    <w:p w:rsidR="00000000" w:rsidRDefault="00000000">
      <w:pPr>
        <w:spacing w:line="240" w:lineRule="auto"/>
      </w:pPr>
    </w:p>
    <w:p w:rsidR="00000000" w:rsidRDefault="00000000">
      <w:pPr>
        <w:spacing w:line="240" w:lineRule="auto"/>
      </w:pPr>
      <w:r>
        <w:rPr>
          <w:b/>
          <w:bCs/>
          <w:vertAlign w:val="superscript"/>
          <w:lang w:val="en-US"/>
        </w:rPr>
        <w:t>9</w:t>
      </w:r>
      <w:r>
        <w:rPr>
          <w:lang w:val="en-US"/>
        </w:rPr>
        <w:tab/>
        <w:t xml:space="preserve">Macedonia in numbers 1998, </w:t>
      </w:r>
      <w:proofErr w:type="spellStart"/>
      <w:r>
        <w:rPr>
          <w:lang w:val="en-US"/>
        </w:rPr>
        <w:t>Skopje</w:t>
      </w:r>
      <w:proofErr w:type="spellEnd"/>
      <w:r>
        <w:rPr>
          <w:lang w:val="en-US"/>
        </w:rPr>
        <w:t>, June 1998, State Statistical Office of The former Yugoslav Republic of Macedonia.</w:t>
      </w:r>
    </w:p>
    <w:p w:rsidR="00000000" w:rsidRDefault="00000000">
      <w:pPr>
        <w:spacing w:line="240" w:lineRule="auto"/>
      </w:pPr>
    </w:p>
    <w:p w:rsidR="00000000" w:rsidRDefault="00000000">
      <w:pPr>
        <w:spacing w:line="240" w:lineRule="auto"/>
        <w:rPr>
          <w:lang w:val="en-US"/>
        </w:rPr>
      </w:pPr>
      <w:r>
        <w:rPr>
          <w:b/>
          <w:bCs/>
          <w:vertAlign w:val="superscript"/>
          <w:lang w:val="en-US"/>
        </w:rPr>
        <w:t>10</w:t>
      </w:r>
      <w:r>
        <w:rPr>
          <w:lang w:val="en-US"/>
        </w:rPr>
        <w:tab/>
      </w:r>
      <w:r>
        <w:t>Источник</w:t>
      </w:r>
      <w:r>
        <w:rPr>
          <w:lang w:val="en-US"/>
        </w:rPr>
        <w:t xml:space="preserve">:  State Statistical Office, "Population Census:  households and dwellings in The former Yugoslav Republic of Macedonia, 2002", </w:t>
      </w:r>
      <w:r>
        <w:t>окончательные</w:t>
      </w:r>
      <w:r>
        <w:rPr>
          <w:lang w:val="en-US"/>
        </w:rPr>
        <w:t xml:space="preserve"> </w:t>
      </w:r>
      <w:r>
        <w:t>данные</w:t>
      </w:r>
      <w:r>
        <w:rPr>
          <w:lang w:val="en-US"/>
        </w:rPr>
        <w:t xml:space="preserve">, </w:t>
      </w:r>
      <w:r>
        <w:t>пресс</w:t>
      </w:r>
      <w:r>
        <w:rPr>
          <w:lang w:val="en-US"/>
        </w:rPr>
        <w:noBreakHyphen/>
      </w:r>
      <w:r>
        <w:t>бюллетень</w:t>
      </w:r>
      <w:r>
        <w:rPr>
          <w:lang w:val="en-US"/>
        </w:rPr>
        <w:t>.</w:t>
      </w:r>
    </w:p>
    <w:p w:rsidR="00000000" w:rsidRDefault="00000000">
      <w:pPr>
        <w:spacing w:line="240" w:lineRule="auto"/>
      </w:pPr>
    </w:p>
    <w:p w:rsidR="00000000" w:rsidRDefault="00000000">
      <w:pPr>
        <w:spacing w:line="240" w:lineRule="auto"/>
        <w:rPr>
          <w:lang w:val="en-US"/>
        </w:rPr>
      </w:pPr>
      <w:r>
        <w:rPr>
          <w:b/>
          <w:bCs/>
          <w:vertAlign w:val="superscript"/>
          <w:lang w:val="en-US"/>
        </w:rPr>
        <w:t>11</w:t>
      </w:r>
      <w:r>
        <w:rPr>
          <w:lang w:val="en-US"/>
        </w:rPr>
        <w:tab/>
      </w:r>
      <w:r>
        <w:t>Пресс</w:t>
      </w:r>
      <w:r>
        <w:rPr>
          <w:lang w:val="en-US"/>
        </w:rPr>
        <w:noBreakHyphen/>
      </w:r>
      <w:r>
        <w:t>бюллетень</w:t>
      </w:r>
      <w:r>
        <w:rPr>
          <w:lang w:val="en-US"/>
        </w:rPr>
        <w:t xml:space="preserve">:  Poverty in The former Yugoslav Republic of Macedonia from 2000 to 2002, </w:t>
      </w:r>
      <w:proofErr w:type="spellStart"/>
      <w:r>
        <w:rPr>
          <w:lang w:val="en-US"/>
        </w:rPr>
        <w:t>Skopje</w:t>
      </w:r>
      <w:proofErr w:type="spellEnd"/>
      <w:r>
        <w:rPr>
          <w:lang w:val="en-US"/>
        </w:rPr>
        <w:t>, 2003.</w:t>
      </w:r>
    </w:p>
    <w:p w:rsidR="00000000" w:rsidRDefault="00000000">
      <w:pPr>
        <w:spacing w:line="240" w:lineRule="auto"/>
      </w:pPr>
    </w:p>
    <w:p w:rsidR="00000000" w:rsidRDefault="00000000">
      <w:pPr>
        <w:spacing w:line="240" w:lineRule="auto"/>
      </w:pPr>
      <w:r>
        <w:rPr>
          <w:b/>
          <w:bCs/>
          <w:vertAlign w:val="superscript"/>
        </w:rPr>
        <w:t>12</w:t>
      </w:r>
      <w:r>
        <w:tab/>
        <w:t>Определение:  понятие "нищета" относится к населению (домашним хозяйствам/отдельным лицам), живущему ниже черты бедности.</w:t>
      </w:r>
    </w:p>
    <w:p w:rsidR="00000000" w:rsidRDefault="00000000">
      <w:pPr>
        <w:spacing w:line="240" w:lineRule="auto"/>
      </w:pPr>
    </w:p>
    <w:p w:rsidR="00000000" w:rsidRDefault="00000000">
      <w:pPr>
        <w:spacing w:line="240" w:lineRule="auto"/>
      </w:pPr>
      <w:r>
        <w:rPr>
          <w:b/>
          <w:bCs/>
          <w:vertAlign w:val="superscript"/>
        </w:rPr>
        <w:t>13</w:t>
      </w:r>
      <w:r>
        <w:tab/>
        <w:t xml:space="preserve">Доклад </w:t>
      </w:r>
      <w:proofErr w:type="spellStart"/>
      <w:r>
        <w:t>ЮНИСЕФ</w:t>
      </w:r>
      <w:proofErr w:type="spellEnd"/>
      <w:r>
        <w:t xml:space="preserve"> "О положении детей в мире", 1994 год.</w:t>
      </w:r>
    </w:p>
    <w:p w:rsidR="00000000" w:rsidRDefault="00000000">
      <w:pPr>
        <w:spacing w:line="240" w:lineRule="auto"/>
      </w:pPr>
    </w:p>
    <w:p w:rsidR="00000000" w:rsidRDefault="00000000">
      <w:pPr>
        <w:spacing w:line="240" w:lineRule="auto"/>
      </w:pPr>
      <w:r>
        <w:rPr>
          <w:b/>
          <w:bCs/>
          <w:vertAlign w:val="superscript"/>
          <w:lang w:val="en-US"/>
        </w:rPr>
        <w:t>14</w:t>
      </w:r>
      <w:r>
        <w:rPr>
          <w:lang w:val="en-US"/>
        </w:rPr>
        <w:tab/>
        <w:t xml:space="preserve">Proceedings of the Demographic and Health Survey, World Conference, vol. 2, </w:t>
      </w:r>
      <w:proofErr w:type="spellStart"/>
      <w:r>
        <w:rPr>
          <w:lang w:val="en-US"/>
        </w:rPr>
        <w:t>IRD</w:t>
      </w:r>
      <w:proofErr w:type="spellEnd"/>
      <w:r>
        <w:rPr>
          <w:lang w:val="en-US"/>
        </w:rPr>
        <w:t>, 1991.</w:t>
      </w:r>
    </w:p>
    <w:p w:rsidR="00000000" w:rsidRDefault="00000000">
      <w:pPr>
        <w:spacing w:line="240" w:lineRule="auto"/>
      </w:pPr>
    </w:p>
    <w:p w:rsidR="00000000" w:rsidRDefault="00000000">
      <w:pPr>
        <w:spacing w:line="240" w:lineRule="auto"/>
      </w:pPr>
      <w:r>
        <w:rPr>
          <w:b/>
          <w:bCs/>
          <w:vertAlign w:val="superscript"/>
          <w:lang w:val="en-US"/>
        </w:rPr>
        <w:t>15</w:t>
      </w:r>
      <w:r>
        <w:rPr>
          <w:lang w:val="en-US"/>
        </w:rPr>
        <w:tab/>
        <w:t>Coverage of maternal care:  a listing of available information, Fourth Edition, WHO, Geneva 1997.  WHO Mother-Baby Package:  Implementing Safe Motherhood in Countries, WHO Geneva, 1994.</w:t>
      </w:r>
    </w:p>
    <w:p w:rsidR="00000000" w:rsidRDefault="00000000">
      <w:pPr>
        <w:spacing w:line="240" w:lineRule="auto"/>
      </w:pPr>
    </w:p>
    <w:p w:rsidR="00000000" w:rsidRDefault="00000000">
      <w:pPr>
        <w:spacing w:line="240" w:lineRule="auto"/>
        <w:rPr>
          <w:bCs/>
        </w:rPr>
      </w:pPr>
      <w:r>
        <w:rPr>
          <w:b/>
          <w:bCs/>
          <w:vertAlign w:val="superscript"/>
          <w:lang w:val="en-US"/>
        </w:rPr>
        <w:t>16</w:t>
      </w:r>
      <w:r>
        <w:rPr>
          <w:lang w:val="en-US"/>
        </w:rPr>
        <w:tab/>
      </w:r>
      <w:r>
        <w:rPr>
          <w:bCs/>
          <w:lang w:val="en-US"/>
        </w:rPr>
        <w:t>Safe Motherhood, UNICEF, 2000.</w:t>
      </w:r>
    </w:p>
    <w:p w:rsidR="00000000" w:rsidRDefault="00000000">
      <w:pPr>
        <w:spacing w:line="240" w:lineRule="auto"/>
        <w:rPr>
          <w:bCs/>
        </w:rPr>
      </w:pPr>
    </w:p>
    <w:p w:rsidR="00000000" w:rsidRDefault="00000000">
      <w:pPr>
        <w:spacing w:line="240" w:lineRule="auto"/>
      </w:pPr>
      <w:r>
        <w:rPr>
          <w:b/>
          <w:bCs/>
          <w:vertAlign w:val="superscript"/>
          <w:lang w:val="en-US"/>
        </w:rPr>
        <w:t>17</w:t>
      </w:r>
      <w:r>
        <w:rPr>
          <w:lang w:val="en-US"/>
        </w:rPr>
        <w:tab/>
      </w:r>
      <w:r>
        <w:rPr>
          <w:rStyle w:val="EndnoteReference"/>
          <w:b w:val="0"/>
          <w:vertAlign w:val="baseline"/>
          <w:lang w:val="en-US"/>
        </w:rPr>
        <w:t>Preventing maternal death, WHO, 1989, Geneva</w:t>
      </w:r>
      <w:r>
        <w:rPr>
          <w:lang w:val="en-US"/>
        </w:rPr>
        <w:t>.</w:t>
      </w:r>
    </w:p>
    <w:p w:rsidR="00000000" w:rsidRDefault="00000000">
      <w:pPr>
        <w:spacing w:line="240" w:lineRule="auto"/>
      </w:pPr>
    </w:p>
    <w:p w:rsidR="00000000" w:rsidRDefault="00000000">
      <w:pPr>
        <w:spacing w:line="240" w:lineRule="auto"/>
        <w:rPr>
          <w:bCs/>
        </w:rPr>
      </w:pPr>
      <w:r>
        <w:rPr>
          <w:b/>
          <w:bCs/>
          <w:vertAlign w:val="superscript"/>
          <w:lang w:val="en-US"/>
        </w:rPr>
        <w:t>18</w:t>
      </w:r>
      <w:r>
        <w:rPr>
          <w:lang w:val="en-US"/>
        </w:rPr>
        <w:tab/>
        <w:t>P</w:t>
      </w:r>
      <w:r>
        <w:rPr>
          <w:bCs/>
          <w:lang w:val="en-US"/>
        </w:rPr>
        <w:t>rogramming</w:t>
      </w:r>
      <w:r>
        <w:rPr>
          <w:b/>
          <w:lang w:val="en-US"/>
        </w:rPr>
        <w:t xml:space="preserve"> </w:t>
      </w:r>
      <w:r>
        <w:rPr>
          <w:bCs/>
          <w:lang w:val="en-US"/>
        </w:rPr>
        <w:t xml:space="preserve">for safe motherhood, Health section, </w:t>
      </w:r>
      <w:proofErr w:type="spellStart"/>
      <w:r>
        <w:rPr>
          <w:bCs/>
          <w:lang w:val="en-US"/>
        </w:rPr>
        <w:t>Programme</w:t>
      </w:r>
      <w:proofErr w:type="spellEnd"/>
      <w:r>
        <w:rPr>
          <w:bCs/>
          <w:lang w:val="en-US"/>
        </w:rPr>
        <w:t xml:space="preserve"> Davison, 1999, New York.</w:t>
      </w:r>
    </w:p>
    <w:p w:rsidR="00000000" w:rsidRDefault="00000000">
      <w:pPr>
        <w:spacing w:line="240" w:lineRule="auto"/>
        <w:rPr>
          <w:bCs/>
        </w:rPr>
      </w:pPr>
    </w:p>
    <w:p w:rsidR="00000000" w:rsidRDefault="00000000">
      <w:pPr>
        <w:spacing w:line="240" w:lineRule="auto"/>
      </w:pPr>
      <w:r>
        <w:rPr>
          <w:b/>
          <w:bCs/>
          <w:vertAlign w:val="superscript"/>
        </w:rPr>
        <w:t>19</w:t>
      </w:r>
      <w:r>
        <w:tab/>
        <w:t xml:space="preserve">Источник:  Статистический ежегодник, 2004 год.  </w:t>
      </w:r>
    </w:p>
    <w:p w:rsidR="00000000" w:rsidRDefault="00000000">
      <w:pPr>
        <w:spacing w:line="240" w:lineRule="auto"/>
      </w:pPr>
    </w:p>
    <w:p w:rsidR="00000000" w:rsidRDefault="00000000">
      <w:pPr>
        <w:spacing w:line="240" w:lineRule="auto"/>
      </w:pPr>
      <w:r>
        <w:rPr>
          <w:b/>
          <w:bCs/>
          <w:vertAlign w:val="superscript"/>
        </w:rPr>
        <w:t>20</w:t>
      </w:r>
      <w:r>
        <w:tab/>
        <w:t>Решение о внесении поправок в Конституцию Республики Македонии ("Официальный вестник" Республики Македонии № 91/01).</w:t>
      </w:r>
    </w:p>
    <w:p w:rsidR="00000000" w:rsidRDefault="00000000">
      <w:pPr>
        <w:spacing w:line="240" w:lineRule="auto"/>
      </w:pPr>
    </w:p>
    <w:p w:rsidR="00000000" w:rsidRDefault="00000000">
      <w:pPr>
        <w:spacing w:line="240" w:lineRule="auto"/>
      </w:pPr>
      <w:r>
        <w:rPr>
          <w:b/>
          <w:bCs/>
          <w:vertAlign w:val="superscript"/>
        </w:rPr>
        <w:t>21</w:t>
      </w:r>
      <w:r>
        <w:tab/>
        <w:t>В ходе своей сессии 16 июля 2003 года Собрание бывшей югославской Республики Македонии внесло поправки в Закон о культуре ("Официальный вестник" Республики Македонии № 43/03).</w:t>
      </w:r>
    </w:p>
    <w:p w:rsidR="00000000" w:rsidRDefault="00000000">
      <w:pPr>
        <w:spacing w:line="240" w:lineRule="auto"/>
      </w:pPr>
    </w:p>
    <w:p w:rsidR="00000000" w:rsidRDefault="00000000">
      <w:pPr>
        <w:spacing w:line="240" w:lineRule="auto"/>
      </w:pPr>
      <w:r>
        <w:rPr>
          <w:b/>
          <w:bCs/>
          <w:vertAlign w:val="superscript"/>
        </w:rPr>
        <w:t>22</w:t>
      </w:r>
      <w:r>
        <w:tab/>
        <w:t>Закон применяется с 1 января 2005 года.  Задержки с его применением объясняются необходимостью подготовки и принятия 18 постановлений для создания правовой основы деятельности по защите культурного наследия.</w:t>
      </w:r>
    </w:p>
    <w:p w:rsidR="00000000" w:rsidRDefault="00000000">
      <w:pPr>
        <w:spacing w:line="240" w:lineRule="auto"/>
      </w:pPr>
    </w:p>
    <w:p w:rsidR="00000000" w:rsidRDefault="00000000">
      <w:pPr>
        <w:spacing w:line="240" w:lineRule="auto"/>
      </w:pPr>
      <w:r>
        <w:rPr>
          <w:b/>
          <w:bCs/>
          <w:vertAlign w:val="superscript"/>
        </w:rPr>
        <w:t>23</w:t>
      </w:r>
      <w:r>
        <w:tab/>
        <w:t>Поскольку часть Доклада, посвященная статье 15 (культура), охватывает период до 1 января 2005 года, в ней говорится о режиме, действовавшем в тот период.</w:t>
      </w:r>
    </w:p>
    <w:p w:rsidR="00000000" w:rsidRDefault="00000000">
      <w:pPr>
        <w:spacing w:line="240" w:lineRule="auto"/>
      </w:pPr>
    </w:p>
    <w:p w:rsidR="00000000" w:rsidRDefault="00000000">
      <w:pPr>
        <w:spacing w:line="240" w:lineRule="auto"/>
      </w:pPr>
    </w:p>
    <w:p w:rsidR="00000000" w:rsidRDefault="00000000">
      <w:pPr>
        <w:spacing w:line="240" w:lineRule="auto"/>
        <w:jc w:val="center"/>
      </w:pPr>
      <w:r>
        <w:t>-----</w:t>
      </w:r>
    </w:p>
    <w:sectPr w:rsidR="00000000">
      <w:headerReference w:type="even" r:id="rId45"/>
      <w:headerReference w:type="default" r:id="rId46"/>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Macedonian Helv">
    <w:altName w:val="Arial"/>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t>*</w:t>
      </w:r>
      <w:r>
        <w:t xml:space="preserve"> </w:t>
      </w:r>
      <w:r>
        <w:tab/>
        <w:t>Информация, представленная бывшей югославской Республикой Македонией в соответствии с руководящими положениями, касающимися первоначальных докладов государств-участников, содержится в базовом документе (</w:t>
      </w:r>
      <w:r>
        <w:rPr>
          <w:lang w:val="en-US"/>
        </w:rPr>
        <w:t>HRI</w:t>
      </w:r>
      <w:r>
        <w:t>/</w:t>
      </w:r>
      <w:r>
        <w:rPr>
          <w:lang w:val="en-US"/>
        </w:rPr>
        <w:t>CORE</w:t>
      </w:r>
      <w:r>
        <w:t>/1/</w:t>
      </w:r>
      <w:r>
        <w:rPr>
          <w:lang w:val="en-US"/>
        </w:rPr>
        <w:t>Add</w:t>
      </w:r>
      <w:r>
        <w:t>.83).</w:t>
      </w:r>
    </w:p>
    <w:p w:rsidR="00000000" w:rsidRDefault="00000000">
      <w:pPr>
        <w:pStyle w:val="FootnoteText"/>
        <w:rPr>
          <w:lang w:val="en-US"/>
        </w:rPr>
      </w:pP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E/C.12/MKD/1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E/C.12/MKD/1</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left" w:pos="7371"/>
      </w:tabs>
      <w:spacing w:line="240" w:lineRule="auto"/>
      <w:rPr>
        <w:rStyle w:val="PageNumber"/>
        <w:lang w:val="en-US"/>
      </w:rPr>
    </w:pPr>
  </w:p>
  <w:p w:rsidR="00000000" w:rsidRDefault="00000000">
    <w:pPr>
      <w:pStyle w:val="Header"/>
      <w:tabs>
        <w:tab w:val="left" w:pos="7371"/>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D4404B5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F34997"/>
    <w:multiLevelType w:val="hybridMultilevel"/>
    <w:tmpl w:val="B7EA1E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03FF0378"/>
    <w:multiLevelType w:val="hybridMultilevel"/>
    <w:tmpl w:val="662AEA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3D4AF8"/>
    <w:multiLevelType w:val="hybridMultilevel"/>
    <w:tmpl w:val="3948E20E"/>
    <w:lvl w:ilvl="0" w:tplc="1FBAA68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4880E11"/>
    <w:multiLevelType w:val="hybridMultilevel"/>
    <w:tmpl w:val="C9DA48A8"/>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5A946DB"/>
    <w:multiLevelType w:val="hybridMultilevel"/>
    <w:tmpl w:val="027CAE4E"/>
    <w:lvl w:ilvl="0" w:tplc="B0F67F9E">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9AA6059"/>
    <w:multiLevelType w:val="hybridMultilevel"/>
    <w:tmpl w:val="1CDA411A"/>
    <w:lvl w:ilvl="0" w:tplc="5C186A9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A743B2C"/>
    <w:multiLevelType w:val="hybridMultilevel"/>
    <w:tmpl w:val="D294FBA2"/>
    <w:lvl w:ilvl="0" w:tplc="721C0570">
      <w:start w:val="1"/>
      <w:numFmt w:val="bullet"/>
      <w:lvlText w:val=""/>
      <w:lvlJc w:val="left"/>
      <w:pPr>
        <w:tabs>
          <w:tab w:val="num" w:pos="1080"/>
        </w:tabs>
        <w:ind w:left="1077" w:hanging="357"/>
      </w:pPr>
      <w:rPr>
        <w:rFonts w:ascii="Symbol" w:hAnsi="Symbol" w:hint="default"/>
      </w:rPr>
    </w:lvl>
    <w:lvl w:ilvl="1" w:tplc="29D09164">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AA75735"/>
    <w:multiLevelType w:val="hybridMultilevel"/>
    <w:tmpl w:val="990E5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B32309A"/>
    <w:multiLevelType w:val="hybridMultilevel"/>
    <w:tmpl w:val="725E19AA"/>
    <w:lvl w:ilvl="0" w:tplc="721C0570">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D5D4EED"/>
    <w:multiLevelType w:val="hybridMultilevel"/>
    <w:tmpl w:val="2578F3B4"/>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4">
    <w:nsid w:val="0E9517BC"/>
    <w:multiLevelType w:val="hybridMultilevel"/>
    <w:tmpl w:val="7338AB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F817564"/>
    <w:multiLevelType w:val="hybridMultilevel"/>
    <w:tmpl w:val="955C5B5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1F877D7"/>
    <w:multiLevelType w:val="hybridMultilevel"/>
    <w:tmpl w:val="7A6873CC"/>
    <w:lvl w:ilvl="0" w:tplc="516608B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8">
    <w:nsid w:val="1535438C"/>
    <w:multiLevelType w:val="hybridMultilevel"/>
    <w:tmpl w:val="0D2E0E82"/>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9">
    <w:nsid w:val="170C549E"/>
    <w:multiLevelType w:val="singleLevel"/>
    <w:tmpl w:val="01325DD6"/>
    <w:lvl w:ilvl="0">
      <w:start w:val="1"/>
      <w:numFmt w:val="lowerLetter"/>
      <w:lvlText w:val="(%1)"/>
      <w:lvlJc w:val="left"/>
      <w:pPr>
        <w:tabs>
          <w:tab w:val="num" w:pos="720"/>
        </w:tabs>
        <w:ind w:left="720" w:hanging="720"/>
      </w:pPr>
    </w:lvl>
  </w:abstractNum>
  <w:abstractNum w:abstractNumId="30">
    <w:nsid w:val="19BB4DDF"/>
    <w:multiLevelType w:val="hybridMultilevel"/>
    <w:tmpl w:val="4A2CDB7C"/>
    <w:lvl w:ilvl="0" w:tplc="04190001">
      <w:start w:val="1"/>
      <w:numFmt w:val="bullet"/>
      <w:lvlText w:val=""/>
      <w:lvlJc w:val="left"/>
      <w:pPr>
        <w:tabs>
          <w:tab w:val="num" w:pos="1158"/>
        </w:tabs>
        <w:ind w:left="1158" w:hanging="360"/>
      </w:pPr>
      <w:rPr>
        <w:rFonts w:ascii="Symbol" w:hAnsi="Symbol" w:hint="default"/>
      </w:rPr>
    </w:lvl>
    <w:lvl w:ilvl="1" w:tplc="04190003" w:tentative="1">
      <w:start w:val="1"/>
      <w:numFmt w:val="bullet"/>
      <w:lvlText w:val="o"/>
      <w:lvlJc w:val="left"/>
      <w:pPr>
        <w:tabs>
          <w:tab w:val="num" w:pos="1878"/>
        </w:tabs>
        <w:ind w:left="1878" w:hanging="360"/>
      </w:pPr>
      <w:rPr>
        <w:rFonts w:ascii="Courier New" w:hAnsi="Courier New" w:hint="default"/>
      </w:rPr>
    </w:lvl>
    <w:lvl w:ilvl="2" w:tplc="04190005" w:tentative="1">
      <w:start w:val="1"/>
      <w:numFmt w:val="bullet"/>
      <w:lvlText w:val=""/>
      <w:lvlJc w:val="left"/>
      <w:pPr>
        <w:tabs>
          <w:tab w:val="num" w:pos="2598"/>
        </w:tabs>
        <w:ind w:left="2598" w:hanging="360"/>
      </w:pPr>
      <w:rPr>
        <w:rFonts w:ascii="Wingdings" w:hAnsi="Wingdings" w:hint="default"/>
      </w:rPr>
    </w:lvl>
    <w:lvl w:ilvl="3" w:tplc="04190001" w:tentative="1">
      <w:start w:val="1"/>
      <w:numFmt w:val="bullet"/>
      <w:lvlText w:val=""/>
      <w:lvlJc w:val="left"/>
      <w:pPr>
        <w:tabs>
          <w:tab w:val="num" w:pos="3318"/>
        </w:tabs>
        <w:ind w:left="3318" w:hanging="360"/>
      </w:pPr>
      <w:rPr>
        <w:rFonts w:ascii="Symbol" w:hAnsi="Symbol" w:hint="default"/>
      </w:rPr>
    </w:lvl>
    <w:lvl w:ilvl="4" w:tplc="04190003" w:tentative="1">
      <w:start w:val="1"/>
      <w:numFmt w:val="bullet"/>
      <w:lvlText w:val="o"/>
      <w:lvlJc w:val="left"/>
      <w:pPr>
        <w:tabs>
          <w:tab w:val="num" w:pos="4038"/>
        </w:tabs>
        <w:ind w:left="4038" w:hanging="360"/>
      </w:pPr>
      <w:rPr>
        <w:rFonts w:ascii="Courier New" w:hAnsi="Courier New" w:hint="default"/>
      </w:rPr>
    </w:lvl>
    <w:lvl w:ilvl="5" w:tplc="04190005" w:tentative="1">
      <w:start w:val="1"/>
      <w:numFmt w:val="bullet"/>
      <w:lvlText w:val=""/>
      <w:lvlJc w:val="left"/>
      <w:pPr>
        <w:tabs>
          <w:tab w:val="num" w:pos="4758"/>
        </w:tabs>
        <w:ind w:left="4758" w:hanging="360"/>
      </w:pPr>
      <w:rPr>
        <w:rFonts w:ascii="Wingdings" w:hAnsi="Wingdings" w:hint="default"/>
      </w:rPr>
    </w:lvl>
    <w:lvl w:ilvl="6" w:tplc="04190001" w:tentative="1">
      <w:start w:val="1"/>
      <w:numFmt w:val="bullet"/>
      <w:lvlText w:val=""/>
      <w:lvlJc w:val="left"/>
      <w:pPr>
        <w:tabs>
          <w:tab w:val="num" w:pos="5478"/>
        </w:tabs>
        <w:ind w:left="5478" w:hanging="360"/>
      </w:pPr>
      <w:rPr>
        <w:rFonts w:ascii="Symbol" w:hAnsi="Symbol" w:hint="default"/>
      </w:rPr>
    </w:lvl>
    <w:lvl w:ilvl="7" w:tplc="04190003" w:tentative="1">
      <w:start w:val="1"/>
      <w:numFmt w:val="bullet"/>
      <w:lvlText w:val="o"/>
      <w:lvlJc w:val="left"/>
      <w:pPr>
        <w:tabs>
          <w:tab w:val="num" w:pos="6198"/>
        </w:tabs>
        <w:ind w:left="6198" w:hanging="360"/>
      </w:pPr>
      <w:rPr>
        <w:rFonts w:ascii="Courier New" w:hAnsi="Courier New" w:hint="default"/>
      </w:rPr>
    </w:lvl>
    <w:lvl w:ilvl="8" w:tplc="04190005" w:tentative="1">
      <w:start w:val="1"/>
      <w:numFmt w:val="bullet"/>
      <w:lvlText w:val=""/>
      <w:lvlJc w:val="left"/>
      <w:pPr>
        <w:tabs>
          <w:tab w:val="num" w:pos="6918"/>
        </w:tabs>
        <w:ind w:left="6918" w:hanging="360"/>
      </w:pPr>
      <w:rPr>
        <w:rFonts w:ascii="Wingdings" w:hAnsi="Wingdings" w:hint="default"/>
      </w:rPr>
    </w:lvl>
  </w:abstractNum>
  <w:abstractNum w:abstractNumId="31">
    <w:nsid w:val="1CF75F0E"/>
    <w:multiLevelType w:val="hybridMultilevel"/>
    <w:tmpl w:val="DEC4C4BC"/>
    <w:lvl w:ilvl="0" w:tplc="D71040C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D61532B"/>
    <w:multiLevelType w:val="hybridMultilevel"/>
    <w:tmpl w:val="D2AEFA9E"/>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0F57C2C"/>
    <w:multiLevelType w:val="hybridMultilevel"/>
    <w:tmpl w:val="E150674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21740FD8"/>
    <w:multiLevelType w:val="hybridMultilevel"/>
    <w:tmpl w:val="142ADF7E"/>
    <w:lvl w:ilvl="0" w:tplc="B0F67F9E">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24423B7D"/>
    <w:multiLevelType w:val="hybridMultilevel"/>
    <w:tmpl w:val="D5A81662"/>
    <w:lvl w:ilvl="0" w:tplc="B0F67F9E">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24B27784"/>
    <w:multiLevelType w:val="hybridMultilevel"/>
    <w:tmpl w:val="903025AA"/>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nsid w:val="25887EE3"/>
    <w:multiLevelType w:val="hybridMultilevel"/>
    <w:tmpl w:val="17A0BB12"/>
    <w:lvl w:ilvl="0" w:tplc="B2D29A2C">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nsid w:val="270C1ED8"/>
    <w:multiLevelType w:val="hybridMultilevel"/>
    <w:tmpl w:val="09A8B8B6"/>
    <w:lvl w:ilvl="0" w:tplc="AB1E15BA">
      <w:start w:val="1"/>
      <w:numFmt w:val="bullet"/>
      <w:lvlText w:val="–"/>
      <w:lvlJc w:val="left"/>
      <w:pPr>
        <w:tabs>
          <w:tab w:val="num" w:pos="1291"/>
        </w:tabs>
        <w:ind w:left="1291" w:hanging="360"/>
      </w:pPr>
      <w:rPr>
        <w:rFonts w:ascii="Times New Roman" w:hAnsi="Times New Roman" w:cs="Times New Roman" w:hint="default"/>
      </w:rPr>
    </w:lvl>
    <w:lvl w:ilvl="1" w:tplc="04190003" w:tentative="1">
      <w:start w:val="1"/>
      <w:numFmt w:val="bullet"/>
      <w:lvlText w:val="o"/>
      <w:lvlJc w:val="left"/>
      <w:pPr>
        <w:tabs>
          <w:tab w:val="num" w:pos="2011"/>
        </w:tabs>
        <w:ind w:left="2011" w:hanging="360"/>
      </w:pPr>
      <w:rPr>
        <w:rFonts w:ascii="Courier New" w:hAnsi="Courier New" w:hint="default"/>
      </w:rPr>
    </w:lvl>
    <w:lvl w:ilvl="2" w:tplc="04190005" w:tentative="1">
      <w:start w:val="1"/>
      <w:numFmt w:val="bullet"/>
      <w:lvlText w:val=""/>
      <w:lvlJc w:val="left"/>
      <w:pPr>
        <w:tabs>
          <w:tab w:val="num" w:pos="2731"/>
        </w:tabs>
        <w:ind w:left="2731" w:hanging="360"/>
      </w:pPr>
      <w:rPr>
        <w:rFonts w:ascii="Wingdings" w:hAnsi="Wingdings" w:hint="default"/>
      </w:rPr>
    </w:lvl>
    <w:lvl w:ilvl="3" w:tplc="04190001" w:tentative="1">
      <w:start w:val="1"/>
      <w:numFmt w:val="bullet"/>
      <w:lvlText w:val=""/>
      <w:lvlJc w:val="left"/>
      <w:pPr>
        <w:tabs>
          <w:tab w:val="num" w:pos="3451"/>
        </w:tabs>
        <w:ind w:left="3451" w:hanging="360"/>
      </w:pPr>
      <w:rPr>
        <w:rFonts w:ascii="Symbol" w:hAnsi="Symbol" w:hint="default"/>
      </w:rPr>
    </w:lvl>
    <w:lvl w:ilvl="4" w:tplc="04190003" w:tentative="1">
      <w:start w:val="1"/>
      <w:numFmt w:val="bullet"/>
      <w:lvlText w:val="o"/>
      <w:lvlJc w:val="left"/>
      <w:pPr>
        <w:tabs>
          <w:tab w:val="num" w:pos="4171"/>
        </w:tabs>
        <w:ind w:left="4171" w:hanging="360"/>
      </w:pPr>
      <w:rPr>
        <w:rFonts w:ascii="Courier New" w:hAnsi="Courier New" w:hint="default"/>
      </w:rPr>
    </w:lvl>
    <w:lvl w:ilvl="5" w:tplc="04190005" w:tentative="1">
      <w:start w:val="1"/>
      <w:numFmt w:val="bullet"/>
      <w:lvlText w:val=""/>
      <w:lvlJc w:val="left"/>
      <w:pPr>
        <w:tabs>
          <w:tab w:val="num" w:pos="4891"/>
        </w:tabs>
        <w:ind w:left="4891" w:hanging="360"/>
      </w:pPr>
      <w:rPr>
        <w:rFonts w:ascii="Wingdings" w:hAnsi="Wingdings" w:hint="default"/>
      </w:rPr>
    </w:lvl>
    <w:lvl w:ilvl="6" w:tplc="04190001" w:tentative="1">
      <w:start w:val="1"/>
      <w:numFmt w:val="bullet"/>
      <w:lvlText w:val=""/>
      <w:lvlJc w:val="left"/>
      <w:pPr>
        <w:tabs>
          <w:tab w:val="num" w:pos="5611"/>
        </w:tabs>
        <w:ind w:left="5611" w:hanging="360"/>
      </w:pPr>
      <w:rPr>
        <w:rFonts w:ascii="Symbol" w:hAnsi="Symbol" w:hint="default"/>
      </w:rPr>
    </w:lvl>
    <w:lvl w:ilvl="7" w:tplc="04190003" w:tentative="1">
      <w:start w:val="1"/>
      <w:numFmt w:val="bullet"/>
      <w:lvlText w:val="o"/>
      <w:lvlJc w:val="left"/>
      <w:pPr>
        <w:tabs>
          <w:tab w:val="num" w:pos="6331"/>
        </w:tabs>
        <w:ind w:left="6331" w:hanging="360"/>
      </w:pPr>
      <w:rPr>
        <w:rFonts w:ascii="Courier New" w:hAnsi="Courier New" w:hint="default"/>
      </w:rPr>
    </w:lvl>
    <w:lvl w:ilvl="8" w:tplc="04190005" w:tentative="1">
      <w:start w:val="1"/>
      <w:numFmt w:val="bullet"/>
      <w:lvlText w:val=""/>
      <w:lvlJc w:val="left"/>
      <w:pPr>
        <w:tabs>
          <w:tab w:val="num" w:pos="7051"/>
        </w:tabs>
        <w:ind w:left="7051" w:hanging="360"/>
      </w:pPr>
      <w:rPr>
        <w:rFonts w:ascii="Wingdings" w:hAnsi="Wingdings" w:hint="default"/>
      </w:rPr>
    </w:lvl>
  </w:abstractNum>
  <w:abstractNum w:abstractNumId="39">
    <w:nsid w:val="292354E3"/>
    <w:multiLevelType w:val="hybridMultilevel"/>
    <w:tmpl w:val="93D86118"/>
    <w:lvl w:ilvl="0" w:tplc="B0F67F9E">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29304C51"/>
    <w:multiLevelType w:val="hybridMultilevel"/>
    <w:tmpl w:val="03FC4648"/>
    <w:lvl w:ilvl="0" w:tplc="BADC1F56">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1">
    <w:nsid w:val="2A1B75EC"/>
    <w:multiLevelType w:val="hybridMultilevel"/>
    <w:tmpl w:val="3E2690F2"/>
    <w:lvl w:ilvl="0" w:tplc="721C0570">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B300B34"/>
    <w:multiLevelType w:val="hybridMultilevel"/>
    <w:tmpl w:val="E1B0B0BA"/>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3">
    <w:nsid w:val="2B3F49C6"/>
    <w:multiLevelType w:val="singleLevel"/>
    <w:tmpl w:val="E94C9216"/>
    <w:lvl w:ilvl="0">
      <w:start w:val="1"/>
      <w:numFmt w:val="lowerRoman"/>
      <w:lvlText w:val="(%1)"/>
      <w:lvlJc w:val="right"/>
      <w:pPr>
        <w:tabs>
          <w:tab w:val="num" w:pos="2160"/>
        </w:tabs>
        <w:ind w:left="2160" w:hanging="516"/>
      </w:pPr>
    </w:lvl>
  </w:abstractNum>
  <w:abstractNum w:abstractNumId="44">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45">
    <w:nsid w:val="302A75A7"/>
    <w:multiLevelType w:val="singleLevel"/>
    <w:tmpl w:val="3496DD40"/>
    <w:lvl w:ilvl="0">
      <w:start w:val="1"/>
      <w:numFmt w:val="decimal"/>
      <w:lvlText w:val="(%1)"/>
      <w:lvlJc w:val="left"/>
      <w:pPr>
        <w:tabs>
          <w:tab w:val="num" w:pos="1440"/>
        </w:tabs>
        <w:ind w:left="1440" w:hanging="720"/>
      </w:pPr>
    </w:lvl>
  </w:abstractNum>
  <w:abstractNum w:abstractNumId="46">
    <w:nsid w:val="31874A0D"/>
    <w:multiLevelType w:val="hybridMultilevel"/>
    <w:tmpl w:val="35BE1276"/>
    <w:lvl w:ilvl="0" w:tplc="516608B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34596BB4"/>
    <w:multiLevelType w:val="hybridMultilevel"/>
    <w:tmpl w:val="2E46A67C"/>
    <w:lvl w:ilvl="0" w:tplc="BADC1F56">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6255761"/>
    <w:multiLevelType w:val="singleLevel"/>
    <w:tmpl w:val="0409000F"/>
    <w:lvl w:ilvl="0">
      <w:start w:val="1"/>
      <w:numFmt w:val="decimal"/>
      <w:lvlText w:val="%1."/>
      <w:lvlJc w:val="left"/>
      <w:pPr>
        <w:tabs>
          <w:tab w:val="num" w:pos="360"/>
        </w:tabs>
        <w:ind w:left="360" w:hanging="360"/>
      </w:pPr>
    </w:lvl>
  </w:abstractNum>
  <w:abstractNum w:abstractNumId="49">
    <w:nsid w:val="384A3BD0"/>
    <w:multiLevelType w:val="hybridMultilevel"/>
    <w:tmpl w:val="BE64B5B0"/>
    <w:lvl w:ilvl="0" w:tplc="7F2E66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3BC53BF8"/>
    <w:multiLevelType w:val="hybridMultilevel"/>
    <w:tmpl w:val="909EA6F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C112485"/>
    <w:multiLevelType w:val="hybridMultilevel"/>
    <w:tmpl w:val="562A2202"/>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2">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53">
    <w:nsid w:val="3D3C6C08"/>
    <w:multiLevelType w:val="hybridMultilevel"/>
    <w:tmpl w:val="A0AEA684"/>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4">
    <w:nsid w:val="3D662C65"/>
    <w:multiLevelType w:val="hybridMultilevel"/>
    <w:tmpl w:val="BA52922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3E8B2C0B"/>
    <w:multiLevelType w:val="hybridMultilevel"/>
    <w:tmpl w:val="DCDA4C4C"/>
    <w:lvl w:ilvl="0" w:tplc="516608B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40221049"/>
    <w:multiLevelType w:val="singleLevel"/>
    <w:tmpl w:val="04D4B0C4"/>
    <w:lvl w:ilvl="0">
      <w:start w:val="1"/>
      <w:numFmt w:val="decimal"/>
      <w:lvlText w:val="%1."/>
      <w:lvlJc w:val="left"/>
      <w:pPr>
        <w:tabs>
          <w:tab w:val="num" w:pos="360"/>
        </w:tabs>
        <w:ind w:left="360" w:hanging="360"/>
      </w:pPr>
    </w:lvl>
  </w:abstractNum>
  <w:abstractNum w:abstractNumId="57">
    <w:nsid w:val="403B5210"/>
    <w:multiLevelType w:val="hybridMultilevel"/>
    <w:tmpl w:val="E2D23646"/>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8">
    <w:nsid w:val="415B764F"/>
    <w:multiLevelType w:val="hybridMultilevel"/>
    <w:tmpl w:val="10FCCFC0"/>
    <w:lvl w:ilvl="0" w:tplc="7F2E66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418136FA"/>
    <w:multiLevelType w:val="hybridMultilevel"/>
    <w:tmpl w:val="8C8A0A14"/>
    <w:lvl w:ilvl="0" w:tplc="3E1879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21F6FB9"/>
    <w:multiLevelType w:val="hybridMultilevel"/>
    <w:tmpl w:val="9E9E7B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2305E78"/>
    <w:multiLevelType w:val="hybridMultilevel"/>
    <w:tmpl w:val="E1C02C20"/>
    <w:lvl w:ilvl="0" w:tplc="2B00EA0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2E8031E"/>
    <w:multiLevelType w:val="hybridMultilevel"/>
    <w:tmpl w:val="ADFE66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52D144C"/>
    <w:multiLevelType w:val="singleLevel"/>
    <w:tmpl w:val="7C4C0A7C"/>
    <w:lvl w:ilvl="0">
      <w:start w:val="1"/>
      <w:numFmt w:val="decimal"/>
      <w:lvlText w:val="(%1)"/>
      <w:lvlJc w:val="left"/>
      <w:pPr>
        <w:tabs>
          <w:tab w:val="num" w:pos="720"/>
        </w:tabs>
        <w:ind w:left="720" w:hanging="720"/>
      </w:pPr>
    </w:lvl>
  </w:abstractNum>
  <w:abstractNum w:abstractNumId="6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5">
    <w:nsid w:val="48D9738F"/>
    <w:multiLevelType w:val="hybridMultilevel"/>
    <w:tmpl w:val="021E7C94"/>
    <w:lvl w:ilvl="0" w:tplc="516608B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498E1F66"/>
    <w:multiLevelType w:val="hybridMultilevel"/>
    <w:tmpl w:val="80F84AAA"/>
    <w:lvl w:ilvl="0" w:tplc="B0F67F9E">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4A990E07"/>
    <w:multiLevelType w:val="hybridMultilevel"/>
    <w:tmpl w:val="B84E1450"/>
    <w:lvl w:ilvl="0" w:tplc="B2D29A2C">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8">
    <w:nsid w:val="4B553B2D"/>
    <w:multiLevelType w:val="hybridMultilevel"/>
    <w:tmpl w:val="BD4CAA5E"/>
    <w:lvl w:ilvl="0" w:tplc="B0F67F9E">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4EFA2598"/>
    <w:multiLevelType w:val="singleLevel"/>
    <w:tmpl w:val="0409000F"/>
    <w:lvl w:ilvl="0">
      <w:start w:val="1"/>
      <w:numFmt w:val="decimal"/>
      <w:lvlText w:val="%1."/>
      <w:lvlJc w:val="left"/>
      <w:pPr>
        <w:tabs>
          <w:tab w:val="num" w:pos="360"/>
        </w:tabs>
        <w:ind w:left="360" w:hanging="360"/>
      </w:pPr>
    </w:lvl>
  </w:abstractNum>
  <w:abstractNum w:abstractNumId="70">
    <w:nsid w:val="520023EC"/>
    <w:multiLevelType w:val="hybridMultilevel"/>
    <w:tmpl w:val="A9F008D6"/>
    <w:lvl w:ilvl="0" w:tplc="B0F67F9E">
      <w:start w:val="1"/>
      <w:numFmt w:val="bullet"/>
      <w:lvlText w:val=""/>
      <w:lvlJc w:val="left"/>
      <w:pPr>
        <w:tabs>
          <w:tab w:val="num" w:pos="1134"/>
        </w:tabs>
        <w:ind w:left="1134" w:hanging="567"/>
      </w:pPr>
      <w:rPr>
        <w:rFonts w:ascii="Symbol" w:hAnsi="Symbol" w:hint="default"/>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nsid w:val="53AC33AD"/>
    <w:multiLevelType w:val="hybridMultilevel"/>
    <w:tmpl w:val="7B88911C"/>
    <w:lvl w:ilvl="0" w:tplc="DB74A0F6">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2">
    <w:nsid w:val="54A7430A"/>
    <w:multiLevelType w:val="hybridMultilevel"/>
    <w:tmpl w:val="55621B40"/>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3">
    <w:nsid w:val="55473D92"/>
    <w:multiLevelType w:val="hybridMultilevel"/>
    <w:tmpl w:val="B05AEEBE"/>
    <w:lvl w:ilvl="0" w:tplc="04190001">
      <w:start w:val="1"/>
      <w:numFmt w:val="bullet"/>
      <w:lvlText w:val=""/>
      <w:lvlJc w:val="left"/>
      <w:pPr>
        <w:tabs>
          <w:tab w:val="num" w:pos="845"/>
        </w:tabs>
        <w:ind w:left="845" w:hanging="360"/>
      </w:pPr>
      <w:rPr>
        <w:rFonts w:ascii="Symbol" w:hAnsi="Symbol" w:hint="default"/>
      </w:rPr>
    </w:lvl>
    <w:lvl w:ilvl="1" w:tplc="04190003" w:tentative="1">
      <w:start w:val="1"/>
      <w:numFmt w:val="bullet"/>
      <w:lvlText w:val="o"/>
      <w:lvlJc w:val="left"/>
      <w:pPr>
        <w:tabs>
          <w:tab w:val="num" w:pos="1565"/>
        </w:tabs>
        <w:ind w:left="1565" w:hanging="360"/>
      </w:pPr>
      <w:rPr>
        <w:rFonts w:ascii="Courier New" w:hAnsi="Courier New" w:hint="default"/>
      </w:rPr>
    </w:lvl>
    <w:lvl w:ilvl="2" w:tplc="04190005" w:tentative="1">
      <w:start w:val="1"/>
      <w:numFmt w:val="bullet"/>
      <w:lvlText w:val=""/>
      <w:lvlJc w:val="left"/>
      <w:pPr>
        <w:tabs>
          <w:tab w:val="num" w:pos="2285"/>
        </w:tabs>
        <w:ind w:left="2285" w:hanging="360"/>
      </w:pPr>
      <w:rPr>
        <w:rFonts w:ascii="Wingdings" w:hAnsi="Wingdings" w:hint="default"/>
      </w:rPr>
    </w:lvl>
    <w:lvl w:ilvl="3" w:tplc="04190001" w:tentative="1">
      <w:start w:val="1"/>
      <w:numFmt w:val="bullet"/>
      <w:lvlText w:val=""/>
      <w:lvlJc w:val="left"/>
      <w:pPr>
        <w:tabs>
          <w:tab w:val="num" w:pos="3005"/>
        </w:tabs>
        <w:ind w:left="3005" w:hanging="360"/>
      </w:pPr>
      <w:rPr>
        <w:rFonts w:ascii="Symbol" w:hAnsi="Symbol" w:hint="default"/>
      </w:rPr>
    </w:lvl>
    <w:lvl w:ilvl="4" w:tplc="04190003" w:tentative="1">
      <w:start w:val="1"/>
      <w:numFmt w:val="bullet"/>
      <w:lvlText w:val="o"/>
      <w:lvlJc w:val="left"/>
      <w:pPr>
        <w:tabs>
          <w:tab w:val="num" w:pos="3725"/>
        </w:tabs>
        <w:ind w:left="3725" w:hanging="360"/>
      </w:pPr>
      <w:rPr>
        <w:rFonts w:ascii="Courier New" w:hAnsi="Courier New" w:hint="default"/>
      </w:rPr>
    </w:lvl>
    <w:lvl w:ilvl="5" w:tplc="04190005" w:tentative="1">
      <w:start w:val="1"/>
      <w:numFmt w:val="bullet"/>
      <w:lvlText w:val=""/>
      <w:lvlJc w:val="left"/>
      <w:pPr>
        <w:tabs>
          <w:tab w:val="num" w:pos="4445"/>
        </w:tabs>
        <w:ind w:left="4445" w:hanging="360"/>
      </w:pPr>
      <w:rPr>
        <w:rFonts w:ascii="Wingdings" w:hAnsi="Wingdings" w:hint="default"/>
      </w:rPr>
    </w:lvl>
    <w:lvl w:ilvl="6" w:tplc="04190001" w:tentative="1">
      <w:start w:val="1"/>
      <w:numFmt w:val="bullet"/>
      <w:lvlText w:val=""/>
      <w:lvlJc w:val="left"/>
      <w:pPr>
        <w:tabs>
          <w:tab w:val="num" w:pos="5165"/>
        </w:tabs>
        <w:ind w:left="5165" w:hanging="360"/>
      </w:pPr>
      <w:rPr>
        <w:rFonts w:ascii="Symbol" w:hAnsi="Symbol" w:hint="default"/>
      </w:rPr>
    </w:lvl>
    <w:lvl w:ilvl="7" w:tplc="04190003" w:tentative="1">
      <w:start w:val="1"/>
      <w:numFmt w:val="bullet"/>
      <w:lvlText w:val="o"/>
      <w:lvlJc w:val="left"/>
      <w:pPr>
        <w:tabs>
          <w:tab w:val="num" w:pos="5885"/>
        </w:tabs>
        <w:ind w:left="5885" w:hanging="360"/>
      </w:pPr>
      <w:rPr>
        <w:rFonts w:ascii="Courier New" w:hAnsi="Courier New" w:hint="default"/>
      </w:rPr>
    </w:lvl>
    <w:lvl w:ilvl="8" w:tplc="04190005" w:tentative="1">
      <w:start w:val="1"/>
      <w:numFmt w:val="bullet"/>
      <w:lvlText w:val=""/>
      <w:lvlJc w:val="left"/>
      <w:pPr>
        <w:tabs>
          <w:tab w:val="num" w:pos="6605"/>
        </w:tabs>
        <w:ind w:left="6605" w:hanging="360"/>
      </w:pPr>
      <w:rPr>
        <w:rFonts w:ascii="Wingdings" w:hAnsi="Wingdings" w:hint="default"/>
      </w:rPr>
    </w:lvl>
  </w:abstractNum>
  <w:abstractNum w:abstractNumId="74">
    <w:nsid w:val="55F26F3F"/>
    <w:multiLevelType w:val="hybridMultilevel"/>
    <w:tmpl w:val="10FCFD1C"/>
    <w:lvl w:ilvl="0" w:tplc="516608B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6">
    <w:nsid w:val="5B2C690C"/>
    <w:multiLevelType w:val="hybridMultilevel"/>
    <w:tmpl w:val="A3A4550C"/>
    <w:lvl w:ilvl="0" w:tplc="23AA83C2">
      <w:start w:val="1"/>
      <w:numFmt w:val="bullet"/>
      <w:lvlText w:val=""/>
      <w:lvlJc w:val="left"/>
      <w:pPr>
        <w:tabs>
          <w:tab w:val="num" w:pos="720"/>
        </w:tabs>
        <w:ind w:left="720" w:hanging="360"/>
      </w:pPr>
      <w:rPr>
        <w:rFonts w:ascii="Wingdings 2" w:hAnsi="Wingdings 2"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5B3B23B6"/>
    <w:multiLevelType w:val="hybridMultilevel"/>
    <w:tmpl w:val="B0703514"/>
    <w:lvl w:ilvl="0" w:tplc="BADC1F56">
      <w:start w:val="1"/>
      <w:numFmt w:val="bullet"/>
      <w:lvlText w:val=""/>
      <w:lvlJc w:val="left"/>
      <w:pPr>
        <w:tabs>
          <w:tab w:val="num" w:pos="1074"/>
        </w:tabs>
        <w:ind w:left="1071" w:hanging="357"/>
      </w:pPr>
      <w:rPr>
        <w:rFonts w:ascii="Symbol" w:hAnsi="Symbol" w:hint="default"/>
      </w:rPr>
    </w:lvl>
    <w:lvl w:ilvl="1" w:tplc="A3A448C0">
      <w:numFmt w:val="bullet"/>
      <w:lvlText w:val="-"/>
      <w:lvlJc w:val="left"/>
      <w:pPr>
        <w:tabs>
          <w:tab w:val="num" w:pos="2514"/>
        </w:tabs>
        <w:ind w:left="2514" w:hanging="72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8">
    <w:nsid w:val="5BE07BE6"/>
    <w:multiLevelType w:val="multilevel"/>
    <w:tmpl w:val="6530625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9">
    <w:nsid w:val="5D817556"/>
    <w:multiLevelType w:val="hybridMultilevel"/>
    <w:tmpl w:val="8F6A5AF4"/>
    <w:lvl w:ilvl="0" w:tplc="8CFE86F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0">
    <w:nsid w:val="5D821DCC"/>
    <w:multiLevelType w:val="hybridMultilevel"/>
    <w:tmpl w:val="C4243EF8"/>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81">
    <w:nsid w:val="5EF4021B"/>
    <w:multiLevelType w:val="hybridMultilevel"/>
    <w:tmpl w:val="C524AC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624D6624"/>
    <w:multiLevelType w:val="hybridMultilevel"/>
    <w:tmpl w:val="6D5CE8C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658326D3"/>
    <w:multiLevelType w:val="hybridMultilevel"/>
    <w:tmpl w:val="3760E9C2"/>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84">
    <w:nsid w:val="65D15DFE"/>
    <w:multiLevelType w:val="singleLevel"/>
    <w:tmpl w:val="475E6D3C"/>
    <w:lvl w:ilvl="0">
      <w:start w:val="1"/>
      <w:numFmt w:val="decimal"/>
      <w:lvlText w:val="%1."/>
      <w:lvlJc w:val="left"/>
      <w:pPr>
        <w:tabs>
          <w:tab w:val="num" w:pos="360"/>
        </w:tabs>
        <w:ind w:left="360" w:hanging="360"/>
      </w:pPr>
    </w:lvl>
  </w:abstractNum>
  <w:abstractNum w:abstractNumId="85">
    <w:nsid w:val="68153FCA"/>
    <w:multiLevelType w:val="hybridMultilevel"/>
    <w:tmpl w:val="2DB85E6C"/>
    <w:lvl w:ilvl="0" w:tplc="AC8C06F8">
      <w:start w:val="1"/>
      <w:numFmt w:val="decimal"/>
      <w:pStyle w:val="1"/>
      <w:lvlText w:val="%1."/>
      <w:lvlJc w:val="left"/>
      <w:pPr>
        <w:tabs>
          <w:tab w:val="num" w:pos="360"/>
        </w:tabs>
        <w:ind w:left="0" w:firstLine="0"/>
      </w:pPr>
      <w:rPr>
        <w:rFonts w:hint="default"/>
        <w:b w:val="0"/>
        <w:i w:val="0"/>
      </w:rPr>
    </w:lvl>
    <w:lvl w:ilvl="1" w:tplc="04090005">
      <w:start w:val="1"/>
      <w:numFmt w:val="bullet"/>
      <w:lvlText w:val=""/>
      <w:lvlJc w:val="left"/>
      <w:pPr>
        <w:tabs>
          <w:tab w:val="num" w:pos="1440"/>
        </w:tabs>
        <w:ind w:left="1440" w:hanging="360"/>
      </w:pPr>
      <w:rPr>
        <w:rFonts w:ascii="Wingdings" w:hAnsi="Wingding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6E574E45"/>
    <w:multiLevelType w:val="hybridMultilevel"/>
    <w:tmpl w:val="F092B03A"/>
    <w:lvl w:ilvl="0" w:tplc="516608B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7">
    <w:nsid w:val="6F4F69D7"/>
    <w:multiLevelType w:val="hybridMultilevel"/>
    <w:tmpl w:val="8C8A0A14"/>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7170248F"/>
    <w:multiLevelType w:val="hybridMultilevel"/>
    <w:tmpl w:val="653062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72156198"/>
    <w:multiLevelType w:val="hybridMultilevel"/>
    <w:tmpl w:val="1CDA411A"/>
    <w:lvl w:ilvl="0" w:tplc="2B00EA0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0">
    <w:nsid w:val="72423000"/>
    <w:multiLevelType w:val="hybridMultilevel"/>
    <w:tmpl w:val="7B88911C"/>
    <w:lvl w:ilvl="0" w:tplc="250E0096">
      <w:start w:val="1"/>
      <w:numFmt w:val="bullet"/>
      <w:lvlText w:val=""/>
      <w:lvlJc w:val="left"/>
      <w:pPr>
        <w:tabs>
          <w:tab w:val="num" w:pos="1077"/>
        </w:tabs>
        <w:ind w:left="107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91">
    <w:nsid w:val="750926F7"/>
    <w:multiLevelType w:val="hybridMultilevel"/>
    <w:tmpl w:val="DCCAD654"/>
    <w:lvl w:ilvl="0" w:tplc="AE82376E">
      <w:start w:val="1"/>
      <w:numFmt w:val="bullet"/>
      <w:lvlText w:val="–"/>
      <w:lvlJc w:val="left"/>
      <w:pPr>
        <w:tabs>
          <w:tab w:val="num" w:pos="1134"/>
        </w:tabs>
        <w:ind w:left="1134" w:hanging="567"/>
      </w:pPr>
      <w:rPr>
        <w:rFonts w:ascii="Times New Roman" w:hAnsi="Times New Roman" w:cs="Times New Roman" w:hint="default"/>
      </w:rPr>
    </w:lvl>
    <w:lvl w:ilvl="1" w:tplc="AE82376E">
      <w:start w:val="1"/>
      <w:numFmt w:val="bullet"/>
      <w:lvlText w:val="–"/>
      <w:lvlJc w:val="left"/>
      <w:pPr>
        <w:tabs>
          <w:tab w:val="num" w:pos="513"/>
        </w:tabs>
        <w:ind w:left="513" w:hanging="567"/>
      </w:pPr>
      <w:rPr>
        <w:rFonts w:ascii="Times New Roman" w:hAnsi="Times New Roman" w:cs="Times New Roman" w:hint="default"/>
      </w:rPr>
    </w:lvl>
    <w:lvl w:ilvl="2" w:tplc="04190005" w:tentative="1">
      <w:start w:val="1"/>
      <w:numFmt w:val="bullet"/>
      <w:lvlText w:val=""/>
      <w:lvlJc w:val="left"/>
      <w:pPr>
        <w:tabs>
          <w:tab w:val="num" w:pos="1026"/>
        </w:tabs>
        <w:ind w:left="1026" w:hanging="360"/>
      </w:pPr>
      <w:rPr>
        <w:rFonts w:ascii="Wingdings" w:hAnsi="Wingdings" w:hint="default"/>
      </w:rPr>
    </w:lvl>
    <w:lvl w:ilvl="3" w:tplc="04190001" w:tentative="1">
      <w:start w:val="1"/>
      <w:numFmt w:val="bullet"/>
      <w:lvlText w:val=""/>
      <w:lvlJc w:val="left"/>
      <w:pPr>
        <w:tabs>
          <w:tab w:val="num" w:pos="1746"/>
        </w:tabs>
        <w:ind w:left="1746" w:hanging="360"/>
      </w:pPr>
      <w:rPr>
        <w:rFonts w:ascii="Symbol" w:hAnsi="Symbol" w:hint="default"/>
      </w:rPr>
    </w:lvl>
    <w:lvl w:ilvl="4" w:tplc="04190003" w:tentative="1">
      <w:start w:val="1"/>
      <w:numFmt w:val="bullet"/>
      <w:lvlText w:val="o"/>
      <w:lvlJc w:val="left"/>
      <w:pPr>
        <w:tabs>
          <w:tab w:val="num" w:pos="2466"/>
        </w:tabs>
        <w:ind w:left="2466" w:hanging="360"/>
      </w:pPr>
      <w:rPr>
        <w:rFonts w:ascii="Courier New" w:hAnsi="Courier New" w:hint="default"/>
      </w:rPr>
    </w:lvl>
    <w:lvl w:ilvl="5" w:tplc="04190005" w:tentative="1">
      <w:start w:val="1"/>
      <w:numFmt w:val="bullet"/>
      <w:lvlText w:val=""/>
      <w:lvlJc w:val="left"/>
      <w:pPr>
        <w:tabs>
          <w:tab w:val="num" w:pos="3186"/>
        </w:tabs>
        <w:ind w:left="3186" w:hanging="360"/>
      </w:pPr>
      <w:rPr>
        <w:rFonts w:ascii="Wingdings" w:hAnsi="Wingdings" w:hint="default"/>
      </w:rPr>
    </w:lvl>
    <w:lvl w:ilvl="6" w:tplc="04190001" w:tentative="1">
      <w:start w:val="1"/>
      <w:numFmt w:val="bullet"/>
      <w:lvlText w:val=""/>
      <w:lvlJc w:val="left"/>
      <w:pPr>
        <w:tabs>
          <w:tab w:val="num" w:pos="3906"/>
        </w:tabs>
        <w:ind w:left="3906" w:hanging="360"/>
      </w:pPr>
      <w:rPr>
        <w:rFonts w:ascii="Symbol" w:hAnsi="Symbol" w:hint="default"/>
      </w:rPr>
    </w:lvl>
    <w:lvl w:ilvl="7" w:tplc="04190003" w:tentative="1">
      <w:start w:val="1"/>
      <w:numFmt w:val="bullet"/>
      <w:lvlText w:val="o"/>
      <w:lvlJc w:val="left"/>
      <w:pPr>
        <w:tabs>
          <w:tab w:val="num" w:pos="4626"/>
        </w:tabs>
        <w:ind w:left="4626" w:hanging="360"/>
      </w:pPr>
      <w:rPr>
        <w:rFonts w:ascii="Courier New" w:hAnsi="Courier New" w:hint="default"/>
      </w:rPr>
    </w:lvl>
    <w:lvl w:ilvl="8" w:tplc="04190005" w:tentative="1">
      <w:start w:val="1"/>
      <w:numFmt w:val="bullet"/>
      <w:lvlText w:val=""/>
      <w:lvlJc w:val="left"/>
      <w:pPr>
        <w:tabs>
          <w:tab w:val="num" w:pos="5346"/>
        </w:tabs>
        <w:ind w:left="5346" w:hanging="360"/>
      </w:pPr>
      <w:rPr>
        <w:rFonts w:ascii="Wingdings" w:hAnsi="Wingdings" w:hint="default"/>
      </w:rPr>
    </w:lvl>
  </w:abstractNum>
  <w:abstractNum w:abstractNumId="92">
    <w:nsid w:val="751749A7"/>
    <w:multiLevelType w:val="hybridMultilevel"/>
    <w:tmpl w:val="84C4EEC6"/>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93">
    <w:nsid w:val="75186A7E"/>
    <w:multiLevelType w:val="hybridMultilevel"/>
    <w:tmpl w:val="3F5407A2"/>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4">
    <w:nsid w:val="75E22955"/>
    <w:multiLevelType w:val="hybridMultilevel"/>
    <w:tmpl w:val="C666C8CC"/>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95">
    <w:nsid w:val="7A624424"/>
    <w:multiLevelType w:val="hybridMultilevel"/>
    <w:tmpl w:val="9C7A92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ACA643D"/>
    <w:multiLevelType w:val="singleLevel"/>
    <w:tmpl w:val="0409000F"/>
    <w:lvl w:ilvl="0">
      <w:start w:val="1"/>
      <w:numFmt w:val="decimal"/>
      <w:lvlText w:val="%1."/>
      <w:lvlJc w:val="left"/>
      <w:pPr>
        <w:tabs>
          <w:tab w:val="num" w:pos="360"/>
        </w:tabs>
        <w:ind w:left="360" w:hanging="360"/>
      </w:pPr>
    </w:lvl>
  </w:abstractNum>
  <w:abstractNum w:abstractNumId="97">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98">
    <w:nsid w:val="7D876610"/>
    <w:multiLevelType w:val="hybridMultilevel"/>
    <w:tmpl w:val="9630588E"/>
    <w:lvl w:ilvl="0" w:tplc="8CFE86F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9">
    <w:nsid w:val="7DBF6B58"/>
    <w:multiLevelType w:val="singleLevel"/>
    <w:tmpl w:val="0409000F"/>
    <w:lvl w:ilvl="0">
      <w:start w:val="1"/>
      <w:numFmt w:val="decimal"/>
      <w:lvlText w:val="%1."/>
      <w:lvlJc w:val="left"/>
      <w:pPr>
        <w:tabs>
          <w:tab w:val="num" w:pos="360"/>
        </w:tabs>
        <w:ind w:left="360" w:hanging="360"/>
      </w:pPr>
    </w:lvl>
  </w:abstractNum>
  <w:abstractNum w:abstractNumId="100">
    <w:nsid w:val="7DDD562F"/>
    <w:multiLevelType w:val="hybridMultilevel"/>
    <w:tmpl w:val="37CCDD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E804BB2"/>
    <w:multiLevelType w:val="hybridMultilevel"/>
    <w:tmpl w:val="7744E1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44"/>
  </w:num>
  <w:num w:numId="3">
    <w:abstractNumId w:val="9"/>
  </w:num>
  <w:num w:numId="4">
    <w:abstractNumId w:val="27"/>
  </w:num>
  <w:num w:numId="5">
    <w:abstractNumId w:val="58"/>
  </w:num>
  <w:num w:numId="6">
    <w:abstractNumId w:val="67"/>
  </w:num>
  <w:num w:numId="7">
    <w:abstractNumId w:val="37"/>
  </w:num>
  <w:num w:numId="8">
    <w:abstractNumId w:val="38"/>
  </w:num>
  <w:num w:numId="9">
    <w:abstractNumId w:val="97"/>
  </w:num>
  <w:num w:numId="10">
    <w:abstractNumId w:val="43"/>
  </w:num>
  <w:num w:numId="11">
    <w:abstractNumId w:val="16"/>
  </w:num>
  <w:num w:numId="12">
    <w:abstractNumId w:val="48"/>
  </w:num>
  <w:num w:numId="13">
    <w:abstractNumId w:val="56"/>
  </w:num>
  <w:num w:numId="14">
    <w:abstractNumId w:val="96"/>
  </w:num>
  <w:num w:numId="15">
    <w:abstractNumId w:val="69"/>
  </w:num>
  <w:num w:numId="16">
    <w:abstractNumId w:val="99"/>
  </w:num>
  <w:num w:numId="17">
    <w:abstractNumId w:val="64"/>
  </w:num>
  <w:num w:numId="18">
    <w:abstractNumId w:val="84"/>
  </w:num>
  <w:num w:numId="19">
    <w:abstractNumId w:val="52"/>
  </w:num>
  <w:num w:numId="20">
    <w:abstractNumId w:val="0"/>
  </w:num>
  <w:num w:numId="21">
    <w:abstractNumId w:val="85"/>
  </w:num>
  <w:num w:numId="22">
    <w:abstractNumId w:val="88"/>
  </w:num>
  <w:num w:numId="23">
    <w:abstractNumId w:val="78"/>
  </w:num>
  <w:num w:numId="24">
    <w:abstractNumId w:val="12"/>
  </w:num>
  <w:num w:numId="25">
    <w:abstractNumId w:val="82"/>
  </w:num>
  <w:num w:numId="26">
    <w:abstractNumId w:val="101"/>
  </w:num>
  <w:num w:numId="27">
    <w:abstractNumId w:val="95"/>
  </w:num>
  <w:num w:numId="28">
    <w:abstractNumId w:val="24"/>
  </w:num>
  <w:num w:numId="29">
    <w:abstractNumId w:val="62"/>
  </w:num>
  <w:num w:numId="30">
    <w:abstractNumId w:val="25"/>
  </w:num>
  <w:num w:numId="31">
    <w:abstractNumId w:val="54"/>
  </w:num>
  <w:num w:numId="32">
    <w:abstractNumId w:val="100"/>
  </w:num>
  <w:num w:numId="33">
    <w:abstractNumId w:val="33"/>
  </w:num>
  <w:num w:numId="34">
    <w:abstractNumId w:val="81"/>
  </w:num>
  <w:num w:numId="35">
    <w:abstractNumId w:val="50"/>
  </w:num>
  <w:num w:numId="36">
    <w:abstractNumId w:val="19"/>
  </w:num>
  <w:num w:numId="37">
    <w:abstractNumId w:val="60"/>
  </w:num>
  <w:num w:numId="38">
    <w:abstractNumId w:val="31"/>
  </w:num>
  <w:num w:numId="39">
    <w:abstractNumId w:val="59"/>
  </w:num>
  <w:num w:numId="40">
    <w:abstractNumId w:val="87"/>
  </w:num>
  <w:num w:numId="41">
    <w:abstractNumId w:val="32"/>
  </w:num>
  <w:num w:numId="42">
    <w:abstractNumId w:val="14"/>
  </w:num>
  <w:num w:numId="43">
    <w:abstractNumId w:val="1"/>
  </w:num>
  <w:num w:numId="44">
    <w:abstractNumId w:val="45"/>
  </w:num>
  <w:num w:numId="45">
    <w:abstractNumId w:val="10"/>
  </w:num>
  <w:num w:numId="46">
    <w:abstractNumId w:val="29"/>
  </w:num>
  <w:num w:numId="47">
    <w:abstractNumId w:val="20"/>
  </w:num>
  <w:num w:numId="48">
    <w:abstractNumId w:val="63"/>
  </w:num>
  <w:num w:numId="49">
    <w:abstractNumId w:val="75"/>
  </w:num>
  <w:num w:numId="50">
    <w:abstractNumId w:val="2"/>
  </w:num>
  <w:num w:numId="51">
    <w:abstractNumId w:val="3"/>
  </w:num>
  <w:num w:numId="52">
    <w:abstractNumId w:val="8"/>
  </w:num>
  <w:num w:numId="53">
    <w:abstractNumId w:val="7"/>
  </w:num>
  <w:num w:numId="54">
    <w:abstractNumId w:val="6"/>
  </w:num>
  <w:num w:numId="55">
    <w:abstractNumId w:val="5"/>
  </w:num>
  <w:num w:numId="56">
    <w:abstractNumId w:val="4"/>
  </w:num>
  <w:num w:numId="57">
    <w:abstractNumId w:val="22"/>
  </w:num>
  <w:num w:numId="58">
    <w:abstractNumId w:val="93"/>
  </w:num>
  <w:num w:numId="59">
    <w:abstractNumId w:val="17"/>
  </w:num>
  <w:num w:numId="60">
    <w:abstractNumId w:val="89"/>
  </w:num>
  <w:num w:numId="61">
    <w:abstractNumId w:val="61"/>
  </w:num>
  <w:num w:numId="62">
    <w:abstractNumId w:val="36"/>
  </w:num>
  <w:num w:numId="63">
    <w:abstractNumId w:val="18"/>
  </w:num>
  <w:num w:numId="64">
    <w:abstractNumId w:val="21"/>
  </w:num>
  <w:num w:numId="65">
    <w:abstractNumId w:val="41"/>
  </w:num>
  <w:num w:numId="66">
    <w:abstractNumId w:val="28"/>
  </w:num>
  <w:num w:numId="67">
    <w:abstractNumId w:val="13"/>
  </w:num>
  <w:num w:numId="68">
    <w:abstractNumId w:val="77"/>
  </w:num>
  <w:num w:numId="69">
    <w:abstractNumId w:val="40"/>
  </w:num>
  <w:num w:numId="70">
    <w:abstractNumId w:val="51"/>
  </w:num>
  <w:num w:numId="71">
    <w:abstractNumId w:val="92"/>
  </w:num>
  <w:num w:numId="72">
    <w:abstractNumId w:val="90"/>
  </w:num>
  <w:num w:numId="73">
    <w:abstractNumId w:val="47"/>
  </w:num>
  <w:num w:numId="74">
    <w:abstractNumId w:val="57"/>
  </w:num>
  <w:num w:numId="75">
    <w:abstractNumId w:val="72"/>
  </w:num>
  <w:num w:numId="76">
    <w:abstractNumId w:val="94"/>
  </w:num>
  <w:num w:numId="77">
    <w:abstractNumId w:val="80"/>
  </w:num>
  <w:num w:numId="78">
    <w:abstractNumId w:val="23"/>
  </w:num>
  <w:num w:numId="79">
    <w:abstractNumId w:val="83"/>
  </w:num>
  <w:num w:numId="80">
    <w:abstractNumId w:val="42"/>
  </w:num>
  <w:num w:numId="81">
    <w:abstractNumId w:val="53"/>
  </w:num>
  <w:num w:numId="82">
    <w:abstractNumId w:val="91"/>
  </w:num>
  <w:num w:numId="83">
    <w:abstractNumId w:val="49"/>
  </w:num>
  <w:num w:numId="84">
    <w:abstractNumId w:val="98"/>
  </w:num>
  <w:num w:numId="85">
    <w:abstractNumId w:val="79"/>
  </w:num>
  <w:num w:numId="86">
    <w:abstractNumId w:val="11"/>
  </w:num>
  <w:num w:numId="87">
    <w:abstractNumId w:val="71"/>
  </w:num>
  <w:num w:numId="88">
    <w:abstractNumId w:val="76"/>
  </w:num>
  <w:num w:numId="89">
    <w:abstractNumId w:val="46"/>
  </w:num>
  <w:num w:numId="90">
    <w:abstractNumId w:val="55"/>
  </w:num>
  <w:num w:numId="91">
    <w:abstractNumId w:val="65"/>
  </w:num>
  <w:num w:numId="92">
    <w:abstractNumId w:val="74"/>
  </w:num>
  <w:num w:numId="93">
    <w:abstractNumId w:val="86"/>
  </w:num>
  <w:num w:numId="94">
    <w:abstractNumId w:val="26"/>
  </w:num>
  <w:num w:numId="95">
    <w:abstractNumId w:val="70"/>
  </w:num>
  <w:num w:numId="96">
    <w:abstractNumId w:val="35"/>
  </w:num>
  <w:num w:numId="97">
    <w:abstractNumId w:val="15"/>
  </w:num>
  <w:num w:numId="98">
    <w:abstractNumId w:val="68"/>
  </w:num>
  <w:num w:numId="99">
    <w:abstractNumId w:val="39"/>
  </w:num>
  <w:num w:numId="100">
    <w:abstractNumId w:val="34"/>
  </w:num>
  <w:num w:numId="101">
    <w:abstractNumId w:val="66"/>
  </w:num>
  <w:num w:numId="102">
    <w:abstractNumId w:val="30"/>
  </w:num>
  <w:num w:numId="103">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styleId="EndnoteText">
    <w:name w:val="endnote text"/>
    <w:basedOn w:val="Normal"/>
    <w:semiHidden/>
    <w:pPr>
      <w:tabs>
        <w:tab w:val="left" w:pos="567"/>
        <w:tab w:val="left" w:pos="1134"/>
        <w:tab w:val="left" w:pos="1701"/>
        <w:tab w:val="left" w:pos="2268"/>
        <w:tab w:val="left" w:pos="6237"/>
      </w:tabs>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customStyle="1" w:styleId="10">
    <w:name w:val="текст 1"/>
    <w:basedOn w:val="Normal"/>
  </w:style>
  <w:style w:type="paragraph" w:customStyle="1" w:styleId="2">
    <w:name w:val="текст 2"/>
    <w:basedOn w:val="Normal"/>
  </w:style>
  <w:style w:type="paragraph" w:customStyle="1" w:styleId="100">
    <w:name w:val="Заголовок 10"/>
    <w:basedOn w:val="Title"/>
  </w:style>
  <w:style w:type="paragraph" w:styleId="Title">
    <w:name w:val="Title"/>
    <w:basedOn w:val="Normal"/>
    <w:qFormat/>
    <w:pPr>
      <w:tabs>
        <w:tab w:val="left" w:pos="567"/>
        <w:tab w:val="left" w:pos="1134"/>
        <w:tab w:val="left" w:pos="1701"/>
        <w:tab w:val="left" w:pos="2268"/>
        <w:tab w:val="left" w:pos="6237"/>
      </w:tabs>
      <w:jc w:val="center"/>
    </w:pPr>
    <w:rPr>
      <w:b/>
    </w:rPr>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BodyText3">
    <w:name w:val="Body Text 3"/>
    <w:basedOn w:val="Normal"/>
    <w:semiHidden/>
    <w:pPr>
      <w:tabs>
        <w:tab w:val="clear" w:pos="567"/>
        <w:tab w:val="clear" w:pos="1134"/>
        <w:tab w:val="clear" w:pos="1701"/>
        <w:tab w:val="clear" w:pos="2268"/>
        <w:tab w:val="clear" w:pos="6237"/>
        <w:tab w:val="left" w:pos="6663"/>
      </w:tabs>
      <w:spacing w:after="240" w:line="240" w:lineRule="auto"/>
      <w:jc w:val="right"/>
    </w:pPr>
    <w:rPr>
      <w:lang w:val="en-GB"/>
    </w:rPr>
  </w:style>
  <w:style w:type="paragraph" w:customStyle="1" w:styleId="1">
    <w:name w:val="1"/>
    <w:aliases w:val="2,3"/>
    <w:basedOn w:val="Normal"/>
    <w:pPr>
      <w:numPr>
        <w:numId w:val="21"/>
      </w:numPr>
      <w:tabs>
        <w:tab w:val="clear" w:pos="567"/>
        <w:tab w:val="clear" w:pos="1134"/>
        <w:tab w:val="clear" w:pos="1701"/>
        <w:tab w:val="clear" w:pos="2268"/>
        <w:tab w:val="clear" w:pos="6237"/>
        <w:tab w:val="left" w:pos="-1440"/>
      </w:tabs>
      <w:autoSpaceDE w:val="0"/>
      <w:autoSpaceDN w:val="0"/>
      <w:adjustRightInd w:val="0"/>
      <w:spacing w:after="240" w:line="260" w:lineRule="exact"/>
    </w:pPr>
    <w:rPr>
      <w:rFonts w:ascii="Macedonian Helv" w:hAnsi="Macedonian Helv"/>
      <w:lang w:val="en-US"/>
    </w:rPr>
  </w:style>
  <w:style w:type="paragraph" w:styleId="BodyTextIndent">
    <w:name w:val="Body Text Indent"/>
    <w:basedOn w:val="Normal"/>
    <w:semiHidden/>
    <w:pPr>
      <w:tabs>
        <w:tab w:val="clear" w:pos="567"/>
        <w:tab w:val="clear" w:pos="1134"/>
        <w:tab w:val="clear" w:pos="1701"/>
        <w:tab w:val="clear" w:pos="2268"/>
        <w:tab w:val="clear" w:pos="6237"/>
      </w:tabs>
      <w:spacing w:after="240" w:line="240" w:lineRule="auto"/>
      <w:ind w:left="720"/>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header" Target="header2.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image" Target="media/image18.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oleObject" Target="embeddings/oleObject19.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66740</Words>
  <Characters>380422</Characters>
  <Application>Microsoft Office Word</Application>
  <DocSecurity>4</DocSecurity>
  <Lines>3170</Lines>
  <Paragraphs>760</Paragraphs>
  <ScaleCrop>false</ScaleCrop>
  <HeadingPairs>
    <vt:vector size="2" baseType="variant">
      <vt:variant>
        <vt:lpstr>Название</vt:lpstr>
      </vt:variant>
      <vt:variant>
        <vt:i4>1</vt:i4>
      </vt:variant>
    </vt:vector>
  </HeadingPairs>
  <TitlesOfParts>
    <vt:vector size="1" baseType="lpstr">
      <vt:lpstr>0641112.doc</vt:lpstr>
    </vt:vector>
  </TitlesOfParts>
  <Company> </Company>
  <LinksUpToDate>false</LinksUpToDate>
  <CharactersWithSpaces>467184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0641112.doc</dc:title>
  <dc:subject/>
  <dc:creator>Smirnova</dc:creator>
  <cp:keywords/>
  <dc:description/>
  <cp:lastModifiedBy>Smirnova</cp:lastModifiedBy>
  <cp:revision>3</cp:revision>
  <cp:lastPrinted>2006-10-18T09:27:00Z</cp:lastPrinted>
  <dcterms:created xsi:type="dcterms:W3CDTF">2006-10-18T09:27:00Z</dcterms:created>
  <dcterms:modified xsi:type="dcterms:W3CDTF">2006-10-18T09:27:00Z</dcterms:modified>
</cp:coreProperties>
</file>