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s-ES_tradnl"/>
        </w:rPr>
      </w:pPr>
      <w:r>
        <w:rPr>
          <w:lang w:val="es-ES_tradnl"/>
        </w:rPr>
        <w:t>Comité para la Eliminación de la Discriminación</w:t>
      </w:r>
      <w:r>
        <w:rPr>
          <w:lang w:val="es-ES_tradnl"/>
        </w:rPr>
        <w:br/>
        <w:t>contra la Mujer</w:t>
      </w:r>
    </w:p>
    <w:p w:rsidR="00000000" w:rsidRDefault="00000000">
      <w:pPr>
        <w:rPr>
          <w:b/>
          <w:lang w:val="es-ES_tradnl"/>
        </w:rPr>
      </w:pPr>
      <w:r>
        <w:rPr>
          <w:b/>
          <w:lang w:val="es-ES_tradnl"/>
        </w:rPr>
        <w:t>Grupo de trabajo anterior al 34° período de sesiones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es-ES_tradnl"/>
        </w:rPr>
      </w:pPr>
      <w:r>
        <w:rPr>
          <w:lang w:val="es-ES_tradnl"/>
        </w:rPr>
        <w:t>16 de enero a 3 de febrero de 2006</w:t>
      </w: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 xml:space="preserve">Lista de asuntos y preguntas para el examen </w:t>
      </w:r>
      <w:r>
        <w:rPr>
          <w:lang w:val="es-ES_tradnl"/>
        </w:rPr>
        <w:br/>
        <w:t>de los informes periódicos</w:t>
      </w:r>
      <w:r>
        <w:rPr>
          <w:rStyle w:val="FootnoteReference"/>
          <w:b w:val="0"/>
          <w:sz w:val="18"/>
          <w:lang w:val="es-ES_tradnl"/>
        </w:rPr>
        <w:footnoteReference w:id="1"/>
      </w: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>República Bolivariana de Venezuela</w:t>
      </w: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SingleTxt"/>
        <w:rPr>
          <w:w w:val="100"/>
          <w:kern w:val="0"/>
          <w:lang w:val="es-ES_tradnl"/>
        </w:rPr>
      </w:pPr>
      <w:r>
        <w:rPr>
          <w:w w:val="100"/>
          <w:kern w:val="0"/>
          <w:lang w:val="es-ES_tradnl"/>
        </w:rPr>
        <w:t>1.</w:t>
      </w:r>
      <w:r>
        <w:rPr>
          <w:w w:val="100"/>
          <w:kern w:val="0"/>
          <w:lang w:val="es-ES_tradnl"/>
        </w:rPr>
        <w:tab/>
        <w:t xml:space="preserve">El grupo de trabajo anterior al período de sesiones examinó los informes cuarto, quinto y sexto combinados de la República Bolivariana de Venezuela (CEDAW/C/VEN/4-6). </w:t>
      </w: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>General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rPr>
          <w:i/>
          <w:lang w:val="es-ES_tradnl"/>
        </w:rPr>
      </w:pPr>
      <w:r>
        <w:rPr>
          <w:lang w:val="es-ES_tradnl"/>
        </w:rPr>
        <w:t>2.</w:t>
      </w:r>
      <w:r>
        <w:rPr>
          <w:lang w:val="es-ES_tradnl"/>
        </w:rPr>
        <w:tab/>
        <w:t xml:space="preserve">Describir cuál fue la estrategia de difusión de las observaciones finales del Comité acerca del tercer informe periódico y el mecanismo de aprobación para el presente informe, especificar si las organizaciones no gubernamentales (ONG) y </w:t>
      </w:r>
      <w:r>
        <w:rPr>
          <w:spacing w:val="2"/>
          <w:lang w:val="es-ES_tradnl"/>
        </w:rPr>
        <w:t>grupos de mujeres fueron consultadas, y si fue presentado ante la Asamblea Naci</w:t>
      </w:r>
      <w:r>
        <w:rPr>
          <w:spacing w:val="2"/>
          <w:lang w:val="es-ES_tradnl"/>
        </w:rPr>
        <w:t>o</w:t>
      </w:r>
      <w:r>
        <w:rPr>
          <w:spacing w:val="2"/>
          <w:lang w:val="es-ES_tradnl"/>
        </w:rPr>
        <w:t>nal.</w:t>
      </w:r>
      <w:r>
        <w:rPr>
          <w:lang w:val="es-ES_tradnl"/>
        </w:rPr>
        <w:t xml:space="preserve"> </w:t>
      </w: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>Constitución y leyes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rPr>
          <w:i/>
          <w:lang w:val="es-ES_tradnl"/>
        </w:rPr>
      </w:pPr>
      <w:r>
        <w:rPr>
          <w:lang w:val="es-ES_tradnl"/>
        </w:rPr>
        <w:t>3.</w:t>
      </w:r>
      <w:r>
        <w:rPr>
          <w:lang w:val="es-ES_tradnl"/>
        </w:rPr>
        <w:tab/>
        <w:t>Según el artículo 23 de la Constitución “los tratados y convenios relativos a los derechos humanos tienen jerarquía constitucional … y son de aplicación inm</w:t>
      </w:r>
      <w:r>
        <w:rPr>
          <w:lang w:val="es-ES_tradnl"/>
        </w:rPr>
        <w:t>e</w:t>
      </w:r>
      <w:r>
        <w:rPr>
          <w:lang w:val="es-ES_tradnl"/>
        </w:rPr>
        <w:t>diata y directa por los tribunales y demás órganos del Poder Público” (pág. 9). Ind</w:t>
      </w:r>
      <w:r>
        <w:rPr>
          <w:lang w:val="es-ES_tradnl"/>
        </w:rPr>
        <w:t>i</w:t>
      </w:r>
      <w:r>
        <w:rPr>
          <w:lang w:val="es-ES_tradnl"/>
        </w:rPr>
        <w:t>car los esfuerzos realizados para asegurar que las mujeres conozcan sobre este r</w:t>
      </w:r>
      <w:r>
        <w:rPr>
          <w:lang w:val="es-ES_tradnl"/>
        </w:rPr>
        <w:t>e</w:t>
      </w:r>
      <w:r>
        <w:rPr>
          <w:lang w:val="es-ES_tradnl"/>
        </w:rPr>
        <w:t>curso e informar si la Convención sobre la eliminación de todas las formas de di</w:t>
      </w:r>
      <w:r>
        <w:rPr>
          <w:lang w:val="es-ES_tradnl"/>
        </w:rPr>
        <w:t>s</w:t>
      </w:r>
      <w:r>
        <w:rPr>
          <w:lang w:val="es-ES_tradnl"/>
        </w:rPr>
        <w:t>criminación contra la mujer ha sido invocada en los trib</w:t>
      </w:r>
      <w:r>
        <w:rPr>
          <w:lang w:val="es-ES_tradnl"/>
        </w:rPr>
        <w:t>u</w:t>
      </w:r>
      <w:r>
        <w:rPr>
          <w:lang w:val="es-ES_tradnl"/>
        </w:rPr>
        <w:t>nales.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4.</w:t>
      </w:r>
      <w:r>
        <w:rPr>
          <w:lang w:val="es-ES_tradnl"/>
        </w:rPr>
        <w:tab/>
        <w:t>¿Qué esfuerzos se han realizado para modificar los Códigos Penal y Civil con arreglo a las disposiciones de la nueva Constitución adoptada en 1999? Además e</w:t>
      </w:r>
      <w:r>
        <w:rPr>
          <w:lang w:val="es-ES_tradnl"/>
        </w:rPr>
        <w:t>s</w:t>
      </w:r>
      <w:r>
        <w:rPr>
          <w:lang w:val="es-ES_tradnl"/>
        </w:rPr>
        <w:t>pecificar si se han eliminado los “delitos contra las buenas costumbres y el buen o</w:t>
      </w:r>
      <w:r>
        <w:rPr>
          <w:lang w:val="es-ES_tradnl"/>
        </w:rPr>
        <w:t>r</w:t>
      </w:r>
      <w:r>
        <w:rPr>
          <w:lang w:val="es-ES_tradnl"/>
        </w:rPr>
        <w:t>den de las familias” contenidos en el Código Penal que data de 1937 y el estado de la Ley de Paternidad Responsable que fue presentado en el año 2002 por el mov</w:t>
      </w:r>
      <w:r>
        <w:rPr>
          <w:lang w:val="es-ES_tradnl"/>
        </w:rPr>
        <w:t>i</w:t>
      </w:r>
      <w:r>
        <w:rPr>
          <w:lang w:val="es-ES_tradnl"/>
        </w:rPr>
        <w:t>miento de muj</w:t>
      </w:r>
      <w:r>
        <w:rPr>
          <w:lang w:val="es-ES_tradnl"/>
        </w:rPr>
        <w:t>e</w:t>
      </w:r>
      <w:r>
        <w:rPr>
          <w:lang w:val="es-ES_tradnl"/>
        </w:rPr>
        <w:t>res ante la Asamblea Nacional (pág. 26).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5.</w:t>
      </w:r>
      <w:r>
        <w:rPr>
          <w:lang w:val="es-ES_tradnl"/>
        </w:rPr>
        <w:tab/>
        <w:t>Describir las medidas que se han tomado para diseminar las reformas del C</w:t>
      </w:r>
      <w:r>
        <w:rPr>
          <w:lang w:val="es-ES_tradnl"/>
        </w:rPr>
        <w:t>ó</w:t>
      </w:r>
      <w:r>
        <w:rPr>
          <w:lang w:val="es-ES_tradnl"/>
        </w:rPr>
        <w:t>digo Civil de 1982 con respecto a los deberes y derechos del matrimonio, la Ley de Igualdad de Oportunidades para la Mujer, y el artículo 88 de la Constitución sobre el reconocimiento del trabajo del hogar y derecho a la seguridad social de las amas de casa. Además indicar qué acciones se han tomado para asegurar la efectiva aplic</w:t>
      </w:r>
      <w:r>
        <w:rPr>
          <w:lang w:val="es-ES_tradnl"/>
        </w:rPr>
        <w:t>a</w:t>
      </w:r>
      <w:r>
        <w:rPr>
          <w:lang w:val="es-ES_tradnl"/>
        </w:rPr>
        <w:t>ción de estas leyes.</w:t>
      </w: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>Mecanismos nacionales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6.</w:t>
      </w:r>
      <w:r>
        <w:rPr>
          <w:lang w:val="es-ES_tradnl"/>
        </w:rPr>
        <w:tab/>
        <w:t>Explicar las razones por las cuales se eliminó la Comisión Parlamentaria de los Derechos de las Mujeres. Además indicar qué esfuerzos se han realizado para aseg</w:t>
      </w:r>
      <w:r>
        <w:rPr>
          <w:lang w:val="es-ES_tradnl"/>
        </w:rPr>
        <w:t>u</w:t>
      </w:r>
      <w:r>
        <w:rPr>
          <w:lang w:val="es-ES_tradnl"/>
        </w:rPr>
        <w:t xml:space="preserve">rar el carácter no discriminatorio e igualitario de las leyes que se aprueban en la Asamblea Nacional y para impulsar legislación con el fin de garantizar los derechos de las mujeres. 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7.</w:t>
      </w:r>
      <w:r>
        <w:rPr>
          <w:lang w:val="es-ES_tradnl"/>
        </w:rPr>
        <w:tab/>
        <w:t>Indicar las áreas estratégicas contenidas en el Plan de Igualdad de Oportunid</w:t>
      </w:r>
      <w:r>
        <w:rPr>
          <w:lang w:val="es-ES_tradnl"/>
        </w:rPr>
        <w:t>a</w:t>
      </w:r>
      <w:r>
        <w:rPr>
          <w:lang w:val="es-ES_tradnl"/>
        </w:rPr>
        <w:t>des del 2003 y los resultados alcanzados, y especificar la efectividad alcanzada en la trasversalización del enfoque de género en todas las instancias del Estado venezol</w:t>
      </w:r>
      <w:r>
        <w:rPr>
          <w:lang w:val="es-ES_tradnl"/>
        </w:rPr>
        <w:t>a</w:t>
      </w:r>
      <w:r>
        <w:rPr>
          <w:lang w:val="es-ES_tradnl"/>
        </w:rPr>
        <w:t>no (pág.</w:t>
      </w:r>
      <w:r>
        <w:t> </w:t>
      </w:r>
      <w:r>
        <w:rPr>
          <w:lang w:val="es-ES_tradnl"/>
        </w:rPr>
        <w:t xml:space="preserve">13). 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8.</w:t>
      </w:r>
      <w:r>
        <w:rPr>
          <w:lang w:val="es-ES_tradnl"/>
        </w:rPr>
        <w:tab/>
        <w:t>El Comité en 1997 sugirió que se impulsara la aprobación del establecimiento de mecanismos nacionales suficientemente integrados en el sistema político y dot</w:t>
      </w:r>
      <w:r>
        <w:rPr>
          <w:lang w:val="es-ES_tradnl"/>
        </w:rPr>
        <w:t>a</w:t>
      </w:r>
      <w:r>
        <w:rPr>
          <w:lang w:val="es-ES_tradnl"/>
        </w:rPr>
        <w:t>dos de suficientes recursos humanos y financieros (véase A/52/38/Rev.1). Indicar el estatus dentro del Estado del Instituto Nacional de la Mujer (INAMUJER) y la di</w:t>
      </w:r>
      <w:r>
        <w:rPr>
          <w:lang w:val="es-ES_tradnl"/>
        </w:rPr>
        <w:t>s</w:t>
      </w:r>
      <w:r>
        <w:rPr>
          <w:lang w:val="es-ES_tradnl"/>
        </w:rPr>
        <w:t>ponibilidad de recursos humanos y financieros para su efectivo funcionamiento y el de los institutos y consejos regionales, centros y casas de mujer en todo el país.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9.</w:t>
      </w:r>
      <w:r>
        <w:rPr>
          <w:lang w:val="es-ES_tradnl"/>
        </w:rPr>
        <w:tab/>
        <w:t>Se indica en el informe que “los ‘Puntos de Encuentro con Inamujer’ constit</w:t>
      </w:r>
      <w:r>
        <w:rPr>
          <w:lang w:val="es-ES_tradnl"/>
        </w:rPr>
        <w:t>u</w:t>
      </w:r>
      <w:r>
        <w:rPr>
          <w:lang w:val="es-ES_tradnl"/>
        </w:rPr>
        <w:t>yen organizaciones de base y funcionan como centros de enlace entre las comunid</w:t>
      </w:r>
      <w:r>
        <w:rPr>
          <w:lang w:val="es-ES_tradnl"/>
        </w:rPr>
        <w:t>a</w:t>
      </w:r>
      <w:r>
        <w:rPr>
          <w:lang w:val="es-ES_tradnl"/>
        </w:rPr>
        <w:t>des y el organismo gubernamental” (pág.13). ¿Cuáles son los mecanismos para as</w:t>
      </w:r>
      <w:r>
        <w:rPr>
          <w:lang w:val="es-ES_tradnl"/>
        </w:rPr>
        <w:t>e</w:t>
      </w:r>
      <w:r>
        <w:rPr>
          <w:lang w:val="es-ES_tradnl"/>
        </w:rPr>
        <w:t xml:space="preserve">gurar el acceso diverso y plural de las mujeres y las organizaciones existentes en las comunidades a estos Puntos de Encuentro? </w:t>
      </w: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>Estereotipos y educación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10.</w:t>
      </w:r>
      <w:r>
        <w:rPr>
          <w:lang w:val="es-ES_tradnl"/>
        </w:rPr>
        <w:tab/>
        <w:t>Indicar qué medidas se han tomado para eliminar el lenguaje sexista y la im</w:t>
      </w:r>
      <w:r>
        <w:rPr>
          <w:lang w:val="es-ES_tradnl"/>
        </w:rPr>
        <w:t>a</w:t>
      </w:r>
      <w:r>
        <w:rPr>
          <w:lang w:val="es-ES_tradnl"/>
        </w:rPr>
        <w:t xml:space="preserve">gen de la mujer como objeto sexual en los medios de comunicación y los resultados alcanzados. Además indicar el estado del anteproyecto de Ley de Responsabilidad Social en Radio y Televisión, que establece “sanciones (…) al prestador de servicios de radio y televisión que difunda mensajes que promuevan” (…) la discriminación contra la mujer (pág. 11). 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11.</w:t>
      </w:r>
      <w:r>
        <w:rPr>
          <w:lang w:val="es-ES_tradnl"/>
        </w:rPr>
        <w:tab/>
        <w:t>En la página 41 se informa sobre la II Fase del Programa Educando para la Igualdad, que tiene como fin el promover cambios en los textos educativos, pensum y prácticas de transmisión del conocimiento. Favor de informar cuáles han sido los resultados de este programa y su influencia en la orientación vocacional de las jóv</w:t>
      </w:r>
      <w:r>
        <w:rPr>
          <w:lang w:val="es-ES_tradnl"/>
        </w:rPr>
        <w:t>e</w:t>
      </w:r>
      <w:r>
        <w:rPr>
          <w:lang w:val="es-ES_tradnl"/>
        </w:rPr>
        <w:t>nes hacia carreras técnicas.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12.</w:t>
      </w:r>
      <w:r>
        <w:rPr>
          <w:lang w:val="es-ES_tradnl"/>
        </w:rPr>
        <w:tab/>
        <w:t>Indicar qué otras medidas encaminadas a eliminar estereotipos se han tomado en el ámbito laboral y de la familia, y sus resultados. Especificar los esfuerzos que se han realizado para diseminar y asegurar el cumplimiento del artículo 76 de la Constitución sobre la responsabilidad compartida entre mujeres y hombres con re</w:t>
      </w:r>
      <w:r>
        <w:rPr>
          <w:lang w:val="es-ES_tradnl"/>
        </w:rPr>
        <w:t>s</w:t>
      </w:r>
      <w:r>
        <w:rPr>
          <w:lang w:val="es-ES_tradnl"/>
        </w:rPr>
        <w:t xml:space="preserve">pecto a la educación y desarrollo de los hijos e hijas. 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13.</w:t>
      </w:r>
      <w:r>
        <w:rPr>
          <w:lang w:val="es-ES_tradnl"/>
        </w:rPr>
        <w:tab/>
        <w:t xml:space="preserve">Proporcionar datos acerca de las tasas de escolarización, deserción escolar y sus principales causas desagregadas por sexo y grupos poblacionales, incluyendo a indígenas y afrodescendientes, áreas urbanas y rurales, nivel de educación y tipo de institución (privada o pública). </w:t>
      </w: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>Violencia contra la mujer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14.</w:t>
      </w:r>
      <w:r>
        <w:rPr>
          <w:lang w:val="es-ES_tradnl"/>
        </w:rPr>
        <w:tab/>
        <w:t>El informe de la Relatora Especial sobre la violencia contra la mujer, sus ca</w:t>
      </w:r>
      <w:r>
        <w:rPr>
          <w:lang w:val="es-ES_tradnl"/>
        </w:rPr>
        <w:t>u</w:t>
      </w:r>
      <w:r>
        <w:rPr>
          <w:lang w:val="es-ES_tradnl"/>
        </w:rPr>
        <w:t xml:space="preserve">sas y consecuencias (E/CN.4/2003/75/Add.1) señala que la Ley Sobre la Violencia contra la Mujer y la Familia no contempla la protección a las víctimas que no han convivido con los agresores. Indicar si el Gobierno prevé adoptar alguna enmienda para suprimir este vacío en la ley y garantizar la protección a las víctimas que no han convivido con los agresores. 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15.</w:t>
      </w:r>
      <w:r>
        <w:rPr>
          <w:lang w:val="es-ES_tradnl"/>
        </w:rPr>
        <w:tab/>
        <w:t>Describir qué medidas se han tomado para diseminar y asegurar el cumpl</w:t>
      </w:r>
      <w:r>
        <w:rPr>
          <w:lang w:val="es-ES_tradnl"/>
        </w:rPr>
        <w:t>i</w:t>
      </w:r>
      <w:r>
        <w:rPr>
          <w:lang w:val="es-ES_tradnl"/>
        </w:rPr>
        <w:t xml:space="preserve">miento de la Ley sobre la Violencia contra la Mujer y la Familia, específicamente </w:t>
      </w:r>
      <w:r>
        <w:rPr>
          <w:spacing w:val="2"/>
          <w:lang w:val="es-ES_tradnl"/>
        </w:rPr>
        <w:t>referir las acciones para capacitar a jueces, policías y personal en los centros de s</w:t>
      </w:r>
      <w:r>
        <w:rPr>
          <w:spacing w:val="2"/>
          <w:lang w:val="es-ES_tradnl"/>
        </w:rPr>
        <w:t>a</w:t>
      </w:r>
      <w:r>
        <w:rPr>
          <w:spacing w:val="2"/>
          <w:lang w:val="es-ES_tradnl"/>
        </w:rPr>
        <w:t>lud.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16.</w:t>
      </w:r>
      <w:r>
        <w:rPr>
          <w:lang w:val="es-ES_tradnl"/>
        </w:rPr>
        <w:tab/>
        <w:t>Informar acerca de las medidas que se han tomado para asegurar el cumpl</w:t>
      </w:r>
      <w:r>
        <w:rPr>
          <w:lang w:val="es-ES_tradnl"/>
        </w:rPr>
        <w:t>i</w:t>
      </w:r>
      <w:r>
        <w:rPr>
          <w:lang w:val="es-ES_tradnl"/>
        </w:rPr>
        <w:t>miento del artículo 19 de la Ley sobre la Violencia contra la Mujer y la Familia, que establece la penalización del acoso sexual (pág. 26), e indicar si se ha realizado a</w:t>
      </w:r>
      <w:r>
        <w:rPr>
          <w:lang w:val="es-ES_tradnl"/>
        </w:rPr>
        <w:t>l</w:t>
      </w:r>
      <w:r>
        <w:rPr>
          <w:lang w:val="es-ES_tradnl"/>
        </w:rPr>
        <w:t>gún estudio o análisis de impacto de la eficacia de esta disposición.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17.</w:t>
      </w:r>
      <w:r>
        <w:rPr>
          <w:lang w:val="es-ES_tradnl"/>
        </w:rPr>
        <w:tab/>
        <w:t>Proporcionar información adicional que explique las causas de la solicitud del Fiscal General de eliminar las “medidas cautelares” contra los agresores de viole</w:t>
      </w:r>
      <w:r>
        <w:rPr>
          <w:lang w:val="es-ES_tradnl"/>
        </w:rPr>
        <w:t>n</w:t>
      </w:r>
      <w:r>
        <w:rPr>
          <w:lang w:val="es-ES_tradnl"/>
        </w:rPr>
        <w:t>cia doméstica de la Ley sobre la Violencia contra la Mujer y la Familia. Indicar qué resultados se han alcanzado en los esfuerzos por impedir que la propuesta sea ratif</w:t>
      </w:r>
      <w:r>
        <w:rPr>
          <w:lang w:val="es-ES_tradnl"/>
        </w:rPr>
        <w:t>i</w:t>
      </w:r>
      <w:r>
        <w:rPr>
          <w:lang w:val="es-ES_tradnl"/>
        </w:rPr>
        <w:t>cada por el Tribunal Supremo de Justicia y para asegurar que los jueces puedan t</w:t>
      </w:r>
      <w:r>
        <w:rPr>
          <w:lang w:val="es-ES_tradnl"/>
        </w:rPr>
        <w:t>o</w:t>
      </w:r>
      <w:r>
        <w:rPr>
          <w:lang w:val="es-ES_tradnl"/>
        </w:rPr>
        <w:t>mar las medidas cautelares a favor de las víctimas de violencia.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18.</w:t>
      </w:r>
      <w:r>
        <w:rPr>
          <w:lang w:val="es-ES_tradnl"/>
        </w:rPr>
        <w:tab/>
        <w:t>En el informe se describen las funciones de la Defensoría Nacional de los D</w:t>
      </w:r>
      <w:r>
        <w:rPr>
          <w:lang w:val="es-ES_tradnl"/>
        </w:rPr>
        <w:t>e</w:t>
      </w:r>
      <w:r>
        <w:rPr>
          <w:lang w:val="es-ES_tradnl"/>
        </w:rPr>
        <w:t>rechos de la Mujer y el número de mujeres atendidas. Indicar las tendencias y el número de casos atendidos por razones de violencia contra la mujer; si existe o no una tendencia a recurrir a la conciliación; y las medidas de prevención y protección brindadas.</w:t>
      </w: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>Explotación de la prostitución y trata de mujeres y niñas</w:t>
      </w: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19.</w:t>
      </w:r>
      <w:r>
        <w:rPr>
          <w:lang w:val="es-ES_tradnl"/>
        </w:rPr>
        <w:tab/>
        <w:t xml:space="preserve">Proporcionar datos estadísticos sobre la trata de mujeres y niñas e información detallada sobre la magnitud de este fenómeno en las fronteras. 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20.</w:t>
      </w:r>
      <w:r>
        <w:rPr>
          <w:lang w:val="es-ES_tradnl"/>
        </w:rPr>
        <w:tab/>
        <w:t>¿Qué medidas y estrategias se han llevado a cabo para asegurar el cumpl</w:t>
      </w:r>
      <w:r>
        <w:rPr>
          <w:lang w:val="es-ES_tradnl"/>
        </w:rPr>
        <w:t>i</w:t>
      </w:r>
      <w:r>
        <w:rPr>
          <w:lang w:val="es-ES_tradnl"/>
        </w:rPr>
        <w:t>miento y monitoreo del artículo 54 de la Constitución sobre la trata de personas? Proporcionar información sobre los programas de prevención y protección de víct</w:t>
      </w:r>
      <w:r>
        <w:rPr>
          <w:lang w:val="es-ES_tradnl"/>
        </w:rPr>
        <w:t>i</w:t>
      </w:r>
      <w:r>
        <w:rPr>
          <w:lang w:val="es-ES_tradnl"/>
        </w:rPr>
        <w:t xml:space="preserve">mas y sanciones para los responsables. 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21.</w:t>
      </w:r>
      <w:r>
        <w:rPr>
          <w:lang w:val="es-ES_tradnl"/>
        </w:rPr>
        <w:tab/>
        <w:t>Proporcionar información sobre las leyes y otras medidas que prohíben la prostitución y especificar las acciones para desalentar la demanda y sancionar la e</w:t>
      </w:r>
      <w:r>
        <w:rPr>
          <w:lang w:val="es-ES_tradnl"/>
        </w:rPr>
        <w:t>x</w:t>
      </w:r>
      <w:r>
        <w:rPr>
          <w:lang w:val="es-ES_tradnl"/>
        </w:rPr>
        <w:t>plotación y lucro de la prostitución.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22.</w:t>
      </w:r>
      <w:r>
        <w:rPr>
          <w:lang w:val="es-ES_tradnl"/>
        </w:rPr>
        <w:tab/>
        <w:t>Al examinar el tercer informe periódico, el Comité se mostró preocupado por la falta de una respuesta concreta a la prostitución, entre otros problemas (véase A/52/38/Rev.1). Proporcionar más detalles sobre las medidas adoptadas, incluidas las legales, para disminuir la explotación de la prostitución y sus i</w:t>
      </w:r>
      <w:r>
        <w:rPr>
          <w:lang w:val="es-ES_tradnl"/>
        </w:rPr>
        <w:t>m</w:t>
      </w:r>
      <w:r>
        <w:rPr>
          <w:lang w:val="es-ES_tradnl"/>
        </w:rPr>
        <w:t xml:space="preserve">pactos. </w:t>
      </w:r>
    </w:p>
    <w:p w:rsidR="00000000" w:rsidRDefault="00000000">
      <w:pPr>
        <w:pStyle w:val="SingleTxt"/>
        <w:spacing w:after="0" w:line="120" w:lineRule="exact"/>
        <w:rPr>
          <w:i/>
          <w:sz w:val="10"/>
          <w:lang w:val="es-ES_tradnl"/>
        </w:rPr>
      </w:pPr>
    </w:p>
    <w:p w:rsidR="00000000" w:rsidRDefault="00000000">
      <w:pPr>
        <w:pStyle w:val="SingleTxt"/>
        <w:spacing w:after="0" w:line="120" w:lineRule="exact"/>
        <w:rPr>
          <w:i/>
          <w:sz w:val="10"/>
          <w:lang w:val="es-ES_tradnl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>Vida política y pública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23.</w:t>
      </w:r>
      <w:r>
        <w:rPr>
          <w:lang w:val="es-ES_tradnl"/>
        </w:rPr>
        <w:tab/>
        <w:t xml:space="preserve">Proporcionar datos desagregados por sexo sobre la presencia de las mujeres en proporción con los hombres en la Asamblea Nacional, en los partidos políticos, y en la administración pública a nivel central y local. 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24.</w:t>
      </w:r>
      <w:r>
        <w:rPr>
          <w:lang w:val="es-ES_tradnl"/>
        </w:rPr>
        <w:tab/>
        <w:t>Indicar las causas de la baja representación femenina en la Asamblea Nacional y las medidas que se planean para aumentar la participación de las mujeres en los cargos electivos y de la administración del Estado en vista de que se decidió elim</w:t>
      </w:r>
      <w:r>
        <w:rPr>
          <w:lang w:val="es-ES_tradnl"/>
        </w:rPr>
        <w:t>i</w:t>
      </w:r>
      <w:r>
        <w:rPr>
          <w:lang w:val="es-ES_tradnl"/>
        </w:rPr>
        <w:t>nar la cuota del 30% anteriormente existente según la Ley del Sufragio y Particip</w:t>
      </w:r>
      <w:r>
        <w:rPr>
          <w:lang w:val="es-ES_tradnl"/>
        </w:rPr>
        <w:t>a</w:t>
      </w:r>
      <w:r>
        <w:rPr>
          <w:lang w:val="es-ES_tradnl"/>
        </w:rPr>
        <w:t>ción Política.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25.</w:t>
      </w:r>
      <w:r>
        <w:rPr>
          <w:lang w:val="es-ES_tradnl"/>
        </w:rPr>
        <w:tab/>
        <w:t>En el informe se plantea que según la Ley Orgánica de la Administración P</w:t>
      </w:r>
      <w:r>
        <w:rPr>
          <w:lang w:val="es-ES_tradnl"/>
        </w:rPr>
        <w:t>ú</w:t>
      </w:r>
      <w:r>
        <w:rPr>
          <w:lang w:val="es-ES_tradnl"/>
        </w:rPr>
        <w:t>blica “los órganos y entes de la Administración Pública promoverán la participación ciudadana en la gestión pública”, y que “cada órgano o ente público llevará ‘un r</w:t>
      </w:r>
      <w:r>
        <w:rPr>
          <w:lang w:val="es-ES_tradnl"/>
        </w:rPr>
        <w:t>e</w:t>
      </w:r>
      <w:r>
        <w:rPr>
          <w:lang w:val="es-ES_tradnl"/>
        </w:rPr>
        <w:t>gistro de las comunidades organizadas y organizaciones públicas no estatales cuyo efecto se refiere al sector y solicitan libremente su inscripción” (pág. 33). ¿Cuál es la entidad pública a la que corresponde promover la participación ciudadana de las mujeres? Proporcionar información acerca del mecanismo existente para la solicitud de registro, criterios e instancias de aprobación de las organizaciones femeninas que así lo soliciten.</w:t>
      </w: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>Empleo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26.</w:t>
      </w:r>
      <w:r>
        <w:rPr>
          <w:lang w:val="es-ES_tradnl"/>
        </w:rPr>
        <w:tab/>
        <w:t>El Comité expresó su preocupación sobre la desigualdad de los salarios de mujeres y hombres y por el elevado porcentaje de mujeres que recibían menos del salario mínimo (véase A/52/38/Rev.1). Indicar las medidas y resultados alcanzados para poner en práctica la observación final del Comité en este sentido, e incluir i</w:t>
      </w:r>
      <w:r>
        <w:rPr>
          <w:lang w:val="es-ES_tradnl"/>
        </w:rPr>
        <w:t>n</w:t>
      </w:r>
      <w:r>
        <w:rPr>
          <w:lang w:val="es-ES_tradnl"/>
        </w:rPr>
        <w:t>formación sobre el nivel de remuneración de mujeres y hombres en los sectores pr</w:t>
      </w:r>
      <w:r>
        <w:rPr>
          <w:lang w:val="es-ES_tradnl"/>
        </w:rPr>
        <w:t>i</w:t>
      </w:r>
      <w:r>
        <w:rPr>
          <w:lang w:val="es-ES_tradnl"/>
        </w:rPr>
        <w:t>vado, público e informal.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27.</w:t>
      </w:r>
      <w:r>
        <w:rPr>
          <w:lang w:val="es-ES_tradnl"/>
        </w:rPr>
        <w:tab/>
        <w:t>En el examen del tercer informe periódico, el Comité mostró preocupación por la presencia de las mujeres en el mercado informal y en la prestación de servicios mal remunerados (ibíd.). Indicar qué medidas se han tomado para integrar a las m</w:t>
      </w:r>
      <w:r>
        <w:rPr>
          <w:lang w:val="es-ES_tradnl"/>
        </w:rPr>
        <w:t>u</w:t>
      </w:r>
      <w:r>
        <w:rPr>
          <w:lang w:val="es-ES_tradnl"/>
        </w:rPr>
        <w:t>jeres al sector formal y disminuir las tasas de desempleo, y sus resu</w:t>
      </w:r>
      <w:r>
        <w:rPr>
          <w:lang w:val="es-ES_tradnl"/>
        </w:rPr>
        <w:t>l</w:t>
      </w:r>
      <w:r>
        <w:rPr>
          <w:lang w:val="es-ES_tradnl"/>
        </w:rPr>
        <w:t>tados.</w:t>
      </w: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>Salud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28.</w:t>
      </w:r>
      <w:r>
        <w:rPr>
          <w:lang w:val="es-ES_tradnl"/>
        </w:rPr>
        <w:tab/>
        <w:t>En el informe se destaca una serie de medidas para asegurar la salud materno infantil y salud sexual reproductiva (págs. 60 a 63). Sin embargo, los resultados no reflejan la eficacia de estos programas. Incluir información adicional que explique las causas de este fenómeno y las medidas emergentes para r</w:t>
      </w:r>
      <w:r>
        <w:rPr>
          <w:lang w:val="es-ES_tradnl"/>
        </w:rPr>
        <w:t>e</w:t>
      </w:r>
      <w:r>
        <w:rPr>
          <w:lang w:val="es-ES_tradnl"/>
        </w:rPr>
        <w:t>vertir la situación.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29.</w:t>
      </w:r>
      <w:r>
        <w:rPr>
          <w:lang w:val="es-ES_tradnl"/>
        </w:rPr>
        <w:tab/>
        <w:t>El informe señala la existencia de un sistema de vigilancia articulado y un proyecto de intervención integral ITS/VIH/SIDA. Sin embargo, los datos incluidos no reflejan la eficacia de los mismos. Proporcionar información detallada y actual</w:t>
      </w:r>
      <w:r>
        <w:rPr>
          <w:lang w:val="es-ES_tradnl"/>
        </w:rPr>
        <w:t>i</w:t>
      </w:r>
      <w:r>
        <w:rPr>
          <w:lang w:val="es-ES_tradnl"/>
        </w:rPr>
        <w:t>zada sobre la incidencia de ITS/VIH/SIDA en las mujeres por grupos de edades, en áreas urbanas y rurales, e indígenas y afrodescendientes y sobre el impacto del si</w:t>
      </w:r>
      <w:r>
        <w:rPr>
          <w:lang w:val="es-ES_tradnl"/>
        </w:rPr>
        <w:t>s</w:t>
      </w:r>
      <w:r>
        <w:rPr>
          <w:lang w:val="es-ES_tradnl"/>
        </w:rPr>
        <w:t>tema de v</w:t>
      </w:r>
      <w:r>
        <w:rPr>
          <w:lang w:val="es-ES_tradnl"/>
        </w:rPr>
        <w:t>i</w:t>
      </w:r>
      <w:r>
        <w:rPr>
          <w:lang w:val="es-ES_tradnl"/>
        </w:rPr>
        <w:t xml:space="preserve">gilancia y la intervención integral. </w:t>
      </w: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30.</w:t>
      </w:r>
      <w:r>
        <w:rPr>
          <w:lang w:val="es-ES_tradnl"/>
        </w:rPr>
        <w:tab/>
        <w:t>La</w:t>
      </w:r>
      <w:r>
        <w:rPr>
          <w:i/>
          <w:lang w:val="es-ES_tradnl"/>
        </w:rPr>
        <w:t xml:space="preserve"> </w:t>
      </w:r>
      <w:r>
        <w:rPr>
          <w:lang w:val="es-ES_tradnl"/>
        </w:rPr>
        <w:t>Relatora Especial sobre la violencia contra la mujer, sus causas y cons</w:t>
      </w:r>
      <w:r>
        <w:rPr>
          <w:lang w:val="es-ES_tradnl"/>
        </w:rPr>
        <w:t>e</w:t>
      </w:r>
      <w:r>
        <w:rPr>
          <w:lang w:val="es-ES_tradnl"/>
        </w:rPr>
        <w:t>cuencias señala su preocupación acerca de los casos de esterilización forzada al cual han sido sometidas mujeres infectadas con VIH/SIDA (véase E/CN.4/2005/72). I</w:t>
      </w:r>
      <w:r>
        <w:rPr>
          <w:lang w:val="es-ES_tradnl"/>
        </w:rPr>
        <w:t>n</w:t>
      </w:r>
      <w:r>
        <w:rPr>
          <w:lang w:val="es-ES_tradnl"/>
        </w:rPr>
        <w:t xml:space="preserve">dicar cuáles son las medidas adoptadas para evitar esta práctica e informar si existe el enfoque de género en los programas de prevención y atención del VIH/SIDA en las embarazadas. </w:t>
      </w: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es-ES_tradnl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>Mujeres rurales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rPr>
          <w:lang w:val="es-ES_tradnl"/>
        </w:rPr>
      </w:pPr>
      <w:r>
        <w:rPr>
          <w:lang w:val="es-ES_tradnl"/>
        </w:rPr>
        <w:t>31.</w:t>
      </w:r>
      <w:r>
        <w:rPr>
          <w:lang w:val="es-ES_tradnl"/>
        </w:rPr>
        <w:tab/>
        <w:t>Proporcionar información detallada y actualizada, incluyendo los impactos, acerca de los programas y acciones de atención a las indígenas, afrodescendientes, y mujeres en general que residen en zonas rurales, especialmente en comunidades fronterizas; de forma que ilustre los niveles de acceso a la educación, salud, empleo y servicios básicos.</w:t>
      </w:r>
    </w:p>
    <w:p w:rsidR="00000000" w:rsidRDefault="00000000">
      <w:pPr>
        <w:pStyle w:val="SingleTxt"/>
        <w:spacing w:after="0" w:line="240" w:lineRule="auto"/>
      </w:pPr>
      <w:r>
        <w:rPr>
          <w:noProof/>
          <w:w w:val="100"/>
        </w:rPr>
        <w:pict>
          <v:line id="_x0000_s2050" style="position:absolute;left:0;text-align:left;z-index:1;mso-position-horizontal:absolute;mso-position-horizontal-relative:page;mso-position-vertical:absolute;mso-position-vertical-relative:text" from="280.8pt,24pt" to="352.8pt,24pt" o:allowincell="f" strokeweight=".25pt">
            <w10:wrap anchorx="page"/>
          </v:line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NO&gt;&gt;N0545863S&lt;&lt;ODS JOB NO&gt;&gt;</w:t>
      </w:r>
    </w:p>
    <w:p w:rsidR="00000000" w:rsidRDefault="00000000">
      <w:pPr>
        <w:pStyle w:val="CommentText"/>
      </w:pPr>
      <w:r>
        <w:t>&lt;&lt;ODS DOC SYMBOL1&gt;&gt;CEDAW/C/VEN/Q/4-6&lt;&lt;ODS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0545863s.doc</w:t>
          </w:r>
          <w:r>
            <w:rPr>
              <w:b w:val="0"/>
              <w:sz w:val="14"/>
            </w:rPr>
            <w:fldChar w:fldCharType="end"/>
          </w: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0545863s.doc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05-45863 (S)    070905    070905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t>*0545863*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Las referencias de página incluidas en este documento están basadas en la versión en español del informe.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filled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CEDAW/C/VEN/Q/4-6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filled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CEDAW/C/VEN/Q/4-6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20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/C/VEN/Q/4-6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Convención sobre la eliminación</w:t>
          </w:r>
          <w:r>
            <w:rPr>
              <w:sz w:val="34"/>
            </w:rPr>
            <w:br/>
            <w:t>de todas las formas de discriminación</w:t>
          </w:r>
          <w:r>
            <w:rPr>
              <w:sz w:val="34"/>
            </w:rPr>
            <w:br/>
            <w:t>contra la mujer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</w:p>
        <w:p w:rsidR="00000000" w:rsidRDefault="00000000">
          <w:r>
            <w:t>29 de julio de 2005</w:t>
          </w:r>
        </w:p>
        <w:p w:rsidR="00000000" w:rsidRDefault="00000000"/>
        <w:p w:rsidR="00000000" w:rsidRDefault="00000000">
          <w:r>
            <w:t>Original: español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1E5C"/>
    <w:multiLevelType w:val="multilevel"/>
    <w:tmpl w:val="882EC5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1742F"/>
    <w:multiLevelType w:val="singleLevel"/>
    <w:tmpl w:val="19A8A328"/>
    <w:lvl w:ilvl="0">
      <w:start w:val="1"/>
      <w:numFmt w:val="decimal"/>
      <w:lvlText w:val="%1."/>
      <w:lvlJc w:val="left"/>
      <w:pPr>
        <w:tabs>
          <w:tab w:val="num" w:pos="1747"/>
        </w:tabs>
        <w:ind w:left="1747" w:hanging="480"/>
      </w:pPr>
      <w:rPr>
        <w:rFonts w:hint="default"/>
      </w:rPr>
    </w:lvl>
  </w:abstractNum>
  <w:abstractNum w:abstractNumId="2">
    <w:nsid w:val="213A78D9"/>
    <w:multiLevelType w:val="multilevel"/>
    <w:tmpl w:val="A9907C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4C537E3"/>
    <w:multiLevelType w:val="multilevel"/>
    <w:tmpl w:val="336C1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b w:val="0"/>
        <w:i w:val="0"/>
      </w:rPr>
    </w:lvl>
    <w:lvl w:ilvl="2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37340AC3"/>
    <w:multiLevelType w:val="singleLevel"/>
    <w:tmpl w:val="29D07AFA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5">
    <w:nsid w:val="3794768A"/>
    <w:multiLevelType w:val="singleLevel"/>
    <w:tmpl w:val="29D07AFA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6">
    <w:nsid w:val="51920247"/>
    <w:multiLevelType w:val="singleLevel"/>
    <w:tmpl w:val="0B029ACA"/>
    <w:lvl w:ilvl="0">
      <w:start w:val="3"/>
      <w:numFmt w:val="decimal"/>
      <w:lvlText w:val="%1."/>
      <w:lvlJc w:val="left"/>
      <w:pPr>
        <w:tabs>
          <w:tab w:val="num" w:pos="1747"/>
        </w:tabs>
        <w:ind w:left="1747" w:hanging="480"/>
      </w:pPr>
      <w:rPr>
        <w:rFonts w:hint="default"/>
        <w:i w:val="0"/>
      </w:rPr>
    </w:lvl>
  </w:abstractNum>
  <w:abstractNum w:abstractNumId="7">
    <w:nsid w:val="560C5DBE"/>
    <w:multiLevelType w:val="multilevel"/>
    <w:tmpl w:val="279003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94165C0"/>
    <w:multiLevelType w:val="singleLevel"/>
    <w:tmpl w:val="29D07AFA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9">
    <w:nsid w:val="65BF1CA5"/>
    <w:multiLevelType w:val="singleLevel"/>
    <w:tmpl w:val="32EAAC7E"/>
    <w:lvl w:ilvl="0">
      <w:start w:val="14"/>
      <w:numFmt w:val="decimal"/>
      <w:lvlText w:val="%1."/>
      <w:lvlJc w:val="left"/>
      <w:pPr>
        <w:tabs>
          <w:tab w:val="num" w:pos="1747"/>
        </w:tabs>
        <w:ind w:left="1747" w:hanging="480"/>
      </w:pPr>
      <w:rPr>
        <w:rFonts w:hint="default"/>
      </w:rPr>
    </w:lvl>
  </w:abstractNum>
  <w:abstractNum w:abstractNumId="10">
    <w:nsid w:val="71C5545C"/>
    <w:multiLevelType w:val="multilevel"/>
    <w:tmpl w:val="E200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2545393"/>
    <w:multiLevelType w:val="multilevel"/>
    <w:tmpl w:val="E4701C4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8"/>
  </w:num>
  <w:num w:numId="10">
    <w:abstractNumId w:val="5"/>
  </w:num>
  <w:num w:numId="11">
    <w:abstractNumId w:val="6"/>
  </w:num>
  <w:num w:numId="12">
    <w:abstractNumId w:val="9"/>
  </w:num>
  <w:num w:numId="13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4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es-ES_tradnl" w:vendorID="9" w:dllVersion="512" w:checkStyle="1"/>
  <w:doNotTrackMoves/>
  <w:defaultTabStop w:val="475"/>
  <w:autoHyphenation/>
  <w:hyphenationZone w:val="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09/2005 14:32:43"/>
    <w:docVar w:name="DocCategory" w:val="Doc"/>
    <w:docVar w:name="DocType" w:val="Final"/>
    <w:docVar w:name="JobNo" w:val="0545863S"/>
    <w:docVar w:name="OandT" w:val="bb"/>
    <w:docVar w:name="Symbol1" w:val="CEDAW/C/VEN/Q/4-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 w:val="0"/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color w:val="FF0000"/>
      <w:spacing w:val="-5"/>
      <w:w w:val="130"/>
      <w:position w:val="-4"/>
      <w:vertAlign w:val="superscript"/>
    </w:rPr>
  </w:style>
  <w:style w:type="character" w:styleId="EndnoteReference">
    <w:name w:val="endnote reference"/>
    <w:semiHidden/>
    <w:rPr>
      <w:color w:val="FF00FF"/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pPr>
      <w:spacing w:after="80"/>
    </w:pPr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</TotalTime>
  <Pages>5</Pages>
  <Words>1796</Words>
  <Characters>9340</Characters>
  <Application>Microsoft Office Word</Application>
  <DocSecurity>4</DocSecurity>
  <Lines>139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 STPU (Oct. 12, 00_afternoon)</vt:lpstr>
    </vt:vector>
  </TitlesOfParts>
  <Company>United Nations</Company>
  <LinksUpToDate>false</LinksUpToDate>
  <CharactersWithSpaces>12573</CharactersWithSpaces>
  <SharedDoc>false</SharedDoc>
  <HLinks>
    <vt:vector size="6" baseType="variant">
      <vt:variant>
        <vt:i4>4522087</vt:i4>
      </vt:variant>
      <vt:variant>
        <vt:i4>13053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STPU (Oct. 12, 00_afternoon)</dc:title>
  <dc:subject/>
  <dc:creator>Bermúdez, Beatriz</dc:creator>
  <cp:keywords/>
  <dc:description/>
  <cp:lastModifiedBy>Bermúdez, Beatriz</cp:lastModifiedBy>
  <cp:revision>13</cp:revision>
  <cp:lastPrinted>2005-09-07T13:34:00Z</cp:lastPrinted>
  <dcterms:created xsi:type="dcterms:W3CDTF">2005-09-07T12:32:00Z</dcterms:created>
  <dcterms:modified xsi:type="dcterms:W3CDTF">2005-09-07T13:39:00Z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0545863</vt:lpwstr>
  </property>
  <property fmtid="{D5CDD505-2E9C-101B-9397-08002B2CF9AE}" pid="3" name="Symbol1">
    <vt:lpwstr>CEDAW/C/VEN/Q/4-6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>bb</vt:lpwstr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