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3817EA" w14:paraId="16ACDC73" w14:textId="77777777" w:rsidTr="00047038">
        <w:trPr>
          <w:trHeight w:hRule="exact" w:val="851"/>
        </w:trPr>
        <w:tc>
          <w:tcPr>
            <w:tcW w:w="1274" w:type="dxa"/>
            <w:tcBorders>
              <w:bottom w:val="single" w:sz="4" w:space="0" w:color="auto"/>
            </w:tcBorders>
            <w:shd w:val="clear" w:color="auto" w:fill="auto"/>
          </w:tcPr>
          <w:p w14:paraId="2BE18244" w14:textId="77777777" w:rsidR="00E40CC2" w:rsidRPr="00BE5849" w:rsidRDefault="00E40CC2" w:rsidP="000C3A5D">
            <w:pPr>
              <w:kinsoku w:val="0"/>
              <w:overflowPunct w:val="0"/>
              <w:autoSpaceDE w:val="0"/>
              <w:autoSpaceDN w:val="0"/>
              <w:adjustRightInd w:val="0"/>
              <w:snapToGrid w:val="0"/>
              <w:spacing w:after="80" w:line="480" w:lineRule="exact"/>
              <w:rPr>
                <w:sz w:val="40"/>
                <w:szCs w:val="40"/>
                <w:lang w:eastAsia="zh-TW"/>
              </w:rPr>
            </w:pPr>
          </w:p>
        </w:tc>
        <w:tc>
          <w:tcPr>
            <w:tcW w:w="4963" w:type="dxa"/>
            <w:tcBorders>
              <w:bottom w:val="single" w:sz="4" w:space="0" w:color="auto"/>
            </w:tcBorders>
            <w:shd w:val="clear" w:color="auto" w:fill="auto"/>
            <w:vAlign w:val="bottom"/>
          </w:tcPr>
          <w:p w14:paraId="054F3F73" w14:textId="77777777" w:rsidR="00E40CC2" w:rsidRPr="003817EA" w:rsidRDefault="00E40CC2" w:rsidP="00B452DB">
            <w:pPr>
              <w:spacing w:after="80" w:line="480" w:lineRule="exact"/>
              <w:ind w:left="57"/>
              <w:rPr>
                <w:sz w:val="30"/>
                <w:szCs w:val="30"/>
                <w:rtl/>
              </w:rPr>
            </w:pPr>
            <w:r w:rsidRPr="003817EA">
              <w:rPr>
                <w:rFonts w:hint="cs"/>
                <w:sz w:val="30"/>
                <w:szCs w:val="30"/>
                <w:rtl/>
              </w:rPr>
              <w:t>الأمم المتحدة</w:t>
            </w:r>
          </w:p>
        </w:tc>
        <w:tc>
          <w:tcPr>
            <w:tcW w:w="3402" w:type="dxa"/>
            <w:tcBorders>
              <w:bottom w:val="single" w:sz="4" w:space="0" w:color="auto"/>
            </w:tcBorders>
            <w:shd w:val="clear" w:color="auto" w:fill="auto"/>
            <w:vAlign w:val="bottom"/>
          </w:tcPr>
          <w:p w14:paraId="4C41E2F6" w14:textId="75D572B1" w:rsidR="00E40CC2" w:rsidRPr="003817EA" w:rsidRDefault="006E13EF" w:rsidP="006E13EF">
            <w:pPr>
              <w:bidi w:val="0"/>
              <w:rPr>
                <w:szCs w:val="20"/>
                <w:lang w:eastAsia="zh-TW"/>
              </w:rPr>
            </w:pPr>
            <w:r w:rsidRPr="003817EA">
              <w:rPr>
                <w:sz w:val="40"/>
                <w:szCs w:val="20"/>
                <w:lang w:eastAsia="zh-TW"/>
              </w:rPr>
              <w:t>HRI</w:t>
            </w:r>
            <w:r w:rsidRPr="003817EA">
              <w:rPr>
                <w:szCs w:val="20"/>
                <w:lang w:eastAsia="zh-TW"/>
              </w:rPr>
              <w:t>/CORE/ISL/2021</w:t>
            </w:r>
          </w:p>
        </w:tc>
      </w:tr>
      <w:tr w:rsidR="00E40CC2" w:rsidRPr="003817EA" w14:paraId="46F5AADB" w14:textId="77777777" w:rsidTr="00047038">
        <w:trPr>
          <w:trHeight w:hRule="exact" w:val="2835"/>
        </w:trPr>
        <w:tc>
          <w:tcPr>
            <w:tcW w:w="1274" w:type="dxa"/>
            <w:tcBorders>
              <w:top w:val="single" w:sz="4" w:space="0" w:color="auto"/>
              <w:bottom w:val="single" w:sz="12" w:space="0" w:color="auto"/>
            </w:tcBorders>
            <w:shd w:val="clear" w:color="auto" w:fill="auto"/>
          </w:tcPr>
          <w:p w14:paraId="0091DC88" w14:textId="77777777" w:rsidR="00E40CC2" w:rsidRPr="003817EA" w:rsidRDefault="00E40CC2" w:rsidP="00047038">
            <w:pPr>
              <w:jc w:val="center"/>
              <w:rPr>
                <w:sz w:val="56"/>
                <w:szCs w:val="56"/>
                <w:lang w:val="es-ES_tradnl"/>
              </w:rPr>
            </w:pPr>
            <w:r w:rsidRPr="003817EA">
              <w:rPr>
                <w:noProof/>
                <w:sz w:val="56"/>
                <w:szCs w:val="56"/>
              </w:rPr>
              <w:drawing>
                <wp:inline distT="0" distB="0" distL="0" distR="0" wp14:anchorId="2DBBD0C1" wp14:editId="1944437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6C5FC15" w14:textId="77777777" w:rsidR="00E40CC2" w:rsidRPr="001F1035" w:rsidRDefault="00E40CC2" w:rsidP="00B452DB">
            <w:pPr>
              <w:spacing w:before="120" w:after="40" w:line="640" w:lineRule="exact"/>
              <w:ind w:left="57"/>
              <w:rPr>
                <w:rFonts w:ascii="Times New Roman Bold" w:hAnsi="Times New Roman Bold" w:hint="eastAsia"/>
                <w:b/>
                <w:bCs/>
                <w:sz w:val="46"/>
                <w:szCs w:val="46"/>
              </w:rPr>
            </w:pPr>
            <w:r w:rsidRPr="001F1035">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4B6DABB5" w14:textId="77777777" w:rsidR="00E40CC2" w:rsidRPr="003817EA" w:rsidRDefault="006E13EF" w:rsidP="00047038">
            <w:pPr>
              <w:bidi w:val="0"/>
              <w:spacing w:before="240"/>
              <w:rPr>
                <w:szCs w:val="20"/>
              </w:rPr>
            </w:pPr>
            <w:r w:rsidRPr="003817EA">
              <w:rPr>
                <w:szCs w:val="20"/>
              </w:rPr>
              <w:t>Distr.: General</w:t>
            </w:r>
          </w:p>
          <w:p w14:paraId="30A7A104" w14:textId="77777777" w:rsidR="006E13EF" w:rsidRPr="003817EA" w:rsidRDefault="006E13EF" w:rsidP="006E13EF">
            <w:pPr>
              <w:bidi w:val="0"/>
              <w:spacing w:line="240" w:lineRule="exact"/>
              <w:jc w:val="left"/>
              <w:rPr>
                <w:szCs w:val="20"/>
              </w:rPr>
            </w:pPr>
            <w:r w:rsidRPr="003817EA">
              <w:rPr>
                <w:szCs w:val="20"/>
              </w:rPr>
              <w:t>29 July 2021</w:t>
            </w:r>
          </w:p>
          <w:p w14:paraId="060439B3" w14:textId="77777777" w:rsidR="006E13EF" w:rsidRPr="003817EA" w:rsidRDefault="006E13EF" w:rsidP="006E13EF">
            <w:pPr>
              <w:bidi w:val="0"/>
              <w:spacing w:line="240" w:lineRule="exact"/>
              <w:jc w:val="left"/>
              <w:rPr>
                <w:szCs w:val="20"/>
              </w:rPr>
            </w:pPr>
            <w:r w:rsidRPr="003817EA">
              <w:rPr>
                <w:szCs w:val="20"/>
              </w:rPr>
              <w:t>Arabic</w:t>
            </w:r>
          </w:p>
          <w:p w14:paraId="2464B80E" w14:textId="332A9387" w:rsidR="006E13EF" w:rsidRPr="003817EA" w:rsidRDefault="006E13EF" w:rsidP="006E13EF">
            <w:pPr>
              <w:bidi w:val="0"/>
              <w:spacing w:line="240" w:lineRule="exact"/>
              <w:jc w:val="left"/>
              <w:rPr>
                <w:szCs w:val="20"/>
              </w:rPr>
            </w:pPr>
            <w:r w:rsidRPr="003817EA">
              <w:rPr>
                <w:szCs w:val="20"/>
              </w:rPr>
              <w:t>Original: English</w:t>
            </w:r>
          </w:p>
        </w:tc>
      </w:tr>
    </w:tbl>
    <w:p w14:paraId="763B8ECC" w14:textId="77777777" w:rsidR="00A1204B" w:rsidRPr="001F1035" w:rsidRDefault="00A1204B" w:rsidP="00A1204B">
      <w:pPr>
        <w:pStyle w:val="HMGA"/>
        <w:rPr>
          <w:rtl/>
        </w:rPr>
      </w:pPr>
      <w:r w:rsidRPr="001F1035">
        <w:rPr>
          <w:rtl/>
        </w:rPr>
        <w:tab/>
      </w:r>
      <w:r w:rsidRPr="001F1035">
        <w:rPr>
          <w:rtl/>
        </w:rPr>
        <w:tab/>
        <w:t>وثيقة أساسية موحدة تشكل جزءاً من تقارير الدول الأطراف</w:t>
      </w:r>
    </w:p>
    <w:p w14:paraId="65E222A7" w14:textId="77777777" w:rsidR="00A1204B" w:rsidRPr="001F1035" w:rsidRDefault="00A1204B" w:rsidP="00A1204B">
      <w:pPr>
        <w:pStyle w:val="HMGA"/>
      </w:pPr>
      <w:r w:rsidRPr="001F1035">
        <w:rPr>
          <w:rtl/>
        </w:rPr>
        <w:tab/>
      </w:r>
      <w:r w:rsidRPr="001F1035">
        <w:rPr>
          <w:rtl/>
        </w:rPr>
        <w:tab/>
        <w:t>آيسلندا</w:t>
      </w:r>
      <w:bookmarkStart w:id="0" w:name="_GoBack"/>
      <w:bookmarkEnd w:id="0"/>
      <w:r w:rsidRPr="005A069E">
        <w:rPr>
          <w:rStyle w:val="FootnoteReference"/>
          <w:rFonts w:ascii="Times New Roman Bold" w:hAnsi="Times New Roman Bold"/>
          <w:position w:val="8"/>
          <w:sz w:val="22"/>
          <w:szCs w:val="22"/>
          <w:vertAlign w:val="baseline"/>
          <w:rtl/>
        </w:rPr>
        <w:footnoteReference w:customMarkFollows="1" w:id="1"/>
        <w:t>*</w:t>
      </w:r>
    </w:p>
    <w:p w14:paraId="2F58508A" w14:textId="77777777" w:rsidR="00A1204B" w:rsidRPr="003817EA" w:rsidRDefault="00A1204B" w:rsidP="00A1204B">
      <w:pPr>
        <w:pStyle w:val="SingleTxtGA"/>
        <w:rPr>
          <w:rtl/>
        </w:rPr>
      </w:pPr>
      <w:r w:rsidRPr="003817EA">
        <w:rPr>
          <w:rtl/>
        </w:rPr>
        <w:t>[تاريخ الاستلام</w:t>
      </w:r>
      <w:r w:rsidRPr="003817EA">
        <w:t>:</w:t>
      </w:r>
      <w:r w:rsidRPr="003817EA">
        <w:rPr>
          <w:rtl/>
        </w:rPr>
        <w:t xml:space="preserve"> 20 نيسان/أبريل 2021]</w:t>
      </w:r>
    </w:p>
    <w:p w14:paraId="6A1678E0" w14:textId="77777777" w:rsidR="00A1204B" w:rsidRPr="001F1035" w:rsidRDefault="00A1204B" w:rsidP="00A1204B">
      <w:pPr>
        <w:pStyle w:val="SingleTxtGA"/>
        <w:rPr>
          <w:b/>
          <w:bCs/>
        </w:rPr>
      </w:pPr>
      <w:r w:rsidRPr="003817EA">
        <w:br w:type="page"/>
      </w:r>
    </w:p>
    <w:p w14:paraId="7B2812CC" w14:textId="77777777" w:rsidR="00A1204B" w:rsidRPr="001F1035" w:rsidRDefault="00A1204B" w:rsidP="00A1204B">
      <w:pPr>
        <w:pStyle w:val="HChGA"/>
        <w:rPr>
          <w:rtl/>
        </w:rPr>
      </w:pPr>
      <w:r w:rsidRPr="001F1035">
        <w:rPr>
          <w:rtl/>
        </w:rPr>
        <w:lastRenderedPageBreak/>
        <w:tab/>
        <w:t>أولا</w:t>
      </w:r>
      <w:r w:rsidRPr="001F1035">
        <w:rPr>
          <w:rFonts w:hint="cs"/>
          <w:rtl/>
        </w:rPr>
        <w:t>ً</w:t>
      </w:r>
      <w:r w:rsidRPr="001F1035">
        <w:rPr>
          <w:rtl/>
        </w:rPr>
        <w:t>-</w:t>
      </w:r>
      <w:r w:rsidRPr="001F1035">
        <w:rPr>
          <w:rtl/>
        </w:rPr>
        <w:tab/>
        <w:t>معلومات عامة</w:t>
      </w:r>
    </w:p>
    <w:p w14:paraId="4B660BC1" w14:textId="77777777" w:rsidR="00A1204B" w:rsidRPr="001F1035" w:rsidRDefault="00A1204B" w:rsidP="00A1204B">
      <w:pPr>
        <w:pStyle w:val="H1GA"/>
        <w:rPr>
          <w:rtl/>
        </w:rPr>
      </w:pPr>
      <w:r w:rsidRPr="001F1035">
        <w:rPr>
          <w:rtl/>
        </w:rPr>
        <w:tab/>
        <w:t>ألف-</w:t>
      </w:r>
      <w:r w:rsidRPr="001F1035">
        <w:rPr>
          <w:rtl/>
        </w:rPr>
        <w:tab/>
        <w:t>الخصائص الديموغرافية والاقتصادية والاجتماعية والثقافية للدولة</w:t>
      </w:r>
    </w:p>
    <w:p w14:paraId="24DDB778" w14:textId="77777777" w:rsidR="00A1204B" w:rsidRPr="001F1035" w:rsidRDefault="00A1204B" w:rsidP="00A1204B">
      <w:pPr>
        <w:pStyle w:val="H23GA"/>
        <w:rPr>
          <w:rtl/>
        </w:rPr>
      </w:pPr>
      <w:r w:rsidRPr="001F1035">
        <w:rPr>
          <w:rtl/>
        </w:rPr>
        <w:tab/>
        <w:t>1-</w:t>
      </w:r>
      <w:r w:rsidRPr="001F1035">
        <w:rPr>
          <w:rtl/>
        </w:rPr>
        <w:tab/>
        <w:t>الديموغرافيا</w:t>
      </w:r>
    </w:p>
    <w:p w14:paraId="68D42D97" w14:textId="77777777" w:rsidR="00A1204B" w:rsidRPr="003817EA" w:rsidRDefault="00A1204B" w:rsidP="00A1204B">
      <w:pPr>
        <w:pStyle w:val="SingleTxtGA"/>
        <w:rPr>
          <w:rtl/>
        </w:rPr>
      </w:pPr>
      <w:r w:rsidRPr="003817EA">
        <w:rPr>
          <w:rtl/>
        </w:rPr>
        <w:t>1</w:t>
      </w:r>
      <w:r w:rsidRPr="001F1035">
        <w:rPr>
          <w:b/>
          <w:bCs/>
          <w:rtl/>
        </w:rPr>
        <w:t>-</w:t>
      </w:r>
      <w:r w:rsidRPr="003817EA">
        <w:rPr>
          <w:rtl/>
        </w:rPr>
        <w:tab/>
        <w:t>في الأول من كانون الثاني/يناير 2020</w:t>
      </w:r>
      <w:r w:rsidRPr="003817EA">
        <w:rPr>
          <w:rFonts w:hint="cs"/>
          <w:rtl/>
        </w:rPr>
        <w:t>،</w:t>
      </w:r>
      <w:r w:rsidRPr="003817EA">
        <w:rPr>
          <w:rtl/>
        </w:rPr>
        <w:t xml:space="preserve"> بلغ عدد سكان آيسلندا</w:t>
      </w:r>
      <w:r w:rsidRPr="003817EA">
        <w:rPr>
          <w:rFonts w:hint="cs"/>
          <w:rtl/>
        </w:rPr>
        <w:t xml:space="preserve"> 134</w:t>
      </w:r>
      <w:r w:rsidRPr="003817EA">
        <w:rPr>
          <w:rtl/>
        </w:rPr>
        <w:t> </w:t>
      </w:r>
      <w:r w:rsidRPr="003817EA">
        <w:rPr>
          <w:rFonts w:hint="cs"/>
          <w:rtl/>
        </w:rPr>
        <w:t>364 نسمة</w:t>
      </w:r>
      <w:r w:rsidRPr="003817EA">
        <w:rPr>
          <w:rtl/>
        </w:rPr>
        <w:t>. وبلغ عدد سكان ريكيافيك، عاصمة البلد وكبرى مدنه،</w:t>
      </w:r>
      <w:r w:rsidRPr="003817EA">
        <w:rPr>
          <w:rFonts w:hint="cs"/>
          <w:rtl/>
        </w:rPr>
        <w:t xml:space="preserve"> 770</w:t>
      </w:r>
      <w:r w:rsidRPr="003817EA">
        <w:rPr>
          <w:rtl/>
        </w:rPr>
        <w:t> </w:t>
      </w:r>
      <w:r w:rsidRPr="003817EA">
        <w:rPr>
          <w:rFonts w:hint="cs"/>
          <w:rtl/>
        </w:rPr>
        <w:t>129</w:t>
      </w:r>
      <w:r w:rsidRPr="003817EA">
        <w:rPr>
          <w:rtl/>
        </w:rPr>
        <w:t xml:space="preserve"> نسمة، فيما بلغ عدد سكان منطقة العاصمة الكبرى</w:t>
      </w:r>
      <w:r w:rsidRPr="003817EA">
        <w:rPr>
          <w:rFonts w:hint="cs"/>
          <w:rtl/>
        </w:rPr>
        <w:t xml:space="preserve"> 716</w:t>
      </w:r>
      <w:r w:rsidRPr="003817EA">
        <w:rPr>
          <w:rtl/>
        </w:rPr>
        <w:t> </w:t>
      </w:r>
      <w:r w:rsidRPr="003817EA">
        <w:rPr>
          <w:rFonts w:hint="cs"/>
          <w:rtl/>
        </w:rPr>
        <w:t>231</w:t>
      </w:r>
      <w:r w:rsidRPr="003817EA">
        <w:rPr>
          <w:rtl/>
        </w:rPr>
        <w:t xml:space="preserve"> نسمة.</w:t>
      </w:r>
    </w:p>
    <w:tbl>
      <w:tblPr>
        <w:tblStyle w:val="TABLEA"/>
        <w:bidiVisual/>
        <w:tblW w:w="7370" w:type="dxa"/>
        <w:jc w:val="left"/>
        <w:tblInd w:w="1247" w:type="dxa"/>
        <w:tblLayout w:type="fixed"/>
        <w:tblLook w:val="04E0" w:firstRow="1" w:lastRow="1" w:firstColumn="1" w:lastColumn="0" w:noHBand="0" w:noVBand="1"/>
      </w:tblPr>
      <w:tblGrid>
        <w:gridCol w:w="1208"/>
        <w:gridCol w:w="1861"/>
        <w:gridCol w:w="2289"/>
        <w:gridCol w:w="2012"/>
      </w:tblGrid>
      <w:tr w:rsidR="00A1204B" w:rsidRPr="003817EA" w14:paraId="2DAE6846"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1208" w:type="dxa"/>
            <w:noWrap/>
            <w:hideMark/>
          </w:tcPr>
          <w:p w14:paraId="2EE5E022"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السنة</w:t>
            </w:r>
          </w:p>
        </w:tc>
        <w:tc>
          <w:tcPr>
            <w:tcW w:w="1861" w:type="dxa"/>
            <w:noWrap/>
            <w:hideMark/>
          </w:tcPr>
          <w:p w14:paraId="43D44FDE"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عدد السكان</w:t>
            </w:r>
          </w:p>
        </w:tc>
        <w:tc>
          <w:tcPr>
            <w:tcW w:w="2289" w:type="dxa"/>
            <w:noWrap/>
            <w:hideMark/>
          </w:tcPr>
          <w:p w14:paraId="4308D77B" w14:textId="39271C74"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معدل النمو السكاني (</w:t>
            </w:r>
            <w:r w:rsidRPr="001F1035">
              <w:rPr>
                <w:rFonts w:hint="cs"/>
                <w:i/>
                <w:iCs/>
                <w:sz w:val="18"/>
                <w:szCs w:val="18"/>
                <w:rtl/>
              </w:rPr>
              <w:t>بالنسبة المئوية</w:t>
            </w:r>
            <w:r w:rsidRPr="001F1035">
              <w:rPr>
                <w:i/>
                <w:iCs/>
                <w:sz w:val="18"/>
                <w:szCs w:val="18"/>
                <w:rtl/>
              </w:rPr>
              <w:t>)</w:t>
            </w:r>
          </w:p>
        </w:tc>
        <w:tc>
          <w:tcPr>
            <w:tcW w:w="2012" w:type="dxa"/>
            <w:noWrap/>
            <w:hideMark/>
          </w:tcPr>
          <w:p w14:paraId="453F6FBC"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عدد السكان لكل كم2</w:t>
            </w:r>
          </w:p>
        </w:tc>
      </w:tr>
      <w:tr w:rsidR="00A1204B" w:rsidRPr="003817EA" w14:paraId="4AB4F982" w14:textId="77777777" w:rsidTr="00047038">
        <w:trPr>
          <w:jc w:val="left"/>
        </w:trPr>
        <w:tc>
          <w:tcPr>
            <w:tcW w:w="1208" w:type="dxa"/>
            <w:noWrap/>
            <w:hideMark/>
          </w:tcPr>
          <w:p w14:paraId="16E30B4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2014</w:t>
            </w:r>
          </w:p>
        </w:tc>
        <w:tc>
          <w:tcPr>
            <w:tcW w:w="1861" w:type="dxa"/>
            <w:noWrap/>
            <w:hideMark/>
          </w:tcPr>
          <w:p w14:paraId="1F33EE4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340 326</w:t>
            </w:r>
          </w:p>
        </w:tc>
        <w:tc>
          <w:tcPr>
            <w:tcW w:w="2289" w:type="dxa"/>
            <w:noWrap/>
            <w:hideMark/>
          </w:tcPr>
          <w:p w14:paraId="26489A3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w:t>
            </w:r>
          </w:p>
        </w:tc>
        <w:tc>
          <w:tcPr>
            <w:tcW w:w="2012" w:type="dxa"/>
            <w:noWrap/>
            <w:hideMark/>
          </w:tcPr>
          <w:p w14:paraId="4A5219C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r>
      <w:tr w:rsidR="00A1204B" w:rsidRPr="003817EA" w14:paraId="780E4E6E" w14:textId="77777777" w:rsidTr="00047038">
        <w:trPr>
          <w:jc w:val="left"/>
        </w:trPr>
        <w:tc>
          <w:tcPr>
            <w:tcW w:w="1208" w:type="dxa"/>
            <w:noWrap/>
            <w:hideMark/>
          </w:tcPr>
          <w:p w14:paraId="1BD4CBD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2015</w:t>
            </w:r>
          </w:p>
        </w:tc>
        <w:tc>
          <w:tcPr>
            <w:tcW w:w="1861" w:type="dxa"/>
            <w:noWrap/>
            <w:hideMark/>
          </w:tcPr>
          <w:p w14:paraId="4D9DBCB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740 329</w:t>
            </w:r>
          </w:p>
        </w:tc>
        <w:tc>
          <w:tcPr>
            <w:tcW w:w="2289" w:type="dxa"/>
            <w:noWrap/>
            <w:hideMark/>
          </w:tcPr>
          <w:p w14:paraId="375EAE9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w:t>
            </w:r>
          </w:p>
        </w:tc>
        <w:tc>
          <w:tcPr>
            <w:tcW w:w="2012" w:type="dxa"/>
            <w:noWrap/>
            <w:hideMark/>
          </w:tcPr>
          <w:p w14:paraId="465CFAC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r>
      <w:tr w:rsidR="00A1204B" w:rsidRPr="003817EA" w14:paraId="04ADE2CC" w14:textId="77777777" w:rsidTr="00047038">
        <w:trPr>
          <w:jc w:val="left"/>
        </w:trPr>
        <w:tc>
          <w:tcPr>
            <w:tcW w:w="1208" w:type="dxa"/>
            <w:noWrap/>
            <w:hideMark/>
          </w:tcPr>
          <w:p w14:paraId="57E3C87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2016</w:t>
            </w:r>
          </w:p>
        </w:tc>
        <w:tc>
          <w:tcPr>
            <w:tcW w:w="1861" w:type="dxa"/>
            <w:noWrap/>
            <w:hideMark/>
          </w:tcPr>
          <w:p w14:paraId="588F97C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sz w:val="18"/>
                <w:szCs w:val="18"/>
                <w:rtl/>
              </w:rPr>
              <w:t>300 334</w:t>
            </w:r>
          </w:p>
        </w:tc>
        <w:tc>
          <w:tcPr>
            <w:tcW w:w="2289" w:type="dxa"/>
            <w:noWrap/>
            <w:hideMark/>
          </w:tcPr>
          <w:p w14:paraId="17BDF5B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w:t>
            </w:r>
          </w:p>
        </w:tc>
        <w:tc>
          <w:tcPr>
            <w:tcW w:w="2012" w:type="dxa"/>
            <w:noWrap/>
            <w:hideMark/>
          </w:tcPr>
          <w:p w14:paraId="6D87900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r>
      <w:tr w:rsidR="00A1204B" w:rsidRPr="003817EA" w14:paraId="7D6AA573" w14:textId="77777777" w:rsidTr="00047038">
        <w:trPr>
          <w:jc w:val="left"/>
        </w:trPr>
        <w:tc>
          <w:tcPr>
            <w:tcW w:w="1208" w:type="dxa"/>
            <w:noWrap/>
            <w:hideMark/>
          </w:tcPr>
          <w:p w14:paraId="1DE255B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2017</w:t>
            </w:r>
          </w:p>
        </w:tc>
        <w:tc>
          <w:tcPr>
            <w:tcW w:w="1861" w:type="dxa"/>
            <w:noWrap/>
            <w:hideMark/>
          </w:tcPr>
          <w:p w14:paraId="0EFE603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110 340</w:t>
            </w:r>
          </w:p>
        </w:tc>
        <w:tc>
          <w:tcPr>
            <w:tcW w:w="2289" w:type="dxa"/>
            <w:noWrap/>
            <w:hideMark/>
          </w:tcPr>
          <w:p w14:paraId="4FBEBE1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w:t>
            </w:r>
          </w:p>
        </w:tc>
        <w:tc>
          <w:tcPr>
            <w:tcW w:w="2012" w:type="dxa"/>
            <w:noWrap/>
            <w:hideMark/>
          </w:tcPr>
          <w:p w14:paraId="638EEEC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r>
      <w:tr w:rsidR="00A1204B" w:rsidRPr="003817EA" w14:paraId="57E3AC75"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1208" w:type="dxa"/>
            <w:noWrap/>
            <w:hideMark/>
          </w:tcPr>
          <w:p w14:paraId="7F5A1B3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2018</w:t>
            </w:r>
          </w:p>
        </w:tc>
        <w:tc>
          <w:tcPr>
            <w:tcW w:w="1861" w:type="dxa"/>
            <w:noWrap/>
            <w:hideMark/>
          </w:tcPr>
          <w:p w14:paraId="3ED329A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710 350</w:t>
            </w:r>
          </w:p>
        </w:tc>
        <w:tc>
          <w:tcPr>
            <w:tcW w:w="2289" w:type="dxa"/>
            <w:noWrap/>
            <w:hideMark/>
          </w:tcPr>
          <w:p w14:paraId="45F1E4A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2,4</w:t>
            </w:r>
          </w:p>
        </w:tc>
        <w:tc>
          <w:tcPr>
            <w:tcW w:w="2012" w:type="dxa"/>
            <w:noWrap/>
            <w:hideMark/>
          </w:tcPr>
          <w:p w14:paraId="6BDEA81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r>
    </w:tbl>
    <w:p w14:paraId="545BFB90" w14:textId="77777777" w:rsidR="00A1204B" w:rsidRPr="003817EA" w:rsidRDefault="00A1204B" w:rsidP="00A1204B">
      <w:pPr>
        <w:pStyle w:val="SingleTxtGA"/>
      </w:pPr>
    </w:p>
    <w:tbl>
      <w:tblPr>
        <w:tblStyle w:val="TABLEA"/>
        <w:bidiVisual/>
        <w:tblW w:w="7370" w:type="dxa"/>
        <w:jc w:val="left"/>
        <w:tblInd w:w="1247" w:type="dxa"/>
        <w:tblLayout w:type="fixed"/>
        <w:tblLook w:val="04E0" w:firstRow="1" w:lastRow="1" w:firstColumn="1" w:lastColumn="0" w:noHBand="0" w:noVBand="1"/>
      </w:tblPr>
      <w:tblGrid>
        <w:gridCol w:w="2456"/>
        <w:gridCol w:w="2457"/>
        <w:gridCol w:w="2457"/>
      </w:tblGrid>
      <w:tr w:rsidR="00A1204B" w:rsidRPr="003817EA" w14:paraId="45D25674"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2456" w:type="dxa"/>
            <w:noWrap/>
            <w:hideMark/>
          </w:tcPr>
          <w:p w14:paraId="67CEB534"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السنة</w:t>
            </w:r>
          </w:p>
        </w:tc>
        <w:tc>
          <w:tcPr>
            <w:tcW w:w="2457" w:type="dxa"/>
            <w:noWrap/>
            <w:hideMark/>
          </w:tcPr>
          <w:p w14:paraId="000A6955"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السكان في المناطق الريفية</w:t>
            </w:r>
          </w:p>
        </w:tc>
        <w:tc>
          <w:tcPr>
            <w:tcW w:w="2457" w:type="dxa"/>
            <w:noWrap/>
            <w:hideMark/>
          </w:tcPr>
          <w:p w14:paraId="2A778266"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السكان في المناطق الحضرية</w:t>
            </w:r>
          </w:p>
        </w:tc>
      </w:tr>
      <w:tr w:rsidR="00A1204B" w:rsidRPr="003817EA" w14:paraId="69CAF3D3" w14:textId="77777777" w:rsidTr="00047038">
        <w:trPr>
          <w:jc w:val="left"/>
        </w:trPr>
        <w:tc>
          <w:tcPr>
            <w:tcW w:w="2456" w:type="dxa"/>
            <w:noWrap/>
            <w:hideMark/>
          </w:tcPr>
          <w:p w14:paraId="314B67A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2014</w:t>
            </w:r>
          </w:p>
        </w:tc>
        <w:tc>
          <w:tcPr>
            <w:tcW w:w="2457" w:type="dxa"/>
            <w:noWrap/>
            <w:hideMark/>
          </w:tcPr>
          <w:p w14:paraId="34D3238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029 20</w:t>
            </w:r>
          </w:p>
        </w:tc>
        <w:tc>
          <w:tcPr>
            <w:tcW w:w="2457" w:type="dxa"/>
            <w:noWrap/>
            <w:hideMark/>
          </w:tcPr>
          <w:p w14:paraId="23074AB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642 305</w:t>
            </w:r>
          </w:p>
        </w:tc>
      </w:tr>
      <w:tr w:rsidR="00A1204B" w:rsidRPr="003817EA" w14:paraId="0A4525D7" w14:textId="77777777" w:rsidTr="00047038">
        <w:trPr>
          <w:jc w:val="left"/>
        </w:trPr>
        <w:tc>
          <w:tcPr>
            <w:tcW w:w="2456" w:type="dxa"/>
            <w:noWrap/>
            <w:hideMark/>
          </w:tcPr>
          <w:p w14:paraId="29F8C43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2015</w:t>
            </w:r>
          </w:p>
        </w:tc>
        <w:tc>
          <w:tcPr>
            <w:tcW w:w="2457" w:type="dxa"/>
            <w:noWrap/>
            <w:hideMark/>
          </w:tcPr>
          <w:p w14:paraId="478C2E4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585 20</w:t>
            </w:r>
          </w:p>
        </w:tc>
        <w:tc>
          <w:tcPr>
            <w:tcW w:w="2457" w:type="dxa"/>
            <w:noWrap/>
            <w:hideMark/>
          </w:tcPr>
          <w:p w14:paraId="67D8FBE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515 308</w:t>
            </w:r>
          </w:p>
        </w:tc>
      </w:tr>
      <w:tr w:rsidR="00A1204B" w:rsidRPr="003817EA" w14:paraId="744B52E5" w14:textId="77777777" w:rsidTr="00047038">
        <w:trPr>
          <w:jc w:val="left"/>
        </w:trPr>
        <w:tc>
          <w:tcPr>
            <w:tcW w:w="2456" w:type="dxa"/>
            <w:noWrap/>
            <w:hideMark/>
          </w:tcPr>
          <w:p w14:paraId="19C956D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2016</w:t>
            </w:r>
          </w:p>
        </w:tc>
        <w:tc>
          <w:tcPr>
            <w:tcW w:w="2457" w:type="dxa"/>
            <w:noWrap/>
            <w:hideMark/>
          </w:tcPr>
          <w:p w14:paraId="5C143BC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679 20</w:t>
            </w:r>
          </w:p>
        </w:tc>
        <w:tc>
          <w:tcPr>
            <w:tcW w:w="2457" w:type="dxa"/>
            <w:noWrap/>
            <w:hideMark/>
          </w:tcPr>
          <w:p w14:paraId="0F45654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sz w:val="18"/>
                <w:szCs w:val="18"/>
                <w:rtl/>
              </w:rPr>
              <w:t>850 311</w:t>
            </w:r>
          </w:p>
        </w:tc>
      </w:tr>
      <w:tr w:rsidR="00A1204B" w:rsidRPr="003817EA" w14:paraId="0B5C9156" w14:textId="77777777" w:rsidTr="00047038">
        <w:trPr>
          <w:jc w:val="left"/>
        </w:trPr>
        <w:tc>
          <w:tcPr>
            <w:tcW w:w="2456" w:type="dxa"/>
            <w:noWrap/>
            <w:hideMark/>
          </w:tcPr>
          <w:p w14:paraId="08B80FE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2017</w:t>
            </w:r>
          </w:p>
        </w:tc>
        <w:tc>
          <w:tcPr>
            <w:tcW w:w="2457" w:type="dxa"/>
            <w:noWrap/>
            <w:hideMark/>
          </w:tcPr>
          <w:p w14:paraId="1847F74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455 21</w:t>
            </w:r>
          </w:p>
        </w:tc>
        <w:tc>
          <w:tcPr>
            <w:tcW w:w="2457" w:type="dxa"/>
            <w:noWrap/>
            <w:hideMark/>
          </w:tcPr>
          <w:p w14:paraId="1BE716A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904 316</w:t>
            </w:r>
          </w:p>
        </w:tc>
      </w:tr>
      <w:tr w:rsidR="00A1204B" w:rsidRPr="003817EA" w14:paraId="5ACC9EA2"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2456" w:type="dxa"/>
            <w:noWrap/>
            <w:hideMark/>
          </w:tcPr>
          <w:p w14:paraId="7940381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2018</w:t>
            </w:r>
          </w:p>
        </w:tc>
        <w:tc>
          <w:tcPr>
            <w:tcW w:w="2457" w:type="dxa"/>
            <w:noWrap/>
            <w:hideMark/>
          </w:tcPr>
          <w:p w14:paraId="2FB52F9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048 22</w:t>
            </w:r>
          </w:p>
        </w:tc>
        <w:tc>
          <w:tcPr>
            <w:tcW w:w="2457" w:type="dxa"/>
            <w:noWrap/>
            <w:hideMark/>
          </w:tcPr>
          <w:p w14:paraId="54EE735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559 330</w:t>
            </w:r>
          </w:p>
        </w:tc>
      </w:tr>
    </w:tbl>
    <w:p w14:paraId="76EEA39C" w14:textId="77777777" w:rsidR="00A1204B" w:rsidRPr="001F1035" w:rsidRDefault="00A1204B" w:rsidP="00A1204B">
      <w:pPr>
        <w:pStyle w:val="SingleTxtGA"/>
        <w:spacing w:after="20"/>
        <w:rPr>
          <w:rFonts w:ascii="Times New Roman Italic" w:hAnsi="Times New Roman Italic" w:hint="eastAsia"/>
          <w:i/>
          <w:iCs/>
          <w:sz w:val="20"/>
          <w:szCs w:val="20"/>
          <w:rtl/>
        </w:rPr>
      </w:pPr>
      <w:r w:rsidRPr="001F1035">
        <w:rPr>
          <w:i/>
          <w:iCs/>
          <w:rtl/>
        </w:rPr>
        <w:tab/>
      </w:r>
      <w:r w:rsidRPr="001F1035">
        <w:rPr>
          <w:i/>
          <w:iCs/>
          <w:rtl/>
        </w:rPr>
        <w:softHyphen/>
      </w:r>
      <w:r w:rsidRPr="001F1035">
        <w:rPr>
          <w:rFonts w:ascii="Times New Roman Italic" w:hAnsi="Times New Roman Italic"/>
          <w:i/>
          <w:iCs/>
          <w:sz w:val="20"/>
          <w:szCs w:val="20"/>
          <w:rtl/>
        </w:rPr>
        <w:t>المناطق الحضرية: أكثر من 200 نسمة.</w:t>
      </w:r>
    </w:p>
    <w:p w14:paraId="3C07940E" w14:textId="77777777" w:rsidR="00A1204B" w:rsidRPr="001F1035" w:rsidRDefault="00A1204B" w:rsidP="00A1204B">
      <w:pPr>
        <w:pStyle w:val="SingleTxtGA"/>
        <w:spacing w:after="20"/>
        <w:rPr>
          <w:rFonts w:ascii="Times New Roman Italic" w:hAnsi="Times New Roman Italic" w:hint="eastAsia"/>
          <w:i/>
          <w:iCs/>
          <w:sz w:val="20"/>
          <w:szCs w:val="20"/>
          <w:rtl/>
        </w:rPr>
      </w:pPr>
      <w:r w:rsidRPr="001F1035">
        <w:rPr>
          <w:rFonts w:ascii="Times New Roman Italic" w:hAnsi="Times New Roman Italic"/>
          <w:i/>
          <w:iCs/>
          <w:sz w:val="20"/>
          <w:szCs w:val="20"/>
          <w:rtl/>
        </w:rPr>
        <w:tab/>
        <w:t>المناطق الريفية: أقل من 200 نسمة.</w:t>
      </w:r>
    </w:p>
    <w:p w14:paraId="09C7A4A5" w14:textId="77777777" w:rsidR="00A1204B" w:rsidRPr="001F1035" w:rsidRDefault="00A1204B" w:rsidP="00A1204B">
      <w:pPr>
        <w:pStyle w:val="SingleTxtGA"/>
        <w:spacing w:before="240"/>
        <w:rPr>
          <w:i/>
          <w:iCs/>
          <w:rtl/>
        </w:rPr>
      </w:pPr>
      <w:r w:rsidRPr="001F1035">
        <w:rPr>
          <w:i/>
          <w:iCs/>
          <w:rtl/>
        </w:rPr>
        <w:tab/>
        <w:t>ويوضح الجدول التالي التركيبة العمرية لسكان آيسلندا خلال الفترة 2015-2019.</w:t>
      </w:r>
    </w:p>
    <w:tbl>
      <w:tblPr>
        <w:tblStyle w:val="TABLEA"/>
        <w:bidiVisual/>
        <w:tblW w:w="7370" w:type="dxa"/>
        <w:jc w:val="left"/>
        <w:tblInd w:w="1247" w:type="dxa"/>
        <w:tblLayout w:type="fixed"/>
        <w:tblLook w:val="04E0" w:firstRow="1" w:lastRow="1" w:firstColumn="1" w:lastColumn="0" w:noHBand="0" w:noVBand="1"/>
      </w:tblPr>
      <w:tblGrid>
        <w:gridCol w:w="1464"/>
        <w:gridCol w:w="1182"/>
        <w:gridCol w:w="1181"/>
        <w:gridCol w:w="1181"/>
        <w:gridCol w:w="1181"/>
        <w:gridCol w:w="1181"/>
      </w:tblGrid>
      <w:tr w:rsidR="00A1204B" w:rsidRPr="003817EA" w14:paraId="2954809D"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1860" w:type="dxa"/>
            <w:noWrap/>
            <w:hideMark/>
          </w:tcPr>
          <w:p w14:paraId="4B041353"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المجموع</w:t>
            </w:r>
          </w:p>
        </w:tc>
        <w:tc>
          <w:tcPr>
            <w:tcW w:w="1500" w:type="dxa"/>
            <w:noWrap/>
            <w:hideMark/>
          </w:tcPr>
          <w:p w14:paraId="766638A2"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2015</w:t>
            </w:r>
          </w:p>
        </w:tc>
        <w:tc>
          <w:tcPr>
            <w:tcW w:w="1499" w:type="dxa"/>
            <w:noWrap/>
            <w:hideMark/>
          </w:tcPr>
          <w:p w14:paraId="4A9784C1"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2016</w:t>
            </w:r>
          </w:p>
        </w:tc>
        <w:tc>
          <w:tcPr>
            <w:tcW w:w="1499" w:type="dxa"/>
            <w:noWrap/>
            <w:hideMark/>
          </w:tcPr>
          <w:p w14:paraId="31CCBB2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2017</w:t>
            </w:r>
          </w:p>
        </w:tc>
        <w:tc>
          <w:tcPr>
            <w:tcW w:w="1499" w:type="dxa"/>
            <w:noWrap/>
            <w:hideMark/>
          </w:tcPr>
          <w:p w14:paraId="1634953F"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2018</w:t>
            </w:r>
          </w:p>
        </w:tc>
        <w:tc>
          <w:tcPr>
            <w:tcW w:w="1499" w:type="dxa"/>
            <w:noWrap/>
            <w:hideMark/>
          </w:tcPr>
          <w:p w14:paraId="7A4E4FB3"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2019</w:t>
            </w:r>
          </w:p>
        </w:tc>
      </w:tr>
      <w:tr w:rsidR="00A1204B" w:rsidRPr="003817EA" w14:paraId="6633BC03" w14:textId="77777777" w:rsidTr="00047038">
        <w:trPr>
          <w:jc w:val="left"/>
        </w:trPr>
        <w:tc>
          <w:tcPr>
            <w:tcW w:w="1860" w:type="dxa"/>
            <w:noWrap/>
            <w:hideMark/>
          </w:tcPr>
          <w:p w14:paraId="29D6C0CE" w14:textId="29302739"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rFonts w:hint="cs"/>
                <w:sz w:val="18"/>
                <w:szCs w:val="18"/>
                <w:rtl/>
              </w:rPr>
              <w:t>صفر</w:t>
            </w:r>
            <w:r w:rsidR="00BA2393">
              <w:rPr>
                <w:rFonts w:hint="cs"/>
                <w:sz w:val="18"/>
                <w:szCs w:val="18"/>
                <w:rtl/>
              </w:rPr>
              <w:t xml:space="preserve"> </w:t>
            </w:r>
            <w:r w:rsidRPr="003817EA">
              <w:rPr>
                <w:sz w:val="18"/>
                <w:szCs w:val="18"/>
                <w:rtl/>
              </w:rPr>
              <w:t>-</w:t>
            </w:r>
            <w:r w:rsidR="00BA2393">
              <w:rPr>
                <w:rFonts w:hint="cs"/>
                <w:sz w:val="18"/>
                <w:szCs w:val="18"/>
                <w:rtl/>
              </w:rPr>
              <w:t xml:space="preserve"> </w:t>
            </w:r>
            <w:r w:rsidRPr="003817EA">
              <w:rPr>
                <w:sz w:val="18"/>
                <w:szCs w:val="18"/>
                <w:rtl/>
              </w:rPr>
              <w:t>9 سنوات</w:t>
            </w:r>
          </w:p>
        </w:tc>
        <w:tc>
          <w:tcPr>
            <w:tcW w:w="1500" w:type="dxa"/>
            <w:noWrap/>
            <w:hideMark/>
          </w:tcPr>
          <w:p w14:paraId="2EAF7A6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677 45</w:t>
            </w:r>
          </w:p>
        </w:tc>
        <w:tc>
          <w:tcPr>
            <w:tcW w:w="1499" w:type="dxa"/>
            <w:noWrap/>
            <w:hideMark/>
          </w:tcPr>
          <w:p w14:paraId="1CF7738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253 45</w:t>
            </w:r>
          </w:p>
        </w:tc>
        <w:tc>
          <w:tcPr>
            <w:tcW w:w="1499" w:type="dxa"/>
            <w:noWrap/>
            <w:hideMark/>
          </w:tcPr>
          <w:p w14:paraId="5C18893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103 45</w:t>
            </w:r>
          </w:p>
        </w:tc>
        <w:tc>
          <w:tcPr>
            <w:tcW w:w="1499" w:type="dxa"/>
            <w:noWrap/>
            <w:hideMark/>
          </w:tcPr>
          <w:p w14:paraId="3453F3A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107 45</w:t>
            </w:r>
          </w:p>
        </w:tc>
        <w:tc>
          <w:tcPr>
            <w:tcW w:w="1499" w:type="dxa"/>
            <w:noWrap/>
            <w:hideMark/>
          </w:tcPr>
          <w:p w14:paraId="13B6C86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848 44</w:t>
            </w:r>
          </w:p>
        </w:tc>
      </w:tr>
      <w:tr w:rsidR="00A1204B" w:rsidRPr="003817EA" w14:paraId="018999A2" w14:textId="77777777" w:rsidTr="00047038">
        <w:trPr>
          <w:jc w:val="left"/>
        </w:trPr>
        <w:tc>
          <w:tcPr>
            <w:tcW w:w="1860" w:type="dxa"/>
            <w:noWrap/>
            <w:hideMark/>
          </w:tcPr>
          <w:p w14:paraId="69C0A4B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 سنوات - 19 سنة</w:t>
            </w:r>
          </w:p>
        </w:tc>
        <w:tc>
          <w:tcPr>
            <w:tcW w:w="1500" w:type="dxa"/>
            <w:noWrap/>
            <w:hideMark/>
          </w:tcPr>
          <w:p w14:paraId="1E7AFFD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435 43</w:t>
            </w:r>
          </w:p>
        </w:tc>
        <w:tc>
          <w:tcPr>
            <w:tcW w:w="1499" w:type="dxa"/>
            <w:noWrap/>
            <w:hideMark/>
          </w:tcPr>
          <w:p w14:paraId="6FB5469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408 43</w:t>
            </w:r>
          </w:p>
        </w:tc>
        <w:tc>
          <w:tcPr>
            <w:tcW w:w="1499" w:type="dxa"/>
            <w:noWrap/>
            <w:hideMark/>
          </w:tcPr>
          <w:p w14:paraId="1861581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656 43</w:t>
            </w:r>
          </w:p>
        </w:tc>
        <w:tc>
          <w:tcPr>
            <w:tcW w:w="1499" w:type="dxa"/>
            <w:noWrap/>
            <w:hideMark/>
          </w:tcPr>
          <w:p w14:paraId="697D000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225 44</w:t>
            </w:r>
          </w:p>
        </w:tc>
        <w:tc>
          <w:tcPr>
            <w:tcW w:w="1499" w:type="dxa"/>
            <w:noWrap/>
            <w:hideMark/>
          </w:tcPr>
          <w:p w14:paraId="7B76398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914 44</w:t>
            </w:r>
          </w:p>
        </w:tc>
      </w:tr>
      <w:tr w:rsidR="00A1204B" w:rsidRPr="003817EA" w14:paraId="054783DE" w14:textId="77777777" w:rsidTr="00047038">
        <w:trPr>
          <w:jc w:val="left"/>
        </w:trPr>
        <w:tc>
          <w:tcPr>
            <w:tcW w:w="1860" w:type="dxa"/>
            <w:noWrap/>
            <w:hideMark/>
          </w:tcPr>
          <w:p w14:paraId="16D7882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20-29 سنة</w:t>
            </w:r>
          </w:p>
        </w:tc>
        <w:tc>
          <w:tcPr>
            <w:tcW w:w="1500" w:type="dxa"/>
            <w:noWrap/>
            <w:hideMark/>
          </w:tcPr>
          <w:p w14:paraId="658E679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273 48</w:t>
            </w:r>
          </w:p>
        </w:tc>
        <w:tc>
          <w:tcPr>
            <w:tcW w:w="1499" w:type="dxa"/>
            <w:noWrap/>
            <w:hideMark/>
          </w:tcPr>
          <w:p w14:paraId="23296FD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256 49</w:t>
            </w:r>
          </w:p>
        </w:tc>
        <w:tc>
          <w:tcPr>
            <w:tcW w:w="1499" w:type="dxa"/>
            <w:noWrap/>
            <w:hideMark/>
          </w:tcPr>
          <w:p w14:paraId="07B3D0F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887 50</w:t>
            </w:r>
          </w:p>
        </w:tc>
        <w:tc>
          <w:tcPr>
            <w:tcW w:w="1499" w:type="dxa"/>
            <w:noWrap/>
            <w:hideMark/>
          </w:tcPr>
          <w:p w14:paraId="1864490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652 53</w:t>
            </w:r>
          </w:p>
        </w:tc>
        <w:tc>
          <w:tcPr>
            <w:tcW w:w="1499" w:type="dxa"/>
            <w:noWrap/>
            <w:hideMark/>
          </w:tcPr>
          <w:p w14:paraId="5A518A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484 55</w:t>
            </w:r>
          </w:p>
        </w:tc>
      </w:tr>
      <w:tr w:rsidR="00A1204B" w:rsidRPr="003817EA" w14:paraId="48975D72" w14:textId="77777777" w:rsidTr="00047038">
        <w:trPr>
          <w:jc w:val="left"/>
        </w:trPr>
        <w:tc>
          <w:tcPr>
            <w:tcW w:w="1860" w:type="dxa"/>
            <w:noWrap/>
            <w:hideMark/>
          </w:tcPr>
          <w:p w14:paraId="239A8C8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30-39 سنة</w:t>
            </w:r>
          </w:p>
        </w:tc>
        <w:tc>
          <w:tcPr>
            <w:tcW w:w="1500" w:type="dxa"/>
            <w:noWrap/>
            <w:hideMark/>
          </w:tcPr>
          <w:p w14:paraId="7B0CF4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150 45</w:t>
            </w:r>
          </w:p>
        </w:tc>
        <w:tc>
          <w:tcPr>
            <w:tcW w:w="1499" w:type="dxa"/>
            <w:noWrap/>
            <w:hideMark/>
          </w:tcPr>
          <w:p w14:paraId="3B1912D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540 45</w:t>
            </w:r>
          </w:p>
        </w:tc>
        <w:tc>
          <w:tcPr>
            <w:tcW w:w="1499" w:type="dxa"/>
            <w:noWrap/>
            <w:hideMark/>
          </w:tcPr>
          <w:p w14:paraId="4BF4104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519 46</w:t>
            </w:r>
          </w:p>
        </w:tc>
        <w:tc>
          <w:tcPr>
            <w:tcW w:w="1499" w:type="dxa"/>
            <w:noWrap/>
            <w:hideMark/>
          </w:tcPr>
          <w:p w14:paraId="6D2155A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155 49</w:t>
            </w:r>
          </w:p>
        </w:tc>
        <w:tc>
          <w:tcPr>
            <w:tcW w:w="1499" w:type="dxa"/>
            <w:noWrap/>
            <w:hideMark/>
          </w:tcPr>
          <w:p w14:paraId="32DFA3B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650 51</w:t>
            </w:r>
          </w:p>
        </w:tc>
      </w:tr>
      <w:tr w:rsidR="00A1204B" w:rsidRPr="003817EA" w14:paraId="2D7E67F1" w14:textId="77777777" w:rsidTr="00047038">
        <w:trPr>
          <w:jc w:val="left"/>
        </w:trPr>
        <w:tc>
          <w:tcPr>
            <w:tcW w:w="1860" w:type="dxa"/>
            <w:noWrap/>
            <w:hideMark/>
          </w:tcPr>
          <w:p w14:paraId="71E8B55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40-49 سنة</w:t>
            </w:r>
          </w:p>
        </w:tc>
        <w:tc>
          <w:tcPr>
            <w:tcW w:w="1500" w:type="dxa"/>
            <w:noWrap/>
            <w:hideMark/>
          </w:tcPr>
          <w:p w14:paraId="07814C5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200 42</w:t>
            </w:r>
          </w:p>
        </w:tc>
        <w:tc>
          <w:tcPr>
            <w:tcW w:w="1499" w:type="dxa"/>
            <w:noWrap/>
            <w:hideMark/>
          </w:tcPr>
          <w:p w14:paraId="065A134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288 42</w:t>
            </w:r>
          </w:p>
        </w:tc>
        <w:tc>
          <w:tcPr>
            <w:tcW w:w="1499" w:type="dxa"/>
            <w:noWrap/>
            <w:hideMark/>
          </w:tcPr>
          <w:p w14:paraId="48A144D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844 42</w:t>
            </w:r>
          </w:p>
        </w:tc>
        <w:tc>
          <w:tcPr>
            <w:tcW w:w="1499" w:type="dxa"/>
            <w:noWrap/>
            <w:hideMark/>
          </w:tcPr>
          <w:p w14:paraId="6DDA7D4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224 44</w:t>
            </w:r>
          </w:p>
        </w:tc>
        <w:tc>
          <w:tcPr>
            <w:tcW w:w="1499" w:type="dxa"/>
            <w:noWrap/>
            <w:hideMark/>
          </w:tcPr>
          <w:p w14:paraId="720464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597 45</w:t>
            </w:r>
          </w:p>
        </w:tc>
      </w:tr>
      <w:tr w:rsidR="00A1204B" w:rsidRPr="003817EA" w14:paraId="2CA186B8" w14:textId="77777777" w:rsidTr="00047038">
        <w:trPr>
          <w:jc w:val="left"/>
        </w:trPr>
        <w:tc>
          <w:tcPr>
            <w:tcW w:w="1860" w:type="dxa"/>
            <w:noWrap/>
            <w:hideMark/>
          </w:tcPr>
          <w:p w14:paraId="656644B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50-59 سنة</w:t>
            </w:r>
          </w:p>
        </w:tc>
        <w:tc>
          <w:tcPr>
            <w:tcW w:w="1500" w:type="dxa"/>
            <w:noWrap/>
            <w:hideMark/>
          </w:tcPr>
          <w:p w14:paraId="1F671B3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231 42</w:t>
            </w:r>
          </w:p>
        </w:tc>
        <w:tc>
          <w:tcPr>
            <w:tcW w:w="1499" w:type="dxa"/>
            <w:noWrap/>
            <w:hideMark/>
          </w:tcPr>
          <w:p w14:paraId="518BD4B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679 42</w:t>
            </w:r>
          </w:p>
        </w:tc>
        <w:tc>
          <w:tcPr>
            <w:tcW w:w="1499" w:type="dxa"/>
            <w:noWrap/>
            <w:hideMark/>
          </w:tcPr>
          <w:p w14:paraId="7C6B374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242 43</w:t>
            </w:r>
          </w:p>
        </w:tc>
        <w:tc>
          <w:tcPr>
            <w:tcW w:w="1499" w:type="dxa"/>
            <w:noWrap/>
            <w:hideMark/>
          </w:tcPr>
          <w:p w14:paraId="3833B83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753 43</w:t>
            </w:r>
          </w:p>
        </w:tc>
        <w:tc>
          <w:tcPr>
            <w:tcW w:w="1499" w:type="dxa"/>
            <w:noWrap/>
            <w:hideMark/>
          </w:tcPr>
          <w:p w14:paraId="332EFCB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927 43</w:t>
            </w:r>
          </w:p>
        </w:tc>
      </w:tr>
      <w:tr w:rsidR="00A1204B" w:rsidRPr="003817EA" w14:paraId="65552CB8" w14:textId="77777777" w:rsidTr="00047038">
        <w:trPr>
          <w:jc w:val="left"/>
        </w:trPr>
        <w:tc>
          <w:tcPr>
            <w:tcW w:w="1860" w:type="dxa"/>
            <w:noWrap/>
            <w:hideMark/>
          </w:tcPr>
          <w:p w14:paraId="4BBA07F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60-69 سنة</w:t>
            </w:r>
          </w:p>
        </w:tc>
        <w:tc>
          <w:tcPr>
            <w:tcW w:w="1500" w:type="dxa"/>
            <w:noWrap/>
            <w:hideMark/>
          </w:tcPr>
          <w:p w14:paraId="3ACFDD9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080 32</w:t>
            </w:r>
          </w:p>
        </w:tc>
        <w:tc>
          <w:tcPr>
            <w:tcW w:w="1499" w:type="dxa"/>
            <w:noWrap/>
            <w:hideMark/>
          </w:tcPr>
          <w:p w14:paraId="53744A9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077 33</w:t>
            </w:r>
          </w:p>
        </w:tc>
        <w:tc>
          <w:tcPr>
            <w:tcW w:w="1499" w:type="dxa"/>
            <w:noWrap/>
            <w:hideMark/>
          </w:tcPr>
          <w:p w14:paraId="2F5F265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224 34</w:t>
            </w:r>
          </w:p>
        </w:tc>
        <w:tc>
          <w:tcPr>
            <w:tcW w:w="1499" w:type="dxa"/>
            <w:noWrap/>
            <w:hideMark/>
          </w:tcPr>
          <w:p w14:paraId="704E2E5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378 35</w:t>
            </w:r>
          </w:p>
        </w:tc>
        <w:tc>
          <w:tcPr>
            <w:tcW w:w="1499" w:type="dxa"/>
            <w:noWrap/>
            <w:hideMark/>
          </w:tcPr>
          <w:p w14:paraId="0253D66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377 36</w:t>
            </w:r>
          </w:p>
        </w:tc>
      </w:tr>
      <w:tr w:rsidR="00A1204B" w:rsidRPr="003817EA" w14:paraId="0769FD86" w14:textId="77777777" w:rsidTr="00047038">
        <w:trPr>
          <w:jc w:val="left"/>
        </w:trPr>
        <w:tc>
          <w:tcPr>
            <w:tcW w:w="1860" w:type="dxa"/>
            <w:noWrap/>
            <w:hideMark/>
          </w:tcPr>
          <w:p w14:paraId="0FA17FF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70-79 سنة</w:t>
            </w:r>
          </w:p>
        </w:tc>
        <w:tc>
          <w:tcPr>
            <w:tcW w:w="1500" w:type="dxa"/>
            <w:noWrap/>
            <w:hideMark/>
          </w:tcPr>
          <w:p w14:paraId="41B7E2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002 18</w:t>
            </w:r>
          </w:p>
        </w:tc>
        <w:tc>
          <w:tcPr>
            <w:tcW w:w="1499" w:type="dxa"/>
            <w:noWrap/>
            <w:hideMark/>
          </w:tcPr>
          <w:p w14:paraId="46670D9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869 18</w:t>
            </w:r>
          </w:p>
        </w:tc>
        <w:tc>
          <w:tcPr>
            <w:tcW w:w="1499" w:type="dxa"/>
            <w:noWrap/>
            <w:hideMark/>
          </w:tcPr>
          <w:p w14:paraId="7A806A8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603 19</w:t>
            </w:r>
          </w:p>
        </w:tc>
        <w:tc>
          <w:tcPr>
            <w:tcW w:w="1499" w:type="dxa"/>
            <w:noWrap/>
            <w:hideMark/>
          </w:tcPr>
          <w:p w14:paraId="2B83009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575 20</w:t>
            </w:r>
          </w:p>
        </w:tc>
        <w:tc>
          <w:tcPr>
            <w:tcW w:w="1499" w:type="dxa"/>
            <w:noWrap/>
            <w:hideMark/>
          </w:tcPr>
          <w:p w14:paraId="5BB9F14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716 21</w:t>
            </w:r>
          </w:p>
        </w:tc>
      </w:tr>
      <w:tr w:rsidR="00A1204B" w:rsidRPr="003817EA" w14:paraId="2233D54E" w14:textId="77777777" w:rsidTr="00047038">
        <w:trPr>
          <w:jc w:val="left"/>
        </w:trPr>
        <w:tc>
          <w:tcPr>
            <w:tcW w:w="1860" w:type="dxa"/>
            <w:noWrap/>
            <w:hideMark/>
          </w:tcPr>
          <w:p w14:paraId="082FB12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80-89 سنة</w:t>
            </w:r>
          </w:p>
        </w:tc>
        <w:tc>
          <w:tcPr>
            <w:tcW w:w="1500" w:type="dxa"/>
            <w:noWrap/>
            <w:hideMark/>
          </w:tcPr>
          <w:p w14:paraId="28AC1D3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164 10</w:t>
            </w:r>
          </w:p>
        </w:tc>
        <w:tc>
          <w:tcPr>
            <w:tcW w:w="1499" w:type="dxa"/>
            <w:noWrap/>
            <w:hideMark/>
          </w:tcPr>
          <w:p w14:paraId="6DE92D4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208 10</w:t>
            </w:r>
          </w:p>
        </w:tc>
        <w:tc>
          <w:tcPr>
            <w:tcW w:w="1499" w:type="dxa"/>
            <w:noWrap/>
            <w:hideMark/>
          </w:tcPr>
          <w:p w14:paraId="257AF16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240 10</w:t>
            </w:r>
          </w:p>
        </w:tc>
        <w:tc>
          <w:tcPr>
            <w:tcW w:w="1499" w:type="dxa"/>
            <w:noWrap/>
            <w:hideMark/>
          </w:tcPr>
          <w:p w14:paraId="788B085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274 10</w:t>
            </w:r>
          </w:p>
        </w:tc>
        <w:tc>
          <w:tcPr>
            <w:tcW w:w="1499" w:type="dxa"/>
            <w:noWrap/>
            <w:hideMark/>
          </w:tcPr>
          <w:p w14:paraId="08CC570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250 10</w:t>
            </w:r>
          </w:p>
        </w:tc>
      </w:tr>
      <w:tr w:rsidR="00A1204B" w:rsidRPr="003817EA" w14:paraId="54AB9265"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1860" w:type="dxa"/>
            <w:noWrap/>
            <w:hideMark/>
          </w:tcPr>
          <w:p w14:paraId="398ACD6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90 سنة فما فوق</w:t>
            </w:r>
          </w:p>
        </w:tc>
        <w:tc>
          <w:tcPr>
            <w:tcW w:w="1500" w:type="dxa"/>
            <w:noWrap/>
            <w:hideMark/>
          </w:tcPr>
          <w:p w14:paraId="1CF7C25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888 1</w:t>
            </w:r>
          </w:p>
        </w:tc>
        <w:tc>
          <w:tcPr>
            <w:tcW w:w="1499" w:type="dxa"/>
            <w:noWrap/>
            <w:hideMark/>
          </w:tcPr>
          <w:p w14:paraId="67E8359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951 1</w:t>
            </w:r>
          </w:p>
        </w:tc>
        <w:tc>
          <w:tcPr>
            <w:tcW w:w="1499" w:type="dxa"/>
            <w:noWrap/>
            <w:hideMark/>
          </w:tcPr>
          <w:p w14:paraId="525D9AF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031 2</w:t>
            </w:r>
          </w:p>
        </w:tc>
        <w:tc>
          <w:tcPr>
            <w:tcW w:w="1499" w:type="dxa"/>
            <w:noWrap/>
            <w:hideMark/>
          </w:tcPr>
          <w:p w14:paraId="6C0F6BF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107 2</w:t>
            </w:r>
          </w:p>
        </w:tc>
        <w:tc>
          <w:tcPr>
            <w:tcW w:w="1499" w:type="dxa"/>
            <w:noWrap/>
            <w:hideMark/>
          </w:tcPr>
          <w:p w14:paraId="26ACF7C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228 2</w:t>
            </w:r>
          </w:p>
        </w:tc>
      </w:tr>
    </w:tbl>
    <w:p w14:paraId="551C107F" w14:textId="77777777" w:rsidR="00A1204B" w:rsidRPr="001F1035" w:rsidRDefault="00A1204B" w:rsidP="00047038">
      <w:pPr>
        <w:pStyle w:val="SingleTxtGA"/>
        <w:keepNext/>
        <w:spacing w:before="240"/>
        <w:rPr>
          <w:i/>
          <w:iCs/>
          <w:rtl/>
        </w:rPr>
      </w:pPr>
      <w:r w:rsidRPr="001F1035">
        <w:rPr>
          <w:i/>
          <w:iCs/>
          <w:rtl/>
        </w:rPr>
        <w:lastRenderedPageBreak/>
        <w:tab/>
        <w:t>ويبين الجدول التالي نسبة الإعالة (النسبة المئوية للسكان الذين تقل أعمارهم عن 15 سنة ومن تزيد أعمارهم على 65 سنة) حسب نوع الجنس.</w:t>
      </w:r>
    </w:p>
    <w:tbl>
      <w:tblPr>
        <w:tblStyle w:val="TABLEA"/>
        <w:bidiVisual/>
        <w:tblW w:w="7370" w:type="dxa"/>
        <w:jc w:val="left"/>
        <w:tblInd w:w="1247" w:type="dxa"/>
        <w:tblLayout w:type="fixed"/>
        <w:tblLook w:val="04E0" w:firstRow="1" w:lastRow="1" w:firstColumn="1" w:lastColumn="0" w:noHBand="0" w:noVBand="1"/>
      </w:tblPr>
      <w:tblGrid>
        <w:gridCol w:w="1648"/>
        <w:gridCol w:w="953"/>
        <w:gridCol w:w="953"/>
        <w:gridCol w:w="954"/>
        <w:gridCol w:w="954"/>
        <w:gridCol w:w="954"/>
        <w:gridCol w:w="954"/>
      </w:tblGrid>
      <w:tr w:rsidR="00A1204B" w:rsidRPr="003817EA" w14:paraId="7FB90323"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1660" w:type="dxa"/>
            <w:noWrap/>
            <w:hideMark/>
          </w:tcPr>
          <w:p w14:paraId="30B1AFE1"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960" w:type="dxa"/>
            <w:noWrap/>
            <w:hideMark/>
          </w:tcPr>
          <w:p w14:paraId="2BB5191D"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960" w:type="dxa"/>
            <w:noWrap/>
            <w:hideMark/>
          </w:tcPr>
          <w:p w14:paraId="5D914739"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2014</w:t>
            </w:r>
          </w:p>
        </w:tc>
        <w:tc>
          <w:tcPr>
            <w:tcW w:w="960" w:type="dxa"/>
            <w:noWrap/>
            <w:hideMark/>
          </w:tcPr>
          <w:p w14:paraId="29663FCF"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2015</w:t>
            </w:r>
          </w:p>
        </w:tc>
        <w:tc>
          <w:tcPr>
            <w:tcW w:w="960" w:type="dxa"/>
            <w:noWrap/>
            <w:hideMark/>
          </w:tcPr>
          <w:p w14:paraId="52AAA37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2016</w:t>
            </w:r>
          </w:p>
        </w:tc>
        <w:tc>
          <w:tcPr>
            <w:tcW w:w="960" w:type="dxa"/>
            <w:noWrap/>
            <w:hideMark/>
          </w:tcPr>
          <w:p w14:paraId="774E0011"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2017</w:t>
            </w:r>
          </w:p>
        </w:tc>
        <w:tc>
          <w:tcPr>
            <w:tcW w:w="960" w:type="dxa"/>
            <w:noWrap/>
            <w:hideMark/>
          </w:tcPr>
          <w:p w14:paraId="0665855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2018</w:t>
            </w:r>
          </w:p>
        </w:tc>
      </w:tr>
      <w:tr w:rsidR="00A1204B" w:rsidRPr="003817EA" w14:paraId="39068C0E" w14:textId="77777777" w:rsidTr="00047038">
        <w:trPr>
          <w:jc w:val="left"/>
        </w:trPr>
        <w:tc>
          <w:tcPr>
            <w:tcW w:w="1660" w:type="dxa"/>
            <w:noWrap/>
            <w:hideMark/>
          </w:tcPr>
          <w:p w14:paraId="77BA602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960" w:type="dxa"/>
            <w:noWrap/>
            <w:hideMark/>
          </w:tcPr>
          <w:p w14:paraId="4408B85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رجال</w:t>
            </w:r>
          </w:p>
        </w:tc>
        <w:tc>
          <w:tcPr>
            <w:tcW w:w="960" w:type="dxa"/>
            <w:noWrap/>
            <w:hideMark/>
          </w:tcPr>
          <w:p w14:paraId="1D942C7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318 163</w:t>
            </w:r>
          </w:p>
        </w:tc>
        <w:tc>
          <w:tcPr>
            <w:tcW w:w="960" w:type="dxa"/>
            <w:noWrap/>
            <w:hideMark/>
          </w:tcPr>
          <w:p w14:paraId="587B4CD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186 165</w:t>
            </w:r>
          </w:p>
        </w:tc>
        <w:tc>
          <w:tcPr>
            <w:tcW w:w="960" w:type="dxa"/>
            <w:noWrap/>
            <w:hideMark/>
          </w:tcPr>
          <w:p w14:paraId="0D3FAC0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27 167</w:t>
            </w:r>
          </w:p>
        </w:tc>
        <w:tc>
          <w:tcPr>
            <w:tcW w:w="960" w:type="dxa"/>
            <w:noWrap/>
            <w:hideMark/>
          </w:tcPr>
          <w:p w14:paraId="5EB631F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033 171</w:t>
            </w:r>
          </w:p>
        </w:tc>
        <w:tc>
          <w:tcPr>
            <w:tcW w:w="960" w:type="dxa"/>
            <w:noWrap/>
            <w:hideMark/>
          </w:tcPr>
          <w:p w14:paraId="0EA708B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sz w:val="18"/>
                <w:szCs w:val="18"/>
                <w:rtl/>
              </w:rPr>
              <w:t>6 177</w:t>
            </w:r>
          </w:p>
        </w:tc>
      </w:tr>
      <w:tr w:rsidR="00A1204B" w:rsidRPr="003817EA" w14:paraId="1F14AB7C" w14:textId="77777777" w:rsidTr="00047038">
        <w:trPr>
          <w:jc w:val="left"/>
        </w:trPr>
        <w:tc>
          <w:tcPr>
            <w:tcW w:w="1660" w:type="dxa"/>
            <w:noWrap/>
            <w:hideMark/>
          </w:tcPr>
          <w:p w14:paraId="4B37CFA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&lt;15 (في المائة)</w:t>
            </w:r>
          </w:p>
        </w:tc>
        <w:tc>
          <w:tcPr>
            <w:tcW w:w="960" w:type="dxa"/>
            <w:noWrap/>
            <w:hideMark/>
          </w:tcPr>
          <w:p w14:paraId="3726EA7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رجال</w:t>
            </w:r>
          </w:p>
        </w:tc>
        <w:tc>
          <w:tcPr>
            <w:tcW w:w="960" w:type="dxa"/>
            <w:noWrap/>
            <w:hideMark/>
          </w:tcPr>
          <w:p w14:paraId="6AFE20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20,8</w:t>
            </w:r>
          </w:p>
        </w:tc>
        <w:tc>
          <w:tcPr>
            <w:tcW w:w="960" w:type="dxa"/>
            <w:noWrap/>
            <w:hideMark/>
          </w:tcPr>
          <w:p w14:paraId="323F904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20,7</w:t>
            </w:r>
          </w:p>
        </w:tc>
        <w:tc>
          <w:tcPr>
            <w:tcW w:w="960" w:type="dxa"/>
            <w:noWrap/>
            <w:hideMark/>
          </w:tcPr>
          <w:p w14:paraId="4B8E03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20,3</w:t>
            </w:r>
          </w:p>
        </w:tc>
        <w:tc>
          <w:tcPr>
            <w:tcW w:w="960" w:type="dxa"/>
            <w:noWrap/>
            <w:hideMark/>
          </w:tcPr>
          <w:p w14:paraId="2216EF3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19,9</w:t>
            </w:r>
          </w:p>
        </w:tc>
        <w:tc>
          <w:tcPr>
            <w:tcW w:w="960" w:type="dxa"/>
            <w:noWrap/>
            <w:hideMark/>
          </w:tcPr>
          <w:p w14:paraId="64E422B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19,4</w:t>
            </w:r>
          </w:p>
        </w:tc>
      </w:tr>
      <w:tr w:rsidR="00A1204B" w:rsidRPr="003817EA" w14:paraId="5141AE17" w14:textId="77777777" w:rsidTr="00047038">
        <w:trPr>
          <w:jc w:val="left"/>
        </w:trPr>
        <w:tc>
          <w:tcPr>
            <w:tcW w:w="1660" w:type="dxa"/>
            <w:noWrap/>
            <w:hideMark/>
          </w:tcPr>
          <w:p w14:paraId="7703883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65&lt; (في المائة)</w:t>
            </w:r>
          </w:p>
        </w:tc>
        <w:tc>
          <w:tcPr>
            <w:tcW w:w="960" w:type="dxa"/>
            <w:noWrap/>
            <w:hideMark/>
          </w:tcPr>
          <w:p w14:paraId="5D8C98F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رجال</w:t>
            </w:r>
          </w:p>
        </w:tc>
        <w:tc>
          <w:tcPr>
            <w:tcW w:w="960" w:type="dxa"/>
            <w:noWrap/>
            <w:hideMark/>
          </w:tcPr>
          <w:p w14:paraId="75D51B9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11,3</w:t>
            </w:r>
          </w:p>
        </w:tc>
        <w:tc>
          <w:tcPr>
            <w:tcW w:w="960" w:type="dxa"/>
            <w:noWrap/>
            <w:hideMark/>
          </w:tcPr>
          <w:p w14:paraId="0B8F495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11,6</w:t>
            </w:r>
          </w:p>
        </w:tc>
        <w:tc>
          <w:tcPr>
            <w:tcW w:w="960" w:type="dxa"/>
            <w:noWrap/>
            <w:hideMark/>
          </w:tcPr>
          <w:p w14:paraId="12FE5DE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11,9</w:t>
            </w:r>
          </w:p>
        </w:tc>
        <w:tc>
          <w:tcPr>
            <w:tcW w:w="960" w:type="dxa"/>
            <w:noWrap/>
            <w:hideMark/>
          </w:tcPr>
          <w:p w14:paraId="4365876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12,1</w:t>
            </w:r>
          </w:p>
        </w:tc>
        <w:tc>
          <w:tcPr>
            <w:tcW w:w="960" w:type="dxa"/>
            <w:noWrap/>
            <w:hideMark/>
          </w:tcPr>
          <w:p w14:paraId="2908CA3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12,1</w:t>
            </w:r>
          </w:p>
        </w:tc>
      </w:tr>
      <w:tr w:rsidR="00A1204B" w:rsidRPr="003817EA" w14:paraId="2B98B4B8" w14:textId="77777777" w:rsidTr="00047038">
        <w:trPr>
          <w:jc w:val="left"/>
        </w:trPr>
        <w:tc>
          <w:tcPr>
            <w:tcW w:w="1660" w:type="dxa"/>
            <w:noWrap/>
            <w:hideMark/>
          </w:tcPr>
          <w:p w14:paraId="5FC07E9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960" w:type="dxa"/>
            <w:noWrap/>
            <w:hideMark/>
          </w:tcPr>
          <w:p w14:paraId="76C5900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نساء</w:t>
            </w:r>
          </w:p>
        </w:tc>
        <w:tc>
          <w:tcPr>
            <w:tcW w:w="960" w:type="dxa"/>
            <w:noWrap/>
            <w:hideMark/>
          </w:tcPr>
          <w:p w14:paraId="1433D56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353 162</w:t>
            </w:r>
          </w:p>
        </w:tc>
        <w:tc>
          <w:tcPr>
            <w:tcW w:w="960" w:type="dxa"/>
            <w:noWrap/>
            <w:hideMark/>
          </w:tcPr>
          <w:p w14:paraId="238DCCE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914 163</w:t>
            </w:r>
          </w:p>
        </w:tc>
        <w:tc>
          <w:tcPr>
            <w:tcW w:w="960" w:type="dxa"/>
            <w:noWrap/>
            <w:hideMark/>
          </w:tcPr>
          <w:p w14:paraId="11FB35A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259 165</w:t>
            </w:r>
          </w:p>
        </w:tc>
        <w:tc>
          <w:tcPr>
            <w:tcW w:w="960" w:type="dxa"/>
            <w:noWrap/>
            <w:hideMark/>
          </w:tcPr>
          <w:p w14:paraId="6D4713A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316 167</w:t>
            </w:r>
          </w:p>
        </w:tc>
        <w:tc>
          <w:tcPr>
            <w:tcW w:w="960" w:type="dxa"/>
            <w:noWrap/>
            <w:hideMark/>
          </w:tcPr>
          <w:p w14:paraId="5ACAA7EA" w14:textId="77777777" w:rsidR="00A1204B" w:rsidRPr="001F1035"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sz w:val="18"/>
                <w:szCs w:val="18"/>
                <w:rtl/>
              </w:rPr>
              <w:t>85 170</w:t>
            </w:r>
          </w:p>
        </w:tc>
      </w:tr>
      <w:tr w:rsidR="00A1204B" w:rsidRPr="003817EA" w14:paraId="2C62EE9B" w14:textId="77777777" w:rsidTr="00047038">
        <w:trPr>
          <w:jc w:val="left"/>
        </w:trPr>
        <w:tc>
          <w:tcPr>
            <w:tcW w:w="1660" w:type="dxa"/>
            <w:noWrap/>
            <w:hideMark/>
          </w:tcPr>
          <w:p w14:paraId="1C59C23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&lt;15 (في المائة)</w:t>
            </w:r>
          </w:p>
        </w:tc>
        <w:tc>
          <w:tcPr>
            <w:tcW w:w="960" w:type="dxa"/>
            <w:noWrap/>
            <w:hideMark/>
          </w:tcPr>
          <w:p w14:paraId="3A7CD43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نساء</w:t>
            </w:r>
          </w:p>
        </w:tc>
        <w:tc>
          <w:tcPr>
            <w:tcW w:w="960" w:type="dxa"/>
            <w:noWrap/>
            <w:hideMark/>
          </w:tcPr>
          <w:p w14:paraId="61E5C46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w:t>
            </w:r>
          </w:p>
        </w:tc>
        <w:tc>
          <w:tcPr>
            <w:tcW w:w="960" w:type="dxa"/>
            <w:noWrap/>
            <w:hideMark/>
          </w:tcPr>
          <w:p w14:paraId="46AB8FE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w:t>
            </w:r>
          </w:p>
        </w:tc>
        <w:tc>
          <w:tcPr>
            <w:tcW w:w="960" w:type="dxa"/>
            <w:noWrap/>
            <w:hideMark/>
          </w:tcPr>
          <w:p w14:paraId="3EBBB85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19,7</w:t>
            </w:r>
          </w:p>
        </w:tc>
        <w:tc>
          <w:tcPr>
            <w:tcW w:w="960" w:type="dxa"/>
            <w:noWrap/>
            <w:hideMark/>
          </w:tcPr>
          <w:p w14:paraId="429C3A1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19,5</w:t>
            </w:r>
          </w:p>
        </w:tc>
        <w:tc>
          <w:tcPr>
            <w:tcW w:w="960" w:type="dxa"/>
            <w:noWrap/>
            <w:hideMark/>
          </w:tcPr>
          <w:p w14:paraId="7E6CBB8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19,2</w:t>
            </w:r>
          </w:p>
        </w:tc>
      </w:tr>
      <w:tr w:rsidR="00A1204B" w:rsidRPr="003817EA" w14:paraId="4D700DC9"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1660" w:type="dxa"/>
            <w:noWrap/>
            <w:hideMark/>
          </w:tcPr>
          <w:p w14:paraId="6A686B9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65&lt; (في المائة)</w:t>
            </w:r>
          </w:p>
        </w:tc>
        <w:tc>
          <w:tcPr>
            <w:tcW w:w="960" w:type="dxa"/>
            <w:noWrap/>
            <w:hideMark/>
          </w:tcPr>
          <w:p w14:paraId="42F3DA3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نساء</w:t>
            </w:r>
          </w:p>
        </w:tc>
        <w:tc>
          <w:tcPr>
            <w:tcW w:w="960" w:type="dxa"/>
            <w:noWrap/>
            <w:hideMark/>
          </w:tcPr>
          <w:p w14:paraId="20084F5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13,1</w:t>
            </w:r>
          </w:p>
        </w:tc>
        <w:tc>
          <w:tcPr>
            <w:tcW w:w="960" w:type="dxa"/>
            <w:noWrap/>
            <w:hideMark/>
          </w:tcPr>
          <w:p w14:paraId="79D7CB9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13,4</w:t>
            </w:r>
          </w:p>
        </w:tc>
        <w:tc>
          <w:tcPr>
            <w:tcW w:w="960" w:type="dxa"/>
            <w:noWrap/>
            <w:hideMark/>
          </w:tcPr>
          <w:p w14:paraId="66AB232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13,7</w:t>
            </w:r>
          </w:p>
        </w:tc>
        <w:tc>
          <w:tcPr>
            <w:tcW w:w="960" w:type="dxa"/>
            <w:noWrap/>
            <w:hideMark/>
          </w:tcPr>
          <w:p w14:paraId="4E71206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13,9</w:t>
            </w:r>
          </w:p>
        </w:tc>
        <w:tc>
          <w:tcPr>
            <w:tcW w:w="960" w:type="dxa"/>
            <w:noWrap/>
            <w:hideMark/>
          </w:tcPr>
          <w:p w14:paraId="64F606C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14</w:t>
            </w:r>
          </w:p>
        </w:tc>
      </w:tr>
    </w:tbl>
    <w:p w14:paraId="5ECDC903" w14:textId="77777777" w:rsidR="00A1204B" w:rsidRPr="001F1035" w:rsidRDefault="00A1204B" w:rsidP="00A1204B">
      <w:pPr>
        <w:pStyle w:val="SingleTxtGA"/>
        <w:spacing w:before="240"/>
        <w:rPr>
          <w:i/>
          <w:iCs/>
          <w:rtl/>
        </w:rPr>
      </w:pPr>
      <w:r w:rsidRPr="001F1035">
        <w:rPr>
          <w:i/>
          <w:iCs/>
          <w:rtl/>
        </w:rPr>
        <w:tab/>
        <w:t xml:space="preserve"> ويبين الجدول التالي معدل الولادات والوفيات.</w:t>
      </w:r>
    </w:p>
    <w:tbl>
      <w:tblPr>
        <w:tblStyle w:val="TABLEA"/>
        <w:bidiVisual/>
        <w:tblW w:w="7370" w:type="dxa"/>
        <w:jc w:val="left"/>
        <w:tblInd w:w="1247" w:type="dxa"/>
        <w:tblLayout w:type="fixed"/>
        <w:tblLook w:val="04E0" w:firstRow="1" w:lastRow="1" w:firstColumn="1" w:lastColumn="0" w:noHBand="0" w:noVBand="1"/>
      </w:tblPr>
      <w:tblGrid>
        <w:gridCol w:w="1444"/>
        <w:gridCol w:w="2963"/>
        <w:gridCol w:w="2963"/>
      </w:tblGrid>
      <w:tr w:rsidR="00A1204B" w:rsidRPr="003817EA" w14:paraId="1275FC54"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2415" w:type="dxa"/>
            <w:noWrap/>
            <w:hideMark/>
          </w:tcPr>
          <w:p w14:paraId="17A54EA3"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السنة</w:t>
            </w:r>
          </w:p>
        </w:tc>
        <w:tc>
          <w:tcPr>
            <w:tcW w:w="4972" w:type="dxa"/>
            <w:noWrap/>
            <w:hideMark/>
          </w:tcPr>
          <w:p w14:paraId="3BC66ED3"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معدل الولادات (الولادات الحية لكل 1000 نسمة)</w:t>
            </w:r>
          </w:p>
        </w:tc>
        <w:tc>
          <w:tcPr>
            <w:tcW w:w="4972" w:type="dxa"/>
            <w:noWrap/>
            <w:hideMark/>
          </w:tcPr>
          <w:p w14:paraId="4696638D"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معدل الوفيات (الوفيات لكل 1000 نسمة)</w:t>
            </w:r>
          </w:p>
        </w:tc>
      </w:tr>
      <w:tr w:rsidR="00A1204B" w:rsidRPr="003817EA" w14:paraId="7D169F4F" w14:textId="77777777" w:rsidTr="00047038">
        <w:trPr>
          <w:jc w:val="left"/>
        </w:trPr>
        <w:tc>
          <w:tcPr>
            <w:tcW w:w="2415" w:type="dxa"/>
            <w:noWrap/>
            <w:hideMark/>
          </w:tcPr>
          <w:p w14:paraId="535DEFC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2014</w:t>
            </w:r>
          </w:p>
        </w:tc>
        <w:tc>
          <w:tcPr>
            <w:tcW w:w="4972" w:type="dxa"/>
            <w:noWrap/>
            <w:hideMark/>
          </w:tcPr>
          <w:p w14:paraId="55C4167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13,4</w:t>
            </w:r>
          </w:p>
        </w:tc>
        <w:tc>
          <w:tcPr>
            <w:tcW w:w="4972" w:type="dxa"/>
            <w:noWrap/>
            <w:hideMark/>
          </w:tcPr>
          <w:p w14:paraId="5E9E61B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6,3</w:t>
            </w:r>
          </w:p>
        </w:tc>
      </w:tr>
      <w:tr w:rsidR="00A1204B" w:rsidRPr="003817EA" w14:paraId="1E02E4AF" w14:textId="77777777" w:rsidTr="00047038">
        <w:trPr>
          <w:jc w:val="left"/>
        </w:trPr>
        <w:tc>
          <w:tcPr>
            <w:tcW w:w="2415" w:type="dxa"/>
            <w:noWrap/>
            <w:hideMark/>
          </w:tcPr>
          <w:p w14:paraId="67EA9BF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2015</w:t>
            </w:r>
          </w:p>
        </w:tc>
        <w:tc>
          <w:tcPr>
            <w:tcW w:w="4972" w:type="dxa"/>
            <w:noWrap/>
            <w:hideMark/>
          </w:tcPr>
          <w:p w14:paraId="2E6F810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12,5</w:t>
            </w:r>
          </w:p>
        </w:tc>
        <w:tc>
          <w:tcPr>
            <w:tcW w:w="4972" w:type="dxa"/>
            <w:noWrap/>
            <w:hideMark/>
          </w:tcPr>
          <w:p w14:paraId="06B6630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6,6</w:t>
            </w:r>
          </w:p>
        </w:tc>
      </w:tr>
      <w:tr w:rsidR="00A1204B" w:rsidRPr="003817EA" w14:paraId="68FBA03A" w14:textId="77777777" w:rsidTr="00047038">
        <w:trPr>
          <w:jc w:val="left"/>
        </w:trPr>
        <w:tc>
          <w:tcPr>
            <w:tcW w:w="2415" w:type="dxa"/>
            <w:noWrap/>
            <w:hideMark/>
          </w:tcPr>
          <w:p w14:paraId="700BC3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2016</w:t>
            </w:r>
          </w:p>
        </w:tc>
        <w:tc>
          <w:tcPr>
            <w:tcW w:w="4972" w:type="dxa"/>
            <w:noWrap/>
            <w:hideMark/>
          </w:tcPr>
          <w:p w14:paraId="0E643C9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w:t>
            </w:r>
          </w:p>
        </w:tc>
        <w:tc>
          <w:tcPr>
            <w:tcW w:w="4972" w:type="dxa"/>
            <w:noWrap/>
            <w:hideMark/>
          </w:tcPr>
          <w:p w14:paraId="3676071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6,9</w:t>
            </w:r>
          </w:p>
        </w:tc>
      </w:tr>
      <w:tr w:rsidR="00A1204B" w:rsidRPr="003817EA" w14:paraId="68A44788" w14:textId="77777777" w:rsidTr="00047038">
        <w:trPr>
          <w:jc w:val="left"/>
        </w:trPr>
        <w:tc>
          <w:tcPr>
            <w:tcW w:w="2415" w:type="dxa"/>
            <w:noWrap/>
            <w:hideMark/>
          </w:tcPr>
          <w:p w14:paraId="183EAFD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2017</w:t>
            </w:r>
          </w:p>
        </w:tc>
        <w:tc>
          <w:tcPr>
            <w:tcW w:w="4972" w:type="dxa"/>
            <w:noWrap/>
            <w:hideMark/>
          </w:tcPr>
          <w:p w14:paraId="37ED35C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11,9</w:t>
            </w:r>
          </w:p>
        </w:tc>
        <w:tc>
          <w:tcPr>
            <w:tcW w:w="4972" w:type="dxa"/>
            <w:noWrap/>
            <w:hideMark/>
          </w:tcPr>
          <w:p w14:paraId="22350F9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6,5</w:t>
            </w:r>
          </w:p>
        </w:tc>
      </w:tr>
      <w:tr w:rsidR="00A1204B" w:rsidRPr="003817EA" w14:paraId="4D5CB9E8"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2415" w:type="dxa"/>
            <w:noWrap/>
            <w:hideMark/>
          </w:tcPr>
          <w:p w14:paraId="01591C4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2018</w:t>
            </w:r>
          </w:p>
        </w:tc>
        <w:tc>
          <w:tcPr>
            <w:tcW w:w="4972" w:type="dxa"/>
            <w:noWrap/>
            <w:hideMark/>
          </w:tcPr>
          <w:p w14:paraId="529E8A8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w:t>
            </w:r>
          </w:p>
        </w:tc>
        <w:tc>
          <w:tcPr>
            <w:tcW w:w="4972" w:type="dxa"/>
            <w:noWrap/>
            <w:hideMark/>
          </w:tcPr>
          <w:p w14:paraId="2735933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6,4</w:t>
            </w:r>
          </w:p>
        </w:tc>
      </w:tr>
    </w:tbl>
    <w:p w14:paraId="7954E3D3" w14:textId="77777777" w:rsidR="00A1204B" w:rsidRPr="003817EA" w:rsidRDefault="00A1204B" w:rsidP="00A1204B">
      <w:pPr>
        <w:pStyle w:val="SingleTxtGA"/>
        <w:spacing w:before="240"/>
        <w:rPr>
          <w:rtl/>
        </w:rPr>
      </w:pPr>
      <w:r w:rsidRPr="003817EA">
        <w:rPr>
          <w:rtl/>
        </w:rPr>
        <w:t>2-</w:t>
      </w:r>
      <w:r w:rsidRPr="003817EA">
        <w:rPr>
          <w:rtl/>
        </w:rPr>
        <w:tab/>
        <w:t xml:space="preserve">وقد ظل </w:t>
      </w:r>
      <w:r w:rsidRPr="001F1035">
        <w:rPr>
          <w:i/>
          <w:iCs/>
          <w:rtl/>
        </w:rPr>
        <w:t>متوسط العمر المتوقع</w:t>
      </w:r>
      <w:r w:rsidRPr="003817EA">
        <w:rPr>
          <w:rtl/>
        </w:rPr>
        <w:t xml:space="preserve"> في آيسلندا مستقرّاً في السنوات الأخيرة، إذ بلغ 81 عاماً لدى الرجال و84 عاماً ل</w:t>
      </w:r>
      <w:r w:rsidRPr="003817EA">
        <w:rPr>
          <w:rFonts w:hint="cs"/>
          <w:rtl/>
        </w:rPr>
        <w:t>دى ا</w:t>
      </w:r>
      <w:r w:rsidRPr="003817EA">
        <w:rPr>
          <w:rtl/>
        </w:rPr>
        <w:t>لنساء.</w:t>
      </w:r>
    </w:p>
    <w:p w14:paraId="48B52118" w14:textId="77777777" w:rsidR="00A1204B" w:rsidRPr="003817EA" w:rsidRDefault="00A1204B" w:rsidP="00A1204B">
      <w:pPr>
        <w:pStyle w:val="SingleTxtGA"/>
        <w:rPr>
          <w:rtl/>
        </w:rPr>
      </w:pPr>
      <w:r w:rsidRPr="003817EA">
        <w:rPr>
          <w:rtl/>
        </w:rPr>
        <w:t>3-</w:t>
      </w:r>
      <w:r w:rsidRPr="003817EA">
        <w:rPr>
          <w:rtl/>
        </w:rPr>
        <w:tab/>
        <w:t xml:space="preserve">وبلغ </w:t>
      </w:r>
      <w:r w:rsidRPr="001F1035">
        <w:rPr>
          <w:i/>
          <w:iCs/>
          <w:rtl/>
        </w:rPr>
        <w:t>متوسط حجم الأسرة المعيشية</w:t>
      </w:r>
      <w:r w:rsidRPr="003817EA">
        <w:rPr>
          <w:rtl/>
        </w:rPr>
        <w:t xml:space="preserve"> (عدد الأشخاص) في عام 2017 ما مجموعه 2,6. وتتألف نسبة 32 في المائة من مجموع الأسر المعيشية من شخص واحد. وتمثِّل نسبة الأطفال الذين يعيشون إما مع الأم أو الأب 9 في المائة. و</w:t>
      </w:r>
      <w:r w:rsidRPr="003817EA">
        <w:rPr>
          <w:rFonts w:hint="cs"/>
          <w:rtl/>
        </w:rPr>
        <w:t xml:space="preserve">بلغ </w:t>
      </w:r>
      <w:r w:rsidRPr="003817EA">
        <w:rPr>
          <w:rtl/>
        </w:rPr>
        <w:t>عدد الأشخاص الذين يعيشون في أسرة معيشية تتألف من أم عزباء</w:t>
      </w:r>
      <w:r w:rsidRPr="003817EA">
        <w:rPr>
          <w:rFonts w:hint="cs"/>
          <w:rtl/>
        </w:rPr>
        <w:t> 124 28 شخصاً</w:t>
      </w:r>
      <w:r w:rsidRPr="003817EA">
        <w:rPr>
          <w:rtl/>
        </w:rPr>
        <w:t>، وفي أسرة معيشية تتألف من أب أعزب 732 2</w:t>
      </w:r>
      <w:r w:rsidRPr="003817EA">
        <w:rPr>
          <w:rFonts w:hint="cs"/>
          <w:rtl/>
        </w:rPr>
        <w:t>.</w:t>
      </w:r>
    </w:p>
    <w:p w14:paraId="67C370E8" w14:textId="77777777" w:rsidR="00A1204B" w:rsidRPr="003817EA" w:rsidRDefault="00A1204B" w:rsidP="00A1204B">
      <w:pPr>
        <w:pStyle w:val="SingleTxtGA"/>
        <w:rPr>
          <w:rtl/>
        </w:rPr>
      </w:pPr>
      <w:r w:rsidRPr="003817EA">
        <w:rPr>
          <w:rtl/>
        </w:rPr>
        <w:t>4-</w:t>
      </w:r>
      <w:r w:rsidRPr="003817EA">
        <w:rPr>
          <w:rtl/>
        </w:rPr>
        <w:tab/>
        <w:t>وفي عام 2020، سُجِّل في آيسلندا</w:t>
      </w:r>
      <w:r w:rsidRPr="003817EA">
        <w:rPr>
          <w:rFonts w:hint="cs"/>
          <w:rtl/>
        </w:rPr>
        <w:t xml:space="preserve"> 354</w:t>
      </w:r>
      <w:r w:rsidRPr="003817EA">
        <w:rPr>
          <w:rtl/>
        </w:rPr>
        <w:t> </w:t>
      </w:r>
      <w:r w:rsidRPr="003817EA">
        <w:rPr>
          <w:rFonts w:hint="cs"/>
          <w:rtl/>
        </w:rPr>
        <w:t>55</w:t>
      </w:r>
      <w:r w:rsidRPr="003817EA">
        <w:rPr>
          <w:rtl/>
        </w:rPr>
        <w:t xml:space="preserve"> </w:t>
      </w:r>
      <w:r w:rsidRPr="001F1035">
        <w:rPr>
          <w:i/>
          <w:iCs/>
          <w:rtl/>
        </w:rPr>
        <w:t>مهاجراً</w:t>
      </w:r>
      <w:r w:rsidRPr="003817EA">
        <w:rPr>
          <w:rtl/>
        </w:rPr>
        <w:t>، أو </w:t>
      </w:r>
      <w:r w:rsidRPr="003817EA">
        <w:rPr>
          <w:rFonts w:hint="cs"/>
          <w:rtl/>
        </w:rPr>
        <w:t>15,2</w:t>
      </w:r>
      <w:r w:rsidRPr="003817EA">
        <w:rPr>
          <w:rtl/>
        </w:rPr>
        <w:t xml:space="preserve"> في المائة من السكان، و684 5 </w:t>
      </w:r>
      <w:r w:rsidRPr="001F1035">
        <w:rPr>
          <w:i/>
          <w:iCs/>
          <w:rtl/>
        </w:rPr>
        <w:t>شخصاً</w:t>
      </w:r>
      <w:r w:rsidRPr="003817EA">
        <w:rPr>
          <w:rtl/>
        </w:rPr>
        <w:t xml:space="preserve"> </w:t>
      </w:r>
      <w:r w:rsidRPr="001F1035">
        <w:rPr>
          <w:i/>
          <w:iCs/>
          <w:rtl/>
        </w:rPr>
        <w:t>وُلدوا في آيسلندا لأبوين مهاجرين</w:t>
      </w:r>
      <w:r w:rsidRPr="003817EA">
        <w:rPr>
          <w:rtl/>
        </w:rPr>
        <w:t>، أي ما مجموعه</w:t>
      </w:r>
      <w:r w:rsidRPr="003817EA">
        <w:rPr>
          <w:rFonts w:hint="cs"/>
          <w:rtl/>
        </w:rPr>
        <w:t xml:space="preserve"> 16,8</w:t>
      </w:r>
      <w:r w:rsidRPr="003817EA">
        <w:rPr>
          <w:rtl/>
        </w:rPr>
        <w:t xml:space="preserve"> في المائة من سكان آيسلندا. وفي هذه الفقرة، يعرَّف "المهاجرون الوافدون" بأنهم أشخاص مولودون في الخارج لأبوين مولودين خارج البلد، ولا يشملون طالبي اللجوء، ولا المهاجرين من الجيل الثاني. وكما كان الحال من قبل، يمثِّل البولنديون أكبر نسبة من المهاجرين (</w:t>
      </w:r>
      <w:r w:rsidRPr="003817EA">
        <w:rPr>
          <w:rFonts w:hint="cs"/>
          <w:rtl/>
        </w:rPr>
        <w:t>477</w:t>
      </w:r>
      <w:r w:rsidRPr="003817EA">
        <w:rPr>
          <w:rtl/>
        </w:rPr>
        <w:t> </w:t>
      </w:r>
      <w:r w:rsidRPr="003817EA">
        <w:rPr>
          <w:rFonts w:hint="cs"/>
          <w:rtl/>
        </w:rPr>
        <w:t>20</w:t>
      </w:r>
      <w:r w:rsidRPr="003817EA">
        <w:rPr>
          <w:rtl/>
        </w:rPr>
        <w:t>)، أو ما مجموعه 37 في المائة من مجموع المهاجرين، يليهم مهاجرون من ليتوانيا (</w:t>
      </w:r>
      <w:r w:rsidRPr="003817EA">
        <w:rPr>
          <w:rFonts w:hint="cs"/>
          <w:rtl/>
        </w:rPr>
        <w:t xml:space="preserve">5,9 </w:t>
      </w:r>
      <w:r w:rsidRPr="003817EA">
        <w:rPr>
          <w:rtl/>
        </w:rPr>
        <w:t>في المائة) والفلبين (3,8 في المائة).</w:t>
      </w:r>
    </w:p>
    <w:p w14:paraId="4FCF504B" w14:textId="77777777" w:rsidR="00A1204B" w:rsidRPr="003817EA" w:rsidRDefault="00A1204B" w:rsidP="00A1204B">
      <w:pPr>
        <w:pStyle w:val="SingleTxtGA"/>
        <w:rPr>
          <w:rtl/>
        </w:rPr>
      </w:pPr>
      <w:r w:rsidRPr="003817EA">
        <w:rPr>
          <w:rtl/>
        </w:rPr>
        <w:t>5-</w:t>
      </w:r>
      <w:r w:rsidRPr="003817EA">
        <w:rPr>
          <w:rtl/>
        </w:rPr>
        <w:tab/>
        <w:t>وفي عام 2020، كان 63 في المائة من سكان آيسلندا أعضاء في الكنيسة الإنجيلية اللوثرية في آيسلندا (كنيسة آيسلندا). ولا ينتمي أكثر من 7 في المائة من السكان إلى أي منظمة دينية. وي</w:t>
      </w:r>
      <w:r w:rsidRPr="003817EA">
        <w:rPr>
          <w:rFonts w:hint="cs"/>
          <w:rtl/>
        </w:rPr>
        <w:t>عرض</w:t>
      </w:r>
      <w:r w:rsidRPr="003817EA">
        <w:rPr>
          <w:rtl/>
        </w:rPr>
        <w:t xml:space="preserve"> الجدول التالي العضوية في </w:t>
      </w:r>
      <w:r w:rsidRPr="003817EA">
        <w:rPr>
          <w:rFonts w:hint="cs"/>
          <w:rtl/>
        </w:rPr>
        <w:t>ال</w:t>
      </w:r>
      <w:r w:rsidRPr="003817EA">
        <w:rPr>
          <w:rtl/>
        </w:rPr>
        <w:t xml:space="preserve">طوائف </w:t>
      </w:r>
      <w:r w:rsidRPr="003817EA">
        <w:rPr>
          <w:rFonts w:hint="cs"/>
          <w:rtl/>
        </w:rPr>
        <w:t>ال</w:t>
      </w:r>
      <w:r w:rsidRPr="003817EA">
        <w:rPr>
          <w:rtl/>
        </w:rPr>
        <w:t>دينية و</w:t>
      </w:r>
      <w:r w:rsidRPr="003817EA">
        <w:rPr>
          <w:rFonts w:hint="cs"/>
          <w:rtl/>
        </w:rPr>
        <w:t>ال</w:t>
      </w:r>
      <w:r w:rsidRPr="003817EA">
        <w:rPr>
          <w:rtl/>
        </w:rPr>
        <w:t xml:space="preserve">مذهبية </w:t>
      </w:r>
      <w:r w:rsidRPr="003817EA">
        <w:rPr>
          <w:rFonts w:hint="cs"/>
          <w:rtl/>
        </w:rPr>
        <w:t>ال</w:t>
      </w:r>
      <w:r w:rsidRPr="003817EA">
        <w:rPr>
          <w:rtl/>
        </w:rPr>
        <w:t>أخرى.</w:t>
      </w:r>
    </w:p>
    <w:tbl>
      <w:tblPr>
        <w:tblStyle w:val="TABLEA"/>
        <w:bidiVisual/>
        <w:tblW w:w="7370" w:type="dxa"/>
        <w:jc w:val="left"/>
        <w:tblInd w:w="1247" w:type="dxa"/>
        <w:tblLayout w:type="fixed"/>
        <w:tblLook w:val="04E0" w:firstRow="1" w:lastRow="1" w:firstColumn="1" w:lastColumn="0" w:noHBand="0" w:noVBand="1"/>
      </w:tblPr>
      <w:tblGrid>
        <w:gridCol w:w="4382"/>
        <w:gridCol w:w="1494"/>
        <w:gridCol w:w="1494"/>
      </w:tblGrid>
      <w:tr w:rsidR="00A1204B" w:rsidRPr="003817EA" w14:paraId="2C99F4C9"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4382" w:type="dxa"/>
            <w:noWrap/>
            <w:hideMark/>
          </w:tcPr>
          <w:p w14:paraId="5F48292E"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الطوائف الدينية والمذهبية في عام 2020</w:t>
            </w:r>
          </w:p>
        </w:tc>
        <w:tc>
          <w:tcPr>
            <w:tcW w:w="1494" w:type="dxa"/>
            <w:noWrap/>
            <w:hideMark/>
          </w:tcPr>
          <w:p w14:paraId="6E60C50A"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الأعضاء</w:t>
            </w:r>
          </w:p>
        </w:tc>
        <w:tc>
          <w:tcPr>
            <w:tcW w:w="1494" w:type="dxa"/>
            <w:noWrap/>
            <w:hideMark/>
          </w:tcPr>
          <w:p w14:paraId="1174101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النسبة المئوية</w:t>
            </w:r>
          </w:p>
        </w:tc>
      </w:tr>
      <w:tr w:rsidR="00A1204B" w:rsidRPr="003817EA" w14:paraId="3C42ED6D" w14:textId="77777777" w:rsidTr="00047038">
        <w:trPr>
          <w:jc w:val="left"/>
        </w:trPr>
        <w:tc>
          <w:tcPr>
            <w:tcW w:w="4382" w:type="dxa"/>
            <w:noWrap/>
            <w:hideMark/>
          </w:tcPr>
          <w:p w14:paraId="29507FD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الكنيسة اللوثرية الحرة في ريكيافيك</w:t>
            </w:r>
          </w:p>
        </w:tc>
        <w:tc>
          <w:tcPr>
            <w:tcW w:w="1494" w:type="dxa"/>
            <w:noWrap/>
            <w:hideMark/>
          </w:tcPr>
          <w:p w14:paraId="104607A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003 10</w:t>
            </w:r>
          </w:p>
        </w:tc>
        <w:tc>
          <w:tcPr>
            <w:tcW w:w="1494" w:type="dxa"/>
            <w:noWrap/>
            <w:hideMark/>
          </w:tcPr>
          <w:p w14:paraId="69A00DE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w:t>
            </w:r>
          </w:p>
        </w:tc>
      </w:tr>
      <w:tr w:rsidR="00A1204B" w:rsidRPr="003817EA" w14:paraId="4F456615" w14:textId="77777777" w:rsidTr="00047038">
        <w:trPr>
          <w:jc w:val="left"/>
        </w:trPr>
        <w:tc>
          <w:tcPr>
            <w:tcW w:w="4382" w:type="dxa"/>
            <w:noWrap/>
            <w:hideMark/>
          </w:tcPr>
          <w:p w14:paraId="6E9B4E8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أبرشية الكنيسة الكاثوليكية الرومانية</w:t>
            </w:r>
          </w:p>
        </w:tc>
        <w:tc>
          <w:tcPr>
            <w:tcW w:w="1494" w:type="dxa"/>
            <w:noWrap/>
            <w:hideMark/>
          </w:tcPr>
          <w:p w14:paraId="571F97E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632 14</w:t>
            </w:r>
          </w:p>
        </w:tc>
        <w:tc>
          <w:tcPr>
            <w:tcW w:w="1494" w:type="dxa"/>
            <w:noWrap/>
            <w:hideMark/>
          </w:tcPr>
          <w:p w14:paraId="72129E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r>
      <w:tr w:rsidR="00A1204B" w:rsidRPr="003817EA" w14:paraId="0EFC48AE" w14:textId="77777777" w:rsidTr="00047038">
        <w:trPr>
          <w:jc w:val="left"/>
        </w:trPr>
        <w:tc>
          <w:tcPr>
            <w:tcW w:w="4382" w:type="dxa"/>
            <w:noWrap/>
            <w:hideMark/>
          </w:tcPr>
          <w:p w14:paraId="346A111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الكنيسة اللوثرية الحرة في هافنارفيوردور</w:t>
            </w:r>
          </w:p>
        </w:tc>
        <w:tc>
          <w:tcPr>
            <w:tcW w:w="1494" w:type="dxa"/>
            <w:noWrap/>
            <w:hideMark/>
          </w:tcPr>
          <w:p w14:paraId="641D800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216 7</w:t>
            </w:r>
          </w:p>
        </w:tc>
        <w:tc>
          <w:tcPr>
            <w:tcW w:w="1494" w:type="dxa"/>
            <w:noWrap/>
            <w:hideMark/>
          </w:tcPr>
          <w:p w14:paraId="5AC692D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w:t>
            </w:r>
          </w:p>
        </w:tc>
      </w:tr>
      <w:tr w:rsidR="00A1204B" w:rsidRPr="003817EA" w14:paraId="67C17C5F" w14:textId="77777777" w:rsidTr="00047038">
        <w:trPr>
          <w:jc w:val="left"/>
        </w:trPr>
        <w:tc>
          <w:tcPr>
            <w:tcW w:w="4382" w:type="dxa"/>
            <w:noWrap/>
            <w:hideMark/>
          </w:tcPr>
          <w:p w14:paraId="7F7CF76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الجماعة المستقلة</w:t>
            </w:r>
          </w:p>
        </w:tc>
        <w:tc>
          <w:tcPr>
            <w:tcW w:w="1494" w:type="dxa"/>
            <w:noWrap/>
            <w:hideMark/>
          </w:tcPr>
          <w:p w14:paraId="782B189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241 3</w:t>
            </w:r>
          </w:p>
        </w:tc>
        <w:tc>
          <w:tcPr>
            <w:tcW w:w="1494" w:type="dxa"/>
            <w:noWrap/>
            <w:hideMark/>
          </w:tcPr>
          <w:p w14:paraId="285BE08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0,9</w:t>
            </w:r>
          </w:p>
        </w:tc>
      </w:tr>
      <w:tr w:rsidR="00A1204B" w:rsidRPr="003817EA" w14:paraId="7F5FCA1A" w14:textId="77777777" w:rsidTr="00047038">
        <w:trPr>
          <w:jc w:val="left"/>
        </w:trPr>
        <w:tc>
          <w:tcPr>
            <w:tcW w:w="4382" w:type="dxa"/>
            <w:noWrap/>
            <w:hideMark/>
          </w:tcPr>
          <w:p w14:paraId="04CD46D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رابطة الأساترو</w:t>
            </w:r>
          </w:p>
        </w:tc>
        <w:tc>
          <w:tcPr>
            <w:tcW w:w="1494" w:type="dxa"/>
            <w:noWrap/>
            <w:hideMark/>
          </w:tcPr>
          <w:p w14:paraId="5223896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764 4</w:t>
            </w:r>
          </w:p>
        </w:tc>
        <w:tc>
          <w:tcPr>
            <w:tcW w:w="1494" w:type="dxa"/>
            <w:noWrap/>
            <w:hideMark/>
          </w:tcPr>
          <w:p w14:paraId="385A684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w:t>
            </w:r>
          </w:p>
        </w:tc>
      </w:tr>
      <w:tr w:rsidR="00A1204B" w:rsidRPr="003817EA" w14:paraId="4ABC8E1F" w14:textId="77777777" w:rsidTr="00047038">
        <w:trPr>
          <w:jc w:val="left"/>
        </w:trPr>
        <w:tc>
          <w:tcPr>
            <w:tcW w:w="4382" w:type="dxa"/>
            <w:noWrap/>
            <w:hideMark/>
          </w:tcPr>
          <w:p w14:paraId="18D944E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زويزم</w:t>
            </w:r>
          </w:p>
        </w:tc>
        <w:tc>
          <w:tcPr>
            <w:tcW w:w="1494" w:type="dxa"/>
            <w:noWrap/>
            <w:hideMark/>
          </w:tcPr>
          <w:p w14:paraId="623421E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213 1</w:t>
            </w:r>
          </w:p>
        </w:tc>
        <w:tc>
          <w:tcPr>
            <w:tcW w:w="1494" w:type="dxa"/>
            <w:noWrap/>
            <w:hideMark/>
          </w:tcPr>
          <w:p w14:paraId="0505CE0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0,3</w:t>
            </w:r>
          </w:p>
        </w:tc>
      </w:tr>
      <w:tr w:rsidR="00A1204B" w:rsidRPr="003817EA" w14:paraId="76C4CA2D" w14:textId="77777777" w:rsidTr="00047038">
        <w:trPr>
          <w:jc w:val="left"/>
        </w:trPr>
        <w:tc>
          <w:tcPr>
            <w:tcW w:w="4382" w:type="dxa"/>
            <w:noWrap/>
            <w:hideMark/>
          </w:tcPr>
          <w:p w14:paraId="3EA516F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الرابطة البوذية</w:t>
            </w:r>
          </w:p>
        </w:tc>
        <w:tc>
          <w:tcPr>
            <w:tcW w:w="1494" w:type="dxa"/>
            <w:noWrap/>
            <w:hideMark/>
          </w:tcPr>
          <w:p w14:paraId="5E6F34E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115 1</w:t>
            </w:r>
          </w:p>
        </w:tc>
        <w:tc>
          <w:tcPr>
            <w:tcW w:w="1494" w:type="dxa"/>
            <w:noWrap/>
            <w:hideMark/>
          </w:tcPr>
          <w:p w14:paraId="6B4CA78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0,3</w:t>
            </w:r>
          </w:p>
        </w:tc>
      </w:tr>
      <w:tr w:rsidR="00A1204B" w:rsidRPr="003817EA" w14:paraId="6C1B6B94" w14:textId="77777777" w:rsidTr="00047038">
        <w:trPr>
          <w:jc w:val="left"/>
        </w:trPr>
        <w:tc>
          <w:tcPr>
            <w:tcW w:w="4382" w:type="dxa"/>
            <w:noWrap/>
            <w:hideMark/>
          </w:tcPr>
          <w:p w14:paraId="768D073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الجمعية الخمسينية</w:t>
            </w:r>
          </w:p>
        </w:tc>
        <w:tc>
          <w:tcPr>
            <w:tcW w:w="1494" w:type="dxa"/>
            <w:noWrap/>
            <w:hideMark/>
          </w:tcPr>
          <w:p w14:paraId="1B5AFEA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099 2</w:t>
            </w:r>
          </w:p>
        </w:tc>
        <w:tc>
          <w:tcPr>
            <w:tcW w:w="1494" w:type="dxa"/>
            <w:noWrap/>
            <w:hideMark/>
          </w:tcPr>
          <w:p w14:paraId="0CE9457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0,6</w:t>
            </w:r>
          </w:p>
        </w:tc>
      </w:tr>
      <w:tr w:rsidR="00A1204B" w:rsidRPr="003817EA" w14:paraId="132158CA" w14:textId="77777777" w:rsidTr="00047038">
        <w:trPr>
          <w:jc w:val="left"/>
        </w:trPr>
        <w:tc>
          <w:tcPr>
            <w:tcW w:w="4382" w:type="dxa"/>
            <w:noWrap/>
            <w:hideMark/>
          </w:tcPr>
          <w:p w14:paraId="72FAFC2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سيدمنت - الرابطة الإنسانية الأخلاقية الآيسلندية</w:t>
            </w:r>
          </w:p>
        </w:tc>
        <w:tc>
          <w:tcPr>
            <w:tcW w:w="1494" w:type="dxa"/>
            <w:noWrap/>
            <w:hideMark/>
          </w:tcPr>
          <w:p w14:paraId="21A974D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507 3</w:t>
            </w:r>
          </w:p>
        </w:tc>
        <w:tc>
          <w:tcPr>
            <w:tcW w:w="1494" w:type="dxa"/>
            <w:noWrap/>
            <w:hideMark/>
          </w:tcPr>
          <w:p w14:paraId="7CF30C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r>
      <w:tr w:rsidR="00A1204B" w:rsidRPr="003817EA" w14:paraId="11E525F2" w14:textId="77777777" w:rsidTr="00047038">
        <w:trPr>
          <w:jc w:val="left"/>
        </w:trPr>
        <w:tc>
          <w:tcPr>
            <w:tcW w:w="4382" w:type="dxa"/>
            <w:noWrap/>
            <w:hideMark/>
          </w:tcPr>
          <w:p w14:paraId="0157F4C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طوائف أخرى وطوائف غير محدَّدة</w:t>
            </w:r>
          </w:p>
        </w:tc>
        <w:tc>
          <w:tcPr>
            <w:tcW w:w="1494" w:type="dxa"/>
            <w:noWrap/>
            <w:hideMark/>
          </w:tcPr>
          <w:p w14:paraId="265572D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118 59</w:t>
            </w:r>
          </w:p>
        </w:tc>
        <w:tc>
          <w:tcPr>
            <w:tcW w:w="1494" w:type="dxa"/>
            <w:noWrap/>
            <w:hideMark/>
          </w:tcPr>
          <w:p w14:paraId="372497E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16,3</w:t>
            </w:r>
          </w:p>
        </w:tc>
      </w:tr>
      <w:tr w:rsidR="00A1204B" w:rsidRPr="003817EA" w14:paraId="3A74EE7F"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4382" w:type="dxa"/>
            <w:noWrap/>
            <w:hideMark/>
          </w:tcPr>
          <w:p w14:paraId="1EED719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غير منتسبين إلى أي منظمة دينية</w:t>
            </w:r>
          </w:p>
        </w:tc>
        <w:tc>
          <w:tcPr>
            <w:tcW w:w="1494" w:type="dxa"/>
            <w:noWrap/>
            <w:hideMark/>
          </w:tcPr>
          <w:p w14:paraId="162C261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114 26</w:t>
            </w:r>
          </w:p>
        </w:tc>
        <w:tc>
          <w:tcPr>
            <w:tcW w:w="1494" w:type="dxa"/>
            <w:noWrap/>
            <w:hideMark/>
          </w:tcPr>
          <w:p w14:paraId="36BE37F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7,1</w:t>
            </w:r>
          </w:p>
        </w:tc>
      </w:tr>
    </w:tbl>
    <w:p w14:paraId="32EE3EBA" w14:textId="77777777" w:rsidR="00A1204B" w:rsidRPr="001F1035" w:rsidRDefault="00A1204B" w:rsidP="00A1204B">
      <w:pPr>
        <w:pStyle w:val="H23GA"/>
        <w:rPr>
          <w:rtl/>
        </w:rPr>
      </w:pPr>
      <w:r w:rsidRPr="001F1035">
        <w:rPr>
          <w:rtl/>
        </w:rPr>
        <w:tab/>
        <w:t xml:space="preserve"> 2-</w:t>
      </w:r>
      <w:r w:rsidRPr="001F1035">
        <w:rPr>
          <w:rtl/>
        </w:rPr>
        <w:tab/>
        <w:t>الاقتصاد</w:t>
      </w:r>
    </w:p>
    <w:p w14:paraId="78E92F12" w14:textId="77777777" w:rsidR="00A1204B" w:rsidRPr="003817EA" w:rsidRDefault="00A1204B" w:rsidP="00A1204B">
      <w:pPr>
        <w:pStyle w:val="SingleTxtGA"/>
        <w:rPr>
          <w:rtl/>
        </w:rPr>
      </w:pPr>
      <w:r w:rsidRPr="003817EA">
        <w:rPr>
          <w:rtl/>
        </w:rPr>
        <w:t>6-</w:t>
      </w:r>
      <w:r w:rsidRPr="003817EA">
        <w:rPr>
          <w:rtl/>
        </w:rPr>
        <w:tab/>
        <w:t xml:space="preserve">الاقتصاد الآيسلندي اقتصاد منفتح ومتقدم النمو يعمل في إطار نموذج بلدان الشمال الأوروبي، ويجمع بين اقتصاد السوق الحرة ودولة الرفاه. وهو </w:t>
      </w:r>
      <w:r w:rsidRPr="003817EA">
        <w:rPr>
          <w:rFonts w:hint="cs"/>
          <w:rtl/>
        </w:rPr>
        <w:t>أ</w:t>
      </w:r>
      <w:r w:rsidRPr="003817EA">
        <w:rPr>
          <w:rtl/>
        </w:rPr>
        <w:t>صغر اقتصاد داخل منظمة التعاون والتنمية في الميدان الاقتصادي، إذ يبلغ الناتج المحلي الإجمالي السنوي</w:t>
      </w:r>
      <w:r w:rsidRPr="003817EA">
        <w:rPr>
          <w:rFonts w:hint="cs"/>
          <w:rtl/>
        </w:rPr>
        <w:t xml:space="preserve"> 21,5</w:t>
      </w:r>
      <w:r w:rsidRPr="003817EA">
        <w:rPr>
          <w:rtl/>
        </w:rPr>
        <w:t xml:space="preserve"> مليار دولار </w:t>
      </w:r>
      <w:r w:rsidRPr="003817EA">
        <w:rPr>
          <w:rFonts w:hint="cs"/>
          <w:rtl/>
        </w:rPr>
        <w:t>من دولارات الولايات المتحدة ال</w:t>
      </w:r>
      <w:r w:rsidRPr="003817EA">
        <w:rPr>
          <w:rtl/>
        </w:rPr>
        <w:t>أمريكي</w:t>
      </w:r>
      <w:r w:rsidRPr="003817EA">
        <w:rPr>
          <w:rFonts w:hint="cs"/>
          <w:rtl/>
        </w:rPr>
        <w:t>ة</w:t>
      </w:r>
      <w:r w:rsidRPr="003817EA">
        <w:rPr>
          <w:rtl/>
        </w:rPr>
        <w:t xml:space="preserve"> (عام 2019).</w:t>
      </w:r>
    </w:p>
    <w:p w14:paraId="24BFCD03" w14:textId="77777777" w:rsidR="00A1204B" w:rsidRPr="003817EA" w:rsidRDefault="00A1204B" w:rsidP="00A1204B">
      <w:pPr>
        <w:pStyle w:val="SingleTxtGA"/>
        <w:rPr>
          <w:rtl/>
        </w:rPr>
      </w:pPr>
      <w:r w:rsidRPr="003817EA">
        <w:rPr>
          <w:rtl/>
        </w:rPr>
        <w:t>7-</w:t>
      </w:r>
      <w:r w:rsidRPr="003817EA">
        <w:rPr>
          <w:rtl/>
        </w:rPr>
        <w:tab/>
        <w:t>وآيسلندا غنية بالموارد الطبيعية التي تمثِّل القطاعات التقليدية والنامية من اقتصادها على حد سواء. وتحيط بالجزيرة بعض من أغنى مناطق صيد الأسماك وأغزرها إنتاجاً في شمال المحيط الأطلسي، وتمثِّل مصائد الأسماك، منذ زمن بعيد، الدعامة الأساسية للاقتصاد الآيسلندي.</w:t>
      </w:r>
    </w:p>
    <w:p w14:paraId="6D28AF26" w14:textId="77777777" w:rsidR="00A1204B" w:rsidRPr="003817EA" w:rsidRDefault="00A1204B" w:rsidP="00A1204B">
      <w:pPr>
        <w:pStyle w:val="SingleTxtGA"/>
        <w:rPr>
          <w:rtl/>
        </w:rPr>
      </w:pPr>
      <w:r w:rsidRPr="003817EA">
        <w:rPr>
          <w:rtl/>
        </w:rPr>
        <w:t>8-</w:t>
      </w:r>
      <w:r w:rsidRPr="003817EA">
        <w:rPr>
          <w:rtl/>
        </w:rPr>
        <w:tab/>
        <w:t>وقد أفرزت التطورات التكنولوجية الأخيرة نموّاً مط</w:t>
      </w:r>
      <w:r w:rsidRPr="003817EA">
        <w:rPr>
          <w:rFonts w:hint="cs"/>
          <w:rtl/>
        </w:rPr>
        <w:t>َّ</w:t>
      </w:r>
      <w:r w:rsidRPr="003817EA">
        <w:rPr>
          <w:rtl/>
        </w:rPr>
        <w:t>رداً في الصناعات والخدمات القائمة على المعرفة. و</w:t>
      </w:r>
      <w:r w:rsidRPr="003817EA">
        <w:rPr>
          <w:rFonts w:hint="cs"/>
          <w:rtl/>
        </w:rPr>
        <w:t xml:space="preserve">كانت </w:t>
      </w:r>
      <w:r w:rsidRPr="003817EA">
        <w:rPr>
          <w:rtl/>
        </w:rPr>
        <w:t>القطاعات الصناعية الخمسة الأسرع نموّاً في آيسلندا خلال السنوات القليلة الماضية</w:t>
      </w:r>
      <w:r w:rsidRPr="003817EA">
        <w:rPr>
          <w:rFonts w:hint="cs"/>
          <w:rtl/>
        </w:rPr>
        <w:t xml:space="preserve"> ضمن</w:t>
      </w:r>
      <w:r w:rsidRPr="003817EA">
        <w:rPr>
          <w:rtl/>
        </w:rPr>
        <w:t xml:space="preserve"> صناعة تكنولوجيا المعلومات والاتصالات: التكنولوجيات الصحية (بما في ذلك المستحضرات الصيدلانية)، والتكنولوجيا الحيوية، وعلم الوراثة، وهندسة الطب الأحيائي، وإنتاج المعدات القائمة على تكنولوجيا المعلومات لت</w:t>
      </w:r>
      <w:r w:rsidRPr="003817EA">
        <w:rPr>
          <w:rFonts w:hint="cs"/>
          <w:rtl/>
        </w:rPr>
        <w:t>جهيز</w:t>
      </w:r>
      <w:r w:rsidRPr="003817EA">
        <w:rPr>
          <w:rtl/>
        </w:rPr>
        <w:t xml:space="preserve"> الأغذية.</w:t>
      </w:r>
    </w:p>
    <w:p w14:paraId="4CD43473" w14:textId="77777777" w:rsidR="00A1204B" w:rsidRPr="003817EA" w:rsidRDefault="00A1204B" w:rsidP="00A1204B">
      <w:pPr>
        <w:pStyle w:val="SingleTxtGA"/>
        <w:rPr>
          <w:rtl/>
        </w:rPr>
      </w:pPr>
      <w:r w:rsidRPr="003817EA">
        <w:rPr>
          <w:rtl/>
        </w:rPr>
        <w:t>9-</w:t>
      </w:r>
      <w:r w:rsidRPr="003817EA">
        <w:rPr>
          <w:rtl/>
        </w:rPr>
        <w:tab/>
        <w:t xml:space="preserve">وشهدت آيسلندا نموّاً غير مسبوق في قطاع السياحة منذ عام 2010، </w:t>
      </w:r>
      <w:r w:rsidRPr="003817EA">
        <w:rPr>
          <w:rFonts w:hint="cs"/>
          <w:rtl/>
        </w:rPr>
        <w:t>و</w:t>
      </w:r>
      <w:r w:rsidRPr="003817EA">
        <w:rPr>
          <w:rtl/>
        </w:rPr>
        <w:t>تجاوزت حصة القطاع في عام 2016 حصة قطاع صيد الأسماك وتجهيز الأسماك في الناتج المحلي الإجمالي. وفي السنوات الموالية، تجاوزت مساهمة قطاع السياحة في الناتج المحلي الإجمالي نسبة 8 في المائة. غير أنه كان من الطبيعي أن تفرز جائحة كوفيد-19 تغيراً في الأوضاع في عامي 2020 و</w:t>
      </w:r>
      <w:r w:rsidRPr="003817EA">
        <w:rPr>
          <w:rFonts w:hint="cs"/>
          <w:rtl/>
        </w:rPr>
        <w:t>2021.</w:t>
      </w:r>
    </w:p>
    <w:p w14:paraId="03ECEC22" w14:textId="77777777" w:rsidR="00A1204B" w:rsidRPr="003817EA" w:rsidRDefault="00A1204B" w:rsidP="00A1204B">
      <w:pPr>
        <w:pStyle w:val="SingleTxtGA"/>
        <w:rPr>
          <w:rtl/>
        </w:rPr>
      </w:pPr>
      <w:r w:rsidRPr="003817EA">
        <w:rPr>
          <w:rtl/>
        </w:rPr>
        <w:t>10-</w:t>
      </w:r>
      <w:r w:rsidRPr="003817EA">
        <w:rPr>
          <w:rtl/>
        </w:rPr>
        <w:tab/>
        <w:t>وتسجِّل آيسلندا معدل مشاركة مرتفعاً في سوق العمل في صفوف الرجال والنساء على السواء. ففي عام 2019، كان 74 في المائة من النساء عاملات مقارنة بنسبة 80 في المائة من الرجال. وهذا يجعل</w:t>
      </w:r>
      <w:r w:rsidRPr="003817EA">
        <w:rPr>
          <w:rFonts w:hint="cs"/>
          <w:rtl/>
        </w:rPr>
        <w:t xml:space="preserve"> نسبة</w:t>
      </w:r>
      <w:r w:rsidRPr="003817EA">
        <w:rPr>
          <w:rtl/>
        </w:rPr>
        <w:t xml:space="preserve"> مشاركة المرأة في سوق العمل </w:t>
      </w:r>
      <w:r w:rsidRPr="003817EA">
        <w:rPr>
          <w:rFonts w:hint="cs"/>
          <w:rtl/>
        </w:rPr>
        <w:t xml:space="preserve">في البلد </w:t>
      </w:r>
      <w:r w:rsidRPr="003817EA">
        <w:rPr>
          <w:rtl/>
        </w:rPr>
        <w:t>واحدة من أعلى النسب في العالم.</w:t>
      </w:r>
    </w:p>
    <w:p w14:paraId="332B8B5A" w14:textId="77777777" w:rsidR="00A1204B" w:rsidRPr="001F1035" w:rsidRDefault="00A1204B" w:rsidP="00A1204B">
      <w:pPr>
        <w:pStyle w:val="H23GA"/>
        <w:rPr>
          <w:rtl/>
        </w:rPr>
      </w:pPr>
      <w:r w:rsidRPr="001F1035">
        <w:rPr>
          <w:rtl/>
        </w:rPr>
        <w:tab/>
        <w:t>3-</w:t>
      </w:r>
      <w:r w:rsidRPr="001F1035">
        <w:rPr>
          <w:rtl/>
        </w:rPr>
        <w:tab/>
        <w:t>مؤشر أسعار الاستهلاك</w:t>
      </w:r>
    </w:p>
    <w:p w14:paraId="288DBB9C" w14:textId="77777777" w:rsidR="00A1204B" w:rsidRPr="003817EA" w:rsidRDefault="00A1204B" w:rsidP="00A1204B">
      <w:pPr>
        <w:pStyle w:val="SingleTxtGA"/>
        <w:rPr>
          <w:rtl/>
        </w:rPr>
      </w:pPr>
      <w:r w:rsidRPr="003817EA">
        <w:rPr>
          <w:rtl/>
        </w:rPr>
        <w:t>11-</w:t>
      </w:r>
      <w:r w:rsidRPr="003817EA">
        <w:rPr>
          <w:rtl/>
        </w:rPr>
        <w:tab/>
        <w:t>بلغ متوسط مؤشر أسعار الاستهلاك في آيسلندا</w:t>
      </w:r>
      <w:r w:rsidRPr="003817EA">
        <w:rPr>
          <w:rFonts w:hint="cs"/>
          <w:rtl/>
        </w:rPr>
        <w:t xml:space="preserve"> 219,14</w:t>
      </w:r>
      <w:r w:rsidRPr="003817EA">
        <w:rPr>
          <w:rtl/>
        </w:rPr>
        <w:t xml:space="preserve"> نقطة ما بين عامي 1979 و2019، ليصل إلى</w:t>
      </w:r>
      <w:r w:rsidRPr="003817EA">
        <w:rPr>
          <w:rFonts w:hint="cs"/>
          <w:rtl/>
        </w:rPr>
        <w:t xml:space="preserve"> 490,30</w:t>
      </w:r>
      <w:r w:rsidRPr="003817EA">
        <w:rPr>
          <w:rtl/>
        </w:rPr>
        <w:t xml:space="preserve"> نقطة في كانون الأول/ديسمبر 2020. ويوضح الشكل </w:t>
      </w:r>
      <w:r w:rsidRPr="003817EA">
        <w:rPr>
          <w:rFonts w:hint="cs"/>
          <w:rtl/>
        </w:rPr>
        <w:t>التالي</w:t>
      </w:r>
      <w:r w:rsidRPr="003817EA">
        <w:rPr>
          <w:rtl/>
        </w:rPr>
        <w:t xml:space="preserve"> التقلبات في مؤشر أسعار الاستهلاك من عام 1989 إلى عام 2017.</w:t>
      </w:r>
    </w:p>
    <w:p w14:paraId="60632730" w14:textId="5D0DF6F4" w:rsidR="00A1204B" w:rsidRPr="001F1035" w:rsidRDefault="00047038" w:rsidP="00A1204B">
      <w:pPr>
        <w:pStyle w:val="SingleTxtGA"/>
        <w:spacing w:line="240" w:lineRule="auto"/>
        <w:jc w:val="center"/>
        <w:rPr>
          <w:b/>
          <w:bCs/>
        </w:rPr>
      </w:pPr>
      <w:r>
        <w:rPr>
          <w:noProof/>
          <w:lang w:eastAsia="en-GB"/>
        </w:rPr>
        <w:lastRenderedPageBreak/>
        <w:drawing>
          <wp:inline distT="0" distB="0" distL="0" distR="0" wp14:anchorId="7BC7DE5B" wp14:editId="39DE008E">
            <wp:extent cx="4102636" cy="2430721"/>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385"/>
                    <a:stretch/>
                  </pic:blipFill>
                  <pic:spPr bwMode="auto">
                    <a:xfrm>
                      <a:off x="0" y="0"/>
                      <a:ext cx="4122243" cy="2442338"/>
                    </a:xfrm>
                    <a:prstGeom prst="rect">
                      <a:avLst/>
                    </a:prstGeom>
                    <a:ln>
                      <a:noFill/>
                    </a:ln>
                    <a:extLst>
                      <a:ext uri="{53640926-AAD7-44D8-BBD7-CCE9431645EC}">
                        <a14:shadowObscured xmlns:a14="http://schemas.microsoft.com/office/drawing/2010/main"/>
                      </a:ext>
                    </a:extLst>
                  </pic:spPr>
                </pic:pic>
              </a:graphicData>
            </a:graphic>
          </wp:inline>
        </w:drawing>
      </w:r>
    </w:p>
    <w:p w14:paraId="56E33C45" w14:textId="77777777" w:rsidR="00A1204B" w:rsidRPr="001F1035" w:rsidRDefault="00A1204B" w:rsidP="00A1204B">
      <w:pPr>
        <w:pStyle w:val="H23GA"/>
        <w:rPr>
          <w:rtl/>
        </w:rPr>
      </w:pPr>
      <w:r w:rsidRPr="001F1035">
        <w:rPr>
          <w:rtl/>
        </w:rPr>
        <w:tab/>
        <w:t>4-</w:t>
      </w:r>
      <w:r w:rsidRPr="001F1035">
        <w:rPr>
          <w:rtl/>
        </w:rPr>
        <w:tab/>
        <w:t>النفقات الاجتماعية</w:t>
      </w:r>
    </w:p>
    <w:p w14:paraId="668C091E" w14:textId="77777777" w:rsidR="00A1204B" w:rsidRPr="001F1035" w:rsidRDefault="00A1204B" w:rsidP="00A1204B">
      <w:pPr>
        <w:pStyle w:val="SingleTxtGA"/>
        <w:rPr>
          <w:b/>
          <w:bCs/>
          <w:rtl/>
        </w:rPr>
      </w:pPr>
      <w:r w:rsidRPr="003817EA">
        <w:rPr>
          <w:rtl/>
        </w:rPr>
        <w:t>12</w:t>
      </w:r>
      <w:r w:rsidRPr="001F1035">
        <w:rPr>
          <w:b/>
          <w:bCs/>
          <w:rtl/>
        </w:rPr>
        <w:t>-</w:t>
      </w:r>
      <w:r w:rsidRPr="003817EA">
        <w:rPr>
          <w:rtl/>
        </w:rPr>
        <w:tab/>
        <w:t xml:space="preserve">يبيِّن الجدول التالي </w:t>
      </w:r>
      <w:r w:rsidRPr="001F1035">
        <w:rPr>
          <w:i/>
          <w:iCs/>
          <w:rtl/>
        </w:rPr>
        <w:t>النفقات الاجتماعية</w:t>
      </w:r>
      <w:r w:rsidRPr="003817EA">
        <w:rPr>
          <w:rtl/>
        </w:rPr>
        <w:t xml:space="preserve"> (بملايين الكرونات الآيسلندية) ونسبتها المئوية من إجمالي الإنفاق الحكومي.</w:t>
      </w:r>
    </w:p>
    <w:tbl>
      <w:tblPr>
        <w:tblStyle w:val="TABLEA"/>
        <w:bidiVisual/>
        <w:tblW w:w="7370" w:type="dxa"/>
        <w:jc w:val="left"/>
        <w:tblInd w:w="1247" w:type="dxa"/>
        <w:tblLayout w:type="fixed"/>
        <w:tblLook w:val="04E0" w:firstRow="1" w:lastRow="1" w:firstColumn="1" w:lastColumn="0" w:noHBand="0" w:noVBand="1"/>
      </w:tblPr>
      <w:tblGrid>
        <w:gridCol w:w="2442"/>
        <w:gridCol w:w="1232"/>
        <w:gridCol w:w="1232"/>
        <w:gridCol w:w="1232"/>
        <w:gridCol w:w="1232"/>
      </w:tblGrid>
      <w:tr w:rsidR="00A1204B" w:rsidRPr="003817EA" w14:paraId="0FB99415"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3104" w:type="dxa"/>
            <w:noWrap/>
            <w:hideMark/>
          </w:tcPr>
          <w:p w14:paraId="2546ACE0"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1563" w:type="dxa"/>
            <w:noWrap/>
            <w:hideMark/>
          </w:tcPr>
          <w:p w14:paraId="2362D336"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2013</w:t>
            </w:r>
          </w:p>
        </w:tc>
        <w:tc>
          <w:tcPr>
            <w:tcW w:w="1563" w:type="dxa"/>
            <w:noWrap/>
            <w:hideMark/>
          </w:tcPr>
          <w:p w14:paraId="214D7D2F"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2014</w:t>
            </w:r>
          </w:p>
        </w:tc>
        <w:tc>
          <w:tcPr>
            <w:tcW w:w="1563" w:type="dxa"/>
            <w:noWrap/>
            <w:hideMark/>
          </w:tcPr>
          <w:p w14:paraId="34C84140"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2015</w:t>
            </w:r>
          </w:p>
        </w:tc>
        <w:tc>
          <w:tcPr>
            <w:tcW w:w="1563" w:type="dxa"/>
            <w:noWrap/>
            <w:hideMark/>
          </w:tcPr>
          <w:p w14:paraId="017C118A"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2016</w:t>
            </w:r>
          </w:p>
        </w:tc>
      </w:tr>
      <w:tr w:rsidR="00A1204B" w:rsidRPr="003817EA" w14:paraId="30927BCC" w14:textId="77777777" w:rsidTr="00047038">
        <w:trPr>
          <w:jc w:val="left"/>
        </w:trPr>
        <w:tc>
          <w:tcPr>
            <w:tcW w:w="3104" w:type="dxa"/>
            <w:noWrap/>
            <w:hideMark/>
          </w:tcPr>
          <w:p w14:paraId="5D729EE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الإسكان</w:t>
            </w:r>
          </w:p>
        </w:tc>
        <w:tc>
          <w:tcPr>
            <w:tcW w:w="1563" w:type="dxa"/>
            <w:noWrap/>
            <w:hideMark/>
          </w:tcPr>
          <w:p w14:paraId="1146EEE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414 13</w:t>
            </w:r>
          </w:p>
        </w:tc>
        <w:tc>
          <w:tcPr>
            <w:tcW w:w="1563" w:type="dxa"/>
            <w:noWrap/>
            <w:hideMark/>
          </w:tcPr>
          <w:p w14:paraId="6946FF8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969 13</w:t>
            </w:r>
          </w:p>
        </w:tc>
        <w:tc>
          <w:tcPr>
            <w:tcW w:w="1563" w:type="dxa"/>
            <w:noWrap/>
            <w:hideMark/>
          </w:tcPr>
          <w:p w14:paraId="63C6F84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648 12</w:t>
            </w:r>
          </w:p>
        </w:tc>
        <w:tc>
          <w:tcPr>
            <w:tcW w:w="1563" w:type="dxa"/>
            <w:noWrap/>
            <w:hideMark/>
          </w:tcPr>
          <w:p w14:paraId="632F81C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674 11</w:t>
            </w:r>
          </w:p>
        </w:tc>
      </w:tr>
      <w:tr w:rsidR="00A1204B" w:rsidRPr="003817EA" w14:paraId="2D5D2B2B" w14:textId="77777777" w:rsidTr="00047038">
        <w:trPr>
          <w:jc w:val="left"/>
        </w:trPr>
        <w:tc>
          <w:tcPr>
            <w:tcW w:w="3104" w:type="dxa"/>
            <w:noWrap/>
            <w:hideMark/>
          </w:tcPr>
          <w:p w14:paraId="7EA4060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الصحة</w:t>
            </w:r>
          </w:p>
        </w:tc>
        <w:tc>
          <w:tcPr>
            <w:tcW w:w="1563" w:type="dxa"/>
            <w:noWrap/>
            <w:hideMark/>
          </w:tcPr>
          <w:p w14:paraId="7588B2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779 132</w:t>
            </w:r>
          </w:p>
        </w:tc>
        <w:tc>
          <w:tcPr>
            <w:tcW w:w="1563" w:type="dxa"/>
            <w:noWrap/>
            <w:hideMark/>
          </w:tcPr>
          <w:p w14:paraId="1822B54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800 142</w:t>
            </w:r>
          </w:p>
        </w:tc>
        <w:tc>
          <w:tcPr>
            <w:tcW w:w="1563" w:type="dxa"/>
            <w:noWrap/>
            <w:hideMark/>
          </w:tcPr>
          <w:p w14:paraId="069011B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303 155</w:t>
            </w:r>
          </w:p>
        </w:tc>
        <w:tc>
          <w:tcPr>
            <w:tcW w:w="1563" w:type="dxa"/>
            <w:noWrap/>
            <w:hideMark/>
          </w:tcPr>
          <w:p w14:paraId="6004A5E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233 172</w:t>
            </w:r>
          </w:p>
        </w:tc>
      </w:tr>
      <w:tr w:rsidR="00A1204B" w:rsidRPr="003817EA" w14:paraId="4F38E43A" w14:textId="77777777" w:rsidTr="00047038">
        <w:trPr>
          <w:jc w:val="left"/>
        </w:trPr>
        <w:tc>
          <w:tcPr>
            <w:tcW w:w="3104" w:type="dxa"/>
            <w:noWrap/>
            <w:hideMark/>
          </w:tcPr>
          <w:p w14:paraId="6A4DD674" w14:textId="77777777" w:rsidR="00A1204B" w:rsidRPr="000A5F5F"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0A5F5F">
              <w:rPr>
                <w:sz w:val="18"/>
                <w:szCs w:val="18"/>
                <w:rtl/>
              </w:rPr>
              <w:t>البطالة</w:t>
            </w:r>
          </w:p>
        </w:tc>
        <w:tc>
          <w:tcPr>
            <w:tcW w:w="1563" w:type="dxa"/>
            <w:noWrap/>
            <w:hideMark/>
          </w:tcPr>
          <w:p w14:paraId="4729051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874 17</w:t>
            </w:r>
          </w:p>
        </w:tc>
        <w:tc>
          <w:tcPr>
            <w:tcW w:w="1563" w:type="dxa"/>
            <w:noWrap/>
            <w:hideMark/>
          </w:tcPr>
          <w:p w14:paraId="0BB450B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738 14</w:t>
            </w:r>
          </w:p>
        </w:tc>
        <w:tc>
          <w:tcPr>
            <w:tcW w:w="1563" w:type="dxa"/>
            <w:noWrap/>
            <w:hideMark/>
          </w:tcPr>
          <w:p w14:paraId="1F8959C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282 12</w:t>
            </w:r>
          </w:p>
        </w:tc>
        <w:tc>
          <w:tcPr>
            <w:tcW w:w="1563" w:type="dxa"/>
            <w:noWrap/>
            <w:hideMark/>
          </w:tcPr>
          <w:p w14:paraId="7345938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706 10</w:t>
            </w:r>
          </w:p>
        </w:tc>
      </w:tr>
      <w:tr w:rsidR="00A1204B" w:rsidRPr="003817EA" w14:paraId="2C1F357E" w14:textId="77777777" w:rsidTr="00047038">
        <w:trPr>
          <w:jc w:val="left"/>
        </w:trPr>
        <w:tc>
          <w:tcPr>
            <w:tcW w:w="3104" w:type="dxa"/>
            <w:noWrap/>
            <w:hideMark/>
          </w:tcPr>
          <w:p w14:paraId="5498649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التعليم</w:t>
            </w:r>
          </w:p>
        </w:tc>
        <w:tc>
          <w:tcPr>
            <w:tcW w:w="1563" w:type="dxa"/>
            <w:noWrap/>
            <w:hideMark/>
          </w:tcPr>
          <w:p w14:paraId="7558587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234 130</w:t>
            </w:r>
          </w:p>
        </w:tc>
        <w:tc>
          <w:tcPr>
            <w:tcW w:w="1563" w:type="dxa"/>
            <w:noWrap/>
            <w:hideMark/>
          </w:tcPr>
          <w:p w14:paraId="5947868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544 140</w:t>
            </w:r>
          </w:p>
        </w:tc>
        <w:tc>
          <w:tcPr>
            <w:tcW w:w="1563" w:type="dxa"/>
            <w:noWrap/>
            <w:hideMark/>
          </w:tcPr>
          <w:p w14:paraId="27FFEDA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163 152</w:t>
            </w:r>
          </w:p>
        </w:tc>
        <w:tc>
          <w:tcPr>
            <w:tcW w:w="1563" w:type="dxa"/>
            <w:noWrap/>
            <w:hideMark/>
          </w:tcPr>
          <w:p w14:paraId="204C59D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905 160</w:t>
            </w:r>
          </w:p>
        </w:tc>
      </w:tr>
      <w:tr w:rsidR="00A1204B" w:rsidRPr="003817EA" w14:paraId="00C62FD0" w14:textId="77777777" w:rsidTr="00433E15">
        <w:trPr>
          <w:jc w:val="left"/>
        </w:trPr>
        <w:tc>
          <w:tcPr>
            <w:tcW w:w="3104" w:type="dxa"/>
            <w:tcBorders>
              <w:bottom w:val="single" w:sz="4" w:space="0" w:color="auto"/>
            </w:tcBorders>
            <w:noWrap/>
            <w:hideMark/>
          </w:tcPr>
          <w:p w14:paraId="4453F8F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الخدمات الاجتماعية الأخرى</w:t>
            </w:r>
          </w:p>
        </w:tc>
        <w:tc>
          <w:tcPr>
            <w:tcW w:w="1563" w:type="dxa"/>
            <w:tcBorders>
              <w:bottom w:val="single" w:sz="4" w:space="0" w:color="auto"/>
            </w:tcBorders>
            <w:noWrap/>
            <w:hideMark/>
          </w:tcPr>
          <w:p w14:paraId="64820B0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009 161</w:t>
            </w:r>
          </w:p>
        </w:tc>
        <w:tc>
          <w:tcPr>
            <w:tcW w:w="1563" w:type="dxa"/>
            <w:tcBorders>
              <w:bottom w:val="single" w:sz="4" w:space="0" w:color="auto"/>
            </w:tcBorders>
            <w:noWrap/>
            <w:hideMark/>
          </w:tcPr>
          <w:p w14:paraId="6BEE888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366 128</w:t>
            </w:r>
          </w:p>
        </w:tc>
        <w:tc>
          <w:tcPr>
            <w:tcW w:w="1563" w:type="dxa"/>
            <w:tcBorders>
              <w:bottom w:val="single" w:sz="4" w:space="0" w:color="auto"/>
            </w:tcBorders>
            <w:noWrap/>
            <w:hideMark/>
          </w:tcPr>
          <w:p w14:paraId="38F778B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808 184</w:t>
            </w:r>
          </w:p>
        </w:tc>
        <w:tc>
          <w:tcPr>
            <w:tcW w:w="1563" w:type="dxa"/>
            <w:tcBorders>
              <w:bottom w:val="single" w:sz="4" w:space="0" w:color="auto"/>
            </w:tcBorders>
            <w:noWrap/>
            <w:hideMark/>
          </w:tcPr>
          <w:p w14:paraId="08DF7CD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727 199</w:t>
            </w:r>
          </w:p>
        </w:tc>
      </w:tr>
      <w:tr w:rsidR="00A1204B" w:rsidRPr="003817EA" w14:paraId="0C03D851" w14:textId="77777777" w:rsidTr="00433E15">
        <w:trPr>
          <w:jc w:val="left"/>
        </w:trPr>
        <w:tc>
          <w:tcPr>
            <w:tcW w:w="3104" w:type="dxa"/>
            <w:tcBorders>
              <w:top w:val="single" w:sz="4" w:space="0" w:color="auto"/>
              <w:bottom w:val="single" w:sz="4" w:space="0" w:color="auto"/>
            </w:tcBorders>
            <w:noWrap/>
            <w:hideMark/>
          </w:tcPr>
          <w:p w14:paraId="4E24E5E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340" w:right="57"/>
              <w:rPr>
                <w:sz w:val="18"/>
                <w:szCs w:val="18"/>
                <w:rtl/>
              </w:rPr>
            </w:pPr>
            <w:r w:rsidRPr="001F1035">
              <w:rPr>
                <w:b/>
                <w:bCs/>
                <w:sz w:val="18"/>
                <w:szCs w:val="18"/>
                <w:rtl/>
              </w:rPr>
              <w:t>مجموع النفقات الاجتماعية</w:t>
            </w:r>
          </w:p>
        </w:tc>
        <w:tc>
          <w:tcPr>
            <w:tcW w:w="1563" w:type="dxa"/>
            <w:tcBorders>
              <w:top w:val="single" w:sz="4" w:space="0" w:color="auto"/>
              <w:bottom w:val="single" w:sz="4" w:space="0" w:color="auto"/>
            </w:tcBorders>
            <w:noWrap/>
            <w:hideMark/>
          </w:tcPr>
          <w:p w14:paraId="7894904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310 455</w:t>
            </w:r>
          </w:p>
        </w:tc>
        <w:tc>
          <w:tcPr>
            <w:tcW w:w="1563" w:type="dxa"/>
            <w:tcBorders>
              <w:top w:val="single" w:sz="4" w:space="0" w:color="auto"/>
              <w:bottom w:val="single" w:sz="4" w:space="0" w:color="auto"/>
            </w:tcBorders>
            <w:noWrap/>
            <w:hideMark/>
          </w:tcPr>
          <w:p w14:paraId="766F01E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417 440</w:t>
            </w:r>
          </w:p>
        </w:tc>
        <w:tc>
          <w:tcPr>
            <w:tcW w:w="1563" w:type="dxa"/>
            <w:tcBorders>
              <w:top w:val="single" w:sz="4" w:space="0" w:color="auto"/>
              <w:bottom w:val="single" w:sz="4" w:space="0" w:color="auto"/>
            </w:tcBorders>
            <w:noWrap/>
            <w:hideMark/>
          </w:tcPr>
          <w:p w14:paraId="1BA8D12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204 517</w:t>
            </w:r>
          </w:p>
        </w:tc>
        <w:tc>
          <w:tcPr>
            <w:tcW w:w="1563" w:type="dxa"/>
            <w:tcBorders>
              <w:top w:val="single" w:sz="4" w:space="0" w:color="auto"/>
              <w:bottom w:val="single" w:sz="4" w:space="0" w:color="auto"/>
            </w:tcBorders>
            <w:noWrap/>
            <w:hideMark/>
          </w:tcPr>
          <w:p w14:paraId="366CEE6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245 555</w:t>
            </w:r>
          </w:p>
        </w:tc>
      </w:tr>
      <w:tr w:rsidR="00A1204B" w:rsidRPr="003817EA" w14:paraId="75D2D90E" w14:textId="77777777" w:rsidTr="00433E15">
        <w:trPr>
          <w:jc w:val="left"/>
        </w:trPr>
        <w:tc>
          <w:tcPr>
            <w:tcW w:w="3104" w:type="dxa"/>
            <w:tcBorders>
              <w:top w:val="single" w:sz="4" w:space="0" w:color="auto"/>
            </w:tcBorders>
            <w:noWrap/>
            <w:hideMark/>
          </w:tcPr>
          <w:p w14:paraId="0A8E538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الناتج المحلي الإجمالي (بملايير الكرونات الآيسلندية)</w:t>
            </w:r>
          </w:p>
        </w:tc>
        <w:tc>
          <w:tcPr>
            <w:tcW w:w="1563" w:type="dxa"/>
            <w:tcBorders>
              <w:top w:val="single" w:sz="4" w:space="0" w:color="auto"/>
            </w:tcBorders>
            <w:noWrap/>
            <w:hideMark/>
          </w:tcPr>
          <w:p w14:paraId="1127FD9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680 899 1</w:t>
            </w:r>
          </w:p>
        </w:tc>
        <w:tc>
          <w:tcPr>
            <w:tcW w:w="1563" w:type="dxa"/>
            <w:tcBorders>
              <w:top w:val="single" w:sz="4" w:space="0" w:color="auto"/>
            </w:tcBorders>
            <w:noWrap/>
            <w:hideMark/>
          </w:tcPr>
          <w:p w14:paraId="4637B07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546 020 2</w:t>
            </w:r>
          </w:p>
        </w:tc>
        <w:tc>
          <w:tcPr>
            <w:tcW w:w="1563" w:type="dxa"/>
            <w:tcBorders>
              <w:top w:val="single" w:sz="4" w:space="0" w:color="auto"/>
            </w:tcBorders>
            <w:noWrap/>
            <w:hideMark/>
          </w:tcPr>
          <w:p w14:paraId="6179AAA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999 234 2</w:t>
            </w:r>
          </w:p>
        </w:tc>
        <w:tc>
          <w:tcPr>
            <w:tcW w:w="1563" w:type="dxa"/>
            <w:tcBorders>
              <w:top w:val="single" w:sz="4" w:space="0" w:color="auto"/>
            </w:tcBorders>
            <w:noWrap/>
            <w:hideMark/>
          </w:tcPr>
          <w:p w14:paraId="1395D32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970 452 2</w:t>
            </w:r>
          </w:p>
        </w:tc>
      </w:tr>
      <w:tr w:rsidR="00A1204B" w:rsidRPr="003817EA" w14:paraId="1BE3D8BA"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3104" w:type="dxa"/>
            <w:noWrap/>
            <w:hideMark/>
          </w:tcPr>
          <w:p w14:paraId="34DDF66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النفقات الاجتماعية/الناتج المحلي الإجمالي</w:t>
            </w:r>
          </w:p>
        </w:tc>
        <w:tc>
          <w:tcPr>
            <w:tcW w:w="1563" w:type="dxa"/>
            <w:noWrap/>
            <w:hideMark/>
          </w:tcPr>
          <w:p w14:paraId="4241D0A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0,2</w:t>
            </w:r>
          </w:p>
        </w:tc>
        <w:tc>
          <w:tcPr>
            <w:tcW w:w="1563" w:type="dxa"/>
            <w:noWrap/>
            <w:hideMark/>
          </w:tcPr>
          <w:p w14:paraId="71EED30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0,2</w:t>
            </w:r>
          </w:p>
        </w:tc>
        <w:tc>
          <w:tcPr>
            <w:tcW w:w="1563" w:type="dxa"/>
            <w:noWrap/>
            <w:hideMark/>
          </w:tcPr>
          <w:p w14:paraId="7222F2D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0,2</w:t>
            </w:r>
          </w:p>
        </w:tc>
        <w:tc>
          <w:tcPr>
            <w:tcW w:w="1563" w:type="dxa"/>
            <w:noWrap/>
            <w:hideMark/>
          </w:tcPr>
          <w:p w14:paraId="41CACB3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0,2</w:t>
            </w:r>
          </w:p>
        </w:tc>
      </w:tr>
    </w:tbl>
    <w:p w14:paraId="0EFE0AD3" w14:textId="77777777" w:rsidR="00A1204B" w:rsidRPr="001F1035" w:rsidRDefault="00A1204B" w:rsidP="00A1204B">
      <w:pPr>
        <w:pStyle w:val="H23GA"/>
        <w:rPr>
          <w:rtl/>
        </w:rPr>
      </w:pPr>
      <w:r w:rsidRPr="001F1035">
        <w:rPr>
          <w:rtl/>
        </w:rPr>
        <w:tab/>
        <w:t>5-</w:t>
      </w:r>
      <w:r w:rsidRPr="001F1035">
        <w:rPr>
          <w:rtl/>
        </w:rPr>
        <w:tab/>
        <w:t>الصحة</w:t>
      </w:r>
    </w:p>
    <w:p w14:paraId="42F1FD6B" w14:textId="77777777" w:rsidR="00A1204B" w:rsidRPr="003817EA" w:rsidRDefault="00A1204B" w:rsidP="00A1204B">
      <w:pPr>
        <w:pStyle w:val="SingleTxtGA"/>
        <w:rPr>
          <w:rtl/>
        </w:rPr>
      </w:pPr>
      <w:r w:rsidRPr="003817EA">
        <w:rPr>
          <w:rtl/>
        </w:rPr>
        <w:t>13</w:t>
      </w:r>
      <w:r w:rsidRPr="001F1035">
        <w:rPr>
          <w:b/>
          <w:bCs/>
          <w:rtl/>
        </w:rPr>
        <w:t>-</w:t>
      </w:r>
      <w:r w:rsidRPr="003817EA">
        <w:rPr>
          <w:rtl/>
        </w:rPr>
        <w:tab/>
        <w:t>يبيِّن الجدول التالي معدل وفيات الرضَّع (الوفيات خلال السنة الأولى من العمر لكل 000 1 ولادة حية) خلال الفترة 2014-2019.</w:t>
      </w:r>
    </w:p>
    <w:tbl>
      <w:tblPr>
        <w:tblStyle w:val="TABLEA"/>
        <w:bidiVisual/>
        <w:tblW w:w="7370" w:type="dxa"/>
        <w:jc w:val="left"/>
        <w:tblInd w:w="1247" w:type="dxa"/>
        <w:tblLayout w:type="fixed"/>
        <w:tblLook w:val="04E0" w:firstRow="1" w:lastRow="1" w:firstColumn="1" w:lastColumn="0" w:noHBand="0" w:noVBand="1"/>
      </w:tblPr>
      <w:tblGrid>
        <w:gridCol w:w="2730"/>
        <w:gridCol w:w="4640"/>
      </w:tblGrid>
      <w:tr w:rsidR="00A1204B" w:rsidRPr="003817EA" w14:paraId="07CAA164"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2835" w:type="dxa"/>
            <w:noWrap/>
            <w:hideMark/>
          </w:tcPr>
          <w:p w14:paraId="5893D79F"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السنة</w:t>
            </w:r>
          </w:p>
        </w:tc>
        <w:tc>
          <w:tcPr>
            <w:tcW w:w="4820" w:type="dxa"/>
            <w:noWrap/>
            <w:hideMark/>
          </w:tcPr>
          <w:p w14:paraId="3AC3E23A"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الوفيات دون السنة الأولى من العمر لكل 000 1 ولادة حية</w:t>
            </w:r>
          </w:p>
        </w:tc>
      </w:tr>
      <w:tr w:rsidR="00A1204B" w:rsidRPr="003817EA" w14:paraId="0B00C2A0" w14:textId="77777777" w:rsidTr="00047038">
        <w:trPr>
          <w:jc w:val="left"/>
        </w:trPr>
        <w:tc>
          <w:tcPr>
            <w:tcW w:w="2835" w:type="dxa"/>
            <w:noWrap/>
            <w:hideMark/>
          </w:tcPr>
          <w:p w14:paraId="039E366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2014</w:t>
            </w:r>
          </w:p>
        </w:tc>
        <w:tc>
          <w:tcPr>
            <w:tcW w:w="4820" w:type="dxa"/>
            <w:noWrap/>
            <w:hideMark/>
          </w:tcPr>
          <w:p w14:paraId="67999BF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w:t>
            </w:r>
          </w:p>
        </w:tc>
      </w:tr>
      <w:tr w:rsidR="00A1204B" w:rsidRPr="003817EA" w14:paraId="54D82BBD" w14:textId="77777777" w:rsidTr="00047038">
        <w:trPr>
          <w:jc w:val="left"/>
        </w:trPr>
        <w:tc>
          <w:tcPr>
            <w:tcW w:w="2835" w:type="dxa"/>
            <w:noWrap/>
            <w:hideMark/>
          </w:tcPr>
          <w:p w14:paraId="3737259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2015</w:t>
            </w:r>
          </w:p>
        </w:tc>
        <w:tc>
          <w:tcPr>
            <w:tcW w:w="4820" w:type="dxa"/>
            <w:noWrap/>
            <w:hideMark/>
          </w:tcPr>
          <w:p w14:paraId="59A9741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w:t>
            </w:r>
          </w:p>
        </w:tc>
      </w:tr>
      <w:tr w:rsidR="00A1204B" w:rsidRPr="003817EA" w14:paraId="5E63A819" w14:textId="77777777" w:rsidTr="00047038">
        <w:trPr>
          <w:jc w:val="left"/>
        </w:trPr>
        <w:tc>
          <w:tcPr>
            <w:tcW w:w="2835" w:type="dxa"/>
            <w:noWrap/>
            <w:hideMark/>
          </w:tcPr>
          <w:p w14:paraId="0412DC2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2016</w:t>
            </w:r>
          </w:p>
        </w:tc>
        <w:tc>
          <w:tcPr>
            <w:tcW w:w="4820" w:type="dxa"/>
            <w:noWrap/>
            <w:hideMark/>
          </w:tcPr>
          <w:p w14:paraId="6293E27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0,7</w:t>
            </w:r>
          </w:p>
        </w:tc>
      </w:tr>
      <w:tr w:rsidR="00A1204B" w:rsidRPr="003817EA" w14:paraId="09E25FBD" w14:textId="77777777" w:rsidTr="00047038">
        <w:trPr>
          <w:jc w:val="left"/>
        </w:trPr>
        <w:tc>
          <w:tcPr>
            <w:tcW w:w="2835" w:type="dxa"/>
            <w:noWrap/>
            <w:hideMark/>
          </w:tcPr>
          <w:p w14:paraId="3034C21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2017</w:t>
            </w:r>
          </w:p>
        </w:tc>
        <w:tc>
          <w:tcPr>
            <w:tcW w:w="4820" w:type="dxa"/>
            <w:noWrap/>
            <w:hideMark/>
          </w:tcPr>
          <w:p w14:paraId="7307B61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w:t>
            </w:r>
          </w:p>
        </w:tc>
      </w:tr>
      <w:tr w:rsidR="00A1204B" w:rsidRPr="003817EA" w14:paraId="39A0070B" w14:textId="77777777" w:rsidTr="00047038">
        <w:trPr>
          <w:jc w:val="left"/>
        </w:trPr>
        <w:tc>
          <w:tcPr>
            <w:tcW w:w="2835" w:type="dxa"/>
            <w:noWrap/>
            <w:hideMark/>
          </w:tcPr>
          <w:p w14:paraId="4C7F8A0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2018</w:t>
            </w:r>
          </w:p>
        </w:tc>
        <w:tc>
          <w:tcPr>
            <w:tcW w:w="4820" w:type="dxa"/>
            <w:noWrap/>
            <w:hideMark/>
          </w:tcPr>
          <w:p w14:paraId="53DF53D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1,7</w:t>
            </w:r>
          </w:p>
        </w:tc>
      </w:tr>
      <w:tr w:rsidR="00A1204B" w:rsidRPr="003817EA" w14:paraId="55B8C149"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2835" w:type="dxa"/>
            <w:noWrap/>
            <w:hideMark/>
          </w:tcPr>
          <w:p w14:paraId="4B3B03B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2019</w:t>
            </w:r>
          </w:p>
        </w:tc>
        <w:tc>
          <w:tcPr>
            <w:tcW w:w="4820" w:type="dxa"/>
            <w:noWrap/>
            <w:hideMark/>
          </w:tcPr>
          <w:p w14:paraId="320A71B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w:t>
            </w:r>
          </w:p>
        </w:tc>
      </w:tr>
    </w:tbl>
    <w:p w14:paraId="2BDBDE85" w14:textId="77777777" w:rsidR="00A1204B" w:rsidRPr="003817EA" w:rsidRDefault="00A1204B" w:rsidP="00A1204B">
      <w:pPr>
        <w:pStyle w:val="SingleTxtGA"/>
        <w:spacing w:before="240"/>
        <w:rPr>
          <w:rtl/>
        </w:rPr>
      </w:pPr>
      <w:r w:rsidRPr="003817EA">
        <w:rPr>
          <w:rtl/>
        </w:rPr>
        <w:t>14-</w:t>
      </w:r>
      <w:r w:rsidRPr="003817EA">
        <w:rPr>
          <w:rtl/>
        </w:rPr>
        <w:tab/>
        <w:t xml:space="preserve">وفي الفترة 2010-2019، وقعت حالة واحدة من وفيات الأمهات (في عام 2011) وقُدِّرت نسبة وفيات الأمهات في عام 2017 </w:t>
      </w:r>
      <w:r w:rsidRPr="003817EA">
        <w:rPr>
          <w:rFonts w:hint="cs"/>
          <w:rtl/>
        </w:rPr>
        <w:t>ب‍‍</w:t>
      </w:r>
      <w:r w:rsidRPr="003817EA">
        <w:rPr>
          <w:rtl/>
        </w:rPr>
        <w:t xml:space="preserve"> 4 لكل 000 100 ولادة حية في آيسلندا.</w:t>
      </w:r>
    </w:p>
    <w:p w14:paraId="2CF4555B" w14:textId="77777777" w:rsidR="00A1204B" w:rsidRPr="001F1035" w:rsidRDefault="00A1204B" w:rsidP="00A1204B">
      <w:pPr>
        <w:pStyle w:val="SingleTxtGA"/>
        <w:rPr>
          <w:i/>
          <w:iCs/>
          <w:rtl/>
        </w:rPr>
      </w:pPr>
      <w:r w:rsidRPr="001F1035">
        <w:rPr>
          <w:i/>
          <w:iCs/>
          <w:rtl/>
        </w:rPr>
        <w:lastRenderedPageBreak/>
        <w:tab/>
        <w:t>ويبيِّن الجدول التالي عدد حالات الإجهاض العمدي حسب السن في الفترة 2011-2018.</w:t>
      </w:r>
    </w:p>
    <w:tbl>
      <w:tblPr>
        <w:tblStyle w:val="TABLEA"/>
        <w:bidiVisual/>
        <w:tblW w:w="7370" w:type="dxa"/>
        <w:jc w:val="left"/>
        <w:tblInd w:w="1247" w:type="dxa"/>
        <w:tblLayout w:type="fixed"/>
        <w:tblLook w:val="04E0" w:firstRow="1" w:lastRow="1" w:firstColumn="1" w:lastColumn="0" w:noHBand="0" w:noVBand="1"/>
      </w:tblPr>
      <w:tblGrid>
        <w:gridCol w:w="1418"/>
        <w:gridCol w:w="744"/>
        <w:gridCol w:w="744"/>
        <w:gridCol w:w="744"/>
        <w:gridCol w:w="744"/>
        <w:gridCol w:w="744"/>
        <w:gridCol w:w="744"/>
        <w:gridCol w:w="744"/>
        <w:gridCol w:w="744"/>
      </w:tblGrid>
      <w:tr w:rsidR="00A1204B" w:rsidRPr="003817EA" w14:paraId="1CE51C5E"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1418" w:type="dxa"/>
          </w:tcPr>
          <w:p w14:paraId="347B5103"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السن</w:t>
            </w:r>
          </w:p>
        </w:tc>
        <w:tc>
          <w:tcPr>
            <w:tcW w:w="744" w:type="dxa"/>
          </w:tcPr>
          <w:p w14:paraId="79DFA878"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2011</w:t>
            </w:r>
          </w:p>
        </w:tc>
        <w:tc>
          <w:tcPr>
            <w:tcW w:w="744" w:type="dxa"/>
          </w:tcPr>
          <w:p w14:paraId="144EEF45"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2012</w:t>
            </w:r>
          </w:p>
        </w:tc>
        <w:tc>
          <w:tcPr>
            <w:tcW w:w="744" w:type="dxa"/>
          </w:tcPr>
          <w:p w14:paraId="333DDE4B"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2013</w:t>
            </w:r>
          </w:p>
        </w:tc>
        <w:tc>
          <w:tcPr>
            <w:tcW w:w="744" w:type="dxa"/>
          </w:tcPr>
          <w:p w14:paraId="6785ADDF"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2014</w:t>
            </w:r>
          </w:p>
        </w:tc>
        <w:tc>
          <w:tcPr>
            <w:tcW w:w="744" w:type="dxa"/>
          </w:tcPr>
          <w:p w14:paraId="0E6C40EC"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2015</w:t>
            </w:r>
          </w:p>
        </w:tc>
        <w:tc>
          <w:tcPr>
            <w:tcW w:w="744" w:type="dxa"/>
          </w:tcPr>
          <w:p w14:paraId="6A03495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2016</w:t>
            </w:r>
          </w:p>
        </w:tc>
        <w:tc>
          <w:tcPr>
            <w:tcW w:w="744" w:type="dxa"/>
          </w:tcPr>
          <w:p w14:paraId="1B2183DF"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2017</w:t>
            </w:r>
          </w:p>
        </w:tc>
        <w:tc>
          <w:tcPr>
            <w:tcW w:w="744" w:type="dxa"/>
          </w:tcPr>
          <w:p w14:paraId="6FCCBFC0"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2018</w:t>
            </w:r>
          </w:p>
        </w:tc>
      </w:tr>
      <w:tr w:rsidR="00A1204B" w:rsidRPr="003817EA" w14:paraId="638A165B" w14:textId="77777777" w:rsidTr="00047038">
        <w:trPr>
          <w:jc w:val="left"/>
        </w:trPr>
        <w:tc>
          <w:tcPr>
            <w:tcW w:w="1418" w:type="dxa"/>
          </w:tcPr>
          <w:p w14:paraId="1C7E001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أقل من 15 سنة</w:t>
            </w:r>
          </w:p>
        </w:tc>
        <w:tc>
          <w:tcPr>
            <w:tcW w:w="744" w:type="dxa"/>
          </w:tcPr>
          <w:p w14:paraId="28D73AB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w:t>
            </w:r>
          </w:p>
        </w:tc>
        <w:tc>
          <w:tcPr>
            <w:tcW w:w="744" w:type="dxa"/>
          </w:tcPr>
          <w:p w14:paraId="63F3703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w:t>
            </w:r>
          </w:p>
        </w:tc>
        <w:tc>
          <w:tcPr>
            <w:tcW w:w="744" w:type="dxa"/>
          </w:tcPr>
          <w:p w14:paraId="0D23E41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c>
          <w:tcPr>
            <w:tcW w:w="744" w:type="dxa"/>
          </w:tcPr>
          <w:p w14:paraId="34F2FDF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c>
          <w:tcPr>
            <w:tcW w:w="744" w:type="dxa"/>
          </w:tcPr>
          <w:p w14:paraId="690671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w:t>
            </w:r>
          </w:p>
        </w:tc>
        <w:tc>
          <w:tcPr>
            <w:tcW w:w="744" w:type="dxa"/>
          </w:tcPr>
          <w:p w14:paraId="372B1A7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w:t>
            </w:r>
          </w:p>
        </w:tc>
        <w:tc>
          <w:tcPr>
            <w:tcW w:w="744" w:type="dxa"/>
          </w:tcPr>
          <w:p w14:paraId="0BA444C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w:t>
            </w:r>
          </w:p>
        </w:tc>
        <w:tc>
          <w:tcPr>
            <w:tcW w:w="744" w:type="dxa"/>
          </w:tcPr>
          <w:p w14:paraId="37EEE9B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r>
      <w:tr w:rsidR="00A1204B" w:rsidRPr="003817EA" w14:paraId="3027C2CB" w14:textId="77777777" w:rsidTr="00047038">
        <w:trPr>
          <w:jc w:val="left"/>
        </w:trPr>
        <w:tc>
          <w:tcPr>
            <w:tcW w:w="1418" w:type="dxa"/>
          </w:tcPr>
          <w:p w14:paraId="4388965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15-19</w:t>
            </w:r>
          </w:p>
        </w:tc>
        <w:tc>
          <w:tcPr>
            <w:tcW w:w="744" w:type="dxa"/>
          </w:tcPr>
          <w:p w14:paraId="69FBABE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174</w:t>
            </w:r>
          </w:p>
        </w:tc>
        <w:tc>
          <w:tcPr>
            <w:tcW w:w="744" w:type="dxa"/>
          </w:tcPr>
          <w:p w14:paraId="76FE3D7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153</w:t>
            </w:r>
          </w:p>
        </w:tc>
        <w:tc>
          <w:tcPr>
            <w:tcW w:w="744" w:type="dxa"/>
          </w:tcPr>
          <w:p w14:paraId="1287FC4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141</w:t>
            </w:r>
          </w:p>
        </w:tc>
        <w:tc>
          <w:tcPr>
            <w:tcW w:w="744" w:type="dxa"/>
          </w:tcPr>
          <w:p w14:paraId="05E717A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135</w:t>
            </w:r>
          </w:p>
        </w:tc>
        <w:tc>
          <w:tcPr>
            <w:tcW w:w="744" w:type="dxa"/>
          </w:tcPr>
          <w:p w14:paraId="0D840B7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136</w:t>
            </w:r>
          </w:p>
        </w:tc>
        <w:tc>
          <w:tcPr>
            <w:tcW w:w="744" w:type="dxa"/>
          </w:tcPr>
          <w:p w14:paraId="1DB7750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135</w:t>
            </w:r>
          </w:p>
        </w:tc>
        <w:tc>
          <w:tcPr>
            <w:tcW w:w="744" w:type="dxa"/>
          </w:tcPr>
          <w:p w14:paraId="2211168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134</w:t>
            </w:r>
          </w:p>
        </w:tc>
        <w:tc>
          <w:tcPr>
            <w:tcW w:w="744" w:type="dxa"/>
          </w:tcPr>
          <w:p w14:paraId="049A57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120</w:t>
            </w:r>
          </w:p>
        </w:tc>
      </w:tr>
      <w:tr w:rsidR="00A1204B" w:rsidRPr="003817EA" w14:paraId="30EE8D8F" w14:textId="77777777" w:rsidTr="00047038">
        <w:trPr>
          <w:jc w:val="left"/>
        </w:trPr>
        <w:tc>
          <w:tcPr>
            <w:tcW w:w="1418" w:type="dxa"/>
          </w:tcPr>
          <w:p w14:paraId="0068C5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20-24</w:t>
            </w:r>
          </w:p>
        </w:tc>
        <w:tc>
          <w:tcPr>
            <w:tcW w:w="744" w:type="dxa"/>
          </w:tcPr>
          <w:p w14:paraId="4E76648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290</w:t>
            </w:r>
          </w:p>
        </w:tc>
        <w:tc>
          <w:tcPr>
            <w:tcW w:w="744" w:type="dxa"/>
          </w:tcPr>
          <w:p w14:paraId="2EFCA2A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306</w:t>
            </w:r>
          </w:p>
        </w:tc>
        <w:tc>
          <w:tcPr>
            <w:tcW w:w="744" w:type="dxa"/>
          </w:tcPr>
          <w:p w14:paraId="2CF9E88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294</w:t>
            </w:r>
          </w:p>
        </w:tc>
        <w:tc>
          <w:tcPr>
            <w:tcW w:w="744" w:type="dxa"/>
          </w:tcPr>
          <w:p w14:paraId="0A5AF59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300</w:t>
            </w:r>
          </w:p>
        </w:tc>
        <w:tc>
          <w:tcPr>
            <w:tcW w:w="744" w:type="dxa"/>
          </w:tcPr>
          <w:p w14:paraId="5E8C543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228</w:t>
            </w:r>
          </w:p>
        </w:tc>
        <w:tc>
          <w:tcPr>
            <w:tcW w:w="744" w:type="dxa"/>
          </w:tcPr>
          <w:p w14:paraId="4887517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279</w:t>
            </w:r>
          </w:p>
        </w:tc>
        <w:tc>
          <w:tcPr>
            <w:tcW w:w="744" w:type="dxa"/>
          </w:tcPr>
          <w:p w14:paraId="0A4E194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274</w:t>
            </w:r>
          </w:p>
        </w:tc>
        <w:tc>
          <w:tcPr>
            <w:tcW w:w="744" w:type="dxa"/>
          </w:tcPr>
          <w:p w14:paraId="712B9B3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261</w:t>
            </w:r>
          </w:p>
        </w:tc>
      </w:tr>
      <w:tr w:rsidR="00A1204B" w:rsidRPr="003817EA" w14:paraId="7DADF708" w14:textId="77777777" w:rsidTr="00047038">
        <w:trPr>
          <w:jc w:val="left"/>
        </w:trPr>
        <w:tc>
          <w:tcPr>
            <w:tcW w:w="1418" w:type="dxa"/>
          </w:tcPr>
          <w:p w14:paraId="4AB9751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25-29</w:t>
            </w:r>
          </w:p>
        </w:tc>
        <w:tc>
          <w:tcPr>
            <w:tcW w:w="744" w:type="dxa"/>
          </w:tcPr>
          <w:p w14:paraId="47CE2B3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187</w:t>
            </w:r>
          </w:p>
        </w:tc>
        <w:tc>
          <w:tcPr>
            <w:tcW w:w="744" w:type="dxa"/>
          </w:tcPr>
          <w:p w14:paraId="4B5D468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216</w:t>
            </w:r>
          </w:p>
        </w:tc>
        <w:tc>
          <w:tcPr>
            <w:tcW w:w="744" w:type="dxa"/>
          </w:tcPr>
          <w:p w14:paraId="5467AFE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212</w:t>
            </w:r>
          </w:p>
        </w:tc>
        <w:tc>
          <w:tcPr>
            <w:tcW w:w="744" w:type="dxa"/>
          </w:tcPr>
          <w:p w14:paraId="28D47C0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227</w:t>
            </w:r>
          </w:p>
        </w:tc>
        <w:tc>
          <w:tcPr>
            <w:tcW w:w="744" w:type="dxa"/>
          </w:tcPr>
          <w:p w14:paraId="7AA7C29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230</w:t>
            </w:r>
          </w:p>
        </w:tc>
        <w:tc>
          <w:tcPr>
            <w:tcW w:w="744" w:type="dxa"/>
          </w:tcPr>
          <w:p w14:paraId="10E1A3E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249</w:t>
            </w:r>
          </w:p>
        </w:tc>
        <w:tc>
          <w:tcPr>
            <w:tcW w:w="744" w:type="dxa"/>
          </w:tcPr>
          <w:p w14:paraId="3B58B40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278</w:t>
            </w:r>
          </w:p>
        </w:tc>
        <w:tc>
          <w:tcPr>
            <w:tcW w:w="744" w:type="dxa"/>
          </w:tcPr>
          <w:p w14:paraId="55000AD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288</w:t>
            </w:r>
          </w:p>
        </w:tc>
      </w:tr>
      <w:tr w:rsidR="00A1204B" w:rsidRPr="003817EA" w14:paraId="65249076" w14:textId="77777777" w:rsidTr="00047038">
        <w:trPr>
          <w:jc w:val="left"/>
        </w:trPr>
        <w:tc>
          <w:tcPr>
            <w:tcW w:w="1418" w:type="dxa"/>
          </w:tcPr>
          <w:p w14:paraId="15EAEEF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30-34</w:t>
            </w:r>
          </w:p>
        </w:tc>
        <w:tc>
          <w:tcPr>
            <w:tcW w:w="744" w:type="dxa"/>
          </w:tcPr>
          <w:p w14:paraId="70DD189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169</w:t>
            </w:r>
          </w:p>
        </w:tc>
        <w:tc>
          <w:tcPr>
            <w:tcW w:w="744" w:type="dxa"/>
          </w:tcPr>
          <w:p w14:paraId="6D04796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163</w:t>
            </w:r>
          </w:p>
        </w:tc>
        <w:tc>
          <w:tcPr>
            <w:tcW w:w="744" w:type="dxa"/>
          </w:tcPr>
          <w:p w14:paraId="5FB2084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155</w:t>
            </w:r>
          </w:p>
        </w:tc>
        <w:tc>
          <w:tcPr>
            <w:tcW w:w="744" w:type="dxa"/>
          </w:tcPr>
          <w:p w14:paraId="4BF598D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149</w:t>
            </w:r>
          </w:p>
        </w:tc>
        <w:tc>
          <w:tcPr>
            <w:tcW w:w="744" w:type="dxa"/>
          </w:tcPr>
          <w:p w14:paraId="27F5374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161</w:t>
            </w:r>
          </w:p>
        </w:tc>
        <w:tc>
          <w:tcPr>
            <w:tcW w:w="744" w:type="dxa"/>
          </w:tcPr>
          <w:p w14:paraId="0556DAC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172</w:t>
            </w:r>
          </w:p>
        </w:tc>
        <w:tc>
          <w:tcPr>
            <w:tcW w:w="744" w:type="dxa"/>
          </w:tcPr>
          <w:p w14:paraId="7014471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163</w:t>
            </w:r>
          </w:p>
        </w:tc>
        <w:tc>
          <w:tcPr>
            <w:tcW w:w="744" w:type="dxa"/>
          </w:tcPr>
          <w:p w14:paraId="54F8BAD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164</w:t>
            </w:r>
          </w:p>
        </w:tc>
      </w:tr>
      <w:tr w:rsidR="00A1204B" w:rsidRPr="003817EA" w14:paraId="25D5B95F" w14:textId="77777777" w:rsidTr="00047038">
        <w:trPr>
          <w:jc w:val="left"/>
        </w:trPr>
        <w:tc>
          <w:tcPr>
            <w:tcW w:w="1418" w:type="dxa"/>
          </w:tcPr>
          <w:p w14:paraId="46C6EE3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35-39</w:t>
            </w:r>
          </w:p>
        </w:tc>
        <w:tc>
          <w:tcPr>
            <w:tcW w:w="744" w:type="dxa"/>
          </w:tcPr>
          <w:p w14:paraId="58AD644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109</w:t>
            </w:r>
          </w:p>
        </w:tc>
        <w:tc>
          <w:tcPr>
            <w:tcW w:w="744" w:type="dxa"/>
          </w:tcPr>
          <w:p w14:paraId="0EEE0A9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97</w:t>
            </w:r>
          </w:p>
        </w:tc>
        <w:tc>
          <w:tcPr>
            <w:tcW w:w="744" w:type="dxa"/>
          </w:tcPr>
          <w:p w14:paraId="5D19C95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108</w:t>
            </w:r>
          </w:p>
        </w:tc>
        <w:tc>
          <w:tcPr>
            <w:tcW w:w="744" w:type="dxa"/>
          </w:tcPr>
          <w:p w14:paraId="414D805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112</w:t>
            </w:r>
          </w:p>
        </w:tc>
        <w:tc>
          <w:tcPr>
            <w:tcW w:w="744" w:type="dxa"/>
          </w:tcPr>
          <w:p w14:paraId="554282B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112</w:t>
            </w:r>
          </w:p>
        </w:tc>
        <w:tc>
          <w:tcPr>
            <w:tcW w:w="744" w:type="dxa"/>
          </w:tcPr>
          <w:p w14:paraId="739DAE3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125</w:t>
            </w:r>
          </w:p>
        </w:tc>
        <w:tc>
          <w:tcPr>
            <w:tcW w:w="744" w:type="dxa"/>
          </w:tcPr>
          <w:p w14:paraId="0332AC3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122</w:t>
            </w:r>
          </w:p>
        </w:tc>
        <w:tc>
          <w:tcPr>
            <w:tcW w:w="744" w:type="dxa"/>
          </w:tcPr>
          <w:p w14:paraId="4A04664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160</w:t>
            </w:r>
          </w:p>
        </w:tc>
      </w:tr>
      <w:tr w:rsidR="00A1204B" w:rsidRPr="003817EA" w14:paraId="3D23A754" w14:textId="77777777" w:rsidTr="00047038">
        <w:trPr>
          <w:jc w:val="left"/>
        </w:trPr>
        <w:tc>
          <w:tcPr>
            <w:tcW w:w="1418" w:type="dxa"/>
          </w:tcPr>
          <w:p w14:paraId="133545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40-44</w:t>
            </w:r>
          </w:p>
        </w:tc>
        <w:tc>
          <w:tcPr>
            <w:tcW w:w="744" w:type="dxa"/>
          </w:tcPr>
          <w:p w14:paraId="7DC0F71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35</w:t>
            </w:r>
          </w:p>
        </w:tc>
        <w:tc>
          <w:tcPr>
            <w:tcW w:w="744" w:type="dxa"/>
          </w:tcPr>
          <w:p w14:paraId="6ED322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39</w:t>
            </w:r>
          </w:p>
        </w:tc>
        <w:tc>
          <w:tcPr>
            <w:tcW w:w="744" w:type="dxa"/>
          </w:tcPr>
          <w:p w14:paraId="34E8854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50</w:t>
            </w:r>
          </w:p>
        </w:tc>
        <w:tc>
          <w:tcPr>
            <w:tcW w:w="744" w:type="dxa"/>
          </w:tcPr>
          <w:p w14:paraId="574EB05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28</w:t>
            </w:r>
          </w:p>
        </w:tc>
        <w:tc>
          <w:tcPr>
            <w:tcW w:w="744" w:type="dxa"/>
          </w:tcPr>
          <w:p w14:paraId="00CEE90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56</w:t>
            </w:r>
          </w:p>
        </w:tc>
        <w:tc>
          <w:tcPr>
            <w:tcW w:w="744" w:type="dxa"/>
          </w:tcPr>
          <w:p w14:paraId="1CCD42C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55</w:t>
            </w:r>
          </w:p>
        </w:tc>
        <w:tc>
          <w:tcPr>
            <w:tcW w:w="744" w:type="dxa"/>
          </w:tcPr>
          <w:p w14:paraId="0986778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65</w:t>
            </w:r>
          </w:p>
        </w:tc>
        <w:tc>
          <w:tcPr>
            <w:tcW w:w="744" w:type="dxa"/>
          </w:tcPr>
          <w:p w14:paraId="06A32DE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50</w:t>
            </w:r>
          </w:p>
        </w:tc>
      </w:tr>
      <w:tr w:rsidR="00A1204B" w:rsidRPr="003817EA" w14:paraId="4033BCF2" w14:textId="77777777" w:rsidTr="00433E15">
        <w:trPr>
          <w:jc w:val="left"/>
        </w:trPr>
        <w:tc>
          <w:tcPr>
            <w:tcW w:w="1418" w:type="dxa"/>
            <w:tcBorders>
              <w:bottom w:val="single" w:sz="4" w:space="0" w:color="auto"/>
            </w:tcBorders>
          </w:tcPr>
          <w:p w14:paraId="1BD7258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45 سنة فما فوق</w:t>
            </w:r>
          </w:p>
        </w:tc>
        <w:tc>
          <w:tcPr>
            <w:tcW w:w="744" w:type="dxa"/>
            <w:tcBorders>
              <w:bottom w:val="single" w:sz="4" w:space="0" w:color="auto"/>
            </w:tcBorders>
          </w:tcPr>
          <w:p w14:paraId="27C6C23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c>
          <w:tcPr>
            <w:tcW w:w="744" w:type="dxa"/>
            <w:tcBorders>
              <w:bottom w:val="single" w:sz="4" w:space="0" w:color="auto"/>
            </w:tcBorders>
          </w:tcPr>
          <w:p w14:paraId="0F16B27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c>
          <w:tcPr>
            <w:tcW w:w="744" w:type="dxa"/>
            <w:tcBorders>
              <w:bottom w:val="single" w:sz="4" w:space="0" w:color="auto"/>
            </w:tcBorders>
          </w:tcPr>
          <w:p w14:paraId="74C884C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c>
          <w:tcPr>
            <w:tcW w:w="744" w:type="dxa"/>
            <w:tcBorders>
              <w:bottom w:val="single" w:sz="4" w:space="0" w:color="auto"/>
            </w:tcBorders>
          </w:tcPr>
          <w:p w14:paraId="4B9B679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744" w:type="dxa"/>
            <w:tcBorders>
              <w:bottom w:val="single" w:sz="4" w:space="0" w:color="auto"/>
            </w:tcBorders>
          </w:tcPr>
          <w:p w14:paraId="23E1F1D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c>
          <w:tcPr>
            <w:tcW w:w="744" w:type="dxa"/>
            <w:tcBorders>
              <w:bottom w:val="single" w:sz="4" w:space="0" w:color="auto"/>
            </w:tcBorders>
          </w:tcPr>
          <w:p w14:paraId="2E075A6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c>
          <w:tcPr>
            <w:tcW w:w="744" w:type="dxa"/>
            <w:tcBorders>
              <w:bottom w:val="single" w:sz="4" w:space="0" w:color="auto"/>
            </w:tcBorders>
          </w:tcPr>
          <w:p w14:paraId="6B2351E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w:t>
            </w:r>
          </w:p>
        </w:tc>
        <w:tc>
          <w:tcPr>
            <w:tcW w:w="744" w:type="dxa"/>
            <w:tcBorders>
              <w:bottom w:val="single" w:sz="4" w:space="0" w:color="auto"/>
            </w:tcBorders>
          </w:tcPr>
          <w:p w14:paraId="450A88E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w:t>
            </w:r>
          </w:p>
        </w:tc>
      </w:tr>
      <w:tr w:rsidR="00A1204B" w:rsidRPr="003817EA" w14:paraId="1A724047" w14:textId="77777777" w:rsidTr="00433E15">
        <w:trPr>
          <w:cnfStyle w:val="010000000000" w:firstRow="0" w:lastRow="1" w:firstColumn="0" w:lastColumn="0" w:oddVBand="0" w:evenVBand="0" w:oddHBand="0" w:evenHBand="0" w:firstRowFirstColumn="0" w:firstRowLastColumn="0" w:lastRowFirstColumn="0" w:lastRowLastColumn="0"/>
          <w:jc w:val="left"/>
        </w:trPr>
        <w:tc>
          <w:tcPr>
            <w:tcW w:w="1418" w:type="dxa"/>
            <w:tcBorders>
              <w:top w:val="single" w:sz="4" w:space="0" w:color="auto"/>
            </w:tcBorders>
          </w:tcPr>
          <w:p w14:paraId="1BE46962" w14:textId="77777777" w:rsidR="00A1204B" w:rsidRPr="00650416" w:rsidRDefault="00A1204B" w:rsidP="00650416">
            <w:pPr>
              <w:pStyle w:val="SingleTxtGA"/>
              <w:tabs>
                <w:tab w:val="clear" w:pos="1928"/>
                <w:tab w:val="clear" w:pos="2608"/>
                <w:tab w:val="clear" w:pos="3289"/>
                <w:tab w:val="clear" w:pos="3969"/>
                <w:tab w:val="clear" w:pos="4649"/>
                <w:tab w:val="clear" w:pos="5330"/>
              </w:tabs>
              <w:spacing w:before="40" w:after="40" w:line="260" w:lineRule="exact"/>
              <w:ind w:left="340" w:right="57"/>
              <w:rPr>
                <w:b/>
                <w:bCs/>
                <w:sz w:val="18"/>
                <w:szCs w:val="18"/>
                <w:rtl/>
              </w:rPr>
            </w:pPr>
            <w:r w:rsidRPr="001F1035">
              <w:rPr>
                <w:b/>
                <w:bCs/>
                <w:sz w:val="18"/>
                <w:szCs w:val="18"/>
                <w:rtl/>
              </w:rPr>
              <w:t>المجموع</w:t>
            </w:r>
          </w:p>
        </w:tc>
        <w:tc>
          <w:tcPr>
            <w:tcW w:w="744" w:type="dxa"/>
            <w:tcBorders>
              <w:top w:val="single" w:sz="4" w:space="0" w:color="auto"/>
            </w:tcBorders>
          </w:tcPr>
          <w:p w14:paraId="24AB836F"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970</w:t>
            </w:r>
          </w:p>
        </w:tc>
        <w:tc>
          <w:tcPr>
            <w:tcW w:w="744" w:type="dxa"/>
            <w:tcBorders>
              <w:top w:val="single" w:sz="4" w:space="0" w:color="auto"/>
            </w:tcBorders>
          </w:tcPr>
          <w:p w14:paraId="62DE00F4"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980</w:t>
            </w:r>
          </w:p>
        </w:tc>
        <w:tc>
          <w:tcPr>
            <w:tcW w:w="744" w:type="dxa"/>
            <w:tcBorders>
              <w:top w:val="single" w:sz="4" w:space="0" w:color="auto"/>
            </w:tcBorders>
          </w:tcPr>
          <w:p w14:paraId="79D7835A"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966</w:t>
            </w:r>
          </w:p>
        </w:tc>
        <w:tc>
          <w:tcPr>
            <w:tcW w:w="744" w:type="dxa"/>
            <w:tcBorders>
              <w:top w:val="single" w:sz="4" w:space="0" w:color="auto"/>
            </w:tcBorders>
          </w:tcPr>
          <w:p w14:paraId="5BD7176B"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955</w:t>
            </w:r>
          </w:p>
        </w:tc>
        <w:tc>
          <w:tcPr>
            <w:tcW w:w="744" w:type="dxa"/>
            <w:tcBorders>
              <w:top w:val="single" w:sz="4" w:space="0" w:color="auto"/>
            </w:tcBorders>
          </w:tcPr>
          <w:p w14:paraId="65AA4A4C"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 xml:space="preserve">927 </w:t>
            </w:r>
          </w:p>
        </w:tc>
        <w:tc>
          <w:tcPr>
            <w:tcW w:w="744" w:type="dxa"/>
            <w:tcBorders>
              <w:top w:val="single" w:sz="4" w:space="0" w:color="auto"/>
            </w:tcBorders>
          </w:tcPr>
          <w:p w14:paraId="50F12B10"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021 1</w:t>
            </w:r>
          </w:p>
        </w:tc>
        <w:tc>
          <w:tcPr>
            <w:tcW w:w="744" w:type="dxa"/>
            <w:tcBorders>
              <w:top w:val="single" w:sz="4" w:space="0" w:color="auto"/>
            </w:tcBorders>
          </w:tcPr>
          <w:p w14:paraId="4F0DDC67"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044 1</w:t>
            </w:r>
          </w:p>
        </w:tc>
        <w:tc>
          <w:tcPr>
            <w:tcW w:w="744" w:type="dxa"/>
            <w:tcBorders>
              <w:top w:val="single" w:sz="4" w:space="0" w:color="auto"/>
            </w:tcBorders>
          </w:tcPr>
          <w:p w14:paraId="61CD4238"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049 1</w:t>
            </w:r>
          </w:p>
        </w:tc>
      </w:tr>
    </w:tbl>
    <w:p w14:paraId="2C18A6C8" w14:textId="77777777" w:rsidR="00A1204B" w:rsidRPr="003817EA" w:rsidRDefault="00A1204B" w:rsidP="00A1204B">
      <w:pPr>
        <w:pStyle w:val="SingleTxtGA"/>
        <w:spacing w:before="240"/>
        <w:rPr>
          <w:rtl/>
        </w:rPr>
      </w:pPr>
      <w:r w:rsidRPr="003817EA">
        <w:rPr>
          <w:rtl/>
        </w:rPr>
        <w:t>15-</w:t>
      </w:r>
      <w:r w:rsidRPr="003817EA">
        <w:rPr>
          <w:rtl/>
        </w:rPr>
        <w:tab/>
      </w:r>
      <w:r w:rsidRPr="003817EA">
        <w:rPr>
          <w:rFonts w:hint="cs"/>
          <w:rtl/>
        </w:rPr>
        <w:t>و</w:t>
      </w:r>
      <w:r w:rsidRPr="003817EA">
        <w:rPr>
          <w:rtl/>
        </w:rPr>
        <w:t>في 31 كانون الأول/ديسمبر 2018، أُبلغ عن ما مجموعه 427 حالة إصابة بفيروس نقص المناعة البشرية في آيسلندا منذ بدء انتشار المرض لأول مرة في البلد في عام 1983. ومن بين هذه الحالات، تم تشخيص إصابة 74 مريضاً بمتلازمة نقص المناعة المكتسب، وتوفي 39 من جراء هذا المرض. ويبيِّن الجدول التالي عدد الحالات الجديدة من الإصابة بفيروس نقص المناعة البشرية ومتلازمة نقص المناعة المكتسب (الإيدز) والزهري والسيلان سنويّاً في الفترة 2014-2018.</w:t>
      </w:r>
    </w:p>
    <w:tbl>
      <w:tblPr>
        <w:tblStyle w:val="TABLEA"/>
        <w:bidiVisual/>
        <w:tblW w:w="7370" w:type="dxa"/>
        <w:jc w:val="left"/>
        <w:tblInd w:w="1247" w:type="dxa"/>
        <w:tblLayout w:type="fixed"/>
        <w:tblLook w:val="04E0" w:firstRow="1" w:lastRow="1" w:firstColumn="1" w:lastColumn="0" w:noHBand="0" w:noVBand="1"/>
      </w:tblPr>
      <w:tblGrid>
        <w:gridCol w:w="1841"/>
        <w:gridCol w:w="921"/>
        <w:gridCol w:w="922"/>
        <w:gridCol w:w="921"/>
        <w:gridCol w:w="922"/>
        <w:gridCol w:w="921"/>
        <w:gridCol w:w="922"/>
      </w:tblGrid>
      <w:tr w:rsidR="00A1204B" w:rsidRPr="003817EA" w14:paraId="182C169E" w14:textId="77777777" w:rsidTr="00650416">
        <w:trPr>
          <w:cnfStyle w:val="100000000000" w:firstRow="1" w:lastRow="0" w:firstColumn="0" w:lastColumn="0" w:oddVBand="0" w:evenVBand="0" w:oddHBand="0" w:evenHBand="0" w:firstRowFirstColumn="0" w:firstRowLastColumn="0" w:lastRowFirstColumn="0" w:lastRowLastColumn="0"/>
          <w:tblHeader/>
          <w:jc w:val="left"/>
        </w:trPr>
        <w:tc>
          <w:tcPr>
            <w:tcW w:w="1841" w:type="dxa"/>
          </w:tcPr>
          <w:p w14:paraId="48C308F8"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المرض</w:t>
            </w:r>
          </w:p>
        </w:tc>
        <w:tc>
          <w:tcPr>
            <w:tcW w:w="921" w:type="dxa"/>
          </w:tcPr>
          <w:p w14:paraId="7D3BE26A"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922" w:type="dxa"/>
          </w:tcPr>
          <w:p w14:paraId="7D69F1EB"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2014</w:t>
            </w:r>
          </w:p>
        </w:tc>
        <w:tc>
          <w:tcPr>
            <w:tcW w:w="921" w:type="dxa"/>
          </w:tcPr>
          <w:p w14:paraId="6472B67C"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2015</w:t>
            </w:r>
          </w:p>
        </w:tc>
        <w:tc>
          <w:tcPr>
            <w:tcW w:w="922" w:type="dxa"/>
          </w:tcPr>
          <w:p w14:paraId="1FCFA57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2016</w:t>
            </w:r>
          </w:p>
        </w:tc>
        <w:tc>
          <w:tcPr>
            <w:tcW w:w="921" w:type="dxa"/>
          </w:tcPr>
          <w:p w14:paraId="7C0B87B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2017</w:t>
            </w:r>
          </w:p>
        </w:tc>
        <w:tc>
          <w:tcPr>
            <w:tcW w:w="922" w:type="dxa"/>
          </w:tcPr>
          <w:p w14:paraId="61626E3D"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2018</w:t>
            </w:r>
          </w:p>
        </w:tc>
      </w:tr>
      <w:tr w:rsidR="00A1204B" w:rsidRPr="003817EA" w14:paraId="4D56DE03" w14:textId="77777777" w:rsidTr="00650416">
        <w:trPr>
          <w:jc w:val="left"/>
        </w:trPr>
        <w:tc>
          <w:tcPr>
            <w:tcW w:w="1841" w:type="dxa"/>
          </w:tcPr>
          <w:p w14:paraId="6E6C79E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فيروس نقص المناعة البشرية</w:t>
            </w:r>
          </w:p>
        </w:tc>
        <w:tc>
          <w:tcPr>
            <w:tcW w:w="921" w:type="dxa"/>
          </w:tcPr>
          <w:p w14:paraId="528E3A5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رجال</w:t>
            </w:r>
          </w:p>
        </w:tc>
        <w:tc>
          <w:tcPr>
            <w:tcW w:w="922" w:type="dxa"/>
          </w:tcPr>
          <w:p w14:paraId="3561BD5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w:t>
            </w:r>
          </w:p>
        </w:tc>
        <w:tc>
          <w:tcPr>
            <w:tcW w:w="921" w:type="dxa"/>
          </w:tcPr>
          <w:p w14:paraId="01AA0F0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w:t>
            </w:r>
          </w:p>
        </w:tc>
        <w:tc>
          <w:tcPr>
            <w:tcW w:w="922" w:type="dxa"/>
          </w:tcPr>
          <w:p w14:paraId="741001A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w:t>
            </w:r>
          </w:p>
        </w:tc>
        <w:tc>
          <w:tcPr>
            <w:tcW w:w="921" w:type="dxa"/>
          </w:tcPr>
          <w:p w14:paraId="251CF3D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25</w:t>
            </w:r>
          </w:p>
        </w:tc>
        <w:tc>
          <w:tcPr>
            <w:tcW w:w="922" w:type="dxa"/>
          </w:tcPr>
          <w:p w14:paraId="62C226C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25</w:t>
            </w:r>
          </w:p>
        </w:tc>
      </w:tr>
      <w:tr w:rsidR="00A1204B" w:rsidRPr="003817EA" w14:paraId="7804D462" w14:textId="77777777" w:rsidTr="00650416">
        <w:trPr>
          <w:jc w:val="left"/>
        </w:trPr>
        <w:tc>
          <w:tcPr>
            <w:tcW w:w="1841" w:type="dxa"/>
          </w:tcPr>
          <w:p w14:paraId="188FEFA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921" w:type="dxa"/>
          </w:tcPr>
          <w:p w14:paraId="64E8EB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نساء</w:t>
            </w:r>
          </w:p>
        </w:tc>
        <w:tc>
          <w:tcPr>
            <w:tcW w:w="922" w:type="dxa"/>
          </w:tcPr>
          <w:p w14:paraId="56ABCC8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w:t>
            </w:r>
          </w:p>
        </w:tc>
        <w:tc>
          <w:tcPr>
            <w:tcW w:w="921" w:type="dxa"/>
          </w:tcPr>
          <w:p w14:paraId="17D3215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w:t>
            </w:r>
          </w:p>
        </w:tc>
        <w:tc>
          <w:tcPr>
            <w:tcW w:w="922" w:type="dxa"/>
          </w:tcPr>
          <w:p w14:paraId="19B260C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w:t>
            </w:r>
          </w:p>
        </w:tc>
        <w:tc>
          <w:tcPr>
            <w:tcW w:w="921" w:type="dxa"/>
          </w:tcPr>
          <w:p w14:paraId="6B37237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c>
          <w:tcPr>
            <w:tcW w:w="922" w:type="dxa"/>
          </w:tcPr>
          <w:p w14:paraId="3D581AB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w:t>
            </w:r>
          </w:p>
        </w:tc>
      </w:tr>
      <w:tr w:rsidR="00A1204B" w:rsidRPr="003817EA" w14:paraId="082E7DE9" w14:textId="77777777" w:rsidTr="00650416">
        <w:trPr>
          <w:jc w:val="left"/>
        </w:trPr>
        <w:tc>
          <w:tcPr>
            <w:tcW w:w="1841" w:type="dxa"/>
          </w:tcPr>
          <w:p w14:paraId="6C54BCD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الإيدز</w:t>
            </w:r>
          </w:p>
        </w:tc>
        <w:tc>
          <w:tcPr>
            <w:tcW w:w="921" w:type="dxa"/>
          </w:tcPr>
          <w:p w14:paraId="09DE87D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رجال</w:t>
            </w:r>
          </w:p>
        </w:tc>
        <w:tc>
          <w:tcPr>
            <w:tcW w:w="922" w:type="dxa"/>
          </w:tcPr>
          <w:p w14:paraId="390EDC7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w:t>
            </w:r>
          </w:p>
        </w:tc>
        <w:tc>
          <w:tcPr>
            <w:tcW w:w="921" w:type="dxa"/>
          </w:tcPr>
          <w:p w14:paraId="0A2C770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w:t>
            </w:r>
          </w:p>
        </w:tc>
        <w:tc>
          <w:tcPr>
            <w:tcW w:w="922" w:type="dxa"/>
          </w:tcPr>
          <w:p w14:paraId="66DF316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c>
          <w:tcPr>
            <w:tcW w:w="921" w:type="dxa"/>
          </w:tcPr>
          <w:p w14:paraId="1B77A29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w:t>
            </w:r>
          </w:p>
        </w:tc>
        <w:tc>
          <w:tcPr>
            <w:tcW w:w="922" w:type="dxa"/>
          </w:tcPr>
          <w:p w14:paraId="57A5A16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w:t>
            </w:r>
          </w:p>
        </w:tc>
      </w:tr>
      <w:tr w:rsidR="00A1204B" w:rsidRPr="003817EA" w14:paraId="5E7A4669" w14:textId="77777777" w:rsidTr="00650416">
        <w:trPr>
          <w:jc w:val="left"/>
        </w:trPr>
        <w:tc>
          <w:tcPr>
            <w:tcW w:w="1841" w:type="dxa"/>
          </w:tcPr>
          <w:p w14:paraId="7AA106A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921" w:type="dxa"/>
          </w:tcPr>
          <w:p w14:paraId="0E89C2B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نساء</w:t>
            </w:r>
          </w:p>
        </w:tc>
        <w:tc>
          <w:tcPr>
            <w:tcW w:w="922" w:type="dxa"/>
          </w:tcPr>
          <w:p w14:paraId="55FF8BD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w:t>
            </w:r>
          </w:p>
        </w:tc>
        <w:tc>
          <w:tcPr>
            <w:tcW w:w="921" w:type="dxa"/>
          </w:tcPr>
          <w:p w14:paraId="47A5B5F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w:t>
            </w:r>
          </w:p>
        </w:tc>
        <w:tc>
          <w:tcPr>
            <w:tcW w:w="922" w:type="dxa"/>
          </w:tcPr>
          <w:p w14:paraId="3B438BC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w:t>
            </w:r>
          </w:p>
        </w:tc>
        <w:tc>
          <w:tcPr>
            <w:tcW w:w="921" w:type="dxa"/>
          </w:tcPr>
          <w:p w14:paraId="2956BF4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w:t>
            </w:r>
          </w:p>
        </w:tc>
        <w:tc>
          <w:tcPr>
            <w:tcW w:w="922" w:type="dxa"/>
          </w:tcPr>
          <w:p w14:paraId="7FF4695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r>
      <w:tr w:rsidR="00A1204B" w:rsidRPr="003817EA" w14:paraId="57C5F8D8" w14:textId="77777777" w:rsidTr="00650416">
        <w:trPr>
          <w:jc w:val="left"/>
        </w:trPr>
        <w:tc>
          <w:tcPr>
            <w:tcW w:w="1841" w:type="dxa"/>
          </w:tcPr>
          <w:p w14:paraId="13EC044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الزهري</w:t>
            </w:r>
          </w:p>
        </w:tc>
        <w:tc>
          <w:tcPr>
            <w:tcW w:w="921" w:type="dxa"/>
          </w:tcPr>
          <w:p w14:paraId="606D2BB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رجال</w:t>
            </w:r>
          </w:p>
        </w:tc>
        <w:tc>
          <w:tcPr>
            <w:tcW w:w="922" w:type="dxa"/>
          </w:tcPr>
          <w:p w14:paraId="5732614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w:t>
            </w:r>
          </w:p>
        </w:tc>
        <w:tc>
          <w:tcPr>
            <w:tcW w:w="921" w:type="dxa"/>
          </w:tcPr>
          <w:p w14:paraId="42CB705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15</w:t>
            </w:r>
          </w:p>
        </w:tc>
        <w:tc>
          <w:tcPr>
            <w:tcW w:w="922" w:type="dxa"/>
          </w:tcPr>
          <w:p w14:paraId="11A150E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26 </w:t>
            </w:r>
          </w:p>
        </w:tc>
        <w:tc>
          <w:tcPr>
            <w:tcW w:w="921" w:type="dxa"/>
          </w:tcPr>
          <w:p w14:paraId="74A9C0E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922" w:type="dxa"/>
          </w:tcPr>
          <w:p w14:paraId="2F5B2C7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r w:rsidR="00A1204B" w:rsidRPr="003817EA" w14:paraId="59A04CE4" w14:textId="77777777" w:rsidTr="00650416">
        <w:trPr>
          <w:jc w:val="left"/>
        </w:trPr>
        <w:tc>
          <w:tcPr>
            <w:tcW w:w="1841" w:type="dxa"/>
          </w:tcPr>
          <w:p w14:paraId="60E85CF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921" w:type="dxa"/>
          </w:tcPr>
          <w:p w14:paraId="4D43828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نساء</w:t>
            </w:r>
          </w:p>
        </w:tc>
        <w:tc>
          <w:tcPr>
            <w:tcW w:w="922" w:type="dxa"/>
          </w:tcPr>
          <w:p w14:paraId="31F2D56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921" w:type="dxa"/>
          </w:tcPr>
          <w:p w14:paraId="4BF2776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922" w:type="dxa"/>
          </w:tcPr>
          <w:p w14:paraId="2FDBD58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c>
          <w:tcPr>
            <w:tcW w:w="921" w:type="dxa"/>
          </w:tcPr>
          <w:p w14:paraId="1F9C7D5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922" w:type="dxa"/>
          </w:tcPr>
          <w:p w14:paraId="5180EA1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r w:rsidR="00A1204B" w:rsidRPr="003817EA" w14:paraId="1E1CDF1C" w14:textId="77777777" w:rsidTr="00650416">
        <w:trPr>
          <w:jc w:val="left"/>
        </w:trPr>
        <w:tc>
          <w:tcPr>
            <w:tcW w:w="1841" w:type="dxa"/>
          </w:tcPr>
          <w:p w14:paraId="75B2A1F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السيلان</w:t>
            </w:r>
          </w:p>
        </w:tc>
        <w:tc>
          <w:tcPr>
            <w:tcW w:w="921" w:type="dxa"/>
          </w:tcPr>
          <w:p w14:paraId="60FB6F9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رجال</w:t>
            </w:r>
          </w:p>
        </w:tc>
        <w:tc>
          <w:tcPr>
            <w:tcW w:w="922" w:type="dxa"/>
          </w:tcPr>
          <w:p w14:paraId="28F4FA5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w:t>
            </w:r>
          </w:p>
        </w:tc>
        <w:tc>
          <w:tcPr>
            <w:tcW w:w="921" w:type="dxa"/>
          </w:tcPr>
          <w:p w14:paraId="59352A4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37</w:t>
            </w:r>
          </w:p>
        </w:tc>
        <w:tc>
          <w:tcPr>
            <w:tcW w:w="922" w:type="dxa"/>
          </w:tcPr>
          <w:p w14:paraId="67A2FE7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66</w:t>
            </w:r>
          </w:p>
        </w:tc>
        <w:tc>
          <w:tcPr>
            <w:tcW w:w="921" w:type="dxa"/>
          </w:tcPr>
          <w:p w14:paraId="730908E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922" w:type="dxa"/>
          </w:tcPr>
          <w:p w14:paraId="3CA842F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r w:rsidR="00A1204B" w:rsidRPr="003817EA" w14:paraId="1926CD85" w14:textId="77777777" w:rsidTr="00650416">
        <w:trPr>
          <w:cnfStyle w:val="010000000000" w:firstRow="0" w:lastRow="1" w:firstColumn="0" w:lastColumn="0" w:oddVBand="0" w:evenVBand="0" w:oddHBand="0" w:evenHBand="0" w:firstRowFirstColumn="0" w:firstRowLastColumn="0" w:lastRowFirstColumn="0" w:lastRowLastColumn="0"/>
          <w:jc w:val="left"/>
        </w:trPr>
        <w:tc>
          <w:tcPr>
            <w:tcW w:w="1841" w:type="dxa"/>
          </w:tcPr>
          <w:p w14:paraId="54A7FA8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921" w:type="dxa"/>
          </w:tcPr>
          <w:p w14:paraId="4B43FB1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نساء</w:t>
            </w:r>
          </w:p>
        </w:tc>
        <w:tc>
          <w:tcPr>
            <w:tcW w:w="922" w:type="dxa"/>
          </w:tcPr>
          <w:p w14:paraId="0A03A11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w:t>
            </w:r>
          </w:p>
        </w:tc>
        <w:tc>
          <w:tcPr>
            <w:tcW w:w="921" w:type="dxa"/>
          </w:tcPr>
          <w:p w14:paraId="4847574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w:t>
            </w:r>
          </w:p>
        </w:tc>
        <w:tc>
          <w:tcPr>
            <w:tcW w:w="922" w:type="dxa"/>
          </w:tcPr>
          <w:p w14:paraId="73ED196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w:t>
            </w:r>
          </w:p>
        </w:tc>
        <w:tc>
          <w:tcPr>
            <w:tcW w:w="921" w:type="dxa"/>
          </w:tcPr>
          <w:p w14:paraId="69F4B55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922" w:type="dxa"/>
          </w:tcPr>
          <w:p w14:paraId="6BDD057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bl>
    <w:p w14:paraId="00A71866" w14:textId="77777777" w:rsidR="00A1204B" w:rsidRPr="001F1035" w:rsidRDefault="00A1204B" w:rsidP="00A1204B">
      <w:pPr>
        <w:pStyle w:val="SingleTxtGA"/>
        <w:spacing w:before="240"/>
        <w:rPr>
          <w:i/>
          <w:iCs/>
          <w:rtl/>
        </w:rPr>
      </w:pPr>
      <w:r w:rsidRPr="003817EA">
        <w:rPr>
          <w:rtl/>
        </w:rPr>
        <w:tab/>
      </w:r>
      <w:r w:rsidRPr="001F1035">
        <w:rPr>
          <w:i/>
          <w:iCs/>
          <w:rtl/>
        </w:rPr>
        <w:t>ويبيِّن الجدول التالي العدد الإجمالي للحالات الجديدة من الأمراض المُعْدية في آيسلندا، في الفترة 2013-2017.</w:t>
      </w:r>
    </w:p>
    <w:tbl>
      <w:tblPr>
        <w:tblStyle w:val="TABLEA"/>
        <w:bidiVisual/>
        <w:tblW w:w="7370" w:type="dxa"/>
        <w:jc w:val="left"/>
        <w:tblInd w:w="1247" w:type="dxa"/>
        <w:tblLayout w:type="fixed"/>
        <w:tblLook w:val="04E0" w:firstRow="1" w:lastRow="1" w:firstColumn="1" w:lastColumn="0" w:noHBand="0" w:noVBand="1"/>
      </w:tblPr>
      <w:tblGrid>
        <w:gridCol w:w="3969"/>
        <w:gridCol w:w="709"/>
        <w:gridCol w:w="709"/>
        <w:gridCol w:w="709"/>
        <w:gridCol w:w="708"/>
        <w:gridCol w:w="566"/>
      </w:tblGrid>
      <w:tr w:rsidR="00A1204B" w:rsidRPr="003817EA" w14:paraId="373F6290"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3969" w:type="dxa"/>
          </w:tcPr>
          <w:p w14:paraId="255FB38F"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الأمراض المُعْدية</w:t>
            </w:r>
          </w:p>
        </w:tc>
        <w:tc>
          <w:tcPr>
            <w:tcW w:w="709" w:type="dxa"/>
          </w:tcPr>
          <w:p w14:paraId="637838C2"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2014</w:t>
            </w:r>
          </w:p>
        </w:tc>
        <w:tc>
          <w:tcPr>
            <w:tcW w:w="709" w:type="dxa"/>
          </w:tcPr>
          <w:p w14:paraId="16265E95"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2015</w:t>
            </w:r>
          </w:p>
        </w:tc>
        <w:tc>
          <w:tcPr>
            <w:tcW w:w="709" w:type="dxa"/>
          </w:tcPr>
          <w:p w14:paraId="59072BBB"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2016</w:t>
            </w:r>
          </w:p>
        </w:tc>
        <w:tc>
          <w:tcPr>
            <w:tcW w:w="708" w:type="dxa"/>
          </w:tcPr>
          <w:p w14:paraId="03258838"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2017</w:t>
            </w:r>
          </w:p>
        </w:tc>
        <w:tc>
          <w:tcPr>
            <w:tcW w:w="566" w:type="dxa"/>
          </w:tcPr>
          <w:p w14:paraId="51E7734E"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2018</w:t>
            </w:r>
          </w:p>
        </w:tc>
      </w:tr>
      <w:tr w:rsidR="00A1204B" w:rsidRPr="003817EA" w14:paraId="57C5DEAD" w14:textId="77777777" w:rsidTr="00047038">
        <w:trPr>
          <w:jc w:val="left"/>
        </w:trPr>
        <w:tc>
          <w:tcPr>
            <w:tcW w:w="3969" w:type="dxa"/>
          </w:tcPr>
          <w:p w14:paraId="15B4F60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المُتَشاخِسات</w:t>
            </w:r>
          </w:p>
        </w:tc>
        <w:tc>
          <w:tcPr>
            <w:tcW w:w="709" w:type="dxa"/>
          </w:tcPr>
          <w:p w14:paraId="5A4EF12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2185A4F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1F160B4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2BBC103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68C7E5C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328BE056" w14:textId="77777777" w:rsidTr="00047038">
        <w:trPr>
          <w:jc w:val="left"/>
        </w:trPr>
        <w:tc>
          <w:tcPr>
            <w:tcW w:w="3969" w:type="dxa"/>
          </w:tcPr>
          <w:p w14:paraId="5CFC6A3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الكيسات المذنَّبة</w:t>
            </w:r>
          </w:p>
        </w:tc>
        <w:tc>
          <w:tcPr>
            <w:tcW w:w="709" w:type="dxa"/>
          </w:tcPr>
          <w:p w14:paraId="5A8391E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09" w:type="dxa"/>
          </w:tcPr>
          <w:p w14:paraId="04802CA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443E845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2D68173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566" w:type="dxa"/>
          </w:tcPr>
          <w:p w14:paraId="0D4F340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6ECCEFE9" w14:textId="77777777" w:rsidTr="00047038">
        <w:trPr>
          <w:jc w:val="left"/>
        </w:trPr>
        <w:tc>
          <w:tcPr>
            <w:tcW w:w="3969" w:type="dxa"/>
          </w:tcPr>
          <w:p w14:paraId="3B2A1D6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الخُناق</w:t>
            </w:r>
          </w:p>
        </w:tc>
        <w:tc>
          <w:tcPr>
            <w:tcW w:w="709" w:type="dxa"/>
          </w:tcPr>
          <w:p w14:paraId="59B5FFC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36228AE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663875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w:t>
            </w:r>
          </w:p>
        </w:tc>
        <w:tc>
          <w:tcPr>
            <w:tcW w:w="708" w:type="dxa"/>
          </w:tcPr>
          <w:p w14:paraId="1F0CDD5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4B93591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45ACA472" w14:textId="77777777" w:rsidTr="00047038">
        <w:trPr>
          <w:jc w:val="left"/>
        </w:trPr>
        <w:tc>
          <w:tcPr>
            <w:tcW w:w="3969" w:type="dxa"/>
          </w:tcPr>
          <w:p w14:paraId="471CBE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السل</w:t>
            </w:r>
          </w:p>
        </w:tc>
        <w:tc>
          <w:tcPr>
            <w:tcW w:w="709" w:type="dxa"/>
          </w:tcPr>
          <w:p w14:paraId="34D15DD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9</w:t>
            </w:r>
          </w:p>
        </w:tc>
        <w:tc>
          <w:tcPr>
            <w:tcW w:w="709" w:type="dxa"/>
          </w:tcPr>
          <w:p w14:paraId="5F0931D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8</w:t>
            </w:r>
          </w:p>
        </w:tc>
        <w:tc>
          <w:tcPr>
            <w:tcW w:w="709" w:type="dxa"/>
          </w:tcPr>
          <w:p w14:paraId="7EC98B7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6</w:t>
            </w:r>
          </w:p>
        </w:tc>
        <w:tc>
          <w:tcPr>
            <w:tcW w:w="708" w:type="dxa"/>
          </w:tcPr>
          <w:p w14:paraId="14F88BA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14</w:t>
            </w:r>
          </w:p>
        </w:tc>
        <w:tc>
          <w:tcPr>
            <w:tcW w:w="566" w:type="dxa"/>
          </w:tcPr>
          <w:p w14:paraId="1E1278A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8</w:t>
            </w:r>
          </w:p>
        </w:tc>
      </w:tr>
      <w:tr w:rsidR="00A1204B" w:rsidRPr="003817EA" w14:paraId="479A7175" w14:textId="77777777" w:rsidTr="00047038">
        <w:trPr>
          <w:jc w:val="left"/>
        </w:trPr>
        <w:tc>
          <w:tcPr>
            <w:tcW w:w="3969" w:type="dxa"/>
          </w:tcPr>
          <w:p w14:paraId="0B2D7F3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الحمى الفيروسية النزفية</w:t>
            </w:r>
          </w:p>
        </w:tc>
        <w:tc>
          <w:tcPr>
            <w:tcW w:w="709" w:type="dxa"/>
          </w:tcPr>
          <w:p w14:paraId="6B75ED4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261C41D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2515A8F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4B010FB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02C4812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 </w:t>
            </w:r>
          </w:p>
        </w:tc>
      </w:tr>
      <w:tr w:rsidR="00A1204B" w:rsidRPr="003817EA" w14:paraId="348C7D56" w14:textId="77777777" w:rsidTr="00047038">
        <w:trPr>
          <w:jc w:val="left"/>
        </w:trPr>
        <w:tc>
          <w:tcPr>
            <w:tcW w:w="3969" w:type="dxa"/>
          </w:tcPr>
          <w:p w14:paraId="0AFF5E4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الجدري</w:t>
            </w:r>
          </w:p>
        </w:tc>
        <w:tc>
          <w:tcPr>
            <w:tcW w:w="709" w:type="dxa"/>
          </w:tcPr>
          <w:p w14:paraId="01D0092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24FB1A3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5028B68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44EF12A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22ABD16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01F4539D" w14:textId="77777777" w:rsidTr="00047038">
        <w:trPr>
          <w:jc w:val="left"/>
        </w:trPr>
        <w:tc>
          <w:tcPr>
            <w:tcW w:w="3969" w:type="dxa"/>
          </w:tcPr>
          <w:p w14:paraId="0CB112D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التسمم الوشيقي</w:t>
            </w:r>
          </w:p>
        </w:tc>
        <w:tc>
          <w:tcPr>
            <w:tcW w:w="709" w:type="dxa"/>
          </w:tcPr>
          <w:p w14:paraId="002C068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3403A67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0B15DDE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60EEB16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40185EA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0CDB2C3A" w14:textId="77777777" w:rsidTr="00047038">
        <w:trPr>
          <w:jc w:val="left"/>
        </w:trPr>
        <w:tc>
          <w:tcPr>
            <w:tcW w:w="3969" w:type="dxa"/>
          </w:tcPr>
          <w:p w14:paraId="153855D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الطيف الممتد بيتا لاكتاماز</w:t>
            </w:r>
          </w:p>
        </w:tc>
        <w:tc>
          <w:tcPr>
            <w:tcW w:w="709" w:type="dxa"/>
          </w:tcPr>
          <w:p w14:paraId="2D41447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135</w:t>
            </w:r>
          </w:p>
        </w:tc>
        <w:tc>
          <w:tcPr>
            <w:tcW w:w="709" w:type="dxa"/>
          </w:tcPr>
          <w:p w14:paraId="3BEB63C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136</w:t>
            </w:r>
          </w:p>
        </w:tc>
        <w:tc>
          <w:tcPr>
            <w:tcW w:w="709" w:type="dxa"/>
          </w:tcPr>
          <w:p w14:paraId="506013D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208</w:t>
            </w:r>
          </w:p>
        </w:tc>
        <w:tc>
          <w:tcPr>
            <w:tcW w:w="708" w:type="dxa"/>
          </w:tcPr>
          <w:p w14:paraId="10E55E8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301</w:t>
            </w:r>
          </w:p>
        </w:tc>
        <w:tc>
          <w:tcPr>
            <w:tcW w:w="566" w:type="dxa"/>
          </w:tcPr>
          <w:p w14:paraId="4A67D82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389</w:t>
            </w:r>
          </w:p>
        </w:tc>
      </w:tr>
      <w:tr w:rsidR="00A1204B" w:rsidRPr="003817EA" w14:paraId="139442E5" w14:textId="77777777" w:rsidTr="00047038">
        <w:trPr>
          <w:jc w:val="left"/>
        </w:trPr>
        <w:tc>
          <w:tcPr>
            <w:tcW w:w="3969" w:type="dxa"/>
          </w:tcPr>
          <w:p w14:paraId="4F3C766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المتلازمة التنفسية الحادة الوخيمة</w:t>
            </w:r>
          </w:p>
        </w:tc>
        <w:tc>
          <w:tcPr>
            <w:tcW w:w="709" w:type="dxa"/>
          </w:tcPr>
          <w:p w14:paraId="5D9806C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2C487ED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7437F98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226D1CB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4EF4775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3A6441A1" w14:textId="77777777" w:rsidTr="00047038">
        <w:trPr>
          <w:jc w:val="left"/>
        </w:trPr>
        <w:tc>
          <w:tcPr>
            <w:tcW w:w="3969" w:type="dxa"/>
          </w:tcPr>
          <w:p w14:paraId="39D6F45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مرض التناظر الدماغي الإسفنجي المستجد</w:t>
            </w:r>
          </w:p>
        </w:tc>
        <w:tc>
          <w:tcPr>
            <w:tcW w:w="709" w:type="dxa"/>
          </w:tcPr>
          <w:p w14:paraId="066809A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6046AB3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122390F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797CEC6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48853C3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1B1F1F1A" w14:textId="77777777" w:rsidTr="00047038">
        <w:trPr>
          <w:jc w:val="left"/>
        </w:trPr>
        <w:tc>
          <w:tcPr>
            <w:tcW w:w="3969" w:type="dxa"/>
          </w:tcPr>
          <w:p w14:paraId="33369F0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الأشريكية القولونية المعوية النزفية</w:t>
            </w:r>
          </w:p>
        </w:tc>
        <w:tc>
          <w:tcPr>
            <w:tcW w:w="709" w:type="dxa"/>
          </w:tcPr>
          <w:p w14:paraId="518055D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c>
          <w:tcPr>
            <w:tcW w:w="709" w:type="dxa"/>
          </w:tcPr>
          <w:p w14:paraId="436AFC9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w:t>
            </w:r>
          </w:p>
        </w:tc>
        <w:tc>
          <w:tcPr>
            <w:tcW w:w="709" w:type="dxa"/>
          </w:tcPr>
          <w:p w14:paraId="7A68151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c>
          <w:tcPr>
            <w:tcW w:w="708" w:type="dxa"/>
          </w:tcPr>
          <w:p w14:paraId="05FF4D4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c>
          <w:tcPr>
            <w:tcW w:w="566" w:type="dxa"/>
          </w:tcPr>
          <w:p w14:paraId="2E44A94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r>
      <w:tr w:rsidR="00A1204B" w:rsidRPr="003817EA" w14:paraId="7CD5BF82" w14:textId="77777777" w:rsidTr="00047038">
        <w:trPr>
          <w:jc w:val="left"/>
        </w:trPr>
        <w:tc>
          <w:tcPr>
            <w:tcW w:w="3969" w:type="dxa"/>
          </w:tcPr>
          <w:p w14:paraId="13F8EA2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الجيارديات</w:t>
            </w:r>
          </w:p>
        </w:tc>
        <w:tc>
          <w:tcPr>
            <w:tcW w:w="709" w:type="dxa"/>
          </w:tcPr>
          <w:p w14:paraId="4F3BE5D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23</w:t>
            </w:r>
          </w:p>
        </w:tc>
        <w:tc>
          <w:tcPr>
            <w:tcW w:w="709" w:type="dxa"/>
          </w:tcPr>
          <w:p w14:paraId="47ED0C6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25</w:t>
            </w:r>
          </w:p>
        </w:tc>
        <w:tc>
          <w:tcPr>
            <w:tcW w:w="709" w:type="dxa"/>
          </w:tcPr>
          <w:p w14:paraId="6C016D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19</w:t>
            </w:r>
          </w:p>
        </w:tc>
        <w:tc>
          <w:tcPr>
            <w:tcW w:w="708" w:type="dxa"/>
          </w:tcPr>
          <w:p w14:paraId="0DDBA67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26</w:t>
            </w:r>
          </w:p>
        </w:tc>
        <w:tc>
          <w:tcPr>
            <w:tcW w:w="566" w:type="dxa"/>
          </w:tcPr>
          <w:p w14:paraId="3E8E86C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25</w:t>
            </w:r>
          </w:p>
        </w:tc>
      </w:tr>
      <w:tr w:rsidR="00A1204B" w:rsidRPr="003817EA" w14:paraId="6F80400F" w14:textId="77777777" w:rsidTr="00047038">
        <w:trPr>
          <w:jc w:val="left"/>
        </w:trPr>
        <w:tc>
          <w:tcPr>
            <w:tcW w:w="3969" w:type="dxa"/>
          </w:tcPr>
          <w:p w14:paraId="2F20CD0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الحمى الصفراء</w:t>
            </w:r>
          </w:p>
        </w:tc>
        <w:tc>
          <w:tcPr>
            <w:tcW w:w="709" w:type="dxa"/>
          </w:tcPr>
          <w:p w14:paraId="186711B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451F507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5D5F3E9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29F14B1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28DADDE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5055C294" w14:textId="77777777" w:rsidTr="00047038">
        <w:trPr>
          <w:jc w:val="left"/>
        </w:trPr>
        <w:tc>
          <w:tcPr>
            <w:tcW w:w="3969" w:type="dxa"/>
          </w:tcPr>
          <w:p w14:paraId="2626686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النزلة النزفية من النوع باء </w:t>
            </w:r>
          </w:p>
        </w:tc>
        <w:tc>
          <w:tcPr>
            <w:tcW w:w="709" w:type="dxa"/>
          </w:tcPr>
          <w:p w14:paraId="2A80E38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2DA4B7C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232A7CE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30063AD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7A0C98F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61F5AFFA" w14:textId="77777777" w:rsidTr="00047038">
        <w:trPr>
          <w:jc w:val="left"/>
        </w:trPr>
        <w:tc>
          <w:tcPr>
            <w:tcW w:w="3969" w:type="dxa"/>
          </w:tcPr>
          <w:p w14:paraId="0516891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النكاف</w:t>
            </w:r>
          </w:p>
        </w:tc>
        <w:tc>
          <w:tcPr>
            <w:tcW w:w="709" w:type="dxa"/>
          </w:tcPr>
          <w:p w14:paraId="4C965C0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0</w:t>
            </w:r>
          </w:p>
        </w:tc>
        <w:tc>
          <w:tcPr>
            <w:tcW w:w="709" w:type="dxa"/>
          </w:tcPr>
          <w:p w14:paraId="3F561BA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77</w:t>
            </w:r>
          </w:p>
        </w:tc>
        <w:tc>
          <w:tcPr>
            <w:tcW w:w="709" w:type="dxa"/>
          </w:tcPr>
          <w:p w14:paraId="656F2FE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8</w:t>
            </w:r>
          </w:p>
        </w:tc>
        <w:tc>
          <w:tcPr>
            <w:tcW w:w="708" w:type="dxa"/>
          </w:tcPr>
          <w:p w14:paraId="758D9C2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w:t>
            </w:r>
          </w:p>
        </w:tc>
        <w:tc>
          <w:tcPr>
            <w:tcW w:w="566" w:type="dxa"/>
          </w:tcPr>
          <w:p w14:paraId="54ABE82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r>
      <w:tr w:rsidR="00A1204B" w:rsidRPr="003817EA" w14:paraId="6DCAAD48" w14:textId="77777777" w:rsidTr="00047038">
        <w:trPr>
          <w:jc w:val="left"/>
        </w:trPr>
        <w:tc>
          <w:tcPr>
            <w:tcW w:w="3969" w:type="dxa"/>
          </w:tcPr>
          <w:p w14:paraId="296CF02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التولارمية</w:t>
            </w:r>
          </w:p>
        </w:tc>
        <w:tc>
          <w:tcPr>
            <w:tcW w:w="709" w:type="dxa"/>
          </w:tcPr>
          <w:p w14:paraId="5346A67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586D254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6E3D07C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365FA94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0EEE79F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769C7EE6" w14:textId="77777777" w:rsidTr="00047038">
        <w:trPr>
          <w:jc w:val="left"/>
        </w:trPr>
        <w:tc>
          <w:tcPr>
            <w:tcW w:w="3969" w:type="dxa"/>
          </w:tcPr>
          <w:p w14:paraId="1366A33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فيروس نقص المناعة البشرية</w:t>
            </w:r>
          </w:p>
        </w:tc>
        <w:tc>
          <w:tcPr>
            <w:tcW w:w="709" w:type="dxa"/>
          </w:tcPr>
          <w:p w14:paraId="6390126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11</w:t>
            </w:r>
          </w:p>
        </w:tc>
        <w:tc>
          <w:tcPr>
            <w:tcW w:w="709" w:type="dxa"/>
          </w:tcPr>
          <w:p w14:paraId="291FC83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w:t>
            </w:r>
          </w:p>
        </w:tc>
        <w:tc>
          <w:tcPr>
            <w:tcW w:w="709" w:type="dxa"/>
          </w:tcPr>
          <w:p w14:paraId="435015E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28</w:t>
            </w:r>
          </w:p>
        </w:tc>
        <w:tc>
          <w:tcPr>
            <w:tcW w:w="708" w:type="dxa"/>
          </w:tcPr>
          <w:p w14:paraId="7264524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28</w:t>
            </w:r>
          </w:p>
        </w:tc>
        <w:tc>
          <w:tcPr>
            <w:tcW w:w="566" w:type="dxa"/>
          </w:tcPr>
          <w:p w14:paraId="0DB512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38</w:t>
            </w:r>
          </w:p>
        </w:tc>
      </w:tr>
      <w:tr w:rsidR="00A1204B" w:rsidRPr="003817EA" w14:paraId="04DB1C1E" w14:textId="77777777" w:rsidTr="00047038">
        <w:trPr>
          <w:jc w:val="left"/>
        </w:trPr>
        <w:tc>
          <w:tcPr>
            <w:tcW w:w="3969" w:type="dxa"/>
          </w:tcPr>
          <w:p w14:paraId="6CBD3E2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الجُذام</w:t>
            </w:r>
          </w:p>
        </w:tc>
        <w:tc>
          <w:tcPr>
            <w:tcW w:w="709" w:type="dxa"/>
          </w:tcPr>
          <w:p w14:paraId="33056C8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722055B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5D85714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635766F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2B15F81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048BA3E4" w14:textId="77777777" w:rsidTr="00047038">
        <w:trPr>
          <w:jc w:val="left"/>
        </w:trPr>
        <w:tc>
          <w:tcPr>
            <w:tcW w:w="3969" w:type="dxa"/>
          </w:tcPr>
          <w:p w14:paraId="64D2603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حمى </w:t>
            </w:r>
            <w:r w:rsidRPr="003817EA">
              <w:rPr>
                <w:sz w:val="18"/>
                <w:szCs w:val="18"/>
              </w:rPr>
              <w:t>Q</w:t>
            </w:r>
          </w:p>
        </w:tc>
        <w:tc>
          <w:tcPr>
            <w:tcW w:w="709" w:type="dxa"/>
          </w:tcPr>
          <w:p w14:paraId="75C3375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5D2DDD8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4397E8B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35C6C30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2535305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6F8CEF50" w14:textId="77777777" w:rsidTr="00047038">
        <w:trPr>
          <w:jc w:val="left"/>
        </w:trPr>
        <w:tc>
          <w:tcPr>
            <w:tcW w:w="3969" w:type="dxa"/>
          </w:tcPr>
          <w:p w14:paraId="7C1B1D1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الكلَب</w:t>
            </w:r>
          </w:p>
        </w:tc>
        <w:tc>
          <w:tcPr>
            <w:tcW w:w="709" w:type="dxa"/>
          </w:tcPr>
          <w:p w14:paraId="3738158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7D9FE1E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79A9EAF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06A767B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5F4184B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28A05F04" w14:textId="77777777" w:rsidTr="00047038">
        <w:trPr>
          <w:jc w:val="left"/>
        </w:trPr>
        <w:tc>
          <w:tcPr>
            <w:tcW w:w="3969" w:type="dxa"/>
          </w:tcPr>
          <w:p w14:paraId="0CC5CEE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جائحة الأنفلونزا ألف (</w:t>
            </w:r>
            <w:r w:rsidRPr="003817EA">
              <w:rPr>
                <w:sz w:val="18"/>
                <w:szCs w:val="18"/>
              </w:rPr>
              <w:t>H1N1</w:t>
            </w:r>
            <w:r w:rsidRPr="003817EA">
              <w:rPr>
                <w:sz w:val="18"/>
                <w:szCs w:val="18"/>
                <w:rtl/>
              </w:rPr>
              <w:t>) لعام 2009</w:t>
            </w:r>
          </w:p>
        </w:tc>
        <w:tc>
          <w:tcPr>
            <w:tcW w:w="709" w:type="dxa"/>
          </w:tcPr>
          <w:p w14:paraId="1B9FD4C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112</w:t>
            </w:r>
          </w:p>
        </w:tc>
        <w:tc>
          <w:tcPr>
            <w:tcW w:w="709" w:type="dxa"/>
          </w:tcPr>
          <w:p w14:paraId="5DB2B41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w:t>
            </w:r>
          </w:p>
        </w:tc>
        <w:tc>
          <w:tcPr>
            <w:tcW w:w="709" w:type="dxa"/>
          </w:tcPr>
          <w:p w14:paraId="2BB4332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195</w:t>
            </w:r>
          </w:p>
        </w:tc>
        <w:tc>
          <w:tcPr>
            <w:tcW w:w="708" w:type="dxa"/>
          </w:tcPr>
          <w:p w14:paraId="3B1BDDC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566" w:type="dxa"/>
          </w:tcPr>
          <w:p w14:paraId="3717D70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41</w:t>
            </w:r>
          </w:p>
        </w:tc>
      </w:tr>
      <w:tr w:rsidR="00A1204B" w:rsidRPr="003817EA" w14:paraId="5FE1C414" w14:textId="77777777" w:rsidTr="00047038">
        <w:trPr>
          <w:jc w:val="left"/>
        </w:trPr>
        <w:tc>
          <w:tcPr>
            <w:tcW w:w="3969" w:type="dxa"/>
          </w:tcPr>
          <w:p w14:paraId="2B69D68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الأنفلونزا </w:t>
            </w:r>
            <w:r w:rsidRPr="003817EA">
              <w:rPr>
                <w:sz w:val="18"/>
                <w:szCs w:val="18"/>
              </w:rPr>
              <w:t>(H3)</w:t>
            </w:r>
            <w:r w:rsidRPr="003817EA">
              <w:rPr>
                <w:sz w:val="18"/>
                <w:szCs w:val="18"/>
                <w:rtl/>
              </w:rPr>
              <w:t>A</w:t>
            </w:r>
          </w:p>
        </w:tc>
        <w:tc>
          <w:tcPr>
            <w:tcW w:w="709" w:type="dxa"/>
          </w:tcPr>
          <w:p w14:paraId="1657A3C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17</w:t>
            </w:r>
          </w:p>
        </w:tc>
        <w:tc>
          <w:tcPr>
            <w:tcW w:w="709" w:type="dxa"/>
          </w:tcPr>
          <w:p w14:paraId="3B31EB1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200</w:t>
            </w:r>
          </w:p>
        </w:tc>
        <w:tc>
          <w:tcPr>
            <w:tcW w:w="709" w:type="dxa"/>
          </w:tcPr>
          <w:p w14:paraId="0515CD1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72</w:t>
            </w:r>
          </w:p>
        </w:tc>
        <w:tc>
          <w:tcPr>
            <w:tcW w:w="708" w:type="dxa"/>
          </w:tcPr>
          <w:p w14:paraId="3069DA7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588</w:t>
            </w:r>
          </w:p>
        </w:tc>
        <w:tc>
          <w:tcPr>
            <w:tcW w:w="566" w:type="dxa"/>
          </w:tcPr>
          <w:p w14:paraId="67EF3C1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183</w:t>
            </w:r>
          </w:p>
        </w:tc>
      </w:tr>
      <w:tr w:rsidR="00A1204B" w:rsidRPr="003817EA" w14:paraId="71434CAD" w14:textId="77777777" w:rsidTr="00047038">
        <w:trPr>
          <w:jc w:val="left"/>
        </w:trPr>
        <w:tc>
          <w:tcPr>
            <w:tcW w:w="3969" w:type="dxa"/>
          </w:tcPr>
          <w:p w14:paraId="732C1F2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النزلة النزفية الغزوية</w:t>
            </w:r>
          </w:p>
        </w:tc>
        <w:tc>
          <w:tcPr>
            <w:tcW w:w="709" w:type="dxa"/>
          </w:tcPr>
          <w:p w14:paraId="7EB4574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4</w:t>
            </w:r>
          </w:p>
        </w:tc>
        <w:tc>
          <w:tcPr>
            <w:tcW w:w="709" w:type="dxa"/>
          </w:tcPr>
          <w:p w14:paraId="678675C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709" w:type="dxa"/>
          </w:tcPr>
          <w:p w14:paraId="2C61F5F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w:t>
            </w:r>
          </w:p>
        </w:tc>
        <w:tc>
          <w:tcPr>
            <w:tcW w:w="708" w:type="dxa"/>
          </w:tcPr>
          <w:p w14:paraId="4524E86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566" w:type="dxa"/>
          </w:tcPr>
          <w:p w14:paraId="33F5A18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r>
      <w:tr w:rsidR="00A1204B" w:rsidRPr="003817EA" w14:paraId="15EA9773" w14:textId="77777777" w:rsidTr="00047038">
        <w:trPr>
          <w:jc w:val="left"/>
        </w:trPr>
        <w:tc>
          <w:tcPr>
            <w:tcW w:w="3969" w:type="dxa"/>
          </w:tcPr>
          <w:p w14:paraId="3DE17A5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المكورات الرئوية الغزوية</w:t>
            </w:r>
          </w:p>
        </w:tc>
        <w:tc>
          <w:tcPr>
            <w:tcW w:w="709" w:type="dxa"/>
          </w:tcPr>
          <w:p w14:paraId="0E2022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24</w:t>
            </w:r>
          </w:p>
        </w:tc>
        <w:tc>
          <w:tcPr>
            <w:tcW w:w="709" w:type="dxa"/>
          </w:tcPr>
          <w:p w14:paraId="01E48E6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25</w:t>
            </w:r>
          </w:p>
        </w:tc>
        <w:tc>
          <w:tcPr>
            <w:tcW w:w="709" w:type="dxa"/>
          </w:tcPr>
          <w:p w14:paraId="3837130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17</w:t>
            </w:r>
          </w:p>
        </w:tc>
        <w:tc>
          <w:tcPr>
            <w:tcW w:w="708" w:type="dxa"/>
          </w:tcPr>
          <w:p w14:paraId="33E0D93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17</w:t>
            </w:r>
          </w:p>
        </w:tc>
        <w:tc>
          <w:tcPr>
            <w:tcW w:w="566" w:type="dxa"/>
          </w:tcPr>
          <w:p w14:paraId="53F916C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31</w:t>
            </w:r>
          </w:p>
        </w:tc>
      </w:tr>
      <w:tr w:rsidR="00A1204B" w:rsidRPr="003817EA" w14:paraId="712D3A43" w14:textId="77777777" w:rsidTr="00047038">
        <w:trPr>
          <w:jc w:val="left"/>
        </w:trPr>
        <w:tc>
          <w:tcPr>
            <w:tcW w:w="3969" w:type="dxa"/>
          </w:tcPr>
          <w:p w14:paraId="63C0C62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اليَرسنية المُلهِبة للمِعَى والقَولون، اليَرسنية السُّلية الكاذبة</w:t>
            </w:r>
          </w:p>
        </w:tc>
        <w:tc>
          <w:tcPr>
            <w:tcW w:w="709" w:type="dxa"/>
          </w:tcPr>
          <w:p w14:paraId="757DD86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c>
          <w:tcPr>
            <w:tcW w:w="709" w:type="dxa"/>
          </w:tcPr>
          <w:p w14:paraId="77E396E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709" w:type="dxa"/>
          </w:tcPr>
          <w:p w14:paraId="7121BBD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708" w:type="dxa"/>
          </w:tcPr>
          <w:p w14:paraId="36310F4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1324430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r>
      <w:tr w:rsidR="00A1204B" w:rsidRPr="003817EA" w14:paraId="0F324E33" w14:textId="77777777" w:rsidTr="00047038">
        <w:trPr>
          <w:jc w:val="left"/>
        </w:trPr>
        <w:tc>
          <w:tcPr>
            <w:tcW w:w="3969" w:type="dxa"/>
          </w:tcPr>
          <w:p w14:paraId="6F2115C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العطائف القولونية</w:t>
            </w:r>
          </w:p>
        </w:tc>
        <w:tc>
          <w:tcPr>
            <w:tcW w:w="709" w:type="dxa"/>
          </w:tcPr>
          <w:p w14:paraId="634E1DE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143</w:t>
            </w:r>
          </w:p>
        </w:tc>
        <w:tc>
          <w:tcPr>
            <w:tcW w:w="709" w:type="dxa"/>
          </w:tcPr>
          <w:p w14:paraId="46DD3AC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119</w:t>
            </w:r>
          </w:p>
        </w:tc>
        <w:tc>
          <w:tcPr>
            <w:tcW w:w="709" w:type="dxa"/>
          </w:tcPr>
          <w:p w14:paraId="302579D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127</w:t>
            </w:r>
          </w:p>
        </w:tc>
        <w:tc>
          <w:tcPr>
            <w:tcW w:w="708" w:type="dxa"/>
          </w:tcPr>
          <w:p w14:paraId="28BF8C1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119</w:t>
            </w:r>
          </w:p>
        </w:tc>
        <w:tc>
          <w:tcPr>
            <w:tcW w:w="566" w:type="dxa"/>
          </w:tcPr>
          <w:p w14:paraId="576D17A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145</w:t>
            </w:r>
          </w:p>
        </w:tc>
      </w:tr>
      <w:tr w:rsidR="00A1204B" w:rsidRPr="003817EA" w14:paraId="3217E70F" w14:textId="77777777" w:rsidTr="00047038">
        <w:trPr>
          <w:jc w:val="left"/>
        </w:trPr>
        <w:tc>
          <w:tcPr>
            <w:tcW w:w="3969" w:type="dxa"/>
          </w:tcPr>
          <w:p w14:paraId="17EEA1C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السعال الديكي</w:t>
            </w:r>
          </w:p>
        </w:tc>
        <w:tc>
          <w:tcPr>
            <w:tcW w:w="709" w:type="dxa"/>
          </w:tcPr>
          <w:p w14:paraId="38C1A31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w:t>
            </w:r>
          </w:p>
        </w:tc>
        <w:tc>
          <w:tcPr>
            <w:tcW w:w="709" w:type="dxa"/>
          </w:tcPr>
          <w:p w14:paraId="779B7C7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c>
          <w:tcPr>
            <w:tcW w:w="709" w:type="dxa"/>
          </w:tcPr>
          <w:p w14:paraId="2303589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14</w:t>
            </w:r>
          </w:p>
        </w:tc>
        <w:tc>
          <w:tcPr>
            <w:tcW w:w="708" w:type="dxa"/>
          </w:tcPr>
          <w:p w14:paraId="5269A37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w:t>
            </w:r>
          </w:p>
        </w:tc>
        <w:tc>
          <w:tcPr>
            <w:tcW w:w="566" w:type="dxa"/>
          </w:tcPr>
          <w:p w14:paraId="39B00E0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15</w:t>
            </w:r>
          </w:p>
        </w:tc>
      </w:tr>
      <w:tr w:rsidR="00A1204B" w:rsidRPr="003817EA" w14:paraId="447CBA9B" w14:textId="77777777" w:rsidTr="00047038">
        <w:trPr>
          <w:jc w:val="left"/>
        </w:trPr>
        <w:tc>
          <w:tcPr>
            <w:tcW w:w="3969" w:type="dxa"/>
          </w:tcPr>
          <w:p w14:paraId="5A07F83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المتدثِّرة الحَثَرِيّة</w:t>
            </w:r>
          </w:p>
        </w:tc>
        <w:tc>
          <w:tcPr>
            <w:tcW w:w="709" w:type="dxa"/>
          </w:tcPr>
          <w:p w14:paraId="7ECA915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723 1</w:t>
            </w:r>
          </w:p>
        </w:tc>
        <w:tc>
          <w:tcPr>
            <w:tcW w:w="709" w:type="dxa"/>
          </w:tcPr>
          <w:p w14:paraId="3C37F49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989 1</w:t>
            </w:r>
          </w:p>
        </w:tc>
        <w:tc>
          <w:tcPr>
            <w:tcW w:w="709" w:type="dxa"/>
          </w:tcPr>
          <w:p w14:paraId="49AEB06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965 1</w:t>
            </w:r>
          </w:p>
        </w:tc>
        <w:tc>
          <w:tcPr>
            <w:tcW w:w="708" w:type="dxa"/>
          </w:tcPr>
          <w:p w14:paraId="4DB222B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204 2</w:t>
            </w:r>
          </w:p>
        </w:tc>
        <w:tc>
          <w:tcPr>
            <w:tcW w:w="566" w:type="dxa"/>
          </w:tcPr>
          <w:p w14:paraId="45EA319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848 1</w:t>
            </w:r>
          </w:p>
        </w:tc>
      </w:tr>
      <w:tr w:rsidR="00A1204B" w:rsidRPr="003817EA" w14:paraId="3B9763E9" w14:textId="77777777" w:rsidTr="00047038">
        <w:trPr>
          <w:jc w:val="left"/>
        </w:trPr>
        <w:tc>
          <w:tcPr>
            <w:tcW w:w="3969" w:type="dxa"/>
          </w:tcPr>
          <w:p w14:paraId="000F9C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الكوليرا </w:t>
            </w:r>
          </w:p>
        </w:tc>
        <w:tc>
          <w:tcPr>
            <w:tcW w:w="709" w:type="dxa"/>
          </w:tcPr>
          <w:p w14:paraId="7201618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3A06C44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30A45EE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2CD9F44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407DF7C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60D965B4" w14:textId="77777777" w:rsidTr="00047038">
        <w:trPr>
          <w:jc w:val="left"/>
        </w:trPr>
        <w:tc>
          <w:tcPr>
            <w:tcW w:w="3969" w:type="dxa"/>
          </w:tcPr>
          <w:p w14:paraId="39E0BA9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خَفِيات الأبواغ</w:t>
            </w:r>
          </w:p>
        </w:tc>
        <w:tc>
          <w:tcPr>
            <w:tcW w:w="709" w:type="dxa"/>
          </w:tcPr>
          <w:p w14:paraId="7D62D74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2 </w:t>
            </w:r>
          </w:p>
        </w:tc>
        <w:tc>
          <w:tcPr>
            <w:tcW w:w="709" w:type="dxa"/>
          </w:tcPr>
          <w:p w14:paraId="53E9568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w:t>
            </w:r>
          </w:p>
        </w:tc>
        <w:tc>
          <w:tcPr>
            <w:tcW w:w="709" w:type="dxa"/>
          </w:tcPr>
          <w:p w14:paraId="39AA02A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7</w:t>
            </w:r>
          </w:p>
        </w:tc>
        <w:tc>
          <w:tcPr>
            <w:tcW w:w="708" w:type="dxa"/>
          </w:tcPr>
          <w:p w14:paraId="4A350A6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w:t>
            </w:r>
          </w:p>
        </w:tc>
        <w:tc>
          <w:tcPr>
            <w:tcW w:w="566" w:type="dxa"/>
          </w:tcPr>
          <w:p w14:paraId="6FDBDDD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w:t>
            </w:r>
          </w:p>
        </w:tc>
      </w:tr>
      <w:tr w:rsidR="00A1204B" w:rsidRPr="003817EA" w14:paraId="33A9F840" w14:textId="77777777" w:rsidTr="00047038">
        <w:trPr>
          <w:jc w:val="left"/>
        </w:trPr>
        <w:tc>
          <w:tcPr>
            <w:tcW w:w="3969" w:type="dxa"/>
          </w:tcPr>
          <w:p w14:paraId="0F1F8F0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الفَيلَقِيَّات</w:t>
            </w:r>
          </w:p>
        </w:tc>
        <w:tc>
          <w:tcPr>
            <w:tcW w:w="709" w:type="dxa"/>
          </w:tcPr>
          <w:p w14:paraId="48BE8A7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4</w:t>
            </w:r>
          </w:p>
        </w:tc>
        <w:tc>
          <w:tcPr>
            <w:tcW w:w="709" w:type="dxa"/>
          </w:tcPr>
          <w:p w14:paraId="50D37E7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709" w:type="dxa"/>
          </w:tcPr>
          <w:p w14:paraId="5CA705F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c>
          <w:tcPr>
            <w:tcW w:w="708" w:type="dxa"/>
          </w:tcPr>
          <w:p w14:paraId="0E9C250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c>
          <w:tcPr>
            <w:tcW w:w="566" w:type="dxa"/>
          </w:tcPr>
          <w:p w14:paraId="1744562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w:t>
            </w:r>
          </w:p>
        </w:tc>
      </w:tr>
      <w:tr w:rsidR="00A1204B" w:rsidRPr="003817EA" w14:paraId="09F43301" w14:textId="77777777" w:rsidTr="00047038">
        <w:trPr>
          <w:jc w:val="left"/>
        </w:trPr>
        <w:tc>
          <w:tcPr>
            <w:tcW w:w="3969" w:type="dxa"/>
          </w:tcPr>
          <w:p w14:paraId="1AA5802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السيلان</w:t>
            </w:r>
          </w:p>
        </w:tc>
        <w:tc>
          <w:tcPr>
            <w:tcW w:w="709" w:type="dxa"/>
          </w:tcPr>
          <w:p w14:paraId="5A32F86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38</w:t>
            </w:r>
          </w:p>
        </w:tc>
        <w:tc>
          <w:tcPr>
            <w:tcW w:w="709" w:type="dxa"/>
          </w:tcPr>
          <w:p w14:paraId="7070F1F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46</w:t>
            </w:r>
          </w:p>
        </w:tc>
        <w:tc>
          <w:tcPr>
            <w:tcW w:w="709" w:type="dxa"/>
          </w:tcPr>
          <w:p w14:paraId="37FE98E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89</w:t>
            </w:r>
          </w:p>
        </w:tc>
        <w:tc>
          <w:tcPr>
            <w:tcW w:w="708" w:type="dxa"/>
          </w:tcPr>
          <w:p w14:paraId="3D3D5EA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100</w:t>
            </w:r>
          </w:p>
        </w:tc>
        <w:tc>
          <w:tcPr>
            <w:tcW w:w="566" w:type="dxa"/>
          </w:tcPr>
          <w:p w14:paraId="7664894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105</w:t>
            </w:r>
          </w:p>
        </w:tc>
      </w:tr>
      <w:tr w:rsidR="00A1204B" w:rsidRPr="003817EA" w14:paraId="0C4F4C2E" w14:textId="77777777" w:rsidTr="00047038">
        <w:trPr>
          <w:jc w:val="left"/>
        </w:trPr>
        <w:tc>
          <w:tcPr>
            <w:tcW w:w="3969" w:type="dxa"/>
          </w:tcPr>
          <w:p w14:paraId="785573B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البريميّات</w:t>
            </w:r>
          </w:p>
        </w:tc>
        <w:tc>
          <w:tcPr>
            <w:tcW w:w="709" w:type="dxa"/>
          </w:tcPr>
          <w:p w14:paraId="0145493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5A158D4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07D9CAA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493FBF7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2DA0C91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4C6602CF" w14:textId="77777777" w:rsidTr="00047038">
        <w:trPr>
          <w:jc w:val="left"/>
        </w:trPr>
        <w:tc>
          <w:tcPr>
            <w:tcW w:w="3969" w:type="dxa"/>
          </w:tcPr>
          <w:p w14:paraId="592A258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فيروس التهاب الكبد </w:t>
            </w:r>
            <w:r w:rsidRPr="003817EA">
              <w:rPr>
                <w:sz w:val="18"/>
                <w:szCs w:val="18"/>
              </w:rPr>
              <w:t>A</w:t>
            </w:r>
          </w:p>
        </w:tc>
        <w:tc>
          <w:tcPr>
            <w:tcW w:w="709" w:type="dxa"/>
          </w:tcPr>
          <w:p w14:paraId="40ED807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7265E3F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49E858C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71A3558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w:t>
            </w:r>
          </w:p>
        </w:tc>
        <w:tc>
          <w:tcPr>
            <w:tcW w:w="566" w:type="dxa"/>
          </w:tcPr>
          <w:p w14:paraId="22164BC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w:t>
            </w:r>
          </w:p>
        </w:tc>
      </w:tr>
      <w:tr w:rsidR="00A1204B" w:rsidRPr="003817EA" w14:paraId="34D157EB" w14:textId="77777777" w:rsidTr="00047038">
        <w:trPr>
          <w:jc w:val="left"/>
        </w:trPr>
        <w:tc>
          <w:tcPr>
            <w:tcW w:w="3969" w:type="dxa"/>
          </w:tcPr>
          <w:p w14:paraId="0086A02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فيروس التهاب الكبد </w:t>
            </w:r>
            <w:r w:rsidRPr="003817EA">
              <w:rPr>
                <w:sz w:val="18"/>
                <w:szCs w:val="18"/>
              </w:rPr>
              <w:t>B</w:t>
            </w:r>
            <w:r w:rsidRPr="003817EA">
              <w:rPr>
                <w:sz w:val="18"/>
                <w:szCs w:val="18"/>
                <w:rtl/>
              </w:rPr>
              <w:t xml:space="preserve"> (الحاد، المزمن)</w:t>
            </w:r>
          </w:p>
        </w:tc>
        <w:tc>
          <w:tcPr>
            <w:tcW w:w="709" w:type="dxa"/>
          </w:tcPr>
          <w:p w14:paraId="47BAFA0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29</w:t>
            </w:r>
          </w:p>
        </w:tc>
        <w:tc>
          <w:tcPr>
            <w:tcW w:w="709" w:type="dxa"/>
          </w:tcPr>
          <w:p w14:paraId="6B16635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17</w:t>
            </w:r>
          </w:p>
        </w:tc>
        <w:tc>
          <w:tcPr>
            <w:tcW w:w="709" w:type="dxa"/>
          </w:tcPr>
          <w:p w14:paraId="54EDD78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59</w:t>
            </w:r>
          </w:p>
        </w:tc>
        <w:tc>
          <w:tcPr>
            <w:tcW w:w="708" w:type="dxa"/>
          </w:tcPr>
          <w:p w14:paraId="4371FE2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68</w:t>
            </w:r>
          </w:p>
        </w:tc>
        <w:tc>
          <w:tcPr>
            <w:tcW w:w="566" w:type="dxa"/>
          </w:tcPr>
          <w:p w14:paraId="072F18A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45</w:t>
            </w:r>
          </w:p>
        </w:tc>
      </w:tr>
      <w:tr w:rsidR="00A1204B" w:rsidRPr="003817EA" w14:paraId="31698A5B" w14:textId="77777777" w:rsidTr="00047038">
        <w:trPr>
          <w:jc w:val="left"/>
        </w:trPr>
        <w:tc>
          <w:tcPr>
            <w:tcW w:w="3969" w:type="dxa"/>
          </w:tcPr>
          <w:p w14:paraId="5E26B46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فيروس التهاب الكبد </w:t>
            </w:r>
            <w:r w:rsidRPr="003817EA">
              <w:rPr>
                <w:sz w:val="18"/>
                <w:szCs w:val="18"/>
              </w:rPr>
              <w:t>C</w:t>
            </w:r>
          </w:p>
        </w:tc>
        <w:tc>
          <w:tcPr>
            <w:tcW w:w="709" w:type="dxa"/>
          </w:tcPr>
          <w:p w14:paraId="0DE2B73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37</w:t>
            </w:r>
          </w:p>
        </w:tc>
        <w:tc>
          <w:tcPr>
            <w:tcW w:w="709" w:type="dxa"/>
          </w:tcPr>
          <w:p w14:paraId="4D9AB75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44</w:t>
            </w:r>
          </w:p>
        </w:tc>
        <w:tc>
          <w:tcPr>
            <w:tcW w:w="709" w:type="dxa"/>
          </w:tcPr>
          <w:p w14:paraId="4378EEC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91</w:t>
            </w:r>
          </w:p>
        </w:tc>
        <w:tc>
          <w:tcPr>
            <w:tcW w:w="708" w:type="dxa"/>
          </w:tcPr>
          <w:p w14:paraId="116C540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94</w:t>
            </w:r>
          </w:p>
        </w:tc>
        <w:tc>
          <w:tcPr>
            <w:tcW w:w="566" w:type="dxa"/>
          </w:tcPr>
          <w:p w14:paraId="03DF87C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73</w:t>
            </w:r>
          </w:p>
        </w:tc>
      </w:tr>
      <w:tr w:rsidR="00A1204B" w:rsidRPr="003817EA" w14:paraId="2534B335" w14:textId="77777777" w:rsidTr="00047038">
        <w:trPr>
          <w:jc w:val="left"/>
        </w:trPr>
        <w:tc>
          <w:tcPr>
            <w:tcW w:w="3969" w:type="dxa"/>
          </w:tcPr>
          <w:p w14:paraId="38ED987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فيروس التهاب الكبد </w:t>
            </w:r>
            <w:r w:rsidRPr="003817EA">
              <w:rPr>
                <w:sz w:val="18"/>
                <w:szCs w:val="18"/>
              </w:rPr>
              <w:t>E</w:t>
            </w:r>
          </w:p>
        </w:tc>
        <w:tc>
          <w:tcPr>
            <w:tcW w:w="709" w:type="dxa"/>
          </w:tcPr>
          <w:p w14:paraId="0DFE7A5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76A88A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3AE414A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5AF938E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566" w:type="dxa"/>
          </w:tcPr>
          <w:p w14:paraId="26083DB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0CB270D6" w14:textId="77777777" w:rsidTr="00047038">
        <w:trPr>
          <w:jc w:val="left"/>
        </w:trPr>
        <w:tc>
          <w:tcPr>
            <w:tcW w:w="3969" w:type="dxa"/>
          </w:tcPr>
          <w:p w14:paraId="71CBB94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فيروس التهاب الكبد غير الأنواع </w:t>
            </w:r>
            <w:r w:rsidRPr="003817EA">
              <w:rPr>
                <w:sz w:val="18"/>
                <w:szCs w:val="18"/>
              </w:rPr>
              <w:t>A-E</w:t>
            </w:r>
          </w:p>
        </w:tc>
        <w:tc>
          <w:tcPr>
            <w:tcW w:w="709" w:type="dxa"/>
          </w:tcPr>
          <w:p w14:paraId="2F903F3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4BD54FF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516A42D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74926F0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30BAE36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74064E54" w14:textId="77777777" w:rsidTr="00047038">
        <w:trPr>
          <w:jc w:val="left"/>
        </w:trPr>
        <w:tc>
          <w:tcPr>
            <w:tcW w:w="3969" w:type="dxa"/>
          </w:tcPr>
          <w:p w14:paraId="349F7E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الليستريات</w:t>
            </w:r>
          </w:p>
        </w:tc>
        <w:tc>
          <w:tcPr>
            <w:tcW w:w="709" w:type="dxa"/>
          </w:tcPr>
          <w:p w14:paraId="65CDC69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4</w:t>
            </w:r>
          </w:p>
        </w:tc>
        <w:tc>
          <w:tcPr>
            <w:tcW w:w="709" w:type="dxa"/>
          </w:tcPr>
          <w:p w14:paraId="224875F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50E20F7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0B77614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w:t>
            </w:r>
          </w:p>
        </w:tc>
        <w:tc>
          <w:tcPr>
            <w:tcW w:w="566" w:type="dxa"/>
          </w:tcPr>
          <w:p w14:paraId="7DDBCAF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2</w:t>
            </w:r>
          </w:p>
        </w:tc>
      </w:tr>
      <w:tr w:rsidR="00A1204B" w:rsidRPr="003817EA" w14:paraId="0287C725" w14:textId="77777777" w:rsidTr="00047038">
        <w:trPr>
          <w:jc w:val="left"/>
        </w:trPr>
        <w:tc>
          <w:tcPr>
            <w:tcW w:w="3969" w:type="dxa"/>
          </w:tcPr>
          <w:p w14:paraId="30F7DC3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شلل الأطفال</w:t>
            </w:r>
          </w:p>
        </w:tc>
        <w:tc>
          <w:tcPr>
            <w:tcW w:w="709" w:type="dxa"/>
          </w:tcPr>
          <w:p w14:paraId="2FC8BD0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4309214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504E187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5F0DD3F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3088934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438C2D98" w14:textId="77777777" w:rsidTr="00047038">
        <w:trPr>
          <w:jc w:val="left"/>
        </w:trPr>
        <w:tc>
          <w:tcPr>
            <w:tcW w:w="3969" w:type="dxa"/>
          </w:tcPr>
          <w:p w14:paraId="2DEF859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الملاريا</w:t>
            </w:r>
          </w:p>
        </w:tc>
        <w:tc>
          <w:tcPr>
            <w:tcW w:w="709" w:type="dxa"/>
          </w:tcPr>
          <w:p w14:paraId="58E4158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4</w:t>
            </w:r>
          </w:p>
        </w:tc>
        <w:tc>
          <w:tcPr>
            <w:tcW w:w="709" w:type="dxa"/>
          </w:tcPr>
          <w:p w14:paraId="411B6EB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709" w:type="dxa"/>
          </w:tcPr>
          <w:p w14:paraId="5473D1B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w:t>
            </w:r>
          </w:p>
        </w:tc>
        <w:tc>
          <w:tcPr>
            <w:tcW w:w="708" w:type="dxa"/>
          </w:tcPr>
          <w:p w14:paraId="7A41A59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c>
          <w:tcPr>
            <w:tcW w:w="566" w:type="dxa"/>
          </w:tcPr>
          <w:p w14:paraId="437A3D3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r>
      <w:tr w:rsidR="00A1204B" w:rsidRPr="003817EA" w14:paraId="787CA901" w14:textId="77777777" w:rsidTr="00047038">
        <w:trPr>
          <w:jc w:val="left"/>
        </w:trPr>
        <w:tc>
          <w:tcPr>
            <w:tcW w:w="3969" w:type="dxa"/>
          </w:tcPr>
          <w:p w14:paraId="73BDF14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المكوّرات السحائية</w:t>
            </w:r>
          </w:p>
        </w:tc>
        <w:tc>
          <w:tcPr>
            <w:tcW w:w="709" w:type="dxa"/>
          </w:tcPr>
          <w:p w14:paraId="58DE924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w:t>
            </w:r>
          </w:p>
        </w:tc>
        <w:tc>
          <w:tcPr>
            <w:tcW w:w="709" w:type="dxa"/>
          </w:tcPr>
          <w:p w14:paraId="6D9D908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c>
          <w:tcPr>
            <w:tcW w:w="709" w:type="dxa"/>
          </w:tcPr>
          <w:p w14:paraId="50BE0E0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w:t>
            </w:r>
          </w:p>
        </w:tc>
        <w:tc>
          <w:tcPr>
            <w:tcW w:w="708" w:type="dxa"/>
          </w:tcPr>
          <w:p w14:paraId="262D79A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3</w:t>
            </w:r>
          </w:p>
        </w:tc>
        <w:tc>
          <w:tcPr>
            <w:tcW w:w="566" w:type="dxa"/>
          </w:tcPr>
          <w:p w14:paraId="39A1350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0</w:t>
            </w:r>
          </w:p>
        </w:tc>
      </w:tr>
      <w:tr w:rsidR="00A1204B" w:rsidRPr="003817EA" w14:paraId="2F353B7D" w14:textId="77777777" w:rsidTr="00047038">
        <w:trPr>
          <w:jc w:val="left"/>
        </w:trPr>
        <w:tc>
          <w:tcPr>
            <w:tcW w:w="3969" w:type="dxa"/>
          </w:tcPr>
          <w:p w14:paraId="616C8C8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المكورات العنقودية الذهبية المقاومة لمضاد الميثيسيلين</w:t>
            </w:r>
          </w:p>
        </w:tc>
        <w:tc>
          <w:tcPr>
            <w:tcW w:w="709" w:type="dxa"/>
          </w:tcPr>
          <w:p w14:paraId="1C5869A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55</w:t>
            </w:r>
          </w:p>
        </w:tc>
        <w:tc>
          <w:tcPr>
            <w:tcW w:w="709" w:type="dxa"/>
          </w:tcPr>
          <w:p w14:paraId="06DA8F4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64</w:t>
            </w:r>
          </w:p>
        </w:tc>
        <w:tc>
          <w:tcPr>
            <w:tcW w:w="709" w:type="dxa"/>
          </w:tcPr>
          <w:p w14:paraId="09B8501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80</w:t>
            </w:r>
          </w:p>
        </w:tc>
        <w:tc>
          <w:tcPr>
            <w:tcW w:w="708" w:type="dxa"/>
          </w:tcPr>
          <w:p w14:paraId="7EE486D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69</w:t>
            </w:r>
          </w:p>
        </w:tc>
        <w:tc>
          <w:tcPr>
            <w:tcW w:w="566" w:type="dxa"/>
          </w:tcPr>
          <w:p w14:paraId="20170C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80</w:t>
            </w:r>
          </w:p>
        </w:tc>
      </w:tr>
      <w:tr w:rsidR="00A1204B" w:rsidRPr="003817EA" w14:paraId="006F226A" w14:textId="77777777" w:rsidTr="00047038">
        <w:trPr>
          <w:jc w:val="left"/>
        </w:trPr>
        <w:tc>
          <w:tcPr>
            <w:tcW w:w="3969" w:type="dxa"/>
          </w:tcPr>
          <w:p w14:paraId="2838072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الجمرة الخبيثة</w:t>
            </w:r>
          </w:p>
        </w:tc>
        <w:tc>
          <w:tcPr>
            <w:tcW w:w="709" w:type="dxa"/>
          </w:tcPr>
          <w:p w14:paraId="0877F7E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7D6D44D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63F788C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2A46566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676DF57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4D7E6716" w14:textId="77777777" w:rsidTr="00047038">
        <w:trPr>
          <w:jc w:val="left"/>
        </w:trPr>
        <w:tc>
          <w:tcPr>
            <w:tcW w:w="3969" w:type="dxa"/>
          </w:tcPr>
          <w:p w14:paraId="4287EE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الحصبة</w:t>
            </w:r>
          </w:p>
        </w:tc>
        <w:tc>
          <w:tcPr>
            <w:tcW w:w="709" w:type="dxa"/>
          </w:tcPr>
          <w:p w14:paraId="73E34A2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1</w:t>
            </w:r>
          </w:p>
        </w:tc>
        <w:tc>
          <w:tcPr>
            <w:tcW w:w="709" w:type="dxa"/>
          </w:tcPr>
          <w:p w14:paraId="71A0DCD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4344E4C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708" w:type="dxa"/>
          </w:tcPr>
          <w:p w14:paraId="45092A1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c>
          <w:tcPr>
            <w:tcW w:w="566" w:type="dxa"/>
          </w:tcPr>
          <w:p w14:paraId="0BA17E7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0</w:t>
            </w:r>
          </w:p>
        </w:tc>
      </w:tr>
      <w:tr w:rsidR="00A1204B" w:rsidRPr="003817EA" w14:paraId="67232381" w14:textId="77777777" w:rsidTr="00047038">
        <w:trPr>
          <w:jc w:val="left"/>
        </w:trPr>
        <w:tc>
          <w:tcPr>
            <w:tcW w:w="3969" w:type="dxa"/>
          </w:tcPr>
          <w:p w14:paraId="0545A37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الحصبة الألمانية</w:t>
            </w:r>
          </w:p>
        </w:tc>
        <w:tc>
          <w:tcPr>
            <w:tcW w:w="709" w:type="dxa"/>
          </w:tcPr>
          <w:p w14:paraId="5B9DCCD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4FC883E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9" w:type="dxa"/>
          </w:tcPr>
          <w:p w14:paraId="5A787A3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5AF6BA7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566" w:type="dxa"/>
          </w:tcPr>
          <w:p w14:paraId="465C89E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52F4442E" w14:textId="77777777" w:rsidTr="00047038">
        <w:trPr>
          <w:jc w:val="left"/>
        </w:trPr>
        <w:tc>
          <w:tcPr>
            <w:tcW w:w="3969" w:type="dxa"/>
          </w:tcPr>
          <w:p w14:paraId="4A15FBB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السلمونيلات</w:t>
            </w:r>
          </w:p>
        </w:tc>
        <w:tc>
          <w:tcPr>
            <w:tcW w:w="709" w:type="dxa"/>
          </w:tcPr>
          <w:p w14:paraId="4867160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42</w:t>
            </w:r>
          </w:p>
        </w:tc>
        <w:tc>
          <w:tcPr>
            <w:tcW w:w="709" w:type="dxa"/>
          </w:tcPr>
          <w:p w14:paraId="35C5670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47</w:t>
            </w:r>
          </w:p>
        </w:tc>
        <w:tc>
          <w:tcPr>
            <w:tcW w:w="709" w:type="dxa"/>
          </w:tcPr>
          <w:p w14:paraId="710F73B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35</w:t>
            </w:r>
          </w:p>
        </w:tc>
        <w:tc>
          <w:tcPr>
            <w:tcW w:w="708" w:type="dxa"/>
          </w:tcPr>
          <w:p w14:paraId="78D7992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64</w:t>
            </w:r>
          </w:p>
        </w:tc>
        <w:tc>
          <w:tcPr>
            <w:tcW w:w="566" w:type="dxa"/>
          </w:tcPr>
          <w:p w14:paraId="021AA33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63</w:t>
            </w:r>
          </w:p>
        </w:tc>
      </w:tr>
      <w:tr w:rsidR="00A1204B" w:rsidRPr="003817EA" w14:paraId="547F7291" w14:textId="77777777" w:rsidTr="00047038">
        <w:trPr>
          <w:jc w:val="left"/>
        </w:trPr>
        <w:tc>
          <w:tcPr>
            <w:tcW w:w="3969" w:type="dxa"/>
          </w:tcPr>
          <w:p w14:paraId="7FE8725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الزهري</w:t>
            </w:r>
          </w:p>
        </w:tc>
        <w:tc>
          <w:tcPr>
            <w:tcW w:w="709" w:type="dxa"/>
          </w:tcPr>
          <w:p w14:paraId="1376D44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23</w:t>
            </w:r>
          </w:p>
        </w:tc>
        <w:tc>
          <w:tcPr>
            <w:tcW w:w="709" w:type="dxa"/>
          </w:tcPr>
          <w:p w14:paraId="50BAD15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w:t>
            </w:r>
          </w:p>
        </w:tc>
        <w:tc>
          <w:tcPr>
            <w:tcW w:w="709" w:type="dxa"/>
          </w:tcPr>
          <w:p w14:paraId="29FE6BE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33</w:t>
            </w:r>
          </w:p>
        </w:tc>
        <w:tc>
          <w:tcPr>
            <w:tcW w:w="708" w:type="dxa"/>
          </w:tcPr>
          <w:p w14:paraId="207F0AB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52</w:t>
            </w:r>
          </w:p>
        </w:tc>
        <w:tc>
          <w:tcPr>
            <w:tcW w:w="566" w:type="dxa"/>
          </w:tcPr>
          <w:p w14:paraId="44CBAB8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w:t>
            </w:r>
          </w:p>
        </w:tc>
      </w:tr>
      <w:tr w:rsidR="00A1204B" w:rsidRPr="003817EA" w14:paraId="017C8658" w14:textId="77777777" w:rsidTr="00047038">
        <w:trPr>
          <w:jc w:val="left"/>
        </w:trPr>
        <w:tc>
          <w:tcPr>
            <w:tcW w:w="3969" w:type="dxa"/>
          </w:tcPr>
          <w:p w14:paraId="385B046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الشيغلات</w:t>
            </w:r>
          </w:p>
        </w:tc>
        <w:tc>
          <w:tcPr>
            <w:tcW w:w="709" w:type="dxa"/>
          </w:tcPr>
          <w:p w14:paraId="16C5F56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2</w:t>
            </w:r>
          </w:p>
        </w:tc>
        <w:tc>
          <w:tcPr>
            <w:tcW w:w="709" w:type="dxa"/>
          </w:tcPr>
          <w:p w14:paraId="436483E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709" w:type="dxa"/>
          </w:tcPr>
          <w:p w14:paraId="0224143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c>
          <w:tcPr>
            <w:tcW w:w="708" w:type="dxa"/>
          </w:tcPr>
          <w:p w14:paraId="3D27AA9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6</w:t>
            </w:r>
          </w:p>
        </w:tc>
        <w:tc>
          <w:tcPr>
            <w:tcW w:w="566" w:type="dxa"/>
          </w:tcPr>
          <w:p w14:paraId="35C92A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r>
      <w:tr w:rsidR="00A1204B" w:rsidRPr="003817EA" w14:paraId="65720815" w14:textId="77777777" w:rsidTr="00047038">
        <w:trPr>
          <w:jc w:val="left"/>
        </w:trPr>
        <w:tc>
          <w:tcPr>
            <w:tcW w:w="3969" w:type="dxa"/>
          </w:tcPr>
          <w:p w14:paraId="213A9F7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الكزاز</w:t>
            </w:r>
          </w:p>
        </w:tc>
        <w:tc>
          <w:tcPr>
            <w:tcW w:w="709" w:type="dxa"/>
          </w:tcPr>
          <w:p w14:paraId="61041BE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75AF4E6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6160F4D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5F9E4B3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56B7D4F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315CEEDC" w14:textId="77777777" w:rsidTr="00047038">
        <w:trPr>
          <w:jc w:val="left"/>
        </w:trPr>
        <w:tc>
          <w:tcPr>
            <w:tcW w:w="3969" w:type="dxa"/>
          </w:tcPr>
          <w:p w14:paraId="62ACED3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داء المُشْوكات</w:t>
            </w:r>
          </w:p>
        </w:tc>
        <w:tc>
          <w:tcPr>
            <w:tcW w:w="709" w:type="dxa"/>
          </w:tcPr>
          <w:p w14:paraId="1F160E4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2C2FBBA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3E3FA08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29FF571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43BC7EE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602DB43C" w14:textId="77777777" w:rsidTr="00047038">
        <w:trPr>
          <w:jc w:val="left"/>
        </w:trPr>
        <w:tc>
          <w:tcPr>
            <w:tcW w:w="3969" w:type="dxa"/>
          </w:tcPr>
          <w:p w14:paraId="5544355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الطاعون</w:t>
            </w:r>
          </w:p>
        </w:tc>
        <w:tc>
          <w:tcPr>
            <w:tcW w:w="709" w:type="dxa"/>
          </w:tcPr>
          <w:p w14:paraId="34BEB55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133F1AE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76F6E88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7943651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298B4DA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283D4E0C" w14:textId="77777777" w:rsidTr="00047038">
        <w:trPr>
          <w:jc w:val="left"/>
        </w:trPr>
        <w:tc>
          <w:tcPr>
            <w:tcW w:w="3969" w:type="dxa"/>
          </w:tcPr>
          <w:p w14:paraId="54685C1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المقوَّسات</w:t>
            </w:r>
          </w:p>
        </w:tc>
        <w:tc>
          <w:tcPr>
            <w:tcW w:w="709" w:type="dxa"/>
          </w:tcPr>
          <w:p w14:paraId="42A155E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4268D18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4A3A659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3D57DA8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6E68096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0792D42F" w14:textId="77777777" w:rsidTr="00047038">
        <w:trPr>
          <w:jc w:val="left"/>
        </w:trPr>
        <w:tc>
          <w:tcPr>
            <w:tcW w:w="3969" w:type="dxa"/>
          </w:tcPr>
          <w:p w14:paraId="52E7DAA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الحمى التيفية/الحمى نظيرة التيفية</w:t>
            </w:r>
          </w:p>
        </w:tc>
        <w:tc>
          <w:tcPr>
            <w:tcW w:w="709" w:type="dxa"/>
          </w:tcPr>
          <w:p w14:paraId="23BB3C2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60FEE8E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2E39A5C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c>
          <w:tcPr>
            <w:tcW w:w="708" w:type="dxa"/>
          </w:tcPr>
          <w:p w14:paraId="7498D40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260ACE2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r>
      <w:tr w:rsidR="00A1204B" w:rsidRPr="003817EA" w14:paraId="200DCC33" w14:textId="77777777" w:rsidTr="00047038">
        <w:trPr>
          <w:jc w:val="left"/>
        </w:trPr>
        <w:tc>
          <w:tcPr>
            <w:tcW w:w="3969" w:type="dxa"/>
          </w:tcPr>
          <w:p w14:paraId="26E2BCC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الشعرينات</w:t>
            </w:r>
          </w:p>
        </w:tc>
        <w:tc>
          <w:tcPr>
            <w:tcW w:w="709" w:type="dxa"/>
          </w:tcPr>
          <w:p w14:paraId="637116D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04868D0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38DC10B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6D7B176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263D7DB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r>
      <w:tr w:rsidR="00A1204B" w:rsidRPr="003817EA" w14:paraId="76E30AC5" w14:textId="77777777" w:rsidTr="00047038">
        <w:trPr>
          <w:jc w:val="left"/>
        </w:trPr>
        <w:tc>
          <w:tcPr>
            <w:tcW w:w="3969" w:type="dxa"/>
          </w:tcPr>
          <w:p w14:paraId="4C5F82C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المكوّرات المعوية المقاومة للفانكوميسين</w:t>
            </w:r>
          </w:p>
        </w:tc>
        <w:tc>
          <w:tcPr>
            <w:tcW w:w="709" w:type="dxa"/>
          </w:tcPr>
          <w:p w14:paraId="0728629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w:t>
            </w:r>
          </w:p>
        </w:tc>
        <w:tc>
          <w:tcPr>
            <w:tcW w:w="709" w:type="dxa"/>
          </w:tcPr>
          <w:p w14:paraId="3359DB1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44</w:t>
            </w:r>
          </w:p>
        </w:tc>
        <w:tc>
          <w:tcPr>
            <w:tcW w:w="709" w:type="dxa"/>
          </w:tcPr>
          <w:p w14:paraId="1937FF9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w:t>
            </w:r>
          </w:p>
        </w:tc>
        <w:tc>
          <w:tcPr>
            <w:tcW w:w="708" w:type="dxa"/>
          </w:tcPr>
          <w:p w14:paraId="1454263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w:t>
            </w:r>
          </w:p>
        </w:tc>
        <w:tc>
          <w:tcPr>
            <w:tcW w:w="566" w:type="dxa"/>
          </w:tcPr>
          <w:p w14:paraId="7B4A927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9</w:t>
            </w:r>
          </w:p>
        </w:tc>
      </w:tr>
      <w:tr w:rsidR="00A1204B" w:rsidRPr="003817EA" w14:paraId="6FBAFFE5" w14:textId="77777777" w:rsidTr="00047038">
        <w:trPr>
          <w:jc w:val="left"/>
        </w:trPr>
        <w:tc>
          <w:tcPr>
            <w:tcW w:w="3969" w:type="dxa"/>
          </w:tcPr>
          <w:p w14:paraId="7F21127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فيروس حمّى غرب النيل</w:t>
            </w:r>
          </w:p>
        </w:tc>
        <w:tc>
          <w:tcPr>
            <w:tcW w:w="709" w:type="dxa"/>
          </w:tcPr>
          <w:p w14:paraId="32CF270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50199E8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01E43AA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2BA9D6D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2DA3608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r w:rsidR="00A1204B" w:rsidRPr="003817EA" w14:paraId="41DF6811"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3969" w:type="dxa"/>
          </w:tcPr>
          <w:p w14:paraId="73F7E0C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داء البروسيلات</w:t>
            </w:r>
          </w:p>
        </w:tc>
        <w:tc>
          <w:tcPr>
            <w:tcW w:w="709" w:type="dxa"/>
          </w:tcPr>
          <w:p w14:paraId="07767A5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673F81C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9" w:type="dxa"/>
          </w:tcPr>
          <w:p w14:paraId="0A621E3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708" w:type="dxa"/>
          </w:tcPr>
          <w:p w14:paraId="712DC79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Pr>
              <w:t>-</w:t>
            </w:r>
          </w:p>
        </w:tc>
        <w:tc>
          <w:tcPr>
            <w:tcW w:w="566" w:type="dxa"/>
          </w:tcPr>
          <w:p w14:paraId="044E109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r w:rsidRPr="003817EA">
              <w:rPr>
                <w:sz w:val="18"/>
                <w:szCs w:val="18"/>
                <w:rtl/>
              </w:rPr>
              <w:t>-</w:t>
            </w:r>
          </w:p>
        </w:tc>
      </w:tr>
    </w:tbl>
    <w:p w14:paraId="32A82DA4" w14:textId="77777777" w:rsidR="00A1204B" w:rsidRPr="001F1035" w:rsidRDefault="00A1204B" w:rsidP="00A1204B">
      <w:pPr>
        <w:pStyle w:val="SingleTxtGA"/>
        <w:spacing w:before="240"/>
        <w:rPr>
          <w:i/>
          <w:iCs/>
          <w:rtl/>
        </w:rPr>
      </w:pPr>
      <w:r w:rsidRPr="003817EA">
        <w:rPr>
          <w:rtl/>
        </w:rPr>
        <w:tab/>
      </w:r>
      <w:r w:rsidRPr="001F1035">
        <w:rPr>
          <w:i/>
          <w:iCs/>
          <w:rtl/>
        </w:rPr>
        <w:t>ويبيِّن الجدول التالي الأسباب العشرة الرئيسية للوفاة في آيسلندا.</w:t>
      </w:r>
    </w:p>
    <w:tbl>
      <w:tblPr>
        <w:tblStyle w:val="TABLEA"/>
        <w:bidiVisual/>
        <w:tblW w:w="7370" w:type="dxa"/>
        <w:jc w:val="left"/>
        <w:tblInd w:w="1247" w:type="dxa"/>
        <w:tblLayout w:type="fixed"/>
        <w:tblLook w:val="04E0" w:firstRow="1" w:lastRow="1" w:firstColumn="1" w:lastColumn="0" w:noHBand="0" w:noVBand="1"/>
      </w:tblPr>
      <w:tblGrid>
        <w:gridCol w:w="2126"/>
        <w:gridCol w:w="627"/>
        <w:gridCol w:w="769"/>
        <w:gridCol w:w="770"/>
        <w:gridCol w:w="769"/>
        <w:gridCol w:w="770"/>
        <w:gridCol w:w="769"/>
        <w:gridCol w:w="770"/>
      </w:tblGrid>
      <w:tr w:rsidR="00A1204B" w:rsidRPr="003817EA" w14:paraId="73730E1F" w14:textId="77777777" w:rsidTr="00650416">
        <w:trPr>
          <w:cnfStyle w:val="100000000000" w:firstRow="1" w:lastRow="0" w:firstColumn="0" w:lastColumn="0" w:oddVBand="0" w:evenVBand="0" w:oddHBand="0" w:evenHBand="0" w:firstRowFirstColumn="0" w:firstRowLastColumn="0" w:lastRowFirstColumn="0" w:lastRowLastColumn="0"/>
          <w:tblHeader/>
          <w:jc w:val="left"/>
        </w:trPr>
        <w:tc>
          <w:tcPr>
            <w:tcW w:w="2126" w:type="dxa"/>
          </w:tcPr>
          <w:p w14:paraId="78EBC1C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الأسباب العشرة الرئيسية للوفاة</w:t>
            </w:r>
          </w:p>
        </w:tc>
        <w:tc>
          <w:tcPr>
            <w:tcW w:w="627" w:type="dxa"/>
          </w:tcPr>
          <w:p w14:paraId="0775909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69" w:type="dxa"/>
          </w:tcPr>
          <w:p w14:paraId="4437B0A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2012</w:t>
            </w:r>
          </w:p>
        </w:tc>
        <w:tc>
          <w:tcPr>
            <w:tcW w:w="770" w:type="dxa"/>
          </w:tcPr>
          <w:p w14:paraId="2781471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2013</w:t>
            </w:r>
          </w:p>
        </w:tc>
        <w:tc>
          <w:tcPr>
            <w:tcW w:w="769" w:type="dxa"/>
          </w:tcPr>
          <w:p w14:paraId="2592302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2014</w:t>
            </w:r>
          </w:p>
        </w:tc>
        <w:tc>
          <w:tcPr>
            <w:tcW w:w="770" w:type="dxa"/>
          </w:tcPr>
          <w:p w14:paraId="744F05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2015</w:t>
            </w:r>
          </w:p>
        </w:tc>
        <w:tc>
          <w:tcPr>
            <w:tcW w:w="769" w:type="dxa"/>
          </w:tcPr>
          <w:p w14:paraId="16A0CF1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2016</w:t>
            </w:r>
          </w:p>
        </w:tc>
        <w:tc>
          <w:tcPr>
            <w:tcW w:w="770" w:type="dxa"/>
          </w:tcPr>
          <w:p w14:paraId="323698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2017</w:t>
            </w:r>
          </w:p>
        </w:tc>
      </w:tr>
      <w:tr w:rsidR="00A1204B" w:rsidRPr="003817EA" w14:paraId="251A1E2E" w14:textId="77777777" w:rsidTr="00650416">
        <w:trPr>
          <w:jc w:val="left"/>
        </w:trPr>
        <w:tc>
          <w:tcPr>
            <w:tcW w:w="2126" w:type="dxa"/>
            <w:vMerge w:val="restart"/>
          </w:tcPr>
          <w:p w14:paraId="1FF1A35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مرض القلب الإقفاري المزمن</w:t>
            </w:r>
          </w:p>
        </w:tc>
        <w:tc>
          <w:tcPr>
            <w:tcW w:w="627" w:type="dxa"/>
          </w:tcPr>
          <w:p w14:paraId="1413FFA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69" w:type="dxa"/>
          </w:tcPr>
          <w:p w14:paraId="5E42476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189</w:t>
            </w:r>
          </w:p>
        </w:tc>
        <w:tc>
          <w:tcPr>
            <w:tcW w:w="770" w:type="dxa"/>
          </w:tcPr>
          <w:p w14:paraId="2FB9658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219</w:t>
            </w:r>
          </w:p>
        </w:tc>
        <w:tc>
          <w:tcPr>
            <w:tcW w:w="769" w:type="dxa"/>
          </w:tcPr>
          <w:p w14:paraId="7678A73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194</w:t>
            </w:r>
          </w:p>
        </w:tc>
        <w:tc>
          <w:tcPr>
            <w:tcW w:w="770" w:type="dxa"/>
          </w:tcPr>
          <w:p w14:paraId="0DB495A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192</w:t>
            </w:r>
          </w:p>
        </w:tc>
        <w:tc>
          <w:tcPr>
            <w:tcW w:w="769" w:type="dxa"/>
          </w:tcPr>
          <w:p w14:paraId="63DE981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188</w:t>
            </w:r>
          </w:p>
        </w:tc>
        <w:tc>
          <w:tcPr>
            <w:tcW w:w="770" w:type="dxa"/>
          </w:tcPr>
          <w:p w14:paraId="6D7E65F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194</w:t>
            </w:r>
          </w:p>
        </w:tc>
      </w:tr>
      <w:tr w:rsidR="00A1204B" w:rsidRPr="003817EA" w14:paraId="1326EF1C" w14:textId="77777777" w:rsidTr="00650416">
        <w:trPr>
          <w:jc w:val="left"/>
        </w:trPr>
        <w:tc>
          <w:tcPr>
            <w:tcW w:w="2126" w:type="dxa"/>
            <w:vMerge/>
          </w:tcPr>
          <w:p w14:paraId="76048AC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274CB36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769" w:type="dxa"/>
          </w:tcPr>
          <w:p w14:paraId="448A8E5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117</w:t>
            </w:r>
          </w:p>
        </w:tc>
        <w:tc>
          <w:tcPr>
            <w:tcW w:w="770" w:type="dxa"/>
          </w:tcPr>
          <w:p w14:paraId="1283945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129</w:t>
            </w:r>
          </w:p>
        </w:tc>
        <w:tc>
          <w:tcPr>
            <w:tcW w:w="769" w:type="dxa"/>
          </w:tcPr>
          <w:p w14:paraId="5CDECDA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118</w:t>
            </w:r>
          </w:p>
        </w:tc>
        <w:tc>
          <w:tcPr>
            <w:tcW w:w="770" w:type="dxa"/>
          </w:tcPr>
          <w:p w14:paraId="6A84902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117</w:t>
            </w:r>
          </w:p>
        </w:tc>
        <w:tc>
          <w:tcPr>
            <w:tcW w:w="769" w:type="dxa"/>
          </w:tcPr>
          <w:p w14:paraId="7A9A239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120</w:t>
            </w:r>
          </w:p>
        </w:tc>
        <w:tc>
          <w:tcPr>
            <w:tcW w:w="770" w:type="dxa"/>
          </w:tcPr>
          <w:p w14:paraId="0655583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110</w:t>
            </w:r>
          </w:p>
        </w:tc>
      </w:tr>
      <w:tr w:rsidR="00A1204B" w:rsidRPr="003817EA" w14:paraId="5936F703" w14:textId="77777777" w:rsidTr="00650416">
        <w:trPr>
          <w:jc w:val="left"/>
        </w:trPr>
        <w:tc>
          <w:tcPr>
            <w:tcW w:w="2126" w:type="dxa"/>
            <w:vMerge/>
          </w:tcPr>
          <w:p w14:paraId="57AFBB9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0BBBA4F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769" w:type="dxa"/>
          </w:tcPr>
          <w:p w14:paraId="38B336F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72</w:t>
            </w:r>
          </w:p>
        </w:tc>
        <w:tc>
          <w:tcPr>
            <w:tcW w:w="770" w:type="dxa"/>
          </w:tcPr>
          <w:p w14:paraId="4E4FBEC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90</w:t>
            </w:r>
          </w:p>
        </w:tc>
        <w:tc>
          <w:tcPr>
            <w:tcW w:w="769" w:type="dxa"/>
          </w:tcPr>
          <w:p w14:paraId="6455A79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76</w:t>
            </w:r>
          </w:p>
        </w:tc>
        <w:tc>
          <w:tcPr>
            <w:tcW w:w="770" w:type="dxa"/>
          </w:tcPr>
          <w:p w14:paraId="450C000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75</w:t>
            </w:r>
          </w:p>
        </w:tc>
        <w:tc>
          <w:tcPr>
            <w:tcW w:w="769" w:type="dxa"/>
          </w:tcPr>
          <w:p w14:paraId="786A367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68</w:t>
            </w:r>
          </w:p>
        </w:tc>
        <w:tc>
          <w:tcPr>
            <w:tcW w:w="770" w:type="dxa"/>
          </w:tcPr>
          <w:p w14:paraId="1DB8E5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84</w:t>
            </w:r>
          </w:p>
        </w:tc>
      </w:tr>
      <w:tr w:rsidR="00A1204B" w:rsidRPr="003817EA" w14:paraId="5454B985" w14:textId="77777777" w:rsidTr="00650416">
        <w:trPr>
          <w:jc w:val="left"/>
        </w:trPr>
        <w:tc>
          <w:tcPr>
            <w:tcW w:w="2126" w:type="dxa"/>
            <w:vMerge w:val="restart"/>
          </w:tcPr>
          <w:p w14:paraId="2CAF142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ألزهايمر</w:t>
            </w:r>
          </w:p>
        </w:tc>
        <w:tc>
          <w:tcPr>
            <w:tcW w:w="627" w:type="dxa"/>
          </w:tcPr>
          <w:p w14:paraId="53A4920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69" w:type="dxa"/>
          </w:tcPr>
          <w:p w14:paraId="6B83E8E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122</w:t>
            </w:r>
          </w:p>
        </w:tc>
        <w:tc>
          <w:tcPr>
            <w:tcW w:w="770" w:type="dxa"/>
          </w:tcPr>
          <w:p w14:paraId="3E8B644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124</w:t>
            </w:r>
          </w:p>
        </w:tc>
        <w:tc>
          <w:tcPr>
            <w:tcW w:w="769" w:type="dxa"/>
          </w:tcPr>
          <w:p w14:paraId="0493AB3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128</w:t>
            </w:r>
          </w:p>
        </w:tc>
        <w:tc>
          <w:tcPr>
            <w:tcW w:w="770" w:type="dxa"/>
          </w:tcPr>
          <w:p w14:paraId="301C8DF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142</w:t>
            </w:r>
          </w:p>
        </w:tc>
        <w:tc>
          <w:tcPr>
            <w:tcW w:w="769" w:type="dxa"/>
          </w:tcPr>
          <w:p w14:paraId="527EF18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172</w:t>
            </w:r>
          </w:p>
        </w:tc>
        <w:tc>
          <w:tcPr>
            <w:tcW w:w="770" w:type="dxa"/>
          </w:tcPr>
          <w:p w14:paraId="6B05B09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151</w:t>
            </w:r>
          </w:p>
        </w:tc>
      </w:tr>
      <w:tr w:rsidR="00A1204B" w:rsidRPr="003817EA" w14:paraId="2B6F4785" w14:textId="77777777" w:rsidTr="00650416">
        <w:trPr>
          <w:jc w:val="left"/>
        </w:trPr>
        <w:tc>
          <w:tcPr>
            <w:tcW w:w="2126" w:type="dxa"/>
            <w:vMerge/>
          </w:tcPr>
          <w:p w14:paraId="515DF85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1D0DC17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769" w:type="dxa"/>
          </w:tcPr>
          <w:p w14:paraId="33C4604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38</w:t>
            </w:r>
          </w:p>
        </w:tc>
        <w:tc>
          <w:tcPr>
            <w:tcW w:w="770" w:type="dxa"/>
          </w:tcPr>
          <w:p w14:paraId="0FAE606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35</w:t>
            </w:r>
          </w:p>
        </w:tc>
        <w:tc>
          <w:tcPr>
            <w:tcW w:w="769" w:type="dxa"/>
          </w:tcPr>
          <w:p w14:paraId="2FB53CB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53</w:t>
            </w:r>
          </w:p>
        </w:tc>
        <w:tc>
          <w:tcPr>
            <w:tcW w:w="770" w:type="dxa"/>
          </w:tcPr>
          <w:p w14:paraId="56E7F90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46</w:t>
            </w:r>
          </w:p>
        </w:tc>
        <w:tc>
          <w:tcPr>
            <w:tcW w:w="769" w:type="dxa"/>
          </w:tcPr>
          <w:p w14:paraId="1C49374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62</w:t>
            </w:r>
          </w:p>
        </w:tc>
        <w:tc>
          <w:tcPr>
            <w:tcW w:w="770" w:type="dxa"/>
          </w:tcPr>
          <w:p w14:paraId="3FDA0E9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47</w:t>
            </w:r>
          </w:p>
        </w:tc>
      </w:tr>
      <w:tr w:rsidR="00A1204B" w:rsidRPr="003817EA" w14:paraId="2F1F9398" w14:textId="77777777" w:rsidTr="00650416">
        <w:trPr>
          <w:jc w:val="left"/>
        </w:trPr>
        <w:tc>
          <w:tcPr>
            <w:tcW w:w="2126" w:type="dxa"/>
            <w:vMerge/>
          </w:tcPr>
          <w:p w14:paraId="671792C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0E66D7D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769" w:type="dxa"/>
          </w:tcPr>
          <w:p w14:paraId="1A738DD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84</w:t>
            </w:r>
          </w:p>
        </w:tc>
        <w:tc>
          <w:tcPr>
            <w:tcW w:w="770" w:type="dxa"/>
          </w:tcPr>
          <w:p w14:paraId="5E14CA5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89</w:t>
            </w:r>
          </w:p>
        </w:tc>
        <w:tc>
          <w:tcPr>
            <w:tcW w:w="769" w:type="dxa"/>
          </w:tcPr>
          <w:p w14:paraId="5EA4558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75</w:t>
            </w:r>
          </w:p>
        </w:tc>
        <w:tc>
          <w:tcPr>
            <w:tcW w:w="770" w:type="dxa"/>
          </w:tcPr>
          <w:p w14:paraId="6171428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96</w:t>
            </w:r>
          </w:p>
        </w:tc>
        <w:tc>
          <w:tcPr>
            <w:tcW w:w="769" w:type="dxa"/>
          </w:tcPr>
          <w:p w14:paraId="5111266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110</w:t>
            </w:r>
          </w:p>
        </w:tc>
        <w:tc>
          <w:tcPr>
            <w:tcW w:w="770" w:type="dxa"/>
          </w:tcPr>
          <w:p w14:paraId="19FA371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104</w:t>
            </w:r>
          </w:p>
        </w:tc>
      </w:tr>
      <w:tr w:rsidR="00A1204B" w:rsidRPr="003817EA" w14:paraId="30C338AF" w14:textId="77777777" w:rsidTr="00650416">
        <w:trPr>
          <w:jc w:val="left"/>
        </w:trPr>
        <w:tc>
          <w:tcPr>
            <w:tcW w:w="2126" w:type="dxa"/>
            <w:vMerge w:val="restart"/>
          </w:tcPr>
          <w:p w14:paraId="696DF0D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ورم الشعب الهوائية والرئة الخبيث</w:t>
            </w:r>
          </w:p>
        </w:tc>
        <w:tc>
          <w:tcPr>
            <w:tcW w:w="627" w:type="dxa"/>
          </w:tcPr>
          <w:p w14:paraId="39BCE13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69" w:type="dxa"/>
          </w:tcPr>
          <w:p w14:paraId="1E18B98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140</w:t>
            </w:r>
          </w:p>
        </w:tc>
        <w:tc>
          <w:tcPr>
            <w:tcW w:w="770" w:type="dxa"/>
          </w:tcPr>
          <w:p w14:paraId="3592FD0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133</w:t>
            </w:r>
          </w:p>
        </w:tc>
        <w:tc>
          <w:tcPr>
            <w:tcW w:w="769" w:type="dxa"/>
          </w:tcPr>
          <w:p w14:paraId="63021F8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133</w:t>
            </w:r>
          </w:p>
        </w:tc>
        <w:tc>
          <w:tcPr>
            <w:tcW w:w="770" w:type="dxa"/>
          </w:tcPr>
          <w:p w14:paraId="638169E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117</w:t>
            </w:r>
          </w:p>
        </w:tc>
        <w:tc>
          <w:tcPr>
            <w:tcW w:w="769" w:type="dxa"/>
          </w:tcPr>
          <w:p w14:paraId="76C851D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156</w:t>
            </w:r>
          </w:p>
        </w:tc>
        <w:tc>
          <w:tcPr>
            <w:tcW w:w="770" w:type="dxa"/>
          </w:tcPr>
          <w:p w14:paraId="7DF8117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124</w:t>
            </w:r>
          </w:p>
        </w:tc>
      </w:tr>
      <w:tr w:rsidR="00A1204B" w:rsidRPr="003817EA" w14:paraId="362EDDC7" w14:textId="77777777" w:rsidTr="00650416">
        <w:trPr>
          <w:jc w:val="left"/>
        </w:trPr>
        <w:tc>
          <w:tcPr>
            <w:tcW w:w="2126" w:type="dxa"/>
            <w:vMerge/>
          </w:tcPr>
          <w:p w14:paraId="4C62507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72B4C1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769" w:type="dxa"/>
          </w:tcPr>
          <w:p w14:paraId="1B793C7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66</w:t>
            </w:r>
          </w:p>
        </w:tc>
        <w:tc>
          <w:tcPr>
            <w:tcW w:w="770" w:type="dxa"/>
          </w:tcPr>
          <w:p w14:paraId="15115BC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66</w:t>
            </w:r>
          </w:p>
        </w:tc>
        <w:tc>
          <w:tcPr>
            <w:tcW w:w="769" w:type="dxa"/>
          </w:tcPr>
          <w:p w14:paraId="55F9A94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67</w:t>
            </w:r>
          </w:p>
        </w:tc>
        <w:tc>
          <w:tcPr>
            <w:tcW w:w="770" w:type="dxa"/>
          </w:tcPr>
          <w:p w14:paraId="65DF91B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48</w:t>
            </w:r>
          </w:p>
        </w:tc>
        <w:tc>
          <w:tcPr>
            <w:tcW w:w="769" w:type="dxa"/>
          </w:tcPr>
          <w:p w14:paraId="4CE5BE3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74</w:t>
            </w:r>
          </w:p>
        </w:tc>
        <w:tc>
          <w:tcPr>
            <w:tcW w:w="770" w:type="dxa"/>
          </w:tcPr>
          <w:p w14:paraId="24BE5E2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64</w:t>
            </w:r>
          </w:p>
        </w:tc>
      </w:tr>
      <w:tr w:rsidR="00A1204B" w:rsidRPr="003817EA" w14:paraId="77F17E42" w14:textId="77777777" w:rsidTr="00650416">
        <w:trPr>
          <w:jc w:val="left"/>
        </w:trPr>
        <w:tc>
          <w:tcPr>
            <w:tcW w:w="2126" w:type="dxa"/>
            <w:vMerge/>
          </w:tcPr>
          <w:p w14:paraId="3EFEEC7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54C17A0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769" w:type="dxa"/>
          </w:tcPr>
          <w:p w14:paraId="1D73234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74</w:t>
            </w:r>
          </w:p>
        </w:tc>
        <w:tc>
          <w:tcPr>
            <w:tcW w:w="770" w:type="dxa"/>
          </w:tcPr>
          <w:p w14:paraId="651C3DB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67</w:t>
            </w:r>
          </w:p>
        </w:tc>
        <w:tc>
          <w:tcPr>
            <w:tcW w:w="769" w:type="dxa"/>
          </w:tcPr>
          <w:p w14:paraId="077986A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66</w:t>
            </w:r>
          </w:p>
        </w:tc>
        <w:tc>
          <w:tcPr>
            <w:tcW w:w="770" w:type="dxa"/>
          </w:tcPr>
          <w:p w14:paraId="5C2F8C5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69</w:t>
            </w:r>
          </w:p>
        </w:tc>
        <w:tc>
          <w:tcPr>
            <w:tcW w:w="769" w:type="dxa"/>
          </w:tcPr>
          <w:p w14:paraId="272786A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82</w:t>
            </w:r>
          </w:p>
        </w:tc>
        <w:tc>
          <w:tcPr>
            <w:tcW w:w="770" w:type="dxa"/>
          </w:tcPr>
          <w:p w14:paraId="32656C1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60</w:t>
            </w:r>
          </w:p>
        </w:tc>
      </w:tr>
      <w:tr w:rsidR="00A1204B" w:rsidRPr="003817EA" w14:paraId="1FC158E2" w14:textId="77777777" w:rsidTr="00650416">
        <w:trPr>
          <w:jc w:val="left"/>
        </w:trPr>
        <w:tc>
          <w:tcPr>
            <w:tcW w:w="2126" w:type="dxa"/>
            <w:vMerge w:val="restart"/>
          </w:tcPr>
          <w:p w14:paraId="06858F2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احتشاء عضلة القلب الحاد</w:t>
            </w:r>
          </w:p>
        </w:tc>
        <w:tc>
          <w:tcPr>
            <w:tcW w:w="627" w:type="dxa"/>
          </w:tcPr>
          <w:p w14:paraId="4CD0C73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69" w:type="dxa"/>
          </w:tcPr>
          <w:p w14:paraId="00778E3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132</w:t>
            </w:r>
          </w:p>
        </w:tc>
        <w:tc>
          <w:tcPr>
            <w:tcW w:w="770" w:type="dxa"/>
          </w:tcPr>
          <w:p w14:paraId="0597391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124</w:t>
            </w:r>
          </w:p>
        </w:tc>
        <w:tc>
          <w:tcPr>
            <w:tcW w:w="769" w:type="dxa"/>
          </w:tcPr>
          <w:p w14:paraId="1575AC7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120</w:t>
            </w:r>
          </w:p>
        </w:tc>
        <w:tc>
          <w:tcPr>
            <w:tcW w:w="770" w:type="dxa"/>
          </w:tcPr>
          <w:p w14:paraId="5E65AA9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120</w:t>
            </w:r>
          </w:p>
        </w:tc>
        <w:tc>
          <w:tcPr>
            <w:tcW w:w="769" w:type="dxa"/>
          </w:tcPr>
          <w:p w14:paraId="7D4EA2F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118</w:t>
            </w:r>
          </w:p>
        </w:tc>
        <w:tc>
          <w:tcPr>
            <w:tcW w:w="770" w:type="dxa"/>
          </w:tcPr>
          <w:p w14:paraId="4CCE41D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117</w:t>
            </w:r>
          </w:p>
        </w:tc>
      </w:tr>
      <w:tr w:rsidR="00A1204B" w:rsidRPr="003817EA" w14:paraId="6240F712" w14:textId="77777777" w:rsidTr="00650416">
        <w:trPr>
          <w:jc w:val="left"/>
        </w:trPr>
        <w:tc>
          <w:tcPr>
            <w:tcW w:w="2126" w:type="dxa"/>
            <w:vMerge/>
          </w:tcPr>
          <w:p w14:paraId="577BA64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3DA6B2E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769" w:type="dxa"/>
          </w:tcPr>
          <w:p w14:paraId="3F2A423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70</w:t>
            </w:r>
          </w:p>
        </w:tc>
        <w:tc>
          <w:tcPr>
            <w:tcW w:w="770" w:type="dxa"/>
          </w:tcPr>
          <w:p w14:paraId="533A892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77</w:t>
            </w:r>
          </w:p>
        </w:tc>
        <w:tc>
          <w:tcPr>
            <w:tcW w:w="769" w:type="dxa"/>
          </w:tcPr>
          <w:p w14:paraId="07AC62D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71</w:t>
            </w:r>
          </w:p>
        </w:tc>
        <w:tc>
          <w:tcPr>
            <w:tcW w:w="770" w:type="dxa"/>
          </w:tcPr>
          <w:p w14:paraId="7B591C2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75</w:t>
            </w:r>
          </w:p>
        </w:tc>
        <w:tc>
          <w:tcPr>
            <w:tcW w:w="769" w:type="dxa"/>
          </w:tcPr>
          <w:p w14:paraId="249B32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76</w:t>
            </w:r>
          </w:p>
        </w:tc>
        <w:tc>
          <w:tcPr>
            <w:tcW w:w="770" w:type="dxa"/>
          </w:tcPr>
          <w:p w14:paraId="70FAD81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79</w:t>
            </w:r>
          </w:p>
        </w:tc>
      </w:tr>
      <w:tr w:rsidR="00A1204B" w:rsidRPr="003817EA" w14:paraId="14C073CD" w14:textId="77777777" w:rsidTr="00650416">
        <w:trPr>
          <w:jc w:val="left"/>
        </w:trPr>
        <w:tc>
          <w:tcPr>
            <w:tcW w:w="2126" w:type="dxa"/>
            <w:vMerge/>
          </w:tcPr>
          <w:p w14:paraId="71534C2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239E1DA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769" w:type="dxa"/>
          </w:tcPr>
          <w:p w14:paraId="03E3AE3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62</w:t>
            </w:r>
          </w:p>
        </w:tc>
        <w:tc>
          <w:tcPr>
            <w:tcW w:w="770" w:type="dxa"/>
          </w:tcPr>
          <w:p w14:paraId="509E353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47</w:t>
            </w:r>
          </w:p>
        </w:tc>
        <w:tc>
          <w:tcPr>
            <w:tcW w:w="769" w:type="dxa"/>
          </w:tcPr>
          <w:p w14:paraId="606C474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49</w:t>
            </w:r>
          </w:p>
        </w:tc>
        <w:tc>
          <w:tcPr>
            <w:tcW w:w="770" w:type="dxa"/>
          </w:tcPr>
          <w:p w14:paraId="34F7A03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45</w:t>
            </w:r>
          </w:p>
        </w:tc>
        <w:tc>
          <w:tcPr>
            <w:tcW w:w="769" w:type="dxa"/>
          </w:tcPr>
          <w:p w14:paraId="1ACA895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42</w:t>
            </w:r>
          </w:p>
        </w:tc>
        <w:tc>
          <w:tcPr>
            <w:tcW w:w="770" w:type="dxa"/>
          </w:tcPr>
          <w:p w14:paraId="6703B84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38</w:t>
            </w:r>
          </w:p>
        </w:tc>
      </w:tr>
      <w:tr w:rsidR="00A1204B" w:rsidRPr="003817EA" w14:paraId="68C1C01A" w14:textId="77777777" w:rsidTr="00650416">
        <w:trPr>
          <w:jc w:val="left"/>
        </w:trPr>
        <w:tc>
          <w:tcPr>
            <w:tcW w:w="2126" w:type="dxa"/>
            <w:vMerge w:val="restart"/>
          </w:tcPr>
          <w:p w14:paraId="36273F5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مرض الانسداد الرئوي المزمن</w:t>
            </w:r>
          </w:p>
        </w:tc>
        <w:tc>
          <w:tcPr>
            <w:tcW w:w="627" w:type="dxa"/>
          </w:tcPr>
          <w:p w14:paraId="1AB4B09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69" w:type="dxa"/>
          </w:tcPr>
          <w:p w14:paraId="20E834A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76</w:t>
            </w:r>
          </w:p>
        </w:tc>
        <w:tc>
          <w:tcPr>
            <w:tcW w:w="770" w:type="dxa"/>
          </w:tcPr>
          <w:p w14:paraId="0737C3C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82</w:t>
            </w:r>
          </w:p>
        </w:tc>
        <w:tc>
          <w:tcPr>
            <w:tcW w:w="769" w:type="dxa"/>
          </w:tcPr>
          <w:p w14:paraId="015F7BF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67</w:t>
            </w:r>
          </w:p>
        </w:tc>
        <w:tc>
          <w:tcPr>
            <w:tcW w:w="770" w:type="dxa"/>
          </w:tcPr>
          <w:p w14:paraId="4723B38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76</w:t>
            </w:r>
          </w:p>
        </w:tc>
        <w:tc>
          <w:tcPr>
            <w:tcW w:w="769" w:type="dxa"/>
          </w:tcPr>
          <w:p w14:paraId="3FAB4B7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95</w:t>
            </w:r>
          </w:p>
        </w:tc>
        <w:tc>
          <w:tcPr>
            <w:tcW w:w="770" w:type="dxa"/>
          </w:tcPr>
          <w:p w14:paraId="297AD81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116</w:t>
            </w:r>
          </w:p>
        </w:tc>
      </w:tr>
      <w:tr w:rsidR="00A1204B" w:rsidRPr="003817EA" w14:paraId="2E702A7B" w14:textId="77777777" w:rsidTr="00650416">
        <w:trPr>
          <w:jc w:val="left"/>
        </w:trPr>
        <w:tc>
          <w:tcPr>
            <w:tcW w:w="2126" w:type="dxa"/>
            <w:vMerge/>
          </w:tcPr>
          <w:p w14:paraId="6BF3910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7A10268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769" w:type="dxa"/>
          </w:tcPr>
          <w:p w14:paraId="58A36A5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w:t>
            </w:r>
          </w:p>
        </w:tc>
        <w:tc>
          <w:tcPr>
            <w:tcW w:w="770" w:type="dxa"/>
          </w:tcPr>
          <w:p w14:paraId="1033E00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34</w:t>
            </w:r>
          </w:p>
        </w:tc>
        <w:tc>
          <w:tcPr>
            <w:tcW w:w="769" w:type="dxa"/>
          </w:tcPr>
          <w:p w14:paraId="3126448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w:t>
            </w:r>
          </w:p>
        </w:tc>
        <w:tc>
          <w:tcPr>
            <w:tcW w:w="770" w:type="dxa"/>
          </w:tcPr>
          <w:p w14:paraId="241F128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w:t>
            </w:r>
          </w:p>
        </w:tc>
        <w:tc>
          <w:tcPr>
            <w:tcW w:w="769" w:type="dxa"/>
          </w:tcPr>
          <w:p w14:paraId="5715D28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42</w:t>
            </w:r>
          </w:p>
        </w:tc>
        <w:tc>
          <w:tcPr>
            <w:tcW w:w="770" w:type="dxa"/>
          </w:tcPr>
          <w:p w14:paraId="7B3B567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50</w:t>
            </w:r>
          </w:p>
        </w:tc>
      </w:tr>
      <w:tr w:rsidR="00A1204B" w:rsidRPr="003817EA" w14:paraId="5346235D" w14:textId="77777777" w:rsidTr="00650416">
        <w:trPr>
          <w:jc w:val="left"/>
        </w:trPr>
        <w:tc>
          <w:tcPr>
            <w:tcW w:w="2126" w:type="dxa"/>
            <w:vMerge/>
          </w:tcPr>
          <w:p w14:paraId="201A8D3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35A883B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769" w:type="dxa"/>
          </w:tcPr>
          <w:p w14:paraId="1CD1222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54</w:t>
            </w:r>
          </w:p>
        </w:tc>
        <w:tc>
          <w:tcPr>
            <w:tcW w:w="770" w:type="dxa"/>
          </w:tcPr>
          <w:p w14:paraId="1E17E78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48</w:t>
            </w:r>
          </w:p>
        </w:tc>
        <w:tc>
          <w:tcPr>
            <w:tcW w:w="769" w:type="dxa"/>
          </w:tcPr>
          <w:p w14:paraId="1619996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40</w:t>
            </w:r>
          </w:p>
        </w:tc>
        <w:tc>
          <w:tcPr>
            <w:tcW w:w="770" w:type="dxa"/>
          </w:tcPr>
          <w:p w14:paraId="6F1E03B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49</w:t>
            </w:r>
          </w:p>
        </w:tc>
        <w:tc>
          <w:tcPr>
            <w:tcW w:w="769" w:type="dxa"/>
          </w:tcPr>
          <w:p w14:paraId="6D8074E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53</w:t>
            </w:r>
          </w:p>
        </w:tc>
        <w:tc>
          <w:tcPr>
            <w:tcW w:w="770" w:type="dxa"/>
          </w:tcPr>
          <w:p w14:paraId="741135B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66</w:t>
            </w:r>
          </w:p>
        </w:tc>
      </w:tr>
      <w:tr w:rsidR="00A1204B" w:rsidRPr="003817EA" w14:paraId="04EE7B52" w14:textId="77777777" w:rsidTr="00650416">
        <w:trPr>
          <w:jc w:val="left"/>
        </w:trPr>
        <w:tc>
          <w:tcPr>
            <w:tcW w:w="2126" w:type="dxa"/>
            <w:vMerge w:val="restart"/>
          </w:tcPr>
          <w:p w14:paraId="44C7930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قصور القلب</w:t>
            </w:r>
          </w:p>
        </w:tc>
        <w:tc>
          <w:tcPr>
            <w:tcW w:w="627" w:type="dxa"/>
          </w:tcPr>
          <w:p w14:paraId="37616BF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69" w:type="dxa"/>
          </w:tcPr>
          <w:p w14:paraId="2F786B9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55</w:t>
            </w:r>
          </w:p>
        </w:tc>
        <w:tc>
          <w:tcPr>
            <w:tcW w:w="770" w:type="dxa"/>
          </w:tcPr>
          <w:p w14:paraId="39C4D09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71</w:t>
            </w:r>
          </w:p>
        </w:tc>
        <w:tc>
          <w:tcPr>
            <w:tcW w:w="769" w:type="dxa"/>
          </w:tcPr>
          <w:p w14:paraId="4E83A61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61</w:t>
            </w:r>
          </w:p>
        </w:tc>
        <w:tc>
          <w:tcPr>
            <w:tcW w:w="770" w:type="dxa"/>
          </w:tcPr>
          <w:p w14:paraId="2B87D41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83</w:t>
            </w:r>
          </w:p>
        </w:tc>
        <w:tc>
          <w:tcPr>
            <w:tcW w:w="769" w:type="dxa"/>
          </w:tcPr>
          <w:p w14:paraId="14E13DD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80</w:t>
            </w:r>
          </w:p>
        </w:tc>
        <w:tc>
          <w:tcPr>
            <w:tcW w:w="770" w:type="dxa"/>
          </w:tcPr>
          <w:p w14:paraId="200F459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83</w:t>
            </w:r>
          </w:p>
        </w:tc>
      </w:tr>
      <w:tr w:rsidR="00A1204B" w:rsidRPr="003817EA" w14:paraId="6B3DFCD7" w14:textId="77777777" w:rsidTr="00650416">
        <w:trPr>
          <w:jc w:val="left"/>
        </w:trPr>
        <w:tc>
          <w:tcPr>
            <w:tcW w:w="2126" w:type="dxa"/>
            <w:vMerge/>
          </w:tcPr>
          <w:p w14:paraId="4BFD9FC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5BE673F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769" w:type="dxa"/>
          </w:tcPr>
          <w:p w14:paraId="32FBEE8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w:t>
            </w:r>
          </w:p>
        </w:tc>
        <w:tc>
          <w:tcPr>
            <w:tcW w:w="770" w:type="dxa"/>
          </w:tcPr>
          <w:p w14:paraId="05FA671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w:t>
            </w:r>
          </w:p>
        </w:tc>
        <w:tc>
          <w:tcPr>
            <w:tcW w:w="769" w:type="dxa"/>
          </w:tcPr>
          <w:p w14:paraId="7250CF9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32</w:t>
            </w:r>
          </w:p>
        </w:tc>
        <w:tc>
          <w:tcPr>
            <w:tcW w:w="770" w:type="dxa"/>
          </w:tcPr>
          <w:p w14:paraId="2138BA9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38</w:t>
            </w:r>
          </w:p>
        </w:tc>
        <w:tc>
          <w:tcPr>
            <w:tcW w:w="769" w:type="dxa"/>
          </w:tcPr>
          <w:p w14:paraId="185AC12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50</w:t>
            </w:r>
          </w:p>
        </w:tc>
        <w:tc>
          <w:tcPr>
            <w:tcW w:w="770" w:type="dxa"/>
          </w:tcPr>
          <w:p w14:paraId="6CB15CB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34</w:t>
            </w:r>
          </w:p>
        </w:tc>
      </w:tr>
      <w:tr w:rsidR="00A1204B" w:rsidRPr="003817EA" w14:paraId="1731D93C" w14:textId="77777777" w:rsidTr="00650416">
        <w:trPr>
          <w:jc w:val="left"/>
        </w:trPr>
        <w:tc>
          <w:tcPr>
            <w:tcW w:w="2126" w:type="dxa"/>
            <w:vMerge/>
          </w:tcPr>
          <w:p w14:paraId="4419BEC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2AB8260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769" w:type="dxa"/>
          </w:tcPr>
          <w:p w14:paraId="759745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37</w:t>
            </w:r>
          </w:p>
        </w:tc>
        <w:tc>
          <w:tcPr>
            <w:tcW w:w="770" w:type="dxa"/>
          </w:tcPr>
          <w:p w14:paraId="476004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41</w:t>
            </w:r>
          </w:p>
        </w:tc>
        <w:tc>
          <w:tcPr>
            <w:tcW w:w="769" w:type="dxa"/>
          </w:tcPr>
          <w:p w14:paraId="49876B2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w:t>
            </w:r>
          </w:p>
        </w:tc>
        <w:tc>
          <w:tcPr>
            <w:tcW w:w="770" w:type="dxa"/>
          </w:tcPr>
          <w:p w14:paraId="6B27164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45</w:t>
            </w:r>
          </w:p>
        </w:tc>
        <w:tc>
          <w:tcPr>
            <w:tcW w:w="769" w:type="dxa"/>
          </w:tcPr>
          <w:p w14:paraId="558F855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w:t>
            </w:r>
          </w:p>
        </w:tc>
        <w:tc>
          <w:tcPr>
            <w:tcW w:w="770" w:type="dxa"/>
          </w:tcPr>
          <w:p w14:paraId="7DFABD0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49</w:t>
            </w:r>
          </w:p>
        </w:tc>
      </w:tr>
      <w:tr w:rsidR="00A1204B" w:rsidRPr="003817EA" w14:paraId="7D95501D" w14:textId="77777777" w:rsidTr="00650416">
        <w:trPr>
          <w:jc w:val="left"/>
        </w:trPr>
        <w:tc>
          <w:tcPr>
            <w:tcW w:w="2126" w:type="dxa"/>
            <w:vMerge w:val="restart"/>
          </w:tcPr>
          <w:p w14:paraId="6E678EA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ورم البروستاتا الخبيث</w:t>
            </w:r>
          </w:p>
        </w:tc>
        <w:tc>
          <w:tcPr>
            <w:tcW w:w="627" w:type="dxa"/>
          </w:tcPr>
          <w:p w14:paraId="15D8EE9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69" w:type="dxa"/>
          </w:tcPr>
          <w:p w14:paraId="3E46FBB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43</w:t>
            </w:r>
          </w:p>
        </w:tc>
        <w:tc>
          <w:tcPr>
            <w:tcW w:w="770" w:type="dxa"/>
          </w:tcPr>
          <w:p w14:paraId="4434616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63</w:t>
            </w:r>
          </w:p>
        </w:tc>
        <w:tc>
          <w:tcPr>
            <w:tcW w:w="769" w:type="dxa"/>
          </w:tcPr>
          <w:p w14:paraId="288A24F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53</w:t>
            </w:r>
          </w:p>
        </w:tc>
        <w:tc>
          <w:tcPr>
            <w:tcW w:w="770" w:type="dxa"/>
          </w:tcPr>
          <w:p w14:paraId="56B891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56</w:t>
            </w:r>
          </w:p>
        </w:tc>
        <w:tc>
          <w:tcPr>
            <w:tcW w:w="769" w:type="dxa"/>
          </w:tcPr>
          <w:p w14:paraId="01BBC51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64</w:t>
            </w:r>
          </w:p>
        </w:tc>
        <w:tc>
          <w:tcPr>
            <w:tcW w:w="770" w:type="dxa"/>
          </w:tcPr>
          <w:p w14:paraId="1B85F85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50</w:t>
            </w:r>
          </w:p>
        </w:tc>
      </w:tr>
      <w:tr w:rsidR="00A1204B" w:rsidRPr="003817EA" w14:paraId="7381074C" w14:textId="77777777" w:rsidTr="00650416">
        <w:trPr>
          <w:jc w:val="left"/>
        </w:trPr>
        <w:tc>
          <w:tcPr>
            <w:tcW w:w="2126" w:type="dxa"/>
            <w:vMerge/>
          </w:tcPr>
          <w:p w14:paraId="642F5AF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07C1043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769" w:type="dxa"/>
          </w:tcPr>
          <w:p w14:paraId="12CB164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43</w:t>
            </w:r>
          </w:p>
        </w:tc>
        <w:tc>
          <w:tcPr>
            <w:tcW w:w="770" w:type="dxa"/>
          </w:tcPr>
          <w:p w14:paraId="1421B3E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63</w:t>
            </w:r>
          </w:p>
        </w:tc>
        <w:tc>
          <w:tcPr>
            <w:tcW w:w="769" w:type="dxa"/>
          </w:tcPr>
          <w:p w14:paraId="6BFE604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53</w:t>
            </w:r>
          </w:p>
        </w:tc>
        <w:tc>
          <w:tcPr>
            <w:tcW w:w="770" w:type="dxa"/>
          </w:tcPr>
          <w:p w14:paraId="18C1789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56</w:t>
            </w:r>
          </w:p>
        </w:tc>
        <w:tc>
          <w:tcPr>
            <w:tcW w:w="769" w:type="dxa"/>
          </w:tcPr>
          <w:p w14:paraId="513AF94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54</w:t>
            </w:r>
          </w:p>
        </w:tc>
        <w:tc>
          <w:tcPr>
            <w:tcW w:w="770" w:type="dxa"/>
          </w:tcPr>
          <w:p w14:paraId="5E796E1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50</w:t>
            </w:r>
          </w:p>
        </w:tc>
      </w:tr>
      <w:tr w:rsidR="00A1204B" w:rsidRPr="003817EA" w14:paraId="5A55896A" w14:textId="77777777" w:rsidTr="00650416">
        <w:trPr>
          <w:jc w:val="left"/>
        </w:trPr>
        <w:tc>
          <w:tcPr>
            <w:tcW w:w="2126" w:type="dxa"/>
            <w:vMerge w:val="restart"/>
          </w:tcPr>
          <w:p w14:paraId="3801EF7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السكتة الدماغية، دون تحديد ما إذا كانت بسبب نزيف أم احتشاء</w:t>
            </w:r>
          </w:p>
        </w:tc>
        <w:tc>
          <w:tcPr>
            <w:tcW w:w="627" w:type="dxa"/>
          </w:tcPr>
          <w:p w14:paraId="3D4D521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69" w:type="dxa"/>
          </w:tcPr>
          <w:p w14:paraId="5A52573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50</w:t>
            </w:r>
          </w:p>
        </w:tc>
        <w:tc>
          <w:tcPr>
            <w:tcW w:w="770" w:type="dxa"/>
          </w:tcPr>
          <w:p w14:paraId="23E8377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63</w:t>
            </w:r>
          </w:p>
        </w:tc>
        <w:tc>
          <w:tcPr>
            <w:tcW w:w="769" w:type="dxa"/>
          </w:tcPr>
          <w:p w14:paraId="1EA588D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59</w:t>
            </w:r>
          </w:p>
        </w:tc>
        <w:tc>
          <w:tcPr>
            <w:tcW w:w="770" w:type="dxa"/>
          </w:tcPr>
          <w:p w14:paraId="4F7F25B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66</w:t>
            </w:r>
          </w:p>
        </w:tc>
        <w:tc>
          <w:tcPr>
            <w:tcW w:w="769" w:type="dxa"/>
          </w:tcPr>
          <w:p w14:paraId="5BD71BF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52</w:t>
            </w:r>
          </w:p>
        </w:tc>
        <w:tc>
          <w:tcPr>
            <w:tcW w:w="770" w:type="dxa"/>
          </w:tcPr>
          <w:p w14:paraId="665808C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48</w:t>
            </w:r>
          </w:p>
        </w:tc>
      </w:tr>
      <w:tr w:rsidR="00A1204B" w:rsidRPr="003817EA" w14:paraId="1B0AA14C" w14:textId="77777777" w:rsidTr="00650416">
        <w:trPr>
          <w:jc w:val="left"/>
        </w:trPr>
        <w:tc>
          <w:tcPr>
            <w:tcW w:w="2126" w:type="dxa"/>
            <w:vMerge/>
          </w:tcPr>
          <w:p w14:paraId="1E85A08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076BCF3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769" w:type="dxa"/>
          </w:tcPr>
          <w:p w14:paraId="4DF8E34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w:t>
            </w:r>
          </w:p>
        </w:tc>
        <w:tc>
          <w:tcPr>
            <w:tcW w:w="770" w:type="dxa"/>
          </w:tcPr>
          <w:p w14:paraId="60339EB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w:t>
            </w:r>
          </w:p>
        </w:tc>
        <w:tc>
          <w:tcPr>
            <w:tcW w:w="769" w:type="dxa"/>
          </w:tcPr>
          <w:p w14:paraId="375BB0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24</w:t>
            </w:r>
          </w:p>
        </w:tc>
        <w:tc>
          <w:tcPr>
            <w:tcW w:w="770" w:type="dxa"/>
          </w:tcPr>
          <w:p w14:paraId="539CC97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w:t>
            </w:r>
          </w:p>
        </w:tc>
        <w:tc>
          <w:tcPr>
            <w:tcW w:w="769" w:type="dxa"/>
          </w:tcPr>
          <w:p w14:paraId="40EA3A3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w:t>
            </w:r>
          </w:p>
        </w:tc>
        <w:tc>
          <w:tcPr>
            <w:tcW w:w="770" w:type="dxa"/>
          </w:tcPr>
          <w:p w14:paraId="74C740B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w:t>
            </w:r>
          </w:p>
        </w:tc>
      </w:tr>
      <w:tr w:rsidR="00A1204B" w:rsidRPr="003817EA" w14:paraId="3F1F47F0" w14:textId="77777777" w:rsidTr="00650416">
        <w:trPr>
          <w:jc w:val="left"/>
        </w:trPr>
        <w:tc>
          <w:tcPr>
            <w:tcW w:w="2126" w:type="dxa"/>
            <w:vMerge/>
          </w:tcPr>
          <w:p w14:paraId="01DA9AF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3A7855C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769" w:type="dxa"/>
          </w:tcPr>
          <w:p w14:paraId="357F1E1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w:t>
            </w:r>
          </w:p>
        </w:tc>
        <w:tc>
          <w:tcPr>
            <w:tcW w:w="770" w:type="dxa"/>
          </w:tcPr>
          <w:p w14:paraId="68B239A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43</w:t>
            </w:r>
          </w:p>
        </w:tc>
        <w:tc>
          <w:tcPr>
            <w:tcW w:w="769" w:type="dxa"/>
          </w:tcPr>
          <w:p w14:paraId="185BECE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35</w:t>
            </w:r>
          </w:p>
        </w:tc>
        <w:tc>
          <w:tcPr>
            <w:tcW w:w="770" w:type="dxa"/>
          </w:tcPr>
          <w:p w14:paraId="199C3D3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43</w:t>
            </w:r>
          </w:p>
        </w:tc>
        <w:tc>
          <w:tcPr>
            <w:tcW w:w="769" w:type="dxa"/>
          </w:tcPr>
          <w:p w14:paraId="19E49AD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w:t>
            </w:r>
          </w:p>
        </w:tc>
        <w:tc>
          <w:tcPr>
            <w:tcW w:w="770" w:type="dxa"/>
          </w:tcPr>
          <w:p w14:paraId="7215886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26</w:t>
            </w:r>
          </w:p>
        </w:tc>
      </w:tr>
      <w:tr w:rsidR="00A1204B" w:rsidRPr="003817EA" w14:paraId="4F8D4BCC" w14:textId="77777777" w:rsidTr="00650416">
        <w:trPr>
          <w:jc w:val="left"/>
        </w:trPr>
        <w:tc>
          <w:tcPr>
            <w:tcW w:w="2126" w:type="dxa"/>
            <w:vMerge w:val="restart"/>
          </w:tcPr>
          <w:p w14:paraId="2E179EB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الالتهاب الرئوي، كائن حي غير محدَّد</w:t>
            </w:r>
          </w:p>
        </w:tc>
        <w:tc>
          <w:tcPr>
            <w:tcW w:w="627" w:type="dxa"/>
          </w:tcPr>
          <w:p w14:paraId="5B31058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769" w:type="dxa"/>
          </w:tcPr>
          <w:p w14:paraId="02AF1D7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41</w:t>
            </w:r>
          </w:p>
        </w:tc>
        <w:tc>
          <w:tcPr>
            <w:tcW w:w="770" w:type="dxa"/>
          </w:tcPr>
          <w:p w14:paraId="1309070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63</w:t>
            </w:r>
          </w:p>
        </w:tc>
        <w:tc>
          <w:tcPr>
            <w:tcW w:w="769" w:type="dxa"/>
          </w:tcPr>
          <w:p w14:paraId="5C5FCAB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60</w:t>
            </w:r>
          </w:p>
        </w:tc>
        <w:tc>
          <w:tcPr>
            <w:tcW w:w="770" w:type="dxa"/>
          </w:tcPr>
          <w:p w14:paraId="61F00B1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55</w:t>
            </w:r>
          </w:p>
        </w:tc>
        <w:tc>
          <w:tcPr>
            <w:tcW w:w="769" w:type="dxa"/>
          </w:tcPr>
          <w:p w14:paraId="50E772C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61</w:t>
            </w:r>
          </w:p>
        </w:tc>
        <w:tc>
          <w:tcPr>
            <w:tcW w:w="770" w:type="dxa"/>
          </w:tcPr>
          <w:p w14:paraId="5A2B70A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82</w:t>
            </w:r>
          </w:p>
        </w:tc>
      </w:tr>
      <w:tr w:rsidR="00A1204B" w:rsidRPr="003817EA" w14:paraId="2ACDA434" w14:textId="77777777" w:rsidTr="00650416">
        <w:trPr>
          <w:jc w:val="left"/>
        </w:trPr>
        <w:tc>
          <w:tcPr>
            <w:tcW w:w="2126" w:type="dxa"/>
            <w:vMerge/>
          </w:tcPr>
          <w:p w14:paraId="7AA1B37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286FAF3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769" w:type="dxa"/>
          </w:tcPr>
          <w:p w14:paraId="5FA1543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13</w:t>
            </w:r>
          </w:p>
        </w:tc>
        <w:tc>
          <w:tcPr>
            <w:tcW w:w="770" w:type="dxa"/>
          </w:tcPr>
          <w:p w14:paraId="4B28217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34</w:t>
            </w:r>
          </w:p>
        </w:tc>
        <w:tc>
          <w:tcPr>
            <w:tcW w:w="769" w:type="dxa"/>
          </w:tcPr>
          <w:p w14:paraId="5D988C2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w:t>
            </w:r>
          </w:p>
        </w:tc>
        <w:tc>
          <w:tcPr>
            <w:tcW w:w="770" w:type="dxa"/>
          </w:tcPr>
          <w:p w14:paraId="4045774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w:t>
            </w:r>
          </w:p>
        </w:tc>
        <w:tc>
          <w:tcPr>
            <w:tcW w:w="769" w:type="dxa"/>
          </w:tcPr>
          <w:p w14:paraId="43FEBB9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w:t>
            </w:r>
          </w:p>
        </w:tc>
        <w:tc>
          <w:tcPr>
            <w:tcW w:w="770" w:type="dxa"/>
          </w:tcPr>
          <w:p w14:paraId="1E6F319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33</w:t>
            </w:r>
          </w:p>
        </w:tc>
      </w:tr>
      <w:tr w:rsidR="00A1204B" w:rsidRPr="003817EA" w14:paraId="6823F0FC" w14:textId="77777777" w:rsidTr="00650416">
        <w:trPr>
          <w:cnfStyle w:val="010000000000" w:firstRow="0" w:lastRow="1" w:firstColumn="0" w:lastColumn="0" w:oddVBand="0" w:evenVBand="0" w:oddHBand="0" w:evenHBand="0" w:firstRowFirstColumn="0" w:firstRowLastColumn="0" w:lastRowFirstColumn="0" w:lastRowLastColumn="0"/>
          <w:jc w:val="left"/>
        </w:trPr>
        <w:tc>
          <w:tcPr>
            <w:tcW w:w="2126" w:type="dxa"/>
            <w:vMerge/>
          </w:tcPr>
          <w:p w14:paraId="2E21238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7" w:type="dxa"/>
          </w:tcPr>
          <w:p w14:paraId="485CB43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769" w:type="dxa"/>
          </w:tcPr>
          <w:p w14:paraId="277A17A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28</w:t>
            </w:r>
          </w:p>
        </w:tc>
        <w:tc>
          <w:tcPr>
            <w:tcW w:w="770" w:type="dxa"/>
          </w:tcPr>
          <w:p w14:paraId="11E9C5D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w:t>
            </w:r>
          </w:p>
        </w:tc>
        <w:tc>
          <w:tcPr>
            <w:tcW w:w="769" w:type="dxa"/>
          </w:tcPr>
          <w:p w14:paraId="5058C6F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37</w:t>
            </w:r>
          </w:p>
        </w:tc>
        <w:tc>
          <w:tcPr>
            <w:tcW w:w="770" w:type="dxa"/>
          </w:tcPr>
          <w:p w14:paraId="78D4D79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33</w:t>
            </w:r>
          </w:p>
        </w:tc>
        <w:tc>
          <w:tcPr>
            <w:tcW w:w="769" w:type="dxa"/>
          </w:tcPr>
          <w:p w14:paraId="186016C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32</w:t>
            </w:r>
          </w:p>
        </w:tc>
        <w:tc>
          <w:tcPr>
            <w:tcW w:w="770" w:type="dxa"/>
          </w:tcPr>
          <w:p w14:paraId="395760A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49</w:t>
            </w:r>
          </w:p>
        </w:tc>
      </w:tr>
    </w:tbl>
    <w:p w14:paraId="45E0D939" w14:textId="77777777" w:rsidR="00A1204B" w:rsidRPr="001F1035" w:rsidRDefault="00A1204B" w:rsidP="00650416">
      <w:pPr>
        <w:pStyle w:val="H23GA"/>
        <w:rPr>
          <w:rtl/>
        </w:rPr>
      </w:pPr>
      <w:r w:rsidRPr="001F1035">
        <w:rPr>
          <w:rtl/>
        </w:rPr>
        <w:lastRenderedPageBreak/>
        <w:tab/>
        <w:t>6-</w:t>
      </w:r>
      <w:r w:rsidRPr="001F1035">
        <w:rPr>
          <w:rtl/>
        </w:rPr>
        <w:tab/>
        <w:t>التعليم والتدريب</w:t>
      </w:r>
    </w:p>
    <w:p w14:paraId="5DFA4C34" w14:textId="77777777" w:rsidR="00A1204B" w:rsidRPr="001F1035" w:rsidRDefault="00A1204B" w:rsidP="00650416">
      <w:pPr>
        <w:pStyle w:val="SingleTxtGA"/>
        <w:keepNext/>
        <w:rPr>
          <w:i/>
          <w:iCs/>
          <w:rtl/>
        </w:rPr>
      </w:pPr>
      <w:r w:rsidRPr="003817EA">
        <w:rPr>
          <w:rtl/>
        </w:rPr>
        <w:tab/>
      </w:r>
      <w:r w:rsidRPr="001F1035">
        <w:rPr>
          <w:i/>
          <w:iCs/>
          <w:rtl/>
        </w:rPr>
        <w:t>يعرض الشكل التالي لمحة عامة عن هيكل النظام التعليمي في آيسلندا.</w:t>
      </w:r>
    </w:p>
    <w:p w14:paraId="664A4154" w14:textId="77777777" w:rsidR="00A1204B" w:rsidRPr="003817EA" w:rsidRDefault="00A1204B" w:rsidP="00A1204B">
      <w:pPr>
        <w:pStyle w:val="SingleTxtGA"/>
        <w:spacing w:line="240" w:lineRule="auto"/>
        <w:rPr>
          <w:rtl/>
        </w:rPr>
      </w:pPr>
      <w:r w:rsidRPr="003817EA">
        <w:rPr>
          <w:noProof/>
          <w:rtl/>
        </w:rPr>
        <w:drawing>
          <wp:inline distT="0" distB="0" distL="0" distR="0" wp14:anchorId="0D7F876E" wp14:editId="707B49A5">
            <wp:extent cx="5091430" cy="25088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91430" cy="2508885"/>
                    </a:xfrm>
                    <a:prstGeom prst="rect">
                      <a:avLst/>
                    </a:prstGeom>
                    <a:noFill/>
                    <a:ln>
                      <a:noFill/>
                    </a:ln>
                  </pic:spPr>
                </pic:pic>
              </a:graphicData>
            </a:graphic>
          </wp:inline>
        </w:drawing>
      </w:r>
    </w:p>
    <w:p w14:paraId="49B91692" w14:textId="77777777" w:rsidR="00A1204B" w:rsidRPr="003817EA" w:rsidRDefault="00A1204B" w:rsidP="004E2E6B">
      <w:pPr>
        <w:pStyle w:val="SingleTxtGA"/>
        <w:spacing w:before="240"/>
        <w:rPr>
          <w:rtl/>
        </w:rPr>
      </w:pPr>
      <w:r w:rsidRPr="003817EA">
        <w:rPr>
          <w:rtl/>
        </w:rPr>
        <w:t>16-</w:t>
      </w:r>
      <w:r w:rsidRPr="003817EA">
        <w:rPr>
          <w:rtl/>
        </w:rPr>
        <w:tab/>
        <w:t>وينتظم التعليم الإلزامي في نظام هيكلي واحد، أي أنَّ التعليم الابتدائي والإعدادي يشكِّلان جزءاً من نفس المستوى المدرسي، ويجريان عموماً في مدرسة واحدة. وقد جرت العادة على تنظيم التعليم في آيسلندا داخل القطاع العام، وثمة عدد قليل من المؤسسات الخاصة داخل النظم المدرسية. وتتلقى جميع المدارس الخاصة تمويلاً عموميّاً. وزادت نسبة السكان الذين يبلغون مرحلة التعليم العالي في السنوات الأخيرة، وفي عام 2018 تقدَّم عدد قياسي بطلب للقبول في الجامعات.</w:t>
      </w:r>
    </w:p>
    <w:p w14:paraId="5CA3BDD2" w14:textId="77777777" w:rsidR="00A1204B" w:rsidRPr="001F1035" w:rsidRDefault="00A1204B" w:rsidP="00A1204B">
      <w:pPr>
        <w:pStyle w:val="H4GA"/>
        <w:rPr>
          <w:rtl/>
        </w:rPr>
      </w:pPr>
      <w:r w:rsidRPr="001F1035">
        <w:rPr>
          <w:rtl/>
        </w:rPr>
        <w:tab/>
      </w:r>
      <w:r w:rsidRPr="001F1035">
        <w:rPr>
          <w:rtl/>
        </w:rPr>
        <w:tab/>
        <w:t>المستوى التعليمي الأعلى لدى السكان المتراوحة أعمارهم بين 16 و74 سنة</w:t>
      </w:r>
    </w:p>
    <w:tbl>
      <w:tblPr>
        <w:tblStyle w:val="TABLEA"/>
        <w:bidiVisual/>
        <w:tblW w:w="7370" w:type="dxa"/>
        <w:jc w:val="left"/>
        <w:tblInd w:w="1247" w:type="dxa"/>
        <w:tblLayout w:type="fixed"/>
        <w:tblLook w:val="04E0" w:firstRow="1" w:lastRow="1" w:firstColumn="1" w:lastColumn="0" w:noHBand="0" w:noVBand="1"/>
      </w:tblPr>
      <w:tblGrid>
        <w:gridCol w:w="709"/>
        <w:gridCol w:w="3543"/>
        <w:gridCol w:w="623"/>
        <w:gridCol w:w="624"/>
        <w:gridCol w:w="623"/>
        <w:gridCol w:w="624"/>
        <w:gridCol w:w="624"/>
      </w:tblGrid>
      <w:tr w:rsidR="00A1204B" w:rsidRPr="003817EA" w14:paraId="222C2096" w14:textId="77777777" w:rsidTr="00650416">
        <w:trPr>
          <w:cnfStyle w:val="100000000000" w:firstRow="1" w:lastRow="0" w:firstColumn="0" w:lastColumn="0" w:oddVBand="0" w:evenVBand="0" w:oddHBand="0" w:evenHBand="0" w:firstRowFirstColumn="0" w:firstRowLastColumn="0" w:lastRowFirstColumn="0" w:lastRowLastColumn="0"/>
          <w:tblHeader/>
          <w:jc w:val="left"/>
        </w:trPr>
        <w:tc>
          <w:tcPr>
            <w:tcW w:w="709" w:type="dxa"/>
            <w:noWrap/>
            <w:hideMark/>
          </w:tcPr>
          <w:p w14:paraId="10B618E1"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3543" w:type="dxa"/>
            <w:noWrap/>
            <w:hideMark/>
          </w:tcPr>
          <w:p w14:paraId="34E51F52"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3" w:type="dxa"/>
            <w:noWrap/>
            <w:hideMark/>
          </w:tcPr>
          <w:p w14:paraId="54EF4D60"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2013</w:t>
            </w:r>
          </w:p>
        </w:tc>
        <w:tc>
          <w:tcPr>
            <w:tcW w:w="624" w:type="dxa"/>
            <w:noWrap/>
            <w:hideMark/>
          </w:tcPr>
          <w:p w14:paraId="7B784BBD"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2014</w:t>
            </w:r>
          </w:p>
        </w:tc>
        <w:tc>
          <w:tcPr>
            <w:tcW w:w="623" w:type="dxa"/>
            <w:noWrap/>
            <w:hideMark/>
          </w:tcPr>
          <w:p w14:paraId="50FE9921"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2015</w:t>
            </w:r>
          </w:p>
        </w:tc>
        <w:tc>
          <w:tcPr>
            <w:tcW w:w="624" w:type="dxa"/>
            <w:noWrap/>
            <w:hideMark/>
          </w:tcPr>
          <w:p w14:paraId="52457069"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2016</w:t>
            </w:r>
          </w:p>
        </w:tc>
        <w:tc>
          <w:tcPr>
            <w:tcW w:w="624" w:type="dxa"/>
            <w:noWrap/>
            <w:hideMark/>
          </w:tcPr>
          <w:p w14:paraId="4CF65BCA"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2017</w:t>
            </w:r>
          </w:p>
        </w:tc>
      </w:tr>
      <w:tr w:rsidR="00A1204B" w:rsidRPr="003817EA" w14:paraId="6A278E01" w14:textId="77777777" w:rsidTr="00650416">
        <w:trPr>
          <w:jc w:val="left"/>
        </w:trPr>
        <w:tc>
          <w:tcPr>
            <w:tcW w:w="709" w:type="dxa"/>
            <w:noWrap/>
            <w:hideMark/>
          </w:tcPr>
          <w:p w14:paraId="11EAE9E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b/>
                <w:bCs/>
                <w:sz w:val="18"/>
                <w:szCs w:val="18"/>
                <w:rtl/>
              </w:rPr>
              <w:t>ذكور</w:t>
            </w:r>
          </w:p>
        </w:tc>
        <w:tc>
          <w:tcPr>
            <w:tcW w:w="3543" w:type="dxa"/>
            <w:noWrap/>
            <w:hideMark/>
          </w:tcPr>
          <w:p w14:paraId="7C1CA48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3" w:type="dxa"/>
            <w:noWrap/>
            <w:hideMark/>
          </w:tcPr>
          <w:p w14:paraId="71E0A5C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4" w:type="dxa"/>
            <w:noWrap/>
            <w:hideMark/>
          </w:tcPr>
          <w:p w14:paraId="5245DD3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3" w:type="dxa"/>
            <w:noWrap/>
            <w:hideMark/>
          </w:tcPr>
          <w:p w14:paraId="5D44CA9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4" w:type="dxa"/>
            <w:noWrap/>
            <w:hideMark/>
          </w:tcPr>
          <w:p w14:paraId="331DF35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4" w:type="dxa"/>
            <w:noWrap/>
            <w:hideMark/>
          </w:tcPr>
          <w:p w14:paraId="1F0DA96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r w:rsidR="00A1204B" w:rsidRPr="003817EA" w14:paraId="7B98CBAF" w14:textId="77777777" w:rsidTr="00650416">
        <w:trPr>
          <w:jc w:val="left"/>
        </w:trPr>
        <w:tc>
          <w:tcPr>
            <w:tcW w:w="709" w:type="dxa"/>
            <w:noWrap/>
            <w:hideMark/>
          </w:tcPr>
          <w:p w14:paraId="0A7FBD2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3543" w:type="dxa"/>
            <w:noWrap/>
            <w:hideMark/>
          </w:tcPr>
          <w:p w14:paraId="6188D75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تعليم الهيكل الواحد - التصنيف الدولي الموحد للتعليم 1، 2</w:t>
            </w:r>
          </w:p>
        </w:tc>
        <w:tc>
          <w:tcPr>
            <w:tcW w:w="623" w:type="dxa"/>
            <w:noWrap/>
            <w:hideMark/>
          </w:tcPr>
          <w:p w14:paraId="59B8F6D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34,4</w:t>
            </w:r>
          </w:p>
        </w:tc>
        <w:tc>
          <w:tcPr>
            <w:tcW w:w="624" w:type="dxa"/>
            <w:noWrap/>
            <w:hideMark/>
          </w:tcPr>
          <w:p w14:paraId="27E2B40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34,3</w:t>
            </w:r>
          </w:p>
        </w:tc>
        <w:tc>
          <w:tcPr>
            <w:tcW w:w="623" w:type="dxa"/>
            <w:noWrap/>
            <w:hideMark/>
          </w:tcPr>
          <w:p w14:paraId="3F2253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33,5</w:t>
            </w:r>
          </w:p>
        </w:tc>
        <w:tc>
          <w:tcPr>
            <w:tcW w:w="624" w:type="dxa"/>
            <w:noWrap/>
            <w:hideMark/>
          </w:tcPr>
          <w:p w14:paraId="22D81A7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29,9</w:t>
            </w:r>
          </w:p>
        </w:tc>
        <w:tc>
          <w:tcPr>
            <w:tcW w:w="624" w:type="dxa"/>
            <w:noWrap/>
            <w:hideMark/>
          </w:tcPr>
          <w:p w14:paraId="577D43A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30,5</w:t>
            </w:r>
          </w:p>
        </w:tc>
      </w:tr>
      <w:tr w:rsidR="00A1204B" w:rsidRPr="003817EA" w14:paraId="03536644" w14:textId="77777777" w:rsidTr="00650416">
        <w:trPr>
          <w:jc w:val="left"/>
        </w:trPr>
        <w:tc>
          <w:tcPr>
            <w:tcW w:w="709" w:type="dxa"/>
            <w:noWrap/>
            <w:hideMark/>
          </w:tcPr>
          <w:p w14:paraId="2FCAE20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3543" w:type="dxa"/>
            <w:noWrap/>
            <w:hideMark/>
          </w:tcPr>
          <w:p w14:paraId="154CE35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التعليم العام الثانوي - التصنيف الدولي الموحد للتعليم 3، 4</w:t>
            </w:r>
          </w:p>
        </w:tc>
        <w:tc>
          <w:tcPr>
            <w:tcW w:w="623" w:type="dxa"/>
            <w:noWrap/>
            <w:hideMark/>
          </w:tcPr>
          <w:p w14:paraId="41BAED3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41,7</w:t>
            </w:r>
          </w:p>
        </w:tc>
        <w:tc>
          <w:tcPr>
            <w:tcW w:w="624" w:type="dxa"/>
            <w:noWrap/>
            <w:hideMark/>
          </w:tcPr>
          <w:p w14:paraId="3B2BBBB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41,1</w:t>
            </w:r>
          </w:p>
        </w:tc>
        <w:tc>
          <w:tcPr>
            <w:tcW w:w="623" w:type="dxa"/>
            <w:noWrap/>
            <w:hideMark/>
          </w:tcPr>
          <w:p w14:paraId="17CE0A3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41,6</w:t>
            </w:r>
          </w:p>
        </w:tc>
        <w:tc>
          <w:tcPr>
            <w:tcW w:w="624" w:type="dxa"/>
            <w:noWrap/>
            <w:hideMark/>
          </w:tcPr>
          <w:p w14:paraId="5669CD0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43,8</w:t>
            </w:r>
          </w:p>
        </w:tc>
        <w:tc>
          <w:tcPr>
            <w:tcW w:w="624" w:type="dxa"/>
            <w:noWrap/>
            <w:hideMark/>
          </w:tcPr>
          <w:p w14:paraId="33EC17A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41,8</w:t>
            </w:r>
          </w:p>
        </w:tc>
      </w:tr>
      <w:tr w:rsidR="00A1204B" w:rsidRPr="003817EA" w14:paraId="6E91D2BA" w14:textId="77777777" w:rsidTr="00650416">
        <w:trPr>
          <w:jc w:val="left"/>
        </w:trPr>
        <w:tc>
          <w:tcPr>
            <w:tcW w:w="709" w:type="dxa"/>
            <w:noWrap/>
            <w:hideMark/>
          </w:tcPr>
          <w:p w14:paraId="3186EBF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3543" w:type="dxa"/>
            <w:noWrap/>
            <w:hideMark/>
          </w:tcPr>
          <w:p w14:paraId="20170B1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التعليم العالي - التصنيف الدولي الموحد للتعليم 5، 6، 7، 8</w:t>
            </w:r>
          </w:p>
        </w:tc>
        <w:tc>
          <w:tcPr>
            <w:tcW w:w="623" w:type="dxa"/>
            <w:noWrap/>
            <w:hideMark/>
          </w:tcPr>
          <w:p w14:paraId="2F126B1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23,9</w:t>
            </w:r>
          </w:p>
        </w:tc>
        <w:tc>
          <w:tcPr>
            <w:tcW w:w="624" w:type="dxa"/>
            <w:noWrap/>
            <w:hideMark/>
          </w:tcPr>
          <w:p w14:paraId="70A25DF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24,5</w:t>
            </w:r>
          </w:p>
        </w:tc>
        <w:tc>
          <w:tcPr>
            <w:tcW w:w="623" w:type="dxa"/>
            <w:noWrap/>
            <w:hideMark/>
          </w:tcPr>
          <w:p w14:paraId="1FFBB11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24,8</w:t>
            </w:r>
          </w:p>
        </w:tc>
        <w:tc>
          <w:tcPr>
            <w:tcW w:w="624" w:type="dxa"/>
            <w:noWrap/>
            <w:hideMark/>
          </w:tcPr>
          <w:p w14:paraId="15C46EA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26,4</w:t>
            </w:r>
          </w:p>
        </w:tc>
        <w:tc>
          <w:tcPr>
            <w:tcW w:w="624" w:type="dxa"/>
            <w:noWrap/>
            <w:hideMark/>
          </w:tcPr>
          <w:p w14:paraId="2BD6E81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27,7</w:t>
            </w:r>
          </w:p>
        </w:tc>
      </w:tr>
      <w:tr w:rsidR="00A1204B" w:rsidRPr="003817EA" w14:paraId="4816C7C7" w14:textId="77777777" w:rsidTr="00650416">
        <w:trPr>
          <w:jc w:val="left"/>
        </w:trPr>
        <w:tc>
          <w:tcPr>
            <w:tcW w:w="709" w:type="dxa"/>
            <w:noWrap/>
            <w:hideMark/>
          </w:tcPr>
          <w:p w14:paraId="6B4E21C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b/>
                <w:bCs/>
                <w:sz w:val="18"/>
                <w:szCs w:val="18"/>
                <w:rtl/>
              </w:rPr>
              <w:t>إناث</w:t>
            </w:r>
          </w:p>
        </w:tc>
        <w:tc>
          <w:tcPr>
            <w:tcW w:w="3543" w:type="dxa"/>
            <w:noWrap/>
          </w:tcPr>
          <w:p w14:paraId="2F71D07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3" w:type="dxa"/>
            <w:noWrap/>
          </w:tcPr>
          <w:p w14:paraId="3C56451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4" w:type="dxa"/>
            <w:noWrap/>
            <w:hideMark/>
          </w:tcPr>
          <w:p w14:paraId="54A616A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3" w:type="dxa"/>
            <w:noWrap/>
            <w:hideMark/>
          </w:tcPr>
          <w:p w14:paraId="02BF78C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4" w:type="dxa"/>
            <w:noWrap/>
            <w:hideMark/>
          </w:tcPr>
          <w:p w14:paraId="0688628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624" w:type="dxa"/>
            <w:noWrap/>
            <w:hideMark/>
          </w:tcPr>
          <w:p w14:paraId="3938836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r w:rsidR="00A1204B" w:rsidRPr="003817EA" w14:paraId="30159B99" w14:textId="77777777" w:rsidTr="00650416">
        <w:trPr>
          <w:jc w:val="left"/>
        </w:trPr>
        <w:tc>
          <w:tcPr>
            <w:tcW w:w="709" w:type="dxa"/>
            <w:noWrap/>
            <w:hideMark/>
          </w:tcPr>
          <w:p w14:paraId="2CFAEA0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3543" w:type="dxa"/>
            <w:noWrap/>
            <w:hideMark/>
          </w:tcPr>
          <w:p w14:paraId="30F09BA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تعليم الهيكل الواحد - التصنيف الدولي الموحد للتعليم 1، 2</w:t>
            </w:r>
          </w:p>
        </w:tc>
        <w:tc>
          <w:tcPr>
            <w:tcW w:w="623" w:type="dxa"/>
            <w:noWrap/>
            <w:hideMark/>
          </w:tcPr>
          <w:p w14:paraId="19904DB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38,1</w:t>
            </w:r>
          </w:p>
        </w:tc>
        <w:tc>
          <w:tcPr>
            <w:tcW w:w="624" w:type="dxa"/>
            <w:noWrap/>
            <w:hideMark/>
          </w:tcPr>
          <w:p w14:paraId="5001CBC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36,3</w:t>
            </w:r>
          </w:p>
        </w:tc>
        <w:tc>
          <w:tcPr>
            <w:tcW w:w="623" w:type="dxa"/>
            <w:noWrap/>
            <w:hideMark/>
          </w:tcPr>
          <w:p w14:paraId="6FF385E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34,6</w:t>
            </w:r>
          </w:p>
        </w:tc>
        <w:tc>
          <w:tcPr>
            <w:tcW w:w="624" w:type="dxa"/>
            <w:noWrap/>
            <w:hideMark/>
          </w:tcPr>
          <w:p w14:paraId="6C63FAD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30,7</w:t>
            </w:r>
          </w:p>
        </w:tc>
        <w:tc>
          <w:tcPr>
            <w:tcW w:w="624" w:type="dxa"/>
            <w:noWrap/>
            <w:hideMark/>
          </w:tcPr>
          <w:p w14:paraId="529B6F9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31,4</w:t>
            </w:r>
          </w:p>
        </w:tc>
      </w:tr>
      <w:tr w:rsidR="00A1204B" w:rsidRPr="003817EA" w14:paraId="4EC30DCD" w14:textId="77777777" w:rsidTr="00650416">
        <w:trPr>
          <w:jc w:val="left"/>
        </w:trPr>
        <w:tc>
          <w:tcPr>
            <w:tcW w:w="709" w:type="dxa"/>
            <w:noWrap/>
            <w:hideMark/>
          </w:tcPr>
          <w:p w14:paraId="47FF13F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3543" w:type="dxa"/>
            <w:noWrap/>
            <w:hideMark/>
          </w:tcPr>
          <w:p w14:paraId="1FAD232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التعليم العام الثانوي - التصنيف الدولي الموحد للتعليم 3، 4</w:t>
            </w:r>
          </w:p>
        </w:tc>
        <w:tc>
          <w:tcPr>
            <w:tcW w:w="623" w:type="dxa"/>
            <w:noWrap/>
            <w:hideMark/>
          </w:tcPr>
          <w:p w14:paraId="502B3D4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29,2</w:t>
            </w:r>
          </w:p>
        </w:tc>
        <w:tc>
          <w:tcPr>
            <w:tcW w:w="624" w:type="dxa"/>
            <w:noWrap/>
            <w:hideMark/>
          </w:tcPr>
          <w:p w14:paraId="25DAB50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30,2</w:t>
            </w:r>
          </w:p>
        </w:tc>
        <w:tc>
          <w:tcPr>
            <w:tcW w:w="623" w:type="dxa"/>
            <w:noWrap/>
            <w:hideMark/>
          </w:tcPr>
          <w:p w14:paraId="525F4DB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29,9</w:t>
            </w:r>
          </w:p>
        </w:tc>
        <w:tc>
          <w:tcPr>
            <w:tcW w:w="624" w:type="dxa"/>
            <w:noWrap/>
            <w:hideMark/>
          </w:tcPr>
          <w:p w14:paraId="2D34671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31,6</w:t>
            </w:r>
          </w:p>
        </w:tc>
        <w:tc>
          <w:tcPr>
            <w:tcW w:w="624" w:type="dxa"/>
            <w:noWrap/>
            <w:hideMark/>
          </w:tcPr>
          <w:p w14:paraId="4E6333B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28,9</w:t>
            </w:r>
          </w:p>
        </w:tc>
      </w:tr>
      <w:tr w:rsidR="00A1204B" w:rsidRPr="003817EA" w14:paraId="3FB401F3" w14:textId="77777777" w:rsidTr="00650416">
        <w:trPr>
          <w:cnfStyle w:val="010000000000" w:firstRow="0" w:lastRow="1" w:firstColumn="0" w:lastColumn="0" w:oddVBand="0" w:evenVBand="0" w:oddHBand="0" w:evenHBand="0" w:firstRowFirstColumn="0" w:firstRowLastColumn="0" w:lastRowFirstColumn="0" w:lastRowLastColumn="0"/>
          <w:jc w:val="left"/>
        </w:trPr>
        <w:tc>
          <w:tcPr>
            <w:tcW w:w="709" w:type="dxa"/>
            <w:noWrap/>
            <w:hideMark/>
          </w:tcPr>
          <w:p w14:paraId="2BF55F0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3543" w:type="dxa"/>
            <w:noWrap/>
            <w:hideMark/>
          </w:tcPr>
          <w:p w14:paraId="7F4B0BB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التعليم العالي - التصنيف الدولي الموحد للتعليم 5، 6، 7، 8</w:t>
            </w:r>
          </w:p>
        </w:tc>
        <w:tc>
          <w:tcPr>
            <w:tcW w:w="623" w:type="dxa"/>
            <w:noWrap/>
            <w:hideMark/>
          </w:tcPr>
          <w:p w14:paraId="7D0D87E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32,7</w:t>
            </w:r>
          </w:p>
        </w:tc>
        <w:tc>
          <w:tcPr>
            <w:tcW w:w="624" w:type="dxa"/>
            <w:noWrap/>
            <w:hideMark/>
          </w:tcPr>
          <w:p w14:paraId="0B24997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33,5</w:t>
            </w:r>
          </w:p>
        </w:tc>
        <w:tc>
          <w:tcPr>
            <w:tcW w:w="623" w:type="dxa"/>
            <w:noWrap/>
            <w:hideMark/>
          </w:tcPr>
          <w:p w14:paraId="16213D2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35,5</w:t>
            </w:r>
          </w:p>
        </w:tc>
        <w:tc>
          <w:tcPr>
            <w:tcW w:w="624" w:type="dxa"/>
            <w:noWrap/>
            <w:hideMark/>
          </w:tcPr>
          <w:p w14:paraId="14330A5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37,6</w:t>
            </w:r>
          </w:p>
        </w:tc>
        <w:tc>
          <w:tcPr>
            <w:tcW w:w="624" w:type="dxa"/>
            <w:noWrap/>
            <w:hideMark/>
          </w:tcPr>
          <w:p w14:paraId="0520359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39,7</w:t>
            </w:r>
          </w:p>
        </w:tc>
      </w:tr>
    </w:tbl>
    <w:p w14:paraId="77BB8DEF" w14:textId="77777777" w:rsidR="00A1204B" w:rsidRPr="001F1035" w:rsidRDefault="00A1204B" w:rsidP="00A1204B">
      <w:pPr>
        <w:pStyle w:val="H23GA"/>
        <w:rPr>
          <w:rtl/>
        </w:rPr>
      </w:pPr>
      <w:r w:rsidRPr="001F1035">
        <w:rPr>
          <w:rtl/>
        </w:rPr>
        <w:tab/>
      </w:r>
      <w:r w:rsidRPr="001F1035">
        <w:rPr>
          <w:rtl/>
        </w:rPr>
        <w:tab/>
        <w:t>التعليم ما قبل الابتدائي</w:t>
      </w:r>
    </w:p>
    <w:p w14:paraId="7140EEAD" w14:textId="77777777" w:rsidR="00A1204B" w:rsidRPr="003817EA" w:rsidRDefault="00A1204B" w:rsidP="00A1204B">
      <w:pPr>
        <w:pStyle w:val="SingleTxtGA"/>
        <w:rPr>
          <w:rtl/>
        </w:rPr>
      </w:pPr>
      <w:r w:rsidRPr="003817EA">
        <w:rPr>
          <w:rtl/>
        </w:rPr>
        <w:t>17-</w:t>
      </w:r>
      <w:r w:rsidRPr="003817EA">
        <w:rPr>
          <w:rtl/>
        </w:rPr>
        <w:tab/>
        <w:t>يعرِّف القانون التعليم ما قبل الابتدائي بأنه المستوى الأول من النظام التعليمي، الذي يوفِّر التعليم والرعاية للأطفال الذين لم يبلغوا بعدُ سن السادسة التي يبدأ عندها التعليم الإلزامي. وينص قانون ما قبل التعليم المدرسي لعام 2008 على أنَّ التعليم ما قبل المدرسي يقوم، بناء على طلب الوالدين، بتربية الأطفال ورعايتهم وتعليمهم في سن ما قبل الالتحاق بالمدرسة. ويتمثل الهدف الرئيسي لجميع الأنشطة في مرحلة ما قبل التعليم المدرسي في خدمة مصالح الأطفال وتحقيق رفاههم. وتتَّبع جميع مدارس ما قبل المرحلة الابتدائية برنامجاً تعليميّاً قوامه الدليل الوطني للمناهج الدراسية، الذي أصدرته وزارة التعليم والعلوم والثقافة في عام 2011. وتتولى البلديات المحلية مسؤولية تشغيل مدارس ما قبل المرحلة الابتدائية.</w:t>
      </w:r>
    </w:p>
    <w:p w14:paraId="63114F91" w14:textId="77777777" w:rsidR="00A1204B" w:rsidRPr="001F1035" w:rsidRDefault="00A1204B" w:rsidP="00A1204B">
      <w:pPr>
        <w:pStyle w:val="H4GA"/>
        <w:rPr>
          <w:rtl/>
        </w:rPr>
      </w:pPr>
      <w:r w:rsidRPr="001F1035">
        <w:rPr>
          <w:rtl/>
        </w:rPr>
        <w:lastRenderedPageBreak/>
        <w:tab/>
      </w:r>
      <w:r w:rsidRPr="001F1035">
        <w:rPr>
          <w:rtl/>
        </w:rPr>
        <w:tab/>
        <w:t>عدد الأطفال الملتحقين بمدارس ما قبل التعليم الابتدائي حسب السنة والعمر.</w:t>
      </w:r>
    </w:p>
    <w:tbl>
      <w:tblPr>
        <w:tblStyle w:val="TABLEA"/>
        <w:bidiVisual/>
        <w:tblW w:w="7370" w:type="dxa"/>
        <w:jc w:val="left"/>
        <w:tblInd w:w="1247" w:type="dxa"/>
        <w:tblLayout w:type="fixed"/>
        <w:tblLook w:val="04E0" w:firstRow="1" w:lastRow="1" w:firstColumn="1" w:lastColumn="0" w:noHBand="0" w:noVBand="1"/>
      </w:tblPr>
      <w:tblGrid>
        <w:gridCol w:w="2135"/>
        <w:gridCol w:w="1709"/>
        <w:gridCol w:w="1763"/>
        <w:gridCol w:w="1763"/>
      </w:tblGrid>
      <w:tr w:rsidR="00A1204B" w:rsidRPr="003817EA" w14:paraId="77CD17BB"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2135" w:type="dxa"/>
            <w:noWrap/>
            <w:hideMark/>
          </w:tcPr>
          <w:p w14:paraId="2A265D19"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السنة</w:t>
            </w:r>
          </w:p>
        </w:tc>
        <w:tc>
          <w:tcPr>
            <w:tcW w:w="1709" w:type="dxa"/>
            <w:noWrap/>
            <w:hideMark/>
          </w:tcPr>
          <w:p w14:paraId="1CCE3F62"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rFonts w:hint="cs"/>
                <w:i/>
                <w:iCs/>
                <w:sz w:val="18"/>
                <w:szCs w:val="18"/>
                <w:rtl/>
              </w:rPr>
              <w:t xml:space="preserve">صفر </w:t>
            </w:r>
            <w:r w:rsidRPr="001F1035">
              <w:rPr>
                <w:i/>
                <w:iCs/>
                <w:sz w:val="18"/>
                <w:szCs w:val="18"/>
                <w:rtl/>
              </w:rPr>
              <w:t>-</w:t>
            </w:r>
            <w:r w:rsidRPr="001F1035">
              <w:rPr>
                <w:rFonts w:hint="cs"/>
                <w:i/>
                <w:iCs/>
                <w:sz w:val="18"/>
                <w:szCs w:val="18"/>
                <w:rtl/>
              </w:rPr>
              <w:t xml:space="preserve"> </w:t>
            </w:r>
            <w:r w:rsidRPr="001F1035">
              <w:rPr>
                <w:i/>
                <w:iCs/>
                <w:sz w:val="18"/>
                <w:szCs w:val="18"/>
                <w:rtl/>
              </w:rPr>
              <w:t>سنتان</w:t>
            </w:r>
          </w:p>
        </w:tc>
        <w:tc>
          <w:tcPr>
            <w:tcW w:w="1763" w:type="dxa"/>
            <w:noWrap/>
            <w:hideMark/>
          </w:tcPr>
          <w:p w14:paraId="2F62480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5-3 سنوات</w:t>
            </w:r>
          </w:p>
        </w:tc>
        <w:tc>
          <w:tcPr>
            <w:tcW w:w="1763" w:type="dxa"/>
            <w:noWrap/>
            <w:hideMark/>
          </w:tcPr>
          <w:p w14:paraId="6871FB93"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المجموع</w:t>
            </w:r>
          </w:p>
        </w:tc>
      </w:tr>
      <w:tr w:rsidR="00A1204B" w:rsidRPr="003817EA" w14:paraId="74D04986" w14:textId="77777777" w:rsidTr="00047038">
        <w:trPr>
          <w:jc w:val="left"/>
        </w:trPr>
        <w:tc>
          <w:tcPr>
            <w:tcW w:w="2135" w:type="dxa"/>
            <w:noWrap/>
            <w:hideMark/>
          </w:tcPr>
          <w:p w14:paraId="12145F4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2011</w:t>
            </w:r>
          </w:p>
        </w:tc>
        <w:tc>
          <w:tcPr>
            <w:tcW w:w="1709" w:type="dxa"/>
            <w:noWrap/>
            <w:hideMark/>
          </w:tcPr>
          <w:p w14:paraId="329770C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057 6</w:t>
            </w:r>
          </w:p>
        </w:tc>
        <w:tc>
          <w:tcPr>
            <w:tcW w:w="1763" w:type="dxa"/>
            <w:noWrap/>
            <w:hideMark/>
          </w:tcPr>
          <w:p w14:paraId="76CE10D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102 13</w:t>
            </w:r>
          </w:p>
        </w:tc>
        <w:tc>
          <w:tcPr>
            <w:tcW w:w="1763" w:type="dxa"/>
            <w:noWrap/>
            <w:hideMark/>
          </w:tcPr>
          <w:p w14:paraId="5A6877F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159 19</w:t>
            </w:r>
          </w:p>
        </w:tc>
      </w:tr>
      <w:tr w:rsidR="00A1204B" w:rsidRPr="003817EA" w14:paraId="546F0B6C" w14:textId="77777777" w:rsidTr="00047038">
        <w:trPr>
          <w:jc w:val="left"/>
        </w:trPr>
        <w:tc>
          <w:tcPr>
            <w:tcW w:w="2135" w:type="dxa"/>
            <w:noWrap/>
            <w:hideMark/>
          </w:tcPr>
          <w:p w14:paraId="75A19C5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2012</w:t>
            </w:r>
          </w:p>
        </w:tc>
        <w:tc>
          <w:tcPr>
            <w:tcW w:w="1709" w:type="dxa"/>
            <w:noWrap/>
            <w:hideMark/>
          </w:tcPr>
          <w:p w14:paraId="53F8208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074 6</w:t>
            </w:r>
          </w:p>
        </w:tc>
        <w:tc>
          <w:tcPr>
            <w:tcW w:w="1763" w:type="dxa"/>
            <w:noWrap/>
            <w:hideMark/>
          </w:tcPr>
          <w:p w14:paraId="7103DFC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541 13</w:t>
            </w:r>
          </w:p>
        </w:tc>
        <w:tc>
          <w:tcPr>
            <w:tcW w:w="1763" w:type="dxa"/>
            <w:noWrap/>
            <w:hideMark/>
          </w:tcPr>
          <w:p w14:paraId="3CAD039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615 19</w:t>
            </w:r>
          </w:p>
        </w:tc>
      </w:tr>
      <w:tr w:rsidR="00A1204B" w:rsidRPr="003817EA" w14:paraId="64CC3686" w14:textId="77777777" w:rsidTr="00047038">
        <w:trPr>
          <w:jc w:val="left"/>
        </w:trPr>
        <w:tc>
          <w:tcPr>
            <w:tcW w:w="2135" w:type="dxa"/>
            <w:noWrap/>
            <w:hideMark/>
          </w:tcPr>
          <w:p w14:paraId="4316131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2013</w:t>
            </w:r>
          </w:p>
        </w:tc>
        <w:tc>
          <w:tcPr>
            <w:tcW w:w="1709" w:type="dxa"/>
            <w:noWrap/>
            <w:hideMark/>
          </w:tcPr>
          <w:p w14:paraId="40E71F9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833 5</w:t>
            </w:r>
          </w:p>
        </w:tc>
        <w:tc>
          <w:tcPr>
            <w:tcW w:w="1763" w:type="dxa"/>
            <w:noWrap/>
            <w:hideMark/>
          </w:tcPr>
          <w:p w14:paraId="7DB2B8B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880 13</w:t>
            </w:r>
          </w:p>
        </w:tc>
        <w:tc>
          <w:tcPr>
            <w:tcW w:w="1763" w:type="dxa"/>
            <w:noWrap/>
            <w:hideMark/>
          </w:tcPr>
          <w:p w14:paraId="4C6549C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713 19</w:t>
            </w:r>
          </w:p>
        </w:tc>
      </w:tr>
      <w:tr w:rsidR="00A1204B" w:rsidRPr="003817EA" w14:paraId="06593AC0" w14:textId="77777777" w:rsidTr="00047038">
        <w:trPr>
          <w:jc w:val="left"/>
        </w:trPr>
        <w:tc>
          <w:tcPr>
            <w:tcW w:w="2135" w:type="dxa"/>
            <w:noWrap/>
            <w:hideMark/>
          </w:tcPr>
          <w:p w14:paraId="0954ADB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2014</w:t>
            </w:r>
          </w:p>
        </w:tc>
        <w:tc>
          <w:tcPr>
            <w:tcW w:w="1709" w:type="dxa"/>
            <w:noWrap/>
            <w:hideMark/>
          </w:tcPr>
          <w:p w14:paraId="109902B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184 6</w:t>
            </w:r>
          </w:p>
        </w:tc>
        <w:tc>
          <w:tcPr>
            <w:tcW w:w="1763" w:type="dxa"/>
            <w:noWrap/>
            <w:hideMark/>
          </w:tcPr>
          <w:p w14:paraId="59094FD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754 13</w:t>
            </w:r>
          </w:p>
        </w:tc>
        <w:tc>
          <w:tcPr>
            <w:tcW w:w="1763" w:type="dxa"/>
            <w:noWrap/>
            <w:hideMark/>
          </w:tcPr>
          <w:p w14:paraId="5549AC0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938 19</w:t>
            </w:r>
          </w:p>
        </w:tc>
      </w:tr>
      <w:tr w:rsidR="00A1204B" w:rsidRPr="003817EA" w14:paraId="07A7C03A" w14:textId="77777777" w:rsidTr="00047038">
        <w:trPr>
          <w:jc w:val="left"/>
        </w:trPr>
        <w:tc>
          <w:tcPr>
            <w:tcW w:w="2135" w:type="dxa"/>
            <w:noWrap/>
            <w:hideMark/>
          </w:tcPr>
          <w:p w14:paraId="282F7FB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2015</w:t>
            </w:r>
          </w:p>
        </w:tc>
        <w:tc>
          <w:tcPr>
            <w:tcW w:w="1709" w:type="dxa"/>
            <w:noWrap/>
            <w:hideMark/>
          </w:tcPr>
          <w:p w14:paraId="414255A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992 5</w:t>
            </w:r>
          </w:p>
        </w:tc>
        <w:tc>
          <w:tcPr>
            <w:tcW w:w="1763" w:type="dxa"/>
            <w:noWrap/>
            <w:hideMark/>
          </w:tcPr>
          <w:p w14:paraId="28DCFC4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370 13</w:t>
            </w:r>
          </w:p>
        </w:tc>
        <w:tc>
          <w:tcPr>
            <w:tcW w:w="1763" w:type="dxa"/>
            <w:noWrap/>
            <w:hideMark/>
          </w:tcPr>
          <w:p w14:paraId="40C6048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362 19</w:t>
            </w:r>
          </w:p>
        </w:tc>
      </w:tr>
      <w:tr w:rsidR="00A1204B" w:rsidRPr="003817EA" w14:paraId="46C4BEC8" w14:textId="77777777" w:rsidTr="00047038">
        <w:trPr>
          <w:jc w:val="left"/>
        </w:trPr>
        <w:tc>
          <w:tcPr>
            <w:tcW w:w="2135" w:type="dxa"/>
            <w:noWrap/>
            <w:hideMark/>
          </w:tcPr>
          <w:p w14:paraId="4986321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2016</w:t>
            </w:r>
          </w:p>
        </w:tc>
        <w:tc>
          <w:tcPr>
            <w:tcW w:w="1709" w:type="dxa"/>
            <w:noWrap/>
            <w:hideMark/>
          </w:tcPr>
          <w:p w14:paraId="3C3D292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067 6</w:t>
            </w:r>
          </w:p>
        </w:tc>
        <w:tc>
          <w:tcPr>
            <w:tcW w:w="1763" w:type="dxa"/>
            <w:noWrap/>
            <w:hideMark/>
          </w:tcPr>
          <w:p w14:paraId="115F790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023 13</w:t>
            </w:r>
          </w:p>
        </w:tc>
        <w:tc>
          <w:tcPr>
            <w:tcW w:w="1763" w:type="dxa"/>
            <w:noWrap/>
            <w:hideMark/>
          </w:tcPr>
          <w:p w14:paraId="16B2070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090 19</w:t>
            </w:r>
          </w:p>
        </w:tc>
      </w:tr>
      <w:tr w:rsidR="00A1204B" w:rsidRPr="003817EA" w14:paraId="3BBCDF16"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2135" w:type="dxa"/>
            <w:noWrap/>
          </w:tcPr>
          <w:p w14:paraId="04D7E8A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2017</w:t>
            </w:r>
          </w:p>
        </w:tc>
        <w:tc>
          <w:tcPr>
            <w:tcW w:w="1709" w:type="dxa"/>
            <w:noWrap/>
          </w:tcPr>
          <w:p w14:paraId="6A0635D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972 5</w:t>
            </w:r>
          </w:p>
        </w:tc>
        <w:tc>
          <w:tcPr>
            <w:tcW w:w="1763" w:type="dxa"/>
            <w:noWrap/>
          </w:tcPr>
          <w:p w14:paraId="0B4DA3F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041 13</w:t>
            </w:r>
          </w:p>
        </w:tc>
        <w:tc>
          <w:tcPr>
            <w:tcW w:w="1763" w:type="dxa"/>
            <w:noWrap/>
          </w:tcPr>
          <w:p w14:paraId="3C9859E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013 19</w:t>
            </w:r>
          </w:p>
        </w:tc>
      </w:tr>
    </w:tbl>
    <w:p w14:paraId="57C71A5E" w14:textId="77777777" w:rsidR="00A1204B" w:rsidRPr="001F1035" w:rsidRDefault="00A1204B" w:rsidP="00A1204B">
      <w:pPr>
        <w:pStyle w:val="H23GA"/>
        <w:rPr>
          <w:rtl/>
        </w:rPr>
      </w:pPr>
      <w:r w:rsidRPr="001F1035">
        <w:rPr>
          <w:rtl/>
        </w:rPr>
        <w:tab/>
      </w:r>
      <w:r w:rsidRPr="001F1035">
        <w:rPr>
          <w:rtl/>
        </w:rPr>
        <w:tab/>
        <w:t>التعليم الابتدائي والإعدادي</w:t>
      </w:r>
    </w:p>
    <w:p w14:paraId="0C4B7E04" w14:textId="77777777" w:rsidR="00A1204B" w:rsidRPr="00650416" w:rsidRDefault="00A1204B" w:rsidP="00A1204B">
      <w:pPr>
        <w:pStyle w:val="SingleTxtGA"/>
        <w:rPr>
          <w:spacing w:val="-4"/>
          <w:rtl/>
        </w:rPr>
      </w:pPr>
      <w:r w:rsidRPr="003817EA">
        <w:rPr>
          <w:rtl/>
        </w:rPr>
        <w:t>18-</w:t>
      </w:r>
      <w:r w:rsidRPr="003817EA">
        <w:rPr>
          <w:rtl/>
        </w:rPr>
        <w:tab/>
      </w:r>
      <w:r w:rsidRPr="00650416">
        <w:rPr>
          <w:spacing w:val="-4"/>
          <w:rtl/>
        </w:rPr>
        <w:t>ينتظم التعليم الإلزامي في هيكل واحد، كما هو موضح أعلاه. وتتولى وزارة التعليم والعلوم والثقافة مسؤولية الإدارة العامة لأي مسألة ينظِّمها قانون التعليم الإلزامي لعام 2008. أما تشغيل مدارس التعليم الإلزامي العادية وتدبيرُ التكاليف ذات الصلة فهما من مسؤولية البلديات. ويمتد التعليم الإلزامي عموماً على عشر سنوات، من سن السادسة إلى سن السادسة عشرة. ويعرض الدليل الوطني للمناهج الدراسية لمدارس التعليم الإلزامي الذي أصدرته وزارة التعليم والعلوم والثقافة عامي 2011 و2013، والذي يحدِّد مجالات الدراسة، إطار وشروط التعلم والتدريس استناداً إلى المبادئ الواردة في القوانين والأنظمة والاتفاقيات الدولية السارية.</w:t>
      </w:r>
    </w:p>
    <w:p w14:paraId="472E0837" w14:textId="77777777" w:rsidR="00A1204B" w:rsidRPr="001F1035" w:rsidRDefault="00A1204B" w:rsidP="00A1204B">
      <w:pPr>
        <w:pStyle w:val="H23GA"/>
        <w:rPr>
          <w:rtl/>
        </w:rPr>
      </w:pPr>
      <w:r w:rsidRPr="001F1035">
        <w:rPr>
          <w:rtl/>
        </w:rPr>
        <w:tab/>
      </w:r>
      <w:r w:rsidRPr="001F1035">
        <w:rPr>
          <w:rtl/>
        </w:rPr>
        <w:tab/>
        <w:t>المرحلة العليا من التعليم الثانوي</w:t>
      </w:r>
    </w:p>
    <w:p w14:paraId="4BFDF8A0" w14:textId="77777777" w:rsidR="00A1204B" w:rsidRPr="003817EA" w:rsidRDefault="00A1204B" w:rsidP="00A1204B">
      <w:pPr>
        <w:pStyle w:val="SingleTxtGA"/>
        <w:rPr>
          <w:rtl/>
        </w:rPr>
      </w:pPr>
      <w:r w:rsidRPr="003817EA">
        <w:rPr>
          <w:rtl/>
        </w:rPr>
        <w:t>19-</w:t>
      </w:r>
      <w:r w:rsidRPr="003817EA">
        <w:rPr>
          <w:rtl/>
        </w:rPr>
        <w:tab/>
        <w:t>تُعتبر الدراسات في المرحلة العليا من التعليم الثانوي امتداداً للتعليم الإلزامي. وتُختتم الدراسات بإجراء امتحان نهائي من قبيل شهادة مغادرة المدرسة الثانوية العليا، أو امتحان التأهيل المهني، أو امتحان القبول، أو أي تدبير آخر يختتم الدراسات رسميّاً. والمدارس الثانوية العليا العامة هي مؤسسات تديرها الدولة وتعمل تحت رعاية وزارة التعليم والعلوم والثقافة. ويعرض الدليل الوطني للمناهج الدراسية للمدارس الثانوية العليا الذي أصدرته وزارة التعليم والعلوم والثقافة في عام 2011 إطار وشروط التعلم والتدريس استناداً إلى المبادئ الواردة في القوانين والأنظمة والاتفاقيات الدولية السارية.</w:t>
      </w:r>
    </w:p>
    <w:p w14:paraId="6937F960" w14:textId="77777777" w:rsidR="00A1204B" w:rsidRPr="001F1035" w:rsidRDefault="00A1204B" w:rsidP="00A1204B">
      <w:pPr>
        <w:pStyle w:val="H23GA"/>
        <w:rPr>
          <w:rtl/>
        </w:rPr>
      </w:pPr>
      <w:r w:rsidRPr="001F1035">
        <w:rPr>
          <w:rtl/>
        </w:rPr>
        <w:tab/>
      </w:r>
      <w:r w:rsidRPr="001F1035">
        <w:rPr>
          <w:rtl/>
        </w:rPr>
        <w:tab/>
        <w:t>التعليم العالي</w:t>
      </w:r>
    </w:p>
    <w:p w14:paraId="2366BD41" w14:textId="77777777" w:rsidR="00A1204B" w:rsidRPr="003817EA" w:rsidRDefault="00A1204B" w:rsidP="00A1204B">
      <w:pPr>
        <w:pStyle w:val="SingleTxtGA"/>
        <w:rPr>
          <w:rtl/>
        </w:rPr>
      </w:pPr>
      <w:r w:rsidRPr="003817EA">
        <w:rPr>
          <w:rtl/>
        </w:rPr>
        <w:t>20-</w:t>
      </w:r>
      <w:r w:rsidRPr="003817EA">
        <w:rPr>
          <w:rtl/>
        </w:rPr>
        <w:tab/>
        <w:t>الإطار القانوني الذي ينظِّم التعليم العالي في آيسلندا هو قانون التعليم العالي لعام 2006. ويمنح وزير التعليم والعلوم والثقافة الاعتماد لمؤسسات التعليم العالي التي تستوفي المعايير المنصوص عليها في التشريعات الوطنية والمعايير المقبولة دوليّاً. وتوجد حالياً سبع مؤسسات للتعليم العالي في آيسلندا تحت رعاية وزارة التعليم والعلوم والثقافة. ويمكن أن تعمل مؤسسات التعليم العالي إما باعتبارها مموَّلة من الحكومة أو بصفتها منظمات غير ربحية أو يجوز أن تعتمد أي شكل مؤسسي آخر معترف به. ومع ذلك، لا يجوز تشغيلها لغرض تحقيق مكاسب مالية.</w:t>
      </w:r>
    </w:p>
    <w:p w14:paraId="3777373D" w14:textId="77777777" w:rsidR="00A1204B" w:rsidRPr="001F1035" w:rsidRDefault="00A1204B" w:rsidP="00A1204B">
      <w:pPr>
        <w:pStyle w:val="H23GA"/>
        <w:rPr>
          <w:rtl/>
        </w:rPr>
      </w:pPr>
      <w:r w:rsidRPr="001F1035">
        <w:rPr>
          <w:rtl/>
        </w:rPr>
        <w:tab/>
      </w:r>
      <w:r w:rsidRPr="001F1035">
        <w:rPr>
          <w:rtl/>
        </w:rPr>
        <w:tab/>
        <w:t>طلاب التعليم العالي في آيسلندا وخارجها</w:t>
      </w:r>
    </w:p>
    <w:tbl>
      <w:tblPr>
        <w:tblStyle w:val="TABLEA"/>
        <w:bidiVisual/>
        <w:tblW w:w="7370" w:type="dxa"/>
        <w:jc w:val="left"/>
        <w:tblInd w:w="1247" w:type="dxa"/>
        <w:tblLayout w:type="fixed"/>
        <w:tblLook w:val="04E0" w:firstRow="1" w:lastRow="1" w:firstColumn="1" w:lastColumn="0" w:noHBand="0" w:noVBand="1"/>
      </w:tblPr>
      <w:tblGrid>
        <w:gridCol w:w="1985"/>
        <w:gridCol w:w="1077"/>
        <w:gridCol w:w="1077"/>
        <w:gridCol w:w="1077"/>
        <w:gridCol w:w="1077"/>
        <w:gridCol w:w="1077"/>
      </w:tblGrid>
      <w:tr w:rsidR="00A1204B" w:rsidRPr="003817EA" w14:paraId="7E55DC1D"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1985" w:type="dxa"/>
            <w:noWrap/>
            <w:hideMark/>
          </w:tcPr>
          <w:p w14:paraId="738EE3B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الطلاب الملتحقون بالتعليم العالي</w:t>
            </w:r>
          </w:p>
        </w:tc>
        <w:tc>
          <w:tcPr>
            <w:tcW w:w="1077" w:type="dxa"/>
            <w:noWrap/>
            <w:hideMark/>
          </w:tcPr>
          <w:p w14:paraId="4BC2EB66"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2013</w:t>
            </w:r>
          </w:p>
        </w:tc>
        <w:tc>
          <w:tcPr>
            <w:tcW w:w="1077" w:type="dxa"/>
            <w:noWrap/>
            <w:hideMark/>
          </w:tcPr>
          <w:p w14:paraId="0FCD9514"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2014</w:t>
            </w:r>
          </w:p>
        </w:tc>
        <w:tc>
          <w:tcPr>
            <w:tcW w:w="1077" w:type="dxa"/>
            <w:noWrap/>
            <w:hideMark/>
          </w:tcPr>
          <w:p w14:paraId="5CDCDEC1"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2015</w:t>
            </w:r>
          </w:p>
        </w:tc>
        <w:tc>
          <w:tcPr>
            <w:tcW w:w="1077" w:type="dxa"/>
            <w:noWrap/>
            <w:hideMark/>
          </w:tcPr>
          <w:p w14:paraId="205A7EB0"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2016</w:t>
            </w:r>
          </w:p>
        </w:tc>
        <w:tc>
          <w:tcPr>
            <w:tcW w:w="1077" w:type="dxa"/>
            <w:noWrap/>
            <w:hideMark/>
          </w:tcPr>
          <w:p w14:paraId="4ABAE0FB"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2017</w:t>
            </w:r>
          </w:p>
        </w:tc>
      </w:tr>
      <w:tr w:rsidR="00A1204B" w:rsidRPr="003817EA" w14:paraId="2E4C1F7C" w14:textId="77777777" w:rsidTr="00047038">
        <w:trPr>
          <w:jc w:val="left"/>
        </w:trPr>
        <w:tc>
          <w:tcPr>
            <w:tcW w:w="1985" w:type="dxa"/>
            <w:noWrap/>
            <w:hideMark/>
          </w:tcPr>
          <w:p w14:paraId="3EEA4A0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المستوى الجامعي</w:t>
            </w:r>
          </w:p>
        </w:tc>
        <w:tc>
          <w:tcPr>
            <w:tcW w:w="1077" w:type="dxa"/>
            <w:noWrap/>
            <w:hideMark/>
          </w:tcPr>
          <w:p w14:paraId="3D27EF4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399 19</w:t>
            </w:r>
          </w:p>
        </w:tc>
        <w:tc>
          <w:tcPr>
            <w:tcW w:w="1077" w:type="dxa"/>
            <w:noWrap/>
            <w:hideMark/>
          </w:tcPr>
          <w:p w14:paraId="40142C3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18 41</w:t>
            </w:r>
          </w:p>
        </w:tc>
        <w:tc>
          <w:tcPr>
            <w:tcW w:w="1077" w:type="dxa"/>
            <w:noWrap/>
            <w:hideMark/>
          </w:tcPr>
          <w:p w14:paraId="60F24D7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125 18</w:t>
            </w:r>
          </w:p>
        </w:tc>
        <w:tc>
          <w:tcPr>
            <w:tcW w:w="1077" w:type="dxa"/>
            <w:noWrap/>
            <w:hideMark/>
          </w:tcPr>
          <w:p w14:paraId="4A92D39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571 17</w:t>
            </w:r>
          </w:p>
        </w:tc>
        <w:tc>
          <w:tcPr>
            <w:tcW w:w="1077" w:type="dxa"/>
            <w:noWrap/>
            <w:hideMark/>
          </w:tcPr>
          <w:p w14:paraId="7DCCA11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255 17</w:t>
            </w:r>
          </w:p>
        </w:tc>
      </w:tr>
      <w:tr w:rsidR="00A1204B" w:rsidRPr="003817EA" w14:paraId="4BCBA5FD" w14:textId="77777777" w:rsidTr="00047038">
        <w:trPr>
          <w:jc w:val="left"/>
        </w:trPr>
        <w:tc>
          <w:tcPr>
            <w:tcW w:w="1985" w:type="dxa"/>
            <w:noWrap/>
            <w:hideMark/>
          </w:tcPr>
          <w:p w14:paraId="396099E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1077" w:type="dxa"/>
            <w:noWrap/>
            <w:hideMark/>
          </w:tcPr>
          <w:p w14:paraId="49FD4C8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291 7</w:t>
            </w:r>
          </w:p>
        </w:tc>
        <w:tc>
          <w:tcPr>
            <w:tcW w:w="1077" w:type="dxa"/>
            <w:noWrap/>
            <w:hideMark/>
          </w:tcPr>
          <w:p w14:paraId="156D721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828 6</w:t>
            </w:r>
          </w:p>
        </w:tc>
        <w:tc>
          <w:tcPr>
            <w:tcW w:w="1077" w:type="dxa"/>
            <w:noWrap/>
            <w:hideMark/>
          </w:tcPr>
          <w:p w14:paraId="22BECC2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558 6</w:t>
            </w:r>
          </w:p>
        </w:tc>
        <w:tc>
          <w:tcPr>
            <w:tcW w:w="1077" w:type="dxa"/>
            <w:noWrap/>
            <w:hideMark/>
          </w:tcPr>
          <w:p w14:paraId="0CAAA7F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369 6</w:t>
            </w:r>
          </w:p>
        </w:tc>
        <w:tc>
          <w:tcPr>
            <w:tcW w:w="1077" w:type="dxa"/>
            <w:noWrap/>
            <w:hideMark/>
          </w:tcPr>
          <w:p w14:paraId="09F9B61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264 6</w:t>
            </w:r>
          </w:p>
        </w:tc>
      </w:tr>
      <w:tr w:rsidR="00A1204B" w:rsidRPr="003817EA" w14:paraId="73DAFA9F" w14:textId="77777777" w:rsidTr="00047038">
        <w:trPr>
          <w:jc w:val="left"/>
        </w:trPr>
        <w:tc>
          <w:tcPr>
            <w:tcW w:w="1985" w:type="dxa"/>
            <w:noWrap/>
            <w:hideMark/>
          </w:tcPr>
          <w:p w14:paraId="5EABAAA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1077" w:type="dxa"/>
            <w:noWrap/>
            <w:hideMark/>
          </w:tcPr>
          <w:p w14:paraId="7ABDECE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108 12</w:t>
            </w:r>
          </w:p>
        </w:tc>
        <w:tc>
          <w:tcPr>
            <w:tcW w:w="1077" w:type="dxa"/>
            <w:noWrap/>
            <w:hideMark/>
          </w:tcPr>
          <w:p w14:paraId="6335606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582 11</w:t>
            </w:r>
          </w:p>
        </w:tc>
        <w:tc>
          <w:tcPr>
            <w:tcW w:w="1077" w:type="dxa"/>
            <w:noWrap/>
            <w:hideMark/>
          </w:tcPr>
          <w:p w14:paraId="11BF782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991 10</w:t>
            </w:r>
          </w:p>
        </w:tc>
        <w:tc>
          <w:tcPr>
            <w:tcW w:w="1077" w:type="dxa"/>
            <w:noWrap/>
            <w:hideMark/>
          </w:tcPr>
          <w:p w14:paraId="79704C5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567 11</w:t>
            </w:r>
          </w:p>
        </w:tc>
        <w:tc>
          <w:tcPr>
            <w:tcW w:w="1077" w:type="dxa"/>
            <w:noWrap/>
            <w:hideMark/>
          </w:tcPr>
          <w:p w14:paraId="642ED62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202 11</w:t>
            </w:r>
          </w:p>
        </w:tc>
      </w:tr>
      <w:tr w:rsidR="00A1204B" w:rsidRPr="003817EA" w14:paraId="07BEC7C7" w14:textId="77777777" w:rsidTr="00047038">
        <w:trPr>
          <w:jc w:val="left"/>
        </w:trPr>
        <w:tc>
          <w:tcPr>
            <w:tcW w:w="1985" w:type="dxa"/>
            <w:noWrap/>
            <w:hideMark/>
          </w:tcPr>
          <w:p w14:paraId="32CD9F2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درجات دكتوراه</w:t>
            </w:r>
          </w:p>
        </w:tc>
        <w:tc>
          <w:tcPr>
            <w:tcW w:w="1077" w:type="dxa"/>
            <w:noWrap/>
            <w:hideMark/>
          </w:tcPr>
          <w:p w14:paraId="155F322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491</w:t>
            </w:r>
          </w:p>
        </w:tc>
        <w:tc>
          <w:tcPr>
            <w:tcW w:w="1077" w:type="dxa"/>
            <w:noWrap/>
            <w:hideMark/>
          </w:tcPr>
          <w:p w14:paraId="001492C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519</w:t>
            </w:r>
          </w:p>
        </w:tc>
        <w:tc>
          <w:tcPr>
            <w:tcW w:w="1077" w:type="dxa"/>
            <w:noWrap/>
            <w:hideMark/>
          </w:tcPr>
          <w:p w14:paraId="304EEEF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465</w:t>
            </w:r>
          </w:p>
        </w:tc>
        <w:tc>
          <w:tcPr>
            <w:tcW w:w="1077" w:type="dxa"/>
            <w:noWrap/>
            <w:hideMark/>
          </w:tcPr>
          <w:p w14:paraId="5F329FC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469</w:t>
            </w:r>
          </w:p>
        </w:tc>
        <w:tc>
          <w:tcPr>
            <w:tcW w:w="1077" w:type="dxa"/>
            <w:noWrap/>
            <w:hideMark/>
          </w:tcPr>
          <w:p w14:paraId="342843D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637</w:t>
            </w:r>
          </w:p>
        </w:tc>
      </w:tr>
      <w:tr w:rsidR="00A1204B" w:rsidRPr="003817EA" w14:paraId="185081AA" w14:textId="77777777" w:rsidTr="00047038">
        <w:trPr>
          <w:jc w:val="left"/>
        </w:trPr>
        <w:tc>
          <w:tcPr>
            <w:tcW w:w="1985" w:type="dxa"/>
            <w:noWrap/>
            <w:hideMark/>
          </w:tcPr>
          <w:p w14:paraId="3D02D3C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1077" w:type="dxa"/>
            <w:noWrap/>
            <w:hideMark/>
          </w:tcPr>
          <w:p w14:paraId="3082E21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186</w:t>
            </w:r>
          </w:p>
        </w:tc>
        <w:tc>
          <w:tcPr>
            <w:tcW w:w="1077" w:type="dxa"/>
            <w:noWrap/>
            <w:hideMark/>
          </w:tcPr>
          <w:p w14:paraId="2827742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198</w:t>
            </w:r>
          </w:p>
        </w:tc>
        <w:tc>
          <w:tcPr>
            <w:tcW w:w="1077" w:type="dxa"/>
            <w:noWrap/>
            <w:hideMark/>
          </w:tcPr>
          <w:p w14:paraId="0CA0BF9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182</w:t>
            </w:r>
          </w:p>
        </w:tc>
        <w:tc>
          <w:tcPr>
            <w:tcW w:w="1077" w:type="dxa"/>
            <w:noWrap/>
            <w:hideMark/>
          </w:tcPr>
          <w:p w14:paraId="0DE1A94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185</w:t>
            </w:r>
          </w:p>
        </w:tc>
        <w:tc>
          <w:tcPr>
            <w:tcW w:w="1077" w:type="dxa"/>
            <w:noWrap/>
            <w:hideMark/>
          </w:tcPr>
          <w:p w14:paraId="25285BA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262</w:t>
            </w:r>
          </w:p>
        </w:tc>
      </w:tr>
      <w:tr w:rsidR="00A1204B" w:rsidRPr="003817EA" w14:paraId="14570FF4"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1985" w:type="dxa"/>
            <w:noWrap/>
            <w:hideMark/>
          </w:tcPr>
          <w:p w14:paraId="638B1D7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1077" w:type="dxa"/>
            <w:noWrap/>
            <w:hideMark/>
          </w:tcPr>
          <w:p w14:paraId="6AF7303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305</w:t>
            </w:r>
          </w:p>
        </w:tc>
        <w:tc>
          <w:tcPr>
            <w:tcW w:w="1077" w:type="dxa"/>
            <w:noWrap/>
            <w:hideMark/>
          </w:tcPr>
          <w:p w14:paraId="28022FE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321</w:t>
            </w:r>
          </w:p>
        </w:tc>
        <w:tc>
          <w:tcPr>
            <w:tcW w:w="1077" w:type="dxa"/>
            <w:noWrap/>
            <w:hideMark/>
          </w:tcPr>
          <w:p w14:paraId="76F3D30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283</w:t>
            </w:r>
          </w:p>
        </w:tc>
        <w:tc>
          <w:tcPr>
            <w:tcW w:w="1077" w:type="dxa"/>
            <w:noWrap/>
            <w:hideMark/>
          </w:tcPr>
          <w:p w14:paraId="02F3C34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284</w:t>
            </w:r>
          </w:p>
        </w:tc>
        <w:tc>
          <w:tcPr>
            <w:tcW w:w="1077" w:type="dxa"/>
            <w:noWrap/>
            <w:hideMark/>
          </w:tcPr>
          <w:p w14:paraId="5C967D7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375</w:t>
            </w:r>
          </w:p>
        </w:tc>
      </w:tr>
    </w:tbl>
    <w:p w14:paraId="6B0BBB16" w14:textId="77777777" w:rsidR="00A1204B" w:rsidRPr="001F1035" w:rsidRDefault="00A1204B" w:rsidP="00A1204B">
      <w:pPr>
        <w:pStyle w:val="H4GA"/>
        <w:rPr>
          <w:rtl/>
        </w:rPr>
      </w:pPr>
      <w:r w:rsidRPr="001F1035">
        <w:rPr>
          <w:rtl/>
        </w:rPr>
        <w:tab/>
      </w:r>
      <w:r w:rsidRPr="001F1035">
        <w:rPr>
          <w:rtl/>
        </w:rPr>
        <w:tab/>
        <w:t>والتعليم مصنَّف حسب التصنيف الدولي الموحد للتعليم لعام 1997.</w:t>
      </w:r>
    </w:p>
    <w:tbl>
      <w:tblPr>
        <w:tblStyle w:val="TABLEA"/>
        <w:bidiVisual/>
        <w:tblW w:w="7370" w:type="dxa"/>
        <w:jc w:val="left"/>
        <w:tblInd w:w="1247" w:type="dxa"/>
        <w:tblLayout w:type="fixed"/>
        <w:tblLook w:val="04E0" w:firstRow="1" w:lastRow="1" w:firstColumn="1" w:lastColumn="0" w:noHBand="0" w:noVBand="1"/>
      </w:tblPr>
      <w:tblGrid>
        <w:gridCol w:w="1641"/>
        <w:gridCol w:w="1145"/>
        <w:gridCol w:w="1146"/>
        <w:gridCol w:w="1146"/>
        <w:gridCol w:w="1146"/>
        <w:gridCol w:w="1146"/>
      </w:tblGrid>
      <w:tr w:rsidR="00A1204B" w:rsidRPr="003817EA" w14:paraId="6F0D84B2"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1720" w:type="dxa"/>
            <w:noWrap/>
            <w:hideMark/>
          </w:tcPr>
          <w:p w14:paraId="3C1524B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الطلاب خارج البلد</w:t>
            </w:r>
          </w:p>
        </w:tc>
        <w:tc>
          <w:tcPr>
            <w:tcW w:w="1200" w:type="dxa"/>
            <w:noWrap/>
            <w:hideMark/>
          </w:tcPr>
          <w:p w14:paraId="122E65B6"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2013</w:t>
            </w:r>
          </w:p>
        </w:tc>
        <w:tc>
          <w:tcPr>
            <w:tcW w:w="1200" w:type="dxa"/>
            <w:noWrap/>
            <w:hideMark/>
          </w:tcPr>
          <w:p w14:paraId="1900B9CE"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2014</w:t>
            </w:r>
          </w:p>
        </w:tc>
        <w:tc>
          <w:tcPr>
            <w:tcW w:w="1200" w:type="dxa"/>
            <w:noWrap/>
            <w:hideMark/>
          </w:tcPr>
          <w:p w14:paraId="4BE4E0A3"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2015</w:t>
            </w:r>
          </w:p>
        </w:tc>
        <w:tc>
          <w:tcPr>
            <w:tcW w:w="1200" w:type="dxa"/>
            <w:noWrap/>
            <w:hideMark/>
          </w:tcPr>
          <w:p w14:paraId="268AAE06"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2016</w:t>
            </w:r>
          </w:p>
        </w:tc>
        <w:tc>
          <w:tcPr>
            <w:tcW w:w="1200" w:type="dxa"/>
            <w:noWrap/>
            <w:hideMark/>
          </w:tcPr>
          <w:p w14:paraId="3142E9BB"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2017</w:t>
            </w:r>
          </w:p>
        </w:tc>
      </w:tr>
      <w:tr w:rsidR="00A1204B" w:rsidRPr="003817EA" w14:paraId="7D6D956E" w14:textId="77777777" w:rsidTr="00047038">
        <w:trPr>
          <w:jc w:val="left"/>
        </w:trPr>
        <w:tc>
          <w:tcPr>
            <w:tcW w:w="1720" w:type="dxa"/>
            <w:noWrap/>
            <w:hideMark/>
          </w:tcPr>
          <w:p w14:paraId="74A891B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ذكور</w:t>
            </w:r>
          </w:p>
        </w:tc>
        <w:tc>
          <w:tcPr>
            <w:tcW w:w="1200" w:type="dxa"/>
            <w:noWrap/>
            <w:hideMark/>
          </w:tcPr>
          <w:p w14:paraId="01EB908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 910 </w:t>
            </w:r>
          </w:p>
        </w:tc>
        <w:tc>
          <w:tcPr>
            <w:tcW w:w="1200" w:type="dxa"/>
            <w:noWrap/>
            <w:hideMark/>
          </w:tcPr>
          <w:p w14:paraId="4514133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853</w:t>
            </w:r>
          </w:p>
        </w:tc>
        <w:tc>
          <w:tcPr>
            <w:tcW w:w="1200" w:type="dxa"/>
            <w:noWrap/>
            <w:hideMark/>
          </w:tcPr>
          <w:p w14:paraId="2E31D0B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796</w:t>
            </w:r>
          </w:p>
        </w:tc>
        <w:tc>
          <w:tcPr>
            <w:tcW w:w="1200" w:type="dxa"/>
            <w:noWrap/>
            <w:hideMark/>
          </w:tcPr>
          <w:p w14:paraId="4821D68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685</w:t>
            </w:r>
          </w:p>
        </w:tc>
        <w:tc>
          <w:tcPr>
            <w:tcW w:w="1200" w:type="dxa"/>
            <w:noWrap/>
            <w:hideMark/>
          </w:tcPr>
          <w:p w14:paraId="552EBF4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604</w:t>
            </w:r>
          </w:p>
        </w:tc>
      </w:tr>
      <w:tr w:rsidR="00A1204B" w:rsidRPr="003817EA" w14:paraId="51F8A26B" w14:textId="77777777" w:rsidTr="002E3DD0">
        <w:trPr>
          <w:jc w:val="left"/>
        </w:trPr>
        <w:tc>
          <w:tcPr>
            <w:tcW w:w="1720" w:type="dxa"/>
            <w:tcBorders>
              <w:bottom w:val="single" w:sz="4" w:space="0" w:color="auto"/>
            </w:tcBorders>
            <w:noWrap/>
            <w:hideMark/>
          </w:tcPr>
          <w:p w14:paraId="700AA07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إناث</w:t>
            </w:r>
          </w:p>
        </w:tc>
        <w:tc>
          <w:tcPr>
            <w:tcW w:w="1200" w:type="dxa"/>
            <w:tcBorders>
              <w:bottom w:val="single" w:sz="4" w:space="0" w:color="auto"/>
            </w:tcBorders>
            <w:noWrap/>
            <w:hideMark/>
          </w:tcPr>
          <w:p w14:paraId="62BAA05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001 1</w:t>
            </w:r>
          </w:p>
        </w:tc>
        <w:tc>
          <w:tcPr>
            <w:tcW w:w="1200" w:type="dxa"/>
            <w:tcBorders>
              <w:bottom w:val="single" w:sz="4" w:space="0" w:color="auto"/>
            </w:tcBorders>
            <w:noWrap/>
            <w:hideMark/>
          </w:tcPr>
          <w:p w14:paraId="2CA507F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927</w:t>
            </w:r>
          </w:p>
        </w:tc>
        <w:tc>
          <w:tcPr>
            <w:tcW w:w="1200" w:type="dxa"/>
            <w:tcBorders>
              <w:bottom w:val="single" w:sz="4" w:space="0" w:color="auto"/>
            </w:tcBorders>
            <w:noWrap/>
            <w:hideMark/>
          </w:tcPr>
          <w:p w14:paraId="5230301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817</w:t>
            </w:r>
          </w:p>
        </w:tc>
        <w:tc>
          <w:tcPr>
            <w:tcW w:w="1200" w:type="dxa"/>
            <w:tcBorders>
              <w:bottom w:val="single" w:sz="4" w:space="0" w:color="auto"/>
            </w:tcBorders>
            <w:noWrap/>
            <w:hideMark/>
          </w:tcPr>
          <w:p w14:paraId="1DB2425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745</w:t>
            </w:r>
          </w:p>
        </w:tc>
        <w:tc>
          <w:tcPr>
            <w:tcW w:w="1200" w:type="dxa"/>
            <w:tcBorders>
              <w:bottom w:val="single" w:sz="4" w:space="0" w:color="auto"/>
            </w:tcBorders>
            <w:noWrap/>
            <w:hideMark/>
          </w:tcPr>
          <w:p w14:paraId="5AA6F45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751</w:t>
            </w:r>
          </w:p>
        </w:tc>
      </w:tr>
      <w:tr w:rsidR="00A1204B" w:rsidRPr="003817EA" w14:paraId="4E2AA413" w14:textId="77777777" w:rsidTr="002E3DD0">
        <w:trPr>
          <w:cnfStyle w:val="010000000000" w:firstRow="0" w:lastRow="1" w:firstColumn="0" w:lastColumn="0" w:oddVBand="0" w:evenVBand="0" w:oddHBand="0" w:evenHBand="0" w:firstRowFirstColumn="0" w:firstRowLastColumn="0" w:lastRowFirstColumn="0" w:lastRowLastColumn="0"/>
          <w:jc w:val="left"/>
        </w:trPr>
        <w:tc>
          <w:tcPr>
            <w:tcW w:w="1720" w:type="dxa"/>
            <w:tcBorders>
              <w:top w:val="single" w:sz="4" w:space="0" w:color="auto"/>
            </w:tcBorders>
            <w:noWrap/>
            <w:hideMark/>
          </w:tcPr>
          <w:p w14:paraId="4A7BC387" w14:textId="77777777" w:rsidR="00A1204B" w:rsidRPr="00650416" w:rsidRDefault="00A1204B" w:rsidP="00650416">
            <w:pPr>
              <w:pStyle w:val="SingleTxtGA"/>
              <w:tabs>
                <w:tab w:val="clear" w:pos="1928"/>
                <w:tab w:val="clear" w:pos="2608"/>
                <w:tab w:val="clear" w:pos="3289"/>
                <w:tab w:val="clear" w:pos="3969"/>
                <w:tab w:val="clear" w:pos="4649"/>
                <w:tab w:val="clear" w:pos="5330"/>
              </w:tabs>
              <w:spacing w:before="40" w:after="40" w:line="260" w:lineRule="exact"/>
              <w:ind w:left="340" w:right="57"/>
              <w:rPr>
                <w:b/>
                <w:bCs/>
                <w:sz w:val="18"/>
                <w:szCs w:val="18"/>
                <w:rtl/>
              </w:rPr>
            </w:pPr>
            <w:r w:rsidRPr="001F1035">
              <w:rPr>
                <w:b/>
                <w:bCs/>
                <w:sz w:val="18"/>
                <w:szCs w:val="18"/>
                <w:rtl/>
              </w:rPr>
              <w:t>المجموع</w:t>
            </w:r>
          </w:p>
        </w:tc>
        <w:tc>
          <w:tcPr>
            <w:tcW w:w="1200" w:type="dxa"/>
            <w:tcBorders>
              <w:top w:val="single" w:sz="4" w:space="0" w:color="auto"/>
            </w:tcBorders>
            <w:noWrap/>
            <w:hideMark/>
          </w:tcPr>
          <w:p w14:paraId="0908F806"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911 1</w:t>
            </w:r>
          </w:p>
        </w:tc>
        <w:tc>
          <w:tcPr>
            <w:tcW w:w="1200" w:type="dxa"/>
            <w:tcBorders>
              <w:top w:val="single" w:sz="4" w:space="0" w:color="auto"/>
            </w:tcBorders>
            <w:noWrap/>
            <w:hideMark/>
          </w:tcPr>
          <w:p w14:paraId="381FB9D3"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780 1</w:t>
            </w:r>
          </w:p>
        </w:tc>
        <w:tc>
          <w:tcPr>
            <w:tcW w:w="1200" w:type="dxa"/>
            <w:tcBorders>
              <w:top w:val="single" w:sz="4" w:space="0" w:color="auto"/>
            </w:tcBorders>
            <w:noWrap/>
            <w:hideMark/>
          </w:tcPr>
          <w:p w14:paraId="34289D9C"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613 1</w:t>
            </w:r>
          </w:p>
        </w:tc>
        <w:tc>
          <w:tcPr>
            <w:tcW w:w="1200" w:type="dxa"/>
            <w:tcBorders>
              <w:top w:val="single" w:sz="4" w:space="0" w:color="auto"/>
            </w:tcBorders>
            <w:noWrap/>
            <w:hideMark/>
          </w:tcPr>
          <w:p w14:paraId="153327DE"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430 1</w:t>
            </w:r>
          </w:p>
        </w:tc>
        <w:tc>
          <w:tcPr>
            <w:tcW w:w="1200" w:type="dxa"/>
            <w:tcBorders>
              <w:top w:val="single" w:sz="4" w:space="0" w:color="auto"/>
            </w:tcBorders>
            <w:noWrap/>
            <w:hideMark/>
          </w:tcPr>
          <w:p w14:paraId="668D19FB" w14:textId="77777777" w:rsidR="00A1204B" w:rsidRPr="00650416"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b/>
                <w:bCs/>
                <w:sz w:val="18"/>
                <w:szCs w:val="18"/>
                <w:rtl/>
              </w:rPr>
            </w:pPr>
            <w:r w:rsidRPr="00650416">
              <w:rPr>
                <w:b/>
                <w:bCs/>
                <w:sz w:val="18"/>
                <w:szCs w:val="18"/>
                <w:rtl/>
              </w:rPr>
              <w:t>355 1</w:t>
            </w:r>
          </w:p>
        </w:tc>
      </w:tr>
    </w:tbl>
    <w:p w14:paraId="54E54A56" w14:textId="77777777" w:rsidR="00A1204B" w:rsidRPr="001F1035" w:rsidRDefault="00A1204B" w:rsidP="00A1204B">
      <w:pPr>
        <w:pStyle w:val="SingleTxtGA"/>
        <w:spacing w:before="60" w:line="280" w:lineRule="exact"/>
        <w:rPr>
          <w:rFonts w:ascii="Times New Roman Italic" w:hAnsi="Times New Roman Italic" w:hint="eastAsia"/>
          <w:i/>
          <w:iCs/>
          <w:sz w:val="18"/>
          <w:szCs w:val="18"/>
          <w:rtl/>
        </w:rPr>
      </w:pPr>
      <w:r w:rsidRPr="003817EA">
        <w:rPr>
          <w:rFonts w:ascii="Times New Roman Italic" w:hAnsi="Times New Roman Italic"/>
          <w:sz w:val="18"/>
          <w:szCs w:val="18"/>
          <w:rtl/>
        </w:rPr>
        <w:tab/>
      </w:r>
      <w:r w:rsidRPr="001F1035">
        <w:rPr>
          <w:rFonts w:ascii="Times New Roman Italic" w:hAnsi="Times New Roman Italic"/>
          <w:i/>
          <w:iCs/>
          <w:sz w:val="18"/>
          <w:szCs w:val="18"/>
          <w:rtl/>
        </w:rPr>
        <w:t>يُحتسب الطلاب خارج البلد من خلال عدد الطلاب الذين يتقدمون بطلب للحصول على قرض من صندوق القروض الطلابية الآيسلندي. ولا يُدرج الطلاب الآخرون ضمن هذه الأرقام.</w:t>
      </w:r>
    </w:p>
    <w:p w14:paraId="7B61B27C" w14:textId="77777777" w:rsidR="00A1204B" w:rsidRPr="001F1035" w:rsidRDefault="00A1204B" w:rsidP="00A1204B">
      <w:pPr>
        <w:pStyle w:val="H23GA"/>
        <w:rPr>
          <w:rtl/>
        </w:rPr>
      </w:pPr>
      <w:r w:rsidRPr="001F1035">
        <w:rPr>
          <w:rtl/>
        </w:rPr>
        <w:tab/>
      </w:r>
      <w:r w:rsidRPr="001F1035">
        <w:rPr>
          <w:rtl/>
        </w:rPr>
        <w:tab/>
        <w:t>تعليم الكبار</w:t>
      </w:r>
    </w:p>
    <w:p w14:paraId="6E0938CE" w14:textId="77777777" w:rsidR="00A1204B" w:rsidRPr="003817EA" w:rsidRDefault="00A1204B" w:rsidP="00A1204B">
      <w:pPr>
        <w:pStyle w:val="SingleTxtGA"/>
        <w:rPr>
          <w:rtl/>
        </w:rPr>
      </w:pPr>
      <w:r w:rsidRPr="003817EA">
        <w:rPr>
          <w:rtl/>
        </w:rPr>
        <w:t>21-</w:t>
      </w:r>
      <w:r w:rsidRPr="003817EA">
        <w:rPr>
          <w:rtl/>
        </w:rPr>
        <w:tab/>
        <w:t>يهدف تعليم الكبار إلى توفير فرص تعليمية ملائمة للكبار الذين يواجهون محدودية في التعليم الرسمي، وتيسيرِ عملية تجديد عهدهم بالدراسة، على النحو المنصوص عليه في القانون رقم 27/2010. وتشمل الخدمات الأساسية لتعليم الكبار ثلاثة جوانب، هي أولاً الدراسة والتوجيه المهني، وهو شرط أساسي للجانبين الآخرين من الخدمات، وهما التصديقُ على التعلم المسبق واعتمادُ البرامج الدراسية. والهدف من تعليم الكبار هو تثبيتُ الخبرة المهنية والاعترافُ بها، وتوفير منافذ إلى التعليم الثانوي، أو برامج تتيح الولوج إلى دراسات التعليم العالي أو سوق العمل.</w:t>
      </w:r>
    </w:p>
    <w:p w14:paraId="72D5171E" w14:textId="77777777" w:rsidR="00A1204B" w:rsidRPr="003817EA" w:rsidRDefault="00A1204B" w:rsidP="00A1204B">
      <w:pPr>
        <w:pStyle w:val="SingleTxtGA"/>
        <w:rPr>
          <w:rtl/>
        </w:rPr>
      </w:pPr>
      <w:r w:rsidRPr="003817EA">
        <w:rPr>
          <w:rtl/>
        </w:rPr>
        <w:t>22-</w:t>
      </w:r>
      <w:r w:rsidRPr="003817EA">
        <w:rPr>
          <w:rtl/>
        </w:rPr>
        <w:tab/>
        <w:t>وينسِّق مركز خدمات التعليم والتدريب جهود تطوير التوجيه المهني للفئة المستهدفة بالتعاون مع مقدمي الخدمات التعليمية المعتمدين في جميع أنحاء البلد. ويشمل هذا التعاون حلقات دراسية منتظمة ينظِّمها مركز خدمات التعليم والتدريب. وقد أولى المركز أهمية بالغة لجودة التعلم بوضع مؤشرات الجودة لمقدِّمي الخدمات التعليمية وتوفير دورات تدريبية للمدرسين. وتستند مؤشرات الجودة التي وضعها المركز إلى نظام ضمان الجودة في بلدان الشمال الأوروبي وأوروبا.</w:t>
      </w:r>
    </w:p>
    <w:p w14:paraId="73E4C378" w14:textId="77777777" w:rsidR="00A1204B" w:rsidRPr="001F1035" w:rsidRDefault="00A1204B" w:rsidP="00A1204B">
      <w:pPr>
        <w:pStyle w:val="H23GA"/>
        <w:rPr>
          <w:rtl/>
        </w:rPr>
      </w:pPr>
      <w:r w:rsidRPr="001F1035">
        <w:rPr>
          <w:rtl/>
        </w:rPr>
        <w:tab/>
      </w:r>
      <w:r w:rsidRPr="001F1035">
        <w:rPr>
          <w:rtl/>
        </w:rPr>
        <w:tab/>
        <w:t>مديرية التعليم</w:t>
      </w:r>
    </w:p>
    <w:p w14:paraId="2A2BD040" w14:textId="77777777" w:rsidR="00A1204B" w:rsidRPr="003817EA" w:rsidRDefault="00A1204B" w:rsidP="00A1204B">
      <w:pPr>
        <w:pStyle w:val="SingleTxtGA"/>
        <w:rPr>
          <w:rtl/>
        </w:rPr>
      </w:pPr>
      <w:r w:rsidRPr="003817EA">
        <w:rPr>
          <w:rtl/>
        </w:rPr>
        <w:t>23-</w:t>
      </w:r>
      <w:r w:rsidRPr="003817EA">
        <w:rPr>
          <w:rtl/>
        </w:rPr>
        <w:tab/>
        <w:t>أنشئت مديرية التعليم في 1 تشرين الأول/أكتوبر 2015 عقب اعتماد القانون رقم 91/2015. وهي مؤسسة إدارية في مجال التعليم، هدفها الرئيسي تحسين الجودة ودعم التقدم في ميدان التعليم وفقاً للقانون والسياسات الحكومية وأفضل الأدلة والمعايير الدولية. وقد تولت المديرية مسؤوليات المعهد السابق لاختبار التعليم والمركز الوطني للمواد التعليمية. كما تولت مسؤولية بعض المهام الإدارية من وزارة التعليم والعلوم والثقافة، ومسؤولية مشاريع جديدة مثل تنفيذ الاتفاق الوطني بشأن محو الأمية. وتتمثل المهام الرئيسية للمديرية في ما يلي:</w:t>
      </w:r>
    </w:p>
    <w:p w14:paraId="6DE0F240" w14:textId="77777777" w:rsidR="00A1204B" w:rsidRPr="003817EA" w:rsidRDefault="00A1204B" w:rsidP="00A1204B">
      <w:pPr>
        <w:pStyle w:val="Bullet1GA"/>
        <w:rPr>
          <w:rtl/>
        </w:rPr>
      </w:pPr>
      <w:r w:rsidRPr="003817EA">
        <w:rPr>
          <w:rtl/>
        </w:rPr>
        <w:t>تزويد جميع أطفال المدارس بمواد تعليمية متنوعة وذات جودة وفقاً لدليل المناهج الوطنية في آيسلندا؛</w:t>
      </w:r>
    </w:p>
    <w:p w14:paraId="69BA7AA2" w14:textId="77777777" w:rsidR="00A1204B" w:rsidRPr="003817EA" w:rsidRDefault="00A1204B" w:rsidP="00A1204B">
      <w:pPr>
        <w:pStyle w:val="Bullet1GA"/>
        <w:rPr>
          <w:rtl/>
        </w:rPr>
      </w:pPr>
      <w:r w:rsidRPr="003817EA">
        <w:rPr>
          <w:rtl/>
        </w:rPr>
        <w:t>مراقبة التحصيل الدراسي وتقييمه، وإجراء امتحانات وطنية منسقة ودراسات دولية مثل برنامج التقييم الدولي للطلاب؛</w:t>
      </w:r>
    </w:p>
    <w:p w14:paraId="31FF7C95" w14:textId="77777777" w:rsidR="00A1204B" w:rsidRPr="003817EA" w:rsidRDefault="00A1204B" w:rsidP="00A1204B">
      <w:pPr>
        <w:pStyle w:val="Bullet1GA"/>
        <w:rPr>
          <w:rtl/>
        </w:rPr>
      </w:pPr>
      <w:r w:rsidRPr="003817EA">
        <w:rPr>
          <w:rtl/>
        </w:rPr>
        <w:lastRenderedPageBreak/>
        <w:t>جمع وتحليل ونشر معلومات عن التعليم، وتزويد الهيئات التعليمية والمهنيين وعامة الناس بالمعلومات والتوجيه في المسائل التعليمية؛</w:t>
      </w:r>
    </w:p>
    <w:p w14:paraId="315B30E7" w14:textId="77777777" w:rsidR="00A1204B" w:rsidRPr="003817EA" w:rsidRDefault="00A1204B" w:rsidP="00A1204B">
      <w:pPr>
        <w:pStyle w:val="Bullet1GA"/>
        <w:rPr>
          <w:rtl/>
        </w:rPr>
      </w:pPr>
      <w:r w:rsidRPr="003817EA">
        <w:rPr>
          <w:rtl/>
        </w:rPr>
        <w:t>الاضطلاع بمهام إدارية تتعلق بتنفيذ المناهج والمؤهلات الوطنية، واعتماد المدارس الخاصة والترخيص للمدرِّسين والخدمات المقدَّمة للطلاب.</w:t>
      </w:r>
    </w:p>
    <w:p w14:paraId="126FE06B" w14:textId="77777777" w:rsidR="00A1204B" w:rsidRPr="001F1035" w:rsidRDefault="00A1204B" w:rsidP="00A1204B">
      <w:pPr>
        <w:pStyle w:val="H23GA"/>
        <w:rPr>
          <w:rtl/>
        </w:rPr>
      </w:pPr>
      <w:r w:rsidRPr="001F1035">
        <w:rPr>
          <w:rtl/>
        </w:rPr>
        <w:tab/>
      </w:r>
      <w:r w:rsidRPr="001F1035">
        <w:rPr>
          <w:rtl/>
        </w:rPr>
        <w:tab/>
        <w:t>التعليم للجميع</w:t>
      </w:r>
    </w:p>
    <w:p w14:paraId="69011BD2" w14:textId="77777777" w:rsidR="00A1204B" w:rsidRPr="003817EA" w:rsidRDefault="00A1204B" w:rsidP="00A1204B">
      <w:pPr>
        <w:pStyle w:val="SingleTxtGA"/>
        <w:rPr>
          <w:rtl/>
        </w:rPr>
      </w:pPr>
      <w:r w:rsidRPr="003817EA">
        <w:rPr>
          <w:rtl/>
        </w:rPr>
        <w:t>24-</w:t>
      </w:r>
      <w:r w:rsidRPr="003817EA">
        <w:rPr>
          <w:rtl/>
        </w:rPr>
        <w:tab/>
        <w:t>في خريف عام 2018، أطلق وزير التعليم والعلوم والثقافة عملية إعداد سياسة تعليمية جديدة لآيسلندا ستسري حتى عام 2030. وستعالج السياسة التعليمية التحديات التي يواجهها المجتمع الآيسلندي في مجالي التعليم والرعاية الاجتماعية فيما يتعلق بأهداف الأمم المتحدة للتنمية المستدامة، وستعطيها الأولوية. وتشمل هذه السياسة جميع مستويات التعليم، بما في ذلك تعليم المدرِّسين. والهدف من ذلك هو توفير فرص الحصول على تعليم جيد على جميع المستويات يلبي على النحو الأمثل احتياجات الأفراد والمجتمع وقطاع الأعمال، وضمان أن يكون لآيسلندا نظام تعليمي ممتاز يؤدي فيه المدرِّسون دوراً رئيسيّاً. وقد وافق البرلمان الآيسلندي على هذه السياسة برمَّتها في آذار/مارس 2021.</w:t>
      </w:r>
    </w:p>
    <w:p w14:paraId="6A9534E8" w14:textId="77777777" w:rsidR="00A1204B" w:rsidRPr="001F1035" w:rsidRDefault="00A1204B" w:rsidP="00A1204B">
      <w:pPr>
        <w:pStyle w:val="H23GA"/>
      </w:pPr>
      <w:r w:rsidRPr="001F1035">
        <w:rPr>
          <w:rtl/>
        </w:rPr>
        <w:tab/>
      </w:r>
      <w:r w:rsidRPr="001F1035">
        <w:rPr>
          <w:rtl/>
        </w:rPr>
        <w:tab/>
        <w:t>معدلات الإلمام بالقراءة والكتابة</w:t>
      </w:r>
    </w:p>
    <w:p w14:paraId="791B9E84" w14:textId="77777777" w:rsidR="00A1204B" w:rsidRPr="00650416" w:rsidRDefault="00A1204B" w:rsidP="00A1204B">
      <w:pPr>
        <w:pStyle w:val="SingleTxtGA"/>
        <w:rPr>
          <w:spacing w:val="-2"/>
          <w:rtl/>
        </w:rPr>
      </w:pPr>
      <w:r w:rsidRPr="003817EA">
        <w:rPr>
          <w:rtl/>
        </w:rPr>
        <w:t>25-</w:t>
      </w:r>
      <w:r w:rsidRPr="003817EA">
        <w:rPr>
          <w:rtl/>
        </w:rPr>
        <w:tab/>
      </w:r>
      <w:r w:rsidRPr="00650416">
        <w:rPr>
          <w:spacing w:val="-2"/>
          <w:rtl/>
        </w:rPr>
        <w:t>جميع الأطفال المتراوحة أعمارهم بين 6 سنوات و16 سنة المقيمين في آيسلندا مطالبون بالالتحاق بالمدرسة وتعلم التحدث باللغة الآيسلندية وقراءتها. وللطلاب المهاجرين الحق في الاستفادة من دروس في تعلم اللغة الآيسلندية في مدارس التعليم الإلزامي والمدارس الثانوية العليا. ويُعَدُّ الإلمام بالقراءة والكتابة مفتاح دراسات أخرى وإحدى ركائز التعليم الأساسية وفقاً لدليل المناهج الوطنية لعام 2011، مع التركيز على أهمية الكتابة والقراءة. وقد سجَّل 90 في المائة من الطلاب في سن 15 عاماً، في اختبار الإلمام بالقراءة والكتابة في إطار برنامج التقييم الدولي للطلاب في عام 2018، أداءً أعلى من مستوى الكفاءة الأدنى في القراءة، مقارنة بمتوسط قدره 93 في المائة في بلدان منظمة التعاون والتنمية في الميدان الاقتصادي.</w:t>
      </w:r>
    </w:p>
    <w:p w14:paraId="339D1FEC" w14:textId="77777777" w:rsidR="00A1204B" w:rsidRPr="00650416" w:rsidRDefault="00A1204B" w:rsidP="00A1204B">
      <w:pPr>
        <w:pStyle w:val="SingleTxtGA"/>
        <w:rPr>
          <w:spacing w:val="-4"/>
          <w:rtl/>
        </w:rPr>
      </w:pPr>
      <w:r w:rsidRPr="003817EA">
        <w:rPr>
          <w:rtl/>
        </w:rPr>
        <w:t>26-</w:t>
      </w:r>
      <w:r w:rsidRPr="003817EA">
        <w:rPr>
          <w:rtl/>
        </w:rPr>
        <w:tab/>
      </w:r>
      <w:r w:rsidRPr="00650416">
        <w:rPr>
          <w:spacing w:val="-4"/>
          <w:rtl/>
        </w:rPr>
        <w:t>وفي تصنيف الإلمام بالقراءة والكتابة، وهو الموضوع الرئيسي لبرنامج التقييم الدولي للطلاب لعام 2018، يسجِّل الأشخاص البالغة أعمارهم 15 عاماً في آيسلندا 474 نقطة مقارنة بمتوسط قدره 487 نقطة في بلدان منظمة التعاون والتنمية في الميدان الاقتصادي. والفتيات أفضل أداء من الفتيان بفارق له دلالة إحصائية قدره 41 نقطة (المتوسط في منظمة التعاون والتنمية في الميدان الاقتصادي</w:t>
      </w:r>
      <w:r w:rsidRPr="00650416">
        <w:rPr>
          <w:spacing w:val="-4"/>
        </w:rPr>
        <w:t>:</w:t>
      </w:r>
      <w:r w:rsidRPr="00650416">
        <w:rPr>
          <w:spacing w:val="-4"/>
          <w:rtl/>
        </w:rPr>
        <w:t xml:space="preserve"> 30 نقطة أعلى للفتيات).</w:t>
      </w:r>
    </w:p>
    <w:p w14:paraId="2DDE5EDA" w14:textId="77777777" w:rsidR="00A1204B" w:rsidRPr="003817EA" w:rsidRDefault="00A1204B" w:rsidP="00A1204B">
      <w:pPr>
        <w:pStyle w:val="SingleTxtGA"/>
        <w:rPr>
          <w:rtl/>
        </w:rPr>
      </w:pPr>
      <w:r w:rsidRPr="003817EA">
        <w:rPr>
          <w:rtl/>
        </w:rPr>
        <w:t>27-</w:t>
      </w:r>
      <w:r w:rsidRPr="003817EA">
        <w:rPr>
          <w:rtl/>
        </w:rPr>
        <w:tab/>
        <w:t>وفي المتوسط، يسجِّل البالغون من العمر 15 عاماً 495 نقطة في الرياضيات مقارنة بمتوسط قدره 489 نقطة في بلدان منظمة التعاون والتنمية في الميدان الاقتصادي. وأداء الفتيات أفضل من أداء الفتيان بفارق له دلالة إحصائية قدره 10 نقاط (المتوسط في منظمة التعاون والتنمية في الميدان الاقتصادي</w:t>
      </w:r>
      <w:r w:rsidRPr="003817EA">
        <w:t>:</w:t>
      </w:r>
      <w:r w:rsidRPr="003817EA">
        <w:rPr>
          <w:rtl/>
        </w:rPr>
        <w:t xml:space="preserve"> 5 نقاط أعلى للفتيان).</w:t>
      </w:r>
    </w:p>
    <w:p w14:paraId="46E99AED" w14:textId="77777777" w:rsidR="00A1204B" w:rsidRPr="003817EA" w:rsidRDefault="00A1204B" w:rsidP="00A1204B">
      <w:pPr>
        <w:pStyle w:val="SingleTxtGA"/>
        <w:rPr>
          <w:rtl/>
        </w:rPr>
      </w:pPr>
      <w:r w:rsidRPr="003817EA">
        <w:rPr>
          <w:rtl/>
        </w:rPr>
        <w:t>28-</w:t>
      </w:r>
      <w:r w:rsidRPr="003817EA">
        <w:rPr>
          <w:rtl/>
        </w:rPr>
        <w:tab/>
        <w:t>ويبلغ متوسط الأداء في مجال العلوم في آيسلندا، لدى فئة 15 سنة، 475 نقطة، مقارنة بمتوسط قدره 489 نقطة في بلدان منظمة التعاون والتنمية في الميدان الاقتصادي. والفتيات أفضل أداء من الفتيان بفارق له دلالة إحصائية قدره 8 نقاط (المتوسط في منظمة التعاون والتنمية في الميدان الاقتصادي: نقطتان أعلى للفتيات).</w:t>
      </w:r>
    </w:p>
    <w:p w14:paraId="0AE945C0" w14:textId="77777777" w:rsidR="00A1204B" w:rsidRPr="001F1035" w:rsidRDefault="00A1204B" w:rsidP="00A1204B">
      <w:pPr>
        <w:pStyle w:val="H23GA"/>
        <w:rPr>
          <w:rtl/>
        </w:rPr>
      </w:pPr>
      <w:r w:rsidRPr="001F1035">
        <w:rPr>
          <w:rtl/>
        </w:rPr>
        <w:tab/>
      </w:r>
      <w:r w:rsidRPr="001F1035">
        <w:rPr>
          <w:rtl/>
        </w:rPr>
        <w:tab/>
        <w:t>نسبة المدرِّسين إلى الطلاب في المدارس المموَّلة من القطاع العام</w:t>
      </w:r>
    </w:p>
    <w:p w14:paraId="32258D73" w14:textId="69AC2FCE" w:rsidR="00A1204B" w:rsidRPr="003817EA" w:rsidRDefault="00A1204B" w:rsidP="00A1204B">
      <w:pPr>
        <w:pStyle w:val="SingleTxtGA"/>
        <w:rPr>
          <w:rtl/>
        </w:rPr>
      </w:pPr>
      <w:r w:rsidRPr="003817EA">
        <w:rPr>
          <w:rtl/>
        </w:rPr>
        <w:t>29</w:t>
      </w:r>
      <w:r w:rsidRPr="001F1035">
        <w:rPr>
          <w:b/>
          <w:bCs/>
          <w:rtl/>
        </w:rPr>
        <w:t>-</w:t>
      </w:r>
      <w:r w:rsidRPr="003817EA">
        <w:rPr>
          <w:rtl/>
        </w:rPr>
        <w:tab/>
        <w:t>في عام 2017، كانت نسبة الطلاب إلى المدرِّسين في التعليم ما قبل الابتدائي في آيسلندا</w:t>
      </w:r>
      <w:r w:rsidR="00650416">
        <w:rPr>
          <w:rFonts w:hint="cs"/>
          <w:rtl/>
        </w:rPr>
        <w:t> 1:6</w:t>
      </w:r>
      <w:r w:rsidRPr="003817EA">
        <w:rPr>
          <w:rtl/>
        </w:rPr>
        <w:t xml:space="preserve">، والنسبة في التعليم الابتدائي </w:t>
      </w:r>
      <w:r w:rsidR="00650416">
        <w:rPr>
          <w:rFonts w:hint="cs"/>
          <w:rtl/>
        </w:rPr>
        <w:t>1:9</w:t>
      </w:r>
      <w:r w:rsidRPr="003817EA">
        <w:rPr>
          <w:rtl/>
        </w:rPr>
        <w:t>.</w:t>
      </w:r>
    </w:p>
    <w:tbl>
      <w:tblPr>
        <w:tblStyle w:val="TABLEA"/>
        <w:bidiVisual/>
        <w:tblW w:w="7370" w:type="dxa"/>
        <w:jc w:val="left"/>
        <w:tblInd w:w="1247" w:type="dxa"/>
        <w:tblLayout w:type="fixed"/>
        <w:tblLook w:val="04E0" w:firstRow="1" w:lastRow="1" w:firstColumn="1" w:lastColumn="0" w:noHBand="0" w:noVBand="1"/>
      </w:tblPr>
      <w:tblGrid>
        <w:gridCol w:w="3685"/>
        <w:gridCol w:w="3685"/>
      </w:tblGrid>
      <w:tr w:rsidR="00A1204B" w:rsidRPr="003817EA" w14:paraId="5885B773"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3685" w:type="dxa"/>
          </w:tcPr>
          <w:p w14:paraId="65B03F2E"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lastRenderedPageBreak/>
              <w:t>عدد الطلاب لكل مدرِّس في المدارس الابتدائية</w:t>
            </w:r>
          </w:p>
        </w:tc>
        <w:tc>
          <w:tcPr>
            <w:tcW w:w="3685" w:type="dxa"/>
          </w:tcPr>
          <w:p w14:paraId="3574AFB6"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p>
        </w:tc>
      </w:tr>
      <w:tr w:rsidR="00A1204B" w:rsidRPr="003817EA" w14:paraId="466AEE8D" w14:textId="77777777" w:rsidTr="00047038">
        <w:trPr>
          <w:jc w:val="left"/>
        </w:trPr>
        <w:tc>
          <w:tcPr>
            <w:tcW w:w="3685" w:type="dxa"/>
          </w:tcPr>
          <w:p w14:paraId="1CDBAAE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2013</w:t>
            </w:r>
          </w:p>
        </w:tc>
        <w:tc>
          <w:tcPr>
            <w:tcW w:w="3685" w:type="dxa"/>
          </w:tcPr>
          <w:p w14:paraId="3238C1A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w:t>
            </w:r>
          </w:p>
        </w:tc>
      </w:tr>
      <w:tr w:rsidR="00A1204B" w:rsidRPr="003817EA" w14:paraId="006E9B71" w14:textId="77777777" w:rsidTr="00047038">
        <w:trPr>
          <w:jc w:val="left"/>
        </w:trPr>
        <w:tc>
          <w:tcPr>
            <w:tcW w:w="3685" w:type="dxa"/>
          </w:tcPr>
          <w:p w14:paraId="0F4E75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2014</w:t>
            </w:r>
          </w:p>
        </w:tc>
        <w:tc>
          <w:tcPr>
            <w:tcW w:w="3685" w:type="dxa"/>
          </w:tcPr>
          <w:p w14:paraId="500C3C3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w:t>
            </w:r>
          </w:p>
        </w:tc>
      </w:tr>
      <w:tr w:rsidR="00A1204B" w:rsidRPr="003817EA" w14:paraId="26732655" w14:textId="77777777" w:rsidTr="00047038">
        <w:trPr>
          <w:jc w:val="left"/>
        </w:trPr>
        <w:tc>
          <w:tcPr>
            <w:tcW w:w="3685" w:type="dxa"/>
          </w:tcPr>
          <w:p w14:paraId="2E4DFDE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2015</w:t>
            </w:r>
          </w:p>
        </w:tc>
        <w:tc>
          <w:tcPr>
            <w:tcW w:w="3685" w:type="dxa"/>
          </w:tcPr>
          <w:p w14:paraId="0111E46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w:t>
            </w:r>
          </w:p>
        </w:tc>
      </w:tr>
      <w:tr w:rsidR="00A1204B" w:rsidRPr="003817EA" w14:paraId="4F8A25D2" w14:textId="77777777" w:rsidTr="00047038">
        <w:trPr>
          <w:jc w:val="left"/>
        </w:trPr>
        <w:tc>
          <w:tcPr>
            <w:tcW w:w="3685" w:type="dxa"/>
          </w:tcPr>
          <w:p w14:paraId="2A9258D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2016</w:t>
            </w:r>
          </w:p>
        </w:tc>
        <w:tc>
          <w:tcPr>
            <w:tcW w:w="3685" w:type="dxa"/>
          </w:tcPr>
          <w:p w14:paraId="4B67288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10</w:t>
            </w:r>
          </w:p>
        </w:tc>
      </w:tr>
      <w:tr w:rsidR="00A1204B" w:rsidRPr="003817EA" w14:paraId="1C0B09D3"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3685" w:type="dxa"/>
          </w:tcPr>
          <w:p w14:paraId="01D9C94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2017</w:t>
            </w:r>
          </w:p>
        </w:tc>
        <w:tc>
          <w:tcPr>
            <w:tcW w:w="3685" w:type="dxa"/>
          </w:tcPr>
          <w:p w14:paraId="1B0B500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w:t>
            </w:r>
          </w:p>
        </w:tc>
      </w:tr>
    </w:tbl>
    <w:p w14:paraId="6E849ADF" w14:textId="77777777" w:rsidR="00A1204B" w:rsidRPr="001F1035" w:rsidRDefault="00A1204B" w:rsidP="00A1204B">
      <w:pPr>
        <w:pStyle w:val="H23GA"/>
        <w:rPr>
          <w:rtl/>
        </w:rPr>
      </w:pPr>
      <w:r w:rsidRPr="001F1035">
        <w:rPr>
          <w:rtl/>
        </w:rPr>
        <w:tab/>
      </w:r>
      <w:r w:rsidRPr="001F1035">
        <w:rPr>
          <w:rtl/>
        </w:rPr>
        <w:tab/>
        <w:t>الخصاص في مهنة المدرِّسين وفي عدد المدرِّسين</w:t>
      </w:r>
    </w:p>
    <w:p w14:paraId="70365831" w14:textId="77777777" w:rsidR="00A1204B" w:rsidRPr="003817EA" w:rsidRDefault="00A1204B" w:rsidP="00A1204B">
      <w:pPr>
        <w:pStyle w:val="SingleTxtGA"/>
        <w:rPr>
          <w:rtl/>
        </w:rPr>
      </w:pPr>
      <w:r w:rsidRPr="003817EA">
        <w:rPr>
          <w:rtl/>
        </w:rPr>
        <w:t>30-</w:t>
      </w:r>
      <w:r w:rsidRPr="003817EA">
        <w:rPr>
          <w:rtl/>
        </w:rPr>
        <w:tab/>
        <w:t>يُتوقع في كل عام حدوث خصاص في آيسلندا على جميع مستويات التعليم، وقد عولج هذا الأمر بتعاون واسع النطاق بين الدولة والسلطات المحلية ونقابات المدرِّسين ومؤسسات تعليم المدرِّسين. واستجابت الحكومة الآيسلندية للنقص الوشيك في عدد المدرِّسين من خلال اتخاذ تدابير محدَّدة تروم زيادة عدد الطلاب في برامج إعداد المدرِّسين، وتشجيع الخريجين على العمل في النظام التعليمي، وتعزيز الدعم للملتحقين الجدد بوظيفة التدريس. وانخفض عدد الطلاب الجامعيين الملتحقين ببرنامج إعداد مدرِّسي مرحلة ما قبل المدرسة ومدارس التعليم الإلزامي بنسبة 40 في المائة في الفترة 2008-2018، وفي عام 2018 كان حوالي 28 في المائة فقط من الوظائف المكافئة بدوام كامل في رياض الأطفال الآيسلندية يعمل بها مدرِّسو مرحلة ما قبل المدرسة. كما زاد عدد المدرِّسين (الذين لا تتوفر لديهم مؤهلات تعليمية) في مدارس التعليم الإلزامي زيادة كبيرة في السنوات الأخيرة. ونتيجة للإجراءات التي اتخذتها الحكومة، على سبيل المثال، ابتداء من خريف عام 2019، تلقّى الطلاب في السنة الأخيرة من برنامج الماجستير لمؤهلات التدريس في مرحلة ما قبل التعليم المدرسي والمستوى الإلزامي تدريبات داخلية مدفوعة الأجر ومنحاً دراسية. ويشدِّد قانون عام 2019 بشأن تعليم وتوظيف المدرِّسين والمديرين في مدارس ما قبل التعليم المدرسي ومدارس التعليم الإلزامي والمدارس الثانوية العليا، من بين أمور أخرى، على عامل الكفاءة والمرونة في عمل المدرِّسين في جميع المستويات الدراسية. ويجري استعراض نظام دعم تطوير الموظفين المهنيين لفائدة المدرِّسين في جميع المستويات الدراسية.</w:t>
      </w:r>
    </w:p>
    <w:p w14:paraId="6FE24151" w14:textId="77777777" w:rsidR="00A1204B" w:rsidRPr="001F1035" w:rsidRDefault="00A1204B" w:rsidP="00A1204B">
      <w:pPr>
        <w:pStyle w:val="H23GA"/>
        <w:rPr>
          <w:rtl/>
        </w:rPr>
      </w:pPr>
      <w:r w:rsidRPr="001F1035">
        <w:rPr>
          <w:rtl/>
        </w:rPr>
        <w:tab/>
        <w:t>7-</w:t>
      </w:r>
      <w:r w:rsidRPr="001F1035">
        <w:rPr>
          <w:rtl/>
        </w:rPr>
        <w:tab/>
        <w:t>العمالة</w:t>
      </w:r>
    </w:p>
    <w:p w14:paraId="55F0A175" w14:textId="77777777" w:rsidR="00A1204B" w:rsidRPr="003817EA" w:rsidRDefault="00A1204B" w:rsidP="00A1204B">
      <w:pPr>
        <w:pStyle w:val="SingleTxtGA"/>
        <w:rPr>
          <w:rtl/>
        </w:rPr>
      </w:pPr>
      <w:r w:rsidRPr="003817EA">
        <w:rPr>
          <w:rtl/>
        </w:rPr>
        <w:t>31-</w:t>
      </w:r>
      <w:r w:rsidRPr="003817EA">
        <w:rPr>
          <w:rtl/>
        </w:rPr>
        <w:tab/>
        <w:t>بعد انهيار المصارف الآيسلندية خلال الأزمة الاقتصادية التي اندلعت في عام 2008، انخفض الناتج المحلي الإجمالي لآيسلندا بنحو 10 في المائة في عامي 2009 و2010، وانخفضت عملة البلد (الكرونة) بحوالي 50 في المائة، وزادت البطالة بأكثر من أربعة أضعاف وبلغت ذروتها في عام 2009.</w:t>
      </w:r>
    </w:p>
    <w:p w14:paraId="0B6EE80A" w14:textId="46D2C191" w:rsidR="00A1204B" w:rsidRPr="003817EA" w:rsidRDefault="00A1204B" w:rsidP="00A1204B">
      <w:pPr>
        <w:pStyle w:val="SingleTxtGA"/>
        <w:rPr>
          <w:rtl/>
        </w:rPr>
      </w:pPr>
      <w:r w:rsidRPr="003817EA">
        <w:rPr>
          <w:rtl/>
        </w:rPr>
        <w:t>32-</w:t>
      </w:r>
      <w:r w:rsidRPr="003817EA">
        <w:rPr>
          <w:rtl/>
        </w:rPr>
        <w:tab/>
        <w:t xml:space="preserve">ويعرض الجدول التالي معدلات البطالة الشهرية لشهر </w:t>
      </w:r>
      <w:r w:rsidR="00650416">
        <w:rPr>
          <w:rFonts w:hint="cs"/>
          <w:rtl/>
        </w:rPr>
        <w:t>حزيران/يونيه</w:t>
      </w:r>
      <w:r w:rsidRPr="003817EA">
        <w:rPr>
          <w:rtl/>
        </w:rPr>
        <w:t xml:space="preserve"> من كل سنة في الفترة</w:t>
      </w:r>
      <w:r w:rsidR="00650416">
        <w:rPr>
          <w:rFonts w:hint="cs"/>
          <w:rtl/>
        </w:rPr>
        <w:t> </w:t>
      </w:r>
      <w:r w:rsidRPr="003817EA">
        <w:rPr>
          <w:rtl/>
        </w:rPr>
        <w:t>2006-2018. ويعزى الارتفاع المؤقت في البطالة الذي شهدته آيسلندا بعد عام 2008 إلى الأزمة المالية التي اجتازها البلد في ذلك العام.</w:t>
      </w:r>
    </w:p>
    <w:tbl>
      <w:tblPr>
        <w:tblStyle w:val="TABLEA"/>
        <w:bidiVisual/>
        <w:tblW w:w="7370" w:type="dxa"/>
        <w:jc w:val="left"/>
        <w:tblInd w:w="1247" w:type="dxa"/>
        <w:tblLayout w:type="fixed"/>
        <w:tblLook w:val="04E0" w:firstRow="1" w:lastRow="1" w:firstColumn="1" w:lastColumn="0" w:noHBand="0" w:noVBand="1"/>
      </w:tblPr>
      <w:tblGrid>
        <w:gridCol w:w="1842"/>
        <w:gridCol w:w="1842"/>
        <w:gridCol w:w="1843"/>
        <w:gridCol w:w="1843"/>
      </w:tblGrid>
      <w:tr w:rsidR="00A1204B" w:rsidRPr="003817EA" w14:paraId="532BAA9F"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2336" w:type="dxa"/>
          </w:tcPr>
          <w:p w14:paraId="38C875A4"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السنة</w:t>
            </w:r>
          </w:p>
        </w:tc>
        <w:tc>
          <w:tcPr>
            <w:tcW w:w="2336" w:type="dxa"/>
          </w:tcPr>
          <w:p w14:paraId="7D55DC48"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المجموع</w:t>
            </w:r>
          </w:p>
        </w:tc>
        <w:tc>
          <w:tcPr>
            <w:tcW w:w="2337" w:type="dxa"/>
          </w:tcPr>
          <w:p w14:paraId="61F0AFD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ذكور</w:t>
            </w:r>
          </w:p>
        </w:tc>
        <w:tc>
          <w:tcPr>
            <w:tcW w:w="2337" w:type="dxa"/>
          </w:tcPr>
          <w:p w14:paraId="6996A458"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إناث</w:t>
            </w:r>
          </w:p>
        </w:tc>
      </w:tr>
      <w:tr w:rsidR="00A1204B" w:rsidRPr="003817EA" w14:paraId="12A1C2A6" w14:textId="77777777" w:rsidTr="00047038">
        <w:trPr>
          <w:jc w:val="left"/>
        </w:trPr>
        <w:tc>
          <w:tcPr>
            <w:tcW w:w="2336" w:type="dxa"/>
          </w:tcPr>
          <w:p w14:paraId="4D3D69C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2006</w:t>
            </w:r>
          </w:p>
        </w:tc>
        <w:tc>
          <w:tcPr>
            <w:tcW w:w="2336" w:type="dxa"/>
          </w:tcPr>
          <w:p w14:paraId="480F02B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w:t>
            </w:r>
          </w:p>
        </w:tc>
        <w:tc>
          <w:tcPr>
            <w:tcW w:w="2337" w:type="dxa"/>
          </w:tcPr>
          <w:p w14:paraId="02E79B5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w:t>
            </w:r>
          </w:p>
        </w:tc>
        <w:tc>
          <w:tcPr>
            <w:tcW w:w="2337" w:type="dxa"/>
          </w:tcPr>
          <w:p w14:paraId="0A3E49C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3,5</w:t>
            </w:r>
          </w:p>
        </w:tc>
      </w:tr>
      <w:tr w:rsidR="00A1204B" w:rsidRPr="003817EA" w14:paraId="5521E032" w14:textId="77777777" w:rsidTr="00047038">
        <w:trPr>
          <w:jc w:val="left"/>
        </w:trPr>
        <w:tc>
          <w:tcPr>
            <w:tcW w:w="2336" w:type="dxa"/>
          </w:tcPr>
          <w:p w14:paraId="62B512D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2007</w:t>
            </w:r>
          </w:p>
        </w:tc>
        <w:tc>
          <w:tcPr>
            <w:tcW w:w="2336" w:type="dxa"/>
          </w:tcPr>
          <w:p w14:paraId="57A19E8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1,7</w:t>
            </w:r>
          </w:p>
        </w:tc>
        <w:tc>
          <w:tcPr>
            <w:tcW w:w="2337" w:type="dxa"/>
          </w:tcPr>
          <w:p w14:paraId="6E4CB64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1,4</w:t>
            </w:r>
          </w:p>
        </w:tc>
        <w:tc>
          <w:tcPr>
            <w:tcW w:w="2337" w:type="dxa"/>
          </w:tcPr>
          <w:p w14:paraId="0FF8C17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w:t>
            </w:r>
          </w:p>
        </w:tc>
      </w:tr>
      <w:tr w:rsidR="00A1204B" w:rsidRPr="003817EA" w14:paraId="392D5C32" w14:textId="77777777" w:rsidTr="00047038">
        <w:trPr>
          <w:jc w:val="left"/>
        </w:trPr>
        <w:tc>
          <w:tcPr>
            <w:tcW w:w="2336" w:type="dxa"/>
          </w:tcPr>
          <w:p w14:paraId="0FA2B75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2008</w:t>
            </w:r>
          </w:p>
        </w:tc>
        <w:tc>
          <w:tcPr>
            <w:tcW w:w="2336" w:type="dxa"/>
          </w:tcPr>
          <w:p w14:paraId="705FF13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w:t>
            </w:r>
          </w:p>
        </w:tc>
        <w:tc>
          <w:tcPr>
            <w:tcW w:w="2337" w:type="dxa"/>
          </w:tcPr>
          <w:p w14:paraId="2BB509A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w:t>
            </w:r>
          </w:p>
        </w:tc>
        <w:tc>
          <w:tcPr>
            <w:tcW w:w="2337" w:type="dxa"/>
          </w:tcPr>
          <w:p w14:paraId="5B3FC9C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2,6</w:t>
            </w:r>
          </w:p>
        </w:tc>
      </w:tr>
      <w:tr w:rsidR="00A1204B" w:rsidRPr="003817EA" w14:paraId="4CE674C1" w14:textId="77777777" w:rsidTr="00047038">
        <w:trPr>
          <w:jc w:val="left"/>
        </w:trPr>
        <w:tc>
          <w:tcPr>
            <w:tcW w:w="2336" w:type="dxa"/>
          </w:tcPr>
          <w:p w14:paraId="1C36AFC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2009</w:t>
            </w:r>
          </w:p>
        </w:tc>
        <w:tc>
          <w:tcPr>
            <w:tcW w:w="2336" w:type="dxa"/>
          </w:tcPr>
          <w:p w14:paraId="79020EF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7,5</w:t>
            </w:r>
          </w:p>
        </w:tc>
        <w:tc>
          <w:tcPr>
            <w:tcW w:w="2337" w:type="dxa"/>
          </w:tcPr>
          <w:p w14:paraId="5F04802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9,1</w:t>
            </w:r>
          </w:p>
        </w:tc>
        <w:tc>
          <w:tcPr>
            <w:tcW w:w="2337" w:type="dxa"/>
          </w:tcPr>
          <w:p w14:paraId="4AB640F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5,7</w:t>
            </w:r>
          </w:p>
        </w:tc>
      </w:tr>
      <w:tr w:rsidR="00A1204B" w:rsidRPr="003817EA" w14:paraId="484AB8F5" w14:textId="77777777" w:rsidTr="00047038">
        <w:trPr>
          <w:jc w:val="left"/>
        </w:trPr>
        <w:tc>
          <w:tcPr>
            <w:tcW w:w="2336" w:type="dxa"/>
          </w:tcPr>
          <w:p w14:paraId="4019FF1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2010</w:t>
            </w:r>
          </w:p>
        </w:tc>
        <w:tc>
          <w:tcPr>
            <w:tcW w:w="2336" w:type="dxa"/>
          </w:tcPr>
          <w:p w14:paraId="405BA2D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6,0</w:t>
            </w:r>
          </w:p>
        </w:tc>
        <w:tc>
          <w:tcPr>
            <w:tcW w:w="2337" w:type="dxa"/>
          </w:tcPr>
          <w:p w14:paraId="1683069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7,0</w:t>
            </w:r>
          </w:p>
        </w:tc>
        <w:tc>
          <w:tcPr>
            <w:tcW w:w="2337" w:type="dxa"/>
          </w:tcPr>
          <w:p w14:paraId="3BA1C68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5,0</w:t>
            </w:r>
          </w:p>
        </w:tc>
      </w:tr>
      <w:tr w:rsidR="00A1204B" w:rsidRPr="003817EA" w14:paraId="249018C6" w14:textId="77777777" w:rsidTr="00047038">
        <w:trPr>
          <w:jc w:val="left"/>
        </w:trPr>
        <w:tc>
          <w:tcPr>
            <w:tcW w:w="2336" w:type="dxa"/>
          </w:tcPr>
          <w:p w14:paraId="75A66F8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2011</w:t>
            </w:r>
          </w:p>
        </w:tc>
        <w:tc>
          <w:tcPr>
            <w:tcW w:w="2336" w:type="dxa"/>
          </w:tcPr>
          <w:p w14:paraId="0D10CCA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4,7</w:t>
            </w:r>
          </w:p>
        </w:tc>
        <w:tc>
          <w:tcPr>
            <w:tcW w:w="2337" w:type="dxa"/>
          </w:tcPr>
          <w:p w14:paraId="588726C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5,5</w:t>
            </w:r>
          </w:p>
        </w:tc>
        <w:tc>
          <w:tcPr>
            <w:tcW w:w="2337" w:type="dxa"/>
          </w:tcPr>
          <w:p w14:paraId="53E8C9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3,8</w:t>
            </w:r>
          </w:p>
        </w:tc>
      </w:tr>
      <w:tr w:rsidR="00A1204B" w:rsidRPr="003817EA" w14:paraId="6C618960" w14:textId="77777777" w:rsidTr="00047038">
        <w:trPr>
          <w:jc w:val="left"/>
        </w:trPr>
        <w:tc>
          <w:tcPr>
            <w:tcW w:w="2336" w:type="dxa"/>
          </w:tcPr>
          <w:p w14:paraId="471337D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2012</w:t>
            </w:r>
          </w:p>
        </w:tc>
        <w:tc>
          <w:tcPr>
            <w:tcW w:w="2336" w:type="dxa"/>
          </w:tcPr>
          <w:p w14:paraId="47526A7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5,2</w:t>
            </w:r>
          </w:p>
        </w:tc>
        <w:tc>
          <w:tcPr>
            <w:tcW w:w="2337" w:type="dxa"/>
          </w:tcPr>
          <w:p w14:paraId="3FCAD03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4,9</w:t>
            </w:r>
          </w:p>
        </w:tc>
        <w:tc>
          <w:tcPr>
            <w:tcW w:w="2337" w:type="dxa"/>
          </w:tcPr>
          <w:p w14:paraId="62A1986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5,6</w:t>
            </w:r>
          </w:p>
        </w:tc>
      </w:tr>
      <w:tr w:rsidR="00A1204B" w:rsidRPr="003817EA" w14:paraId="08261668" w14:textId="77777777" w:rsidTr="00047038">
        <w:trPr>
          <w:jc w:val="left"/>
        </w:trPr>
        <w:tc>
          <w:tcPr>
            <w:tcW w:w="2336" w:type="dxa"/>
          </w:tcPr>
          <w:p w14:paraId="74E02AC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2013</w:t>
            </w:r>
          </w:p>
        </w:tc>
        <w:tc>
          <w:tcPr>
            <w:tcW w:w="2336" w:type="dxa"/>
          </w:tcPr>
          <w:p w14:paraId="56D5D45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6,4</w:t>
            </w:r>
          </w:p>
        </w:tc>
        <w:tc>
          <w:tcPr>
            <w:tcW w:w="2337" w:type="dxa"/>
          </w:tcPr>
          <w:p w14:paraId="64408C9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6,7</w:t>
            </w:r>
          </w:p>
        </w:tc>
        <w:tc>
          <w:tcPr>
            <w:tcW w:w="2337" w:type="dxa"/>
          </w:tcPr>
          <w:p w14:paraId="1B5E350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6,1</w:t>
            </w:r>
          </w:p>
        </w:tc>
      </w:tr>
      <w:tr w:rsidR="00A1204B" w:rsidRPr="003817EA" w14:paraId="018F1A48" w14:textId="77777777" w:rsidTr="00047038">
        <w:trPr>
          <w:jc w:val="left"/>
        </w:trPr>
        <w:tc>
          <w:tcPr>
            <w:tcW w:w="2336" w:type="dxa"/>
          </w:tcPr>
          <w:p w14:paraId="38364FB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2014</w:t>
            </w:r>
          </w:p>
        </w:tc>
        <w:tc>
          <w:tcPr>
            <w:tcW w:w="2336" w:type="dxa"/>
          </w:tcPr>
          <w:p w14:paraId="169D520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4,6</w:t>
            </w:r>
          </w:p>
        </w:tc>
        <w:tc>
          <w:tcPr>
            <w:tcW w:w="2337" w:type="dxa"/>
          </w:tcPr>
          <w:p w14:paraId="2C60F75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4,5</w:t>
            </w:r>
          </w:p>
        </w:tc>
        <w:tc>
          <w:tcPr>
            <w:tcW w:w="2337" w:type="dxa"/>
          </w:tcPr>
          <w:p w14:paraId="1EFD96C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4,7</w:t>
            </w:r>
          </w:p>
        </w:tc>
      </w:tr>
      <w:tr w:rsidR="00A1204B" w:rsidRPr="003817EA" w14:paraId="4A5EDAE5" w14:textId="77777777" w:rsidTr="00047038">
        <w:trPr>
          <w:jc w:val="left"/>
        </w:trPr>
        <w:tc>
          <w:tcPr>
            <w:tcW w:w="2336" w:type="dxa"/>
          </w:tcPr>
          <w:p w14:paraId="69EFED8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2015</w:t>
            </w:r>
          </w:p>
        </w:tc>
        <w:tc>
          <w:tcPr>
            <w:tcW w:w="2336" w:type="dxa"/>
          </w:tcPr>
          <w:p w14:paraId="34786F2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w:t>
            </w:r>
          </w:p>
        </w:tc>
        <w:tc>
          <w:tcPr>
            <w:tcW w:w="2337" w:type="dxa"/>
          </w:tcPr>
          <w:p w14:paraId="0B4CC39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3,6</w:t>
            </w:r>
          </w:p>
        </w:tc>
        <w:tc>
          <w:tcPr>
            <w:tcW w:w="2337" w:type="dxa"/>
          </w:tcPr>
          <w:p w14:paraId="1AF8804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w:t>
            </w:r>
          </w:p>
        </w:tc>
      </w:tr>
      <w:tr w:rsidR="00A1204B" w:rsidRPr="003817EA" w14:paraId="665882B3" w14:textId="77777777" w:rsidTr="00047038">
        <w:trPr>
          <w:jc w:val="left"/>
        </w:trPr>
        <w:tc>
          <w:tcPr>
            <w:tcW w:w="2336" w:type="dxa"/>
          </w:tcPr>
          <w:p w14:paraId="340063A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2016</w:t>
            </w:r>
          </w:p>
        </w:tc>
        <w:tc>
          <w:tcPr>
            <w:tcW w:w="2336" w:type="dxa"/>
          </w:tcPr>
          <w:p w14:paraId="0DFAC23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w:t>
            </w:r>
          </w:p>
        </w:tc>
        <w:tc>
          <w:tcPr>
            <w:tcW w:w="2337" w:type="dxa"/>
          </w:tcPr>
          <w:p w14:paraId="67F8E68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2,1</w:t>
            </w:r>
          </w:p>
        </w:tc>
        <w:tc>
          <w:tcPr>
            <w:tcW w:w="2337" w:type="dxa"/>
          </w:tcPr>
          <w:p w14:paraId="52B0DE9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w:t>
            </w:r>
          </w:p>
        </w:tc>
      </w:tr>
      <w:tr w:rsidR="00A1204B" w:rsidRPr="003817EA" w14:paraId="18B53550" w14:textId="77777777" w:rsidTr="00047038">
        <w:trPr>
          <w:jc w:val="left"/>
        </w:trPr>
        <w:tc>
          <w:tcPr>
            <w:tcW w:w="2336" w:type="dxa"/>
          </w:tcPr>
          <w:p w14:paraId="6C9AF52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2017</w:t>
            </w:r>
          </w:p>
        </w:tc>
        <w:tc>
          <w:tcPr>
            <w:tcW w:w="2336" w:type="dxa"/>
          </w:tcPr>
          <w:p w14:paraId="0FBCAB9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w:t>
            </w:r>
          </w:p>
        </w:tc>
        <w:tc>
          <w:tcPr>
            <w:tcW w:w="2337" w:type="dxa"/>
          </w:tcPr>
          <w:p w14:paraId="5410B85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1,8</w:t>
            </w:r>
          </w:p>
        </w:tc>
        <w:tc>
          <w:tcPr>
            <w:tcW w:w="2337" w:type="dxa"/>
          </w:tcPr>
          <w:p w14:paraId="207DE48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2,9</w:t>
            </w:r>
          </w:p>
        </w:tc>
      </w:tr>
      <w:tr w:rsidR="00A1204B" w:rsidRPr="003817EA" w14:paraId="293284B1"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2336" w:type="dxa"/>
          </w:tcPr>
          <w:p w14:paraId="7ACAF3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2018</w:t>
            </w:r>
          </w:p>
        </w:tc>
        <w:tc>
          <w:tcPr>
            <w:tcW w:w="2336" w:type="dxa"/>
          </w:tcPr>
          <w:p w14:paraId="56FA28C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3,1</w:t>
            </w:r>
          </w:p>
        </w:tc>
        <w:tc>
          <w:tcPr>
            <w:tcW w:w="2337" w:type="dxa"/>
          </w:tcPr>
          <w:p w14:paraId="55FBE6E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3,5</w:t>
            </w:r>
          </w:p>
        </w:tc>
        <w:tc>
          <w:tcPr>
            <w:tcW w:w="2337" w:type="dxa"/>
          </w:tcPr>
          <w:p w14:paraId="3BD6597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2,6</w:t>
            </w:r>
          </w:p>
        </w:tc>
      </w:tr>
    </w:tbl>
    <w:p w14:paraId="12195411" w14:textId="77777777" w:rsidR="00A1204B" w:rsidRPr="003817EA" w:rsidRDefault="00A1204B" w:rsidP="00A1204B">
      <w:pPr>
        <w:pStyle w:val="SingleTxtGA"/>
        <w:spacing w:before="240"/>
        <w:rPr>
          <w:rtl/>
        </w:rPr>
      </w:pPr>
      <w:r w:rsidRPr="003817EA">
        <w:rPr>
          <w:rtl/>
        </w:rPr>
        <w:t>33-</w:t>
      </w:r>
      <w:r w:rsidRPr="003817EA">
        <w:rPr>
          <w:rtl/>
        </w:rPr>
        <w:tab/>
      </w:r>
      <w:r w:rsidRPr="003817EA">
        <w:rPr>
          <w:rtl/>
        </w:rPr>
        <w:softHyphen/>
        <w:t>وكان 396 1 من الرعايا الأجانب عاطلين عن العمل في أيار/مايو 2018، وهو ما يمثل 4,6 في المائة من مجموع الرعايا الأجانب في آيسلندا. ويمثل هذا العدد نسبة 31 في المائة من مجموع العاطلين عن العمل في البلد.</w:t>
      </w:r>
    </w:p>
    <w:p w14:paraId="70BADAE0" w14:textId="77777777" w:rsidR="00A1204B" w:rsidRPr="001F1035" w:rsidRDefault="00A1204B" w:rsidP="00A1204B">
      <w:pPr>
        <w:pStyle w:val="H23GA"/>
        <w:rPr>
          <w:rtl/>
        </w:rPr>
      </w:pPr>
      <w:r w:rsidRPr="001F1035">
        <w:rPr>
          <w:rtl/>
        </w:rPr>
        <w:tab/>
        <w:t>8-</w:t>
      </w:r>
      <w:r w:rsidRPr="001F1035">
        <w:rPr>
          <w:rtl/>
        </w:rPr>
        <w:tab/>
        <w:t>نسبة المساعدة الدولية إلى الدخل القومي الإجمالي</w:t>
      </w:r>
    </w:p>
    <w:p w14:paraId="4B6BC740" w14:textId="77777777" w:rsidR="00A1204B" w:rsidRPr="003817EA" w:rsidRDefault="00A1204B" w:rsidP="00A1204B">
      <w:pPr>
        <w:pStyle w:val="SingleTxtGA"/>
        <w:rPr>
          <w:rtl/>
        </w:rPr>
      </w:pPr>
      <w:r w:rsidRPr="003817EA">
        <w:rPr>
          <w:rtl/>
        </w:rPr>
        <w:t>34-</w:t>
      </w:r>
      <w:r w:rsidRPr="003817EA">
        <w:rPr>
          <w:rtl/>
        </w:rPr>
        <w:tab/>
        <w:t>يموَّل التعاون الإنمائي الذي يركِّز على تعزيز حقوق الإنسان في إطار أبواب متنوعة من الميزانية. ويمكن الاطلاع على مزيد من المعلومات عن تعاون آيسلندا الإنمائي في إطار البند جيم، القسم الفرعي ك.</w:t>
      </w:r>
    </w:p>
    <w:p w14:paraId="00C7B01B" w14:textId="77777777" w:rsidR="00A1204B" w:rsidRPr="001F1035" w:rsidRDefault="00A1204B" w:rsidP="00A1204B">
      <w:pPr>
        <w:pStyle w:val="H1GA"/>
        <w:rPr>
          <w:rtl/>
        </w:rPr>
      </w:pPr>
      <w:r w:rsidRPr="001F1035">
        <w:rPr>
          <w:rtl/>
        </w:rPr>
        <w:tab/>
        <w:t>باء-</w:t>
      </w:r>
      <w:r w:rsidRPr="001F1035">
        <w:rPr>
          <w:rtl/>
        </w:rPr>
        <w:tab/>
        <w:t>الهيكل الدستوري والسياسي والقانوني للدولة</w:t>
      </w:r>
    </w:p>
    <w:p w14:paraId="07BBA4B9" w14:textId="77777777" w:rsidR="00A1204B" w:rsidRPr="001F1035" w:rsidRDefault="00A1204B" w:rsidP="00A1204B">
      <w:pPr>
        <w:pStyle w:val="H23GA"/>
        <w:rPr>
          <w:rtl/>
        </w:rPr>
      </w:pPr>
      <w:r w:rsidRPr="001F1035">
        <w:rPr>
          <w:rtl/>
        </w:rPr>
        <w:tab/>
        <w:t>1-</w:t>
      </w:r>
      <w:r w:rsidRPr="001F1035">
        <w:rPr>
          <w:rtl/>
        </w:rPr>
        <w:tab/>
        <w:t>نظام الحكم</w:t>
      </w:r>
    </w:p>
    <w:p w14:paraId="44AB076D" w14:textId="77777777" w:rsidR="00A1204B" w:rsidRPr="003817EA" w:rsidRDefault="00A1204B" w:rsidP="00A1204B">
      <w:pPr>
        <w:pStyle w:val="SingleTxtGA"/>
        <w:rPr>
          <w:rtl/>
        </w:rPr>
      </w:pPr>
      <w:r w:rsidRPr="003817EA">
        <w:rPr>
          <w:rtl/>
        </w:rPr>
        <w:t>35-</w:t>
      </w:r>
      <w:r w:rsidRPr="003817EA">
        <w:rPr>
          <w:rtl/>
        </w:rPr>
        <w:tab/>
        <w:t>آيسلندا ديمقراطية تمثيلية وجمهورية برلمانية. وينص دستور آيسلندا على أنَّ سلطة الدولة يمارسها الألثينجي (البرلمان الآيسلندي) ورئيس آيسلندا والحكومة والسلطة القضائية. والبرلمان والرئيس مخوَّلان السلطة التشريعية معاً، في حين أنَّ الرئيس والحكومة مخوَّلان السلطة التنفيذية. أما السلطة القضائية فهي منوطة بالقضاء.</w:t>
      </w:r>
    </w:p>
    <w:p w14:paraId="7048CB1B" w14:textId="77777777" w:rsidR="00A1204B" w:rsidRPr="001F1035" w:rsidRDefault="00A1204B" w:rsidP="00A1204B">
      <w:pPr>
        <w:pStyle w:val="H23GA"/>
        <w:rPr>
          <w:rtl/>
        </w:rPr>
      </w:pPr>
      <w:r w:rsidRPr="001F1035">
        <w:rPr>
          <w:rtl/>
        </w:rPr>
        <w:tab/>
        <w:t>2-</w:t>
      </w:r>
      <w:r w:rsidRPr="001F1035">
        <w:rPr>
          <w:rtl/>
        </w:rPr>
        <w:tab/>
        <w:t>الديمقراطية والأحزاب السياسية والنظام الانتخابي</w:t>
      </w:r>
    </w:p>
    <w:p w14:paraId="33A4BF8C" w14:textId="6B63581D" w:rsidR="00A1204B" w:rsidRPr="003817EA" w:rsidRDefault="00A1204B" w:rsidP="00A1204B">
      <w:pPr>
        <w:pStyle w:val="SingleTxtGA"/>
        <w:rPr>
          <w:rtl/>
        </w:rPr>
      </w:pPr>
      <w:r w:rsidRPr="003817EA">
        <w:rPr>
          <w:rtl/>
        </w:rPr>
        <w:t>36-</w:t>
      </w:r>
      <w:r w:rsidRPr="003817EA">
        <w:rPr>
          <w:rtl/>
        </w:rPr>
        <w:tab/>
        <w:t>تُعرف الجمعية التشريعية لآيسلندا باسم "ألثينجي". وتتألف من 63 عضوا يُنتخبون لمدة أربع</w:t>
      </w:r>
      <w:r w:rsidR="00175B1B">
        <w:rPr>
          <w:rFonts w:hint="cs"/>
          <w:rtl/>
        </w:rPr>
        <w:t> </w:t>
      </w:r>
      <w:r w:rsidRPr="003817EA">
        <w:rPr>
          <w:rtl/>
        </w:rPr>
        <w:t>سنوات ويمثِّلون ست دوائر انتخابية. وشهدت الانتخابات العامة التي جرت في تشرين الأول/</w:t>
      </w:r>
      <w:r w:rsidR="00175B1B">
        <w:rPr>
          <w:rFonts w:hint="cs"/>
          <w:rtl/>
        </w:rPr>
        <w:t xml:space="preserve"> </w:t>
      </w:r>
      <w:r w:rsidRPr="003817EA">
        <w:rPr>
          <w:rtl/>
        </w:rPr>
        <w:t>أكتوبر</w:t>
      </w:r>
      <w:r w:rsidR="00175B1B">
        <w:rPr>
          <w:rFonts w:hint="cs"/>
          <w:rtl/>
        </w:rPr>
        <w:t> </w:t>
      </w:r>
      <w:r w:rsidRPr="003817EA">
        <w:rPr>
          <w:rtl/>
        </w:rPr>
        <w:t>2017 انتخاب 24 امرأة و39 رجلاً لعضوية البرلمان. ويتولى رئيس البرلمان المسؤولية الرئيسية عن ضمان اتباع الأحكام الدستورية المتعلقة بالبرلمان ونظامه الداخلي.</w:t>
      </w:r>
    </w:p>
    <w:p w14:paraId="525537B3" w14:textId="77777777" w:rsidR="00A1204B" w:rsidRPr="003817EA" w:rsidRDefault="00A1204B" w:rsidP="00A1204B">
      <w:pPr>
        <w:pStyle w:val="SingleTxtGA"/>
        <w:rPr>
          <w:rtl/>
        </w:rPr>
      </w:pPr>
      <w:r w:rsidRPr="003817EA">
        <w:rPr>
          <w:rtl/>
        </w:rPr>
        <w:t>37-</w:t>
      </w:r>
      <w:r w:rsidRPr="003817EA">
        <w:rPr>
          <w:rtl/>
        </w:rPr>
        <w:tab/>
        <w:t>وتقام الانتخابات البرلمانية كل أربع سنوات. وسنّ التصويت محدَّدة حالياً في 18 عاماً. ولجميع المواطنين الآيسلنديين الذين بلغوا سن الثامنة عشرة الحق في التصويت. كما أنَّ لهم الحق في الترشح للانتخابات إذا كانوا يتمتعون بسمعة حسنة. ويقوم النظام الانتخابي الآيسلندي على مبدأي الانتخاب المباشر والتمثيل النسبي في الدوائر الانتخابية المتعددة الأعضاء.</w:t>
      </w:r>
    </w:p>
    <w:p w14:paraId="2A469FB3" w14:textId="77777777" w:rsidR="00A1204B" w:rsidRPr="003817EA" w:rsidRDefault="00A1204B" w:rsidP="00A1204B">
      <w:pPr>
        <w:pStyle w:val="SingleTxtGA"/>
        <w:rPr>
          <w:rtl/>
        </w:rPr>
      </w:pPr>
      <w:r w:rsidRPr="003817EA">
        <w:rPr>
          <w:rtl/>
        </w:rPr>
        <w:t>38-</w:t>
      </w:r>
      <w:r w:rsidRPr="003817EA">
        <w:rPr>
          <w:rtl/>
        </w:rPr>
        <w:tab/>
        <w:t xml:space="preserve">واعتباراً من تشرين الأول/أكتوبر 2017، باتت ثمانية أحزاب سياسية ممثلةً في البرلمان (وهي حزب الوسط بسبعة أعضاء، وحزب الاستقلال </w:t>
      </w:r>
      <w:r w:rsidRPr="003817EA">
        <w:rPr>
          <w:rFonts w:hint="cs"/>
          <w:rtl/>
        </w:rPr>
        <w:t>ب‍ </w:t>
      </w:r>
      <w:r w:rsidRPr="003817EA">
        <w:rPr>
          <w:rtl/>
        </w:rPr>
        <w:t xml:space="preserve">16 عضواً، والحركة اليسارية الخضراء </w:t>
      </w:r>
      <w:r w:rsidRPr="003817EA">
        <w:rPr>
          <w:rFonts w:hint="cs"/>
          <w:rtl/>
        </w:rPr>
        <w:t>ب‍‍</w:t>
      </w:r>
      <w:r w:rsidRPr="003817EA">
        <w:rPr>
          <w:rFonts w:hint="eastAsia"/>
          <w:rtl/>
        </w:rPr>
        <w:t> </w:t>
      </w:r>
      <w:r w:rsidRPr="003817EA">
        <w:rPr>
          <w:rtl/>
        </w:rPr>
        <w:t>11 عضواً، وحزب الشعب بأربعة أعضاء، وحزب القراصنة بستة أعضاء، والحزب التقدمي بثمانية أعضاء، وحزب الإصلاح بأربعة أعضاء، والتحالف الديمقراطي الاجتماعي بسبعة أعضاء). ويبيِّن الجدول التالي توزيع المقاعد في البرلمان حسب الحزب.</w:t>
      </w:r>
    </w:p>
    <w:tbl>
      <w:tblPr>
        <w:tblStyle w:val="TABLEA"/>
        <w:bidiVisual/>
        <w:tblW w:w="7370" w:type="dxa"/>
        <w:jc w:val="left"/>
        <w:tblInd w:w="1247" w:type="dxa"/>
        <w:tblLayout w:type="fixed"/>
        <w:tblLook w:val="04E0" w:firstRow="1" w:lastRow="1" w:firstColumn="1" w:lastColumn="0" w:noHBand="0" w:noVBand="1"/>
      </w:tblPr>
      <w:tblGrid>
        <w:gridCol w:w="4673"/>
        <w:gridCol w:w="2697"/>
      </w:tblGrid>
      <w:tr w:rsidR="00A1204B" w:rsidRPr="003817EA" w14:paraId="392FCCD6"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3685" w:type="dxa"/>
          </w:tcPr>
          <w:p w14:paraId="72696F6A"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lastRenderedPageBreak/>
              <w:t>الحزب السياسي</w:t>
            </w:r>
          </w:p>
        </w:tc>
        <w:tc>
          <w:tcPr>
            <w:tcW w:w="2127" w:type="dxa"/>
          </w:tcPr>
          <w:p w14:paraId="51E42A18"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عدد المقاعد</w:t>
            </w:r>
          </w:p>
        </w:tc>
      </w:tr>
      <w:tr w:rsidR="00A1204B" w:rsidRPr="003817EA" w14:paraId="6B9DFC29" w14:textId="77777777" w:rsidTr="00047038">
        <w:trPr>
          <w:jc w:val="left"/>
        </w:trPr>
        <w:tc>
          <w:tcPr>
            <w:tcW w:w="3685" w:type="dxa"/>
          </w:tcPr>
          <w:p w14:paraId="79D1F9B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حزب الشعب</w:t>
            </w:r>
          </w:p>
        </w:tc>
        <w:tc>
          <w:tcPr>
            <w:tcW w:w="2127" w:type="dxa"/>
          </w:tcPr>
          <w:p w14:paraId="0765E8B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r>
      <w:tr w:rsidR="00A1204B" w:rsidRPr="003817EA" w14:paraId="100A5C76" w14:textId="77777777" w:rsidTr="00047038">
        <w:trPr>
          <w:jc w:val="left"/>
        </w:trPr>
        <w:tc>
          <w:tcPr>
            <w:tcW w:w="3685" w:type="dxa"/>
          </w:tcPr>
          <w:p w14:paraId="26DFB3D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حزب الاستقلال</w:t>
            </w:r>
          </w:p>
        </w:tc>
        <w:tc>
          <w:tcPr>
            <w:tcW w:w="2127" w:type="dxa"/>
          </w:tcPr>
          <w:p w14:paraId="6F0438F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16</w:t>
            </w:r>
          </w:p>
        </w:tc>
      </w:tr>
      <w:tr w:rsidR="00A1204B" w:rsidRPr="003817EA" w14:paraId="2BD3C49F" w14:textId="77777777" w:rsidTr="00047038">
        <w:trPr>
          <w:jc w:val="left"/>
        </w:trPr>
        <w:tc>
          <w:tcPr>
            <w:tcW w:w="3685" w:type="dxa"/>
          </w:tcPr>
          <w:p w14:paraId="7889D0B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الحزب التقدمي</w:t>
            </w:r>
          </w:p>
        </w:tc>
        <w:tc>
          <w:tcPr>
            <w:tcW w:w="2127" w:type="dxa"/>
          </w:tcPr>
          <w:p w14:paraId="5A19D38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w:t>
            </w:r>
          </w:p>
        </w:tc>
      </w:tr>
      <w:tr w:rsidR="00A1204B" w:rsidRPr="003817EA" w14:paraId="53A999F6" w14:textId="77777777" w:rsidTr="00047038">
        <w:trPr>
          <w:jc w:val="left"/>
        </w:trPr>
        <w:tc>
          <w:tcPr>
            <w:tcW w:w="3685" w:type="dxa"/>
          </w:tcPr>
          <w:p w14:paraId="762AC98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حزب الوسط</w:t>
            </w:r>
          </w:p>
        </w:tc>
        <w:tc>
          <w:tcPr>
            <w:tcW w:w="2127" w:type="dxa"/>
          </w:tcPr>
          <w:p w14:paraId="6282EC2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w:t>
            </w:r>
          </w:p>
        </w:tc>
      </w:tr>
      <w:tr w:rsidR="00A1204B" w:rsidRPr="003817EA" w14:paraId="6C7A53CF" w14:textId="77777777" w:rsidTr="00047038">
        <w:trPr>
          <w:jc w:val="left"/>
        </w:trPr>
        <w:tc>
          <w:tcPr>
            <w:tcW w:w="3685" w:type="dxa"/>
          </w:tcPr>
          <w:p w14:paraId="2C84426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حزب الإصلاح</w:t>
            </w:r>
          </w:p>
        </w:tc>
        <w:tc>
          <w:tcPr>
            <w:tcW w:w="2127" w:type="dxa"/>
          </w:tcPr>
          <w:p w14:paraId="68F3CFD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w:t>
            </w:r>
          </w:p>
        </w:tc>
      </w:tr>
      <w:tr w:rsidR="00A1204B" w:rsidRPr="003817EA" w14:paraId="70821132" w14:textId="77777777" w:rsidTr="00047038">
        <w:trPr>
          <w:jc w:val="left"/>
        </w:trPr>
        <w:tc>
          <w:tcPr>
            <w:tcW w:w="3685" w:type="dxa"/>
          </w:tcPr>
          <w:p w14:paraId="2BEE161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حزب القراصنة</w:t>
            </w:r>
          </w:p>
        </w:tc>
        <w:tc>
          <w:tcPr>
            <w:tcW w:w="2127" w:type="dxa"/>
          </w:tcPr>
          <w:p w14:paraId="67D1A3B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w:t>
            </w:r>
          </w:p>
        </w:tc>
      </w:tr>
      <w:tr w:rsidR="00A1204B" w:rsidRPr="003817EA" w14:paraId="0612897C" w14:textId="77777777" w:rsidTr="00047038">
        <w:trPr>
          <w:jc w:val="left"/>
        </w:trPr>
        <w:tc>
          <w:tcPr>
            <w:tcW w:w="3685" w:type="dxa"/>
          </w:tcPr>
          <w:p w14:paraId="48DA9F1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التحالف الديمقراطي الاجتماعي</w:t>
            </w:r>
          </w:p>
        </w:tc>
        <w:tc>
          <w:tcPr>
            <w:tcW w:w="2127" w:type="dxa"/>
          </w:tcPr>
          <w:p w14:paraId="06159C1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w:t>
            </w:r>
          </w:p>
        </w:tc>
      </w:tr>
      <w:tr w:rsidR="00A1204B" w:rsidRPr="003817EA" w14:paraId="62A79DBD"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3685" w:type="dxa"/>
          </w:tcPr>
          <w:p w14:paraId="10310D1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الحركة اليسارية الخضراء</w:t>
            </w:r>
          </w:p>
        </w:tc>
        <w:tc>
          <w:tcPr>
            <w:tcW w:w="2127" w:type="dxa"/>
          </w:tcPr>
          <w:p w14:paraId="44CF602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11</w:t>
            </w:r>
          </w:p>
        </w:tc>
      </w:tr>
    </w:tbl>
    <w:p w14:paraId="535B4E00" w14:textId="77777777" w:rsidR="00A1204B" w:rsidRPr="001F1035" w:rsidRDefault="00A1204B" w:rsidP="00A1204B">
      <w:pPr>
        <w:pStyle w:val="SingleTxtGA"/>
        <w:spacing w:before="240"/>
        <w:rPr>
          <w:i/>
          <w:iCs/>
          <w:rtl/>
        </w:rPr>
      </w:pPr>
      <w:r w:rsidRPr="001F1035">
        <w:rPr>
          <w:i/>
          <w:iCs/>
          <w:rtl/>
        </w:rPr>
        <w:tab/>
        <w:t>ويبيِّن الجدول التالي النسبة المئوية للرجال والنساء في البرلمان ومختلف المناصب المؤثِّرة.</w:t>
      </w:r>
    </w:p>
    <w:tbl>
      <w:tblPr>
        <w:tblStyle w:val="TABLEA"/>
        <w:bidiVisual/>
        <w:tblW w:w="7370" w:type="dxa"/>
        <w:jc w:val="left"/>
        <w:tblInd w:w="1247" w:type="dxa"/>
        <w:tblLayout w:type="fixed"/>
        <w:tblLook w:val="04E0" w:firstRow="1" w:lastRow="1" w:firstColumn="1" w:lastColumn="0" w:noHBand="0" w:noVBand="1"/>
      </w:tblPr>
      <w:tblGrid>
        <w:gridCol w:w="4678"/>
        <w:gridCol w:w="1346"/>
        <w:gridCol w:w="1346"/>
      </w:tblGrid>
      <w:tr w:rsidR="00A1204B" w:rsidRPr="003817EA" w14:paraId="47C495DC"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4678" w:type="dxa"/>
          </w:tcPr>
          <w:p w14:paraId="70CC36E1"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المؤسسة/المنصب</w:t>
            </w:r>
          </w:p>
        </w:tc>
        <w:tc>
          <w:tcPr>
            <w:tcW w:w="1346" w:type="dxa"/>
          </w:tcPr>
          <w:p w14:paraId="6562509E"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نساء</w:t>
            </w:r>
          </w:p>
        </w:tc>
        <w:tc>
          <w:tcPr>
            <w:tcW w:w="1346" w:type="dxa"/>
          </w:tcPr>
          <w:p w14:paraId="07BBB969"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رجال</w:t>
            </w:r>
          </w:p>
        </w:tc>
      </w:tr>
      <w:tr w:rsidR="00A1204B" w:rsidRPr="003817EA" w14:paraId="07B4F1E5" w14:textId="77777777" w:rsidTr="00047038">
        <w:trPr>
          <w:jc w:val="left"/>
        </w:trPr>
        <w:tc>
          <w:tcPr>
            <w:tcW w:w="4678" w:type="dxa"/>
          </w:tcPr>
          <w:p w14:paraId="5BB5F2E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البرلمان، المرشحون، 2017</w:t>
            </w:r>
          </w:p>
        </w:tc>
        <w:tc>
          <w:tcPr>
            <w:tcW w:w="1346" w:type="dxa"/>
          </w:tcPr>
          <w:p w14:paraId="6E34B44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44,6</w:t>
            </w:r>
          </w:p>
        </w:tc>
        <w:tc>
          <w:tcPr>
            <w:tcW w:w="1346" w:type="dxa"/>
          </w:tcPr>
          <w:p w14:paraId="76F3F2C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55,4</w:t>
            </w:r>
          </w:p>
        </w:tc>
      </w:tr>
      <w:tr w:rsidR="00A1204B" w:rsidRPr="003817EA" w14:paraId="4253C5D2" w14:textId="77777777" w:rsidTr="00047038">
        <w:trPr>
          <w:jc w:val="left"/>
        </w:trPr>
        <w:tc>
          <w:tcPr>
            <w:tcW w:w="4678" w:type="dxa"/>
          </w:tcPr>
          <w:p w14:paraId="43B0839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البرلمان، الممثِّلون المنتخبون، 2017</w:t>
            </w:r>
          </w:p>
        </w:tc>
        <w:tc>
          <w:tcPr>
            <w:tcW w:w="1346" w:type="dxa"/>
          </w:tcPr>
          <w:p w14:paraId="65B4B71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38,1</w:t>
            </w:r>
          </w:p>
        </w:tc>
        <w:tc>
          <w:tcPr>
            <w:tcW w:w="1346" w:type="dxa"/>
          </w:tcPr>
          <w:p w14:paraId="60E167B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61,9</w:t>
            </w:r>
          </w:p>
        </w:tc>
      </w:tr>
      <w:tr w:rsidR="00A1204B" w:rsidRPr="003817EA" w14:paraId="7D5CE7F6" w14:textId="77777777" w:rsidTr="00047038">
        <w:trPr>
          <w:jc w:val="left"/>
        </w:trPr>
        <w:tc>
          <w:tcPr>
            <w:tcW w:w="4678" w:type="dxa"/>
          </w:tcPr>
          <w:p w14:paraId="22D8DEE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وزراء الحكومة، 2018</w:t>
            </w:r>
          </w:p>
        </w:tc>
        <w:tc>
          <w:tcPr>
            <w:tcW w:w="1346" w:type="dxa"/>
          </w:tcPr>
          <w:p w14:paraId="74ED41E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45,5</w:t>
            </w:r>
          </w:p>
        </w:tc>
        <w:tc>
          <w:tcPr>
            <w:tcW w:w="1346" w:type="dxa"/>
          </w:tcPr>
          <w:p w14:paraId="4D0614E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54,5</w:t>
            </w:r>
          </w:p>
        </w:tc>
      </w:tr>
      <w:tr w:rsidR="00A1204B" w:rsidRPr="003817EA" w14:paraId="1887E1A9" w14:textId="77777777" w:rsidTr="00047038">
        <w:trPr>
          <w:jc w:val="left"/>
        </w:trPr>
        <w:tc>
          <w:tcPr>
            <w:tcW w:w="4678" w:type="dxa"/>
          </w:tcPr>
          <w:p w14:paraId="703BC6D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الحكومة المحلية، المرشحون، 2018</w:t>
            </w:r>
          </w:p>
        </w:tc>
        <w:tc>
          <w:tcPr>
            <w:tcW w:w="1346" w:type="dxa"/>
          </w:tcPr>
          <w:p w14:paraId="40483DB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48,4</w:t>
            </w:r>
          </w:p>
        </w:tc>
        <w:tc>
          <w:tcPr>
            <w:tcW w:w="1346" w:type="dxa"/>
          </w:tcPr>
          <w:p w14:paraId="2E734E1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51,6</w:t>
            </w:r>
          </w:p>
        </w:tc>
      </w:tr>
      <w:tr w:rsidR="00A1204B" w:rsidRPr="003817EA" w14:paraId="36BA690F" w14:textId="77777777" w:rsidTr="00047038">
        <w:trPr>
          <w:jc w:val="left"/>
        </w:trPr>
        <w:tc>
          <w:tcPr>
            <w:tcW w:w="4678" w:type="dxa"/>
          </w:tcPr>
          <w:p w14:paraId="2FE8DC4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الحكومة المحلية، الممثِّلون المنتخبون، 2018</w:t>
            </w:r>
          </w:p>
        </w:tc>
        <w:tc>
          <w:tcPr>
            <w:tcW w:w="1346" w:type="dxa"/>
          </w:tcPr>
          <w:p w14:paraId="1358298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47,0</w:t>
            </w:r>
          </w:p>
        </w:tc>
        <w:tc>
          <w:tcPr>
            <w:tcW w:w="1346" w:type="dxa"/>
          </w:tcPr>
          <w:p w14:paraId="383DD25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53,0</w:t>
            </w:r>
          </w:p>
        </w:tc>
      </w:tr>
      <w:tr w:rsidR="00A1204B" w:rsidRPr="003817EA" w14:paraId="58F044A1" w14:textId="77777777" w:rsidTr="00047038">
        <w:trPr>
          <w:jc w:val="left"/>
        </w:trPr>
        <w:tc>
          <w:tcPr>
            <w:tcW w:w="4678" w:type="dxa"/>
          </w:tcPr>
          <w:p w14:paraId="285D330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مديرو/رؤساء البلديات، 2019</w:t>
            </w:r>
          </w:p>
        </w:tc>
        <w:tc>
          <w:tcPr>
            <w:tcW w:w="1346" w:type="dxa"/>
          </w:tcPr>
          <w:p w14:paraId="1A7C41F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36,0</w:t>
            </w:r>
          </w:p>
        </w:tc>
        <w:tc>
          <w:tcPr>
            <w:tcW w:w="1346" w:type="dxa"/>
          </w:tcPr>
          <w:p w14:paraId="2BFB0B6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64,0</w:t>
            </w:r>
          </w:p>
        </w:tc>
      </w:tr>
      <w:tr w:rsidR="00A1204B" w:rsidRPr="003817EA" w14:paraId="739FCD02" w14:textId="77777777" w:rsidTr="00047038">
        <w:trPr>
          <w:jc w:val="left"/>
        </w:trPr>
        <w:tc>
          <w:tcPr>
            <w:tcW w:w="4678" w:type="dxa"/>
          </w:tcPr>
          <w:p w14:paraId="1485BDC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اللجان الرسمية والمجالس، 2016</w:t>
            </w:r>
          </w:p>
        </w:tc>
        <w:tc>
          <w:tcPr>
            <w:tcW w:w="1346" w:type="dxa"/>
          </w:tcPr>
          <w:p w14:paraId="69CDC38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46,0</w:t>
            </w:r>
          </w:p>
        </w:tc>
        <w:tc>
          <w:tcPr>
            <w:tcW w:w="1346" w:type="dxa"/>
          </w:tcPr>
          <w:p w14:paraId="15D3A64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54,0</w:t>
            </w:r>
          </w:p>
        </w:tc>
      </w:tr>
      <w:tr w:rsidR="00A1204B" w:rsidRPr="003817EA" w14:paraId="3C96F659" w14:textId="77777777" w:rsidTr="00047038">
        <w:trPr>
          <w:jc w:val="left"/>
        </w:trPr>
        <w:tc>
          <w:tcPr>
            <w:tcW w:w="4678" w:type="dxa"/>
          </w:tcPr>
          <w:p w14:paraId="5488BB4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مديرو مؤسسات الدولة، 2019</w:t>
            </w:r>
          </w:p>
        </w:tc>
        <w:tc>
          <w:tcPr>
            <w:tcW w:w="1346" w:type="dxa"/>
          </w:tcPr>
          <w:p w14:paraId="1C85DF9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42,0</w:t>
            </w:r>
          </w:p>
        </w:tc>
        <w:tc>
          <w:tcPr>
            <w:tcW w:w="1346" w:type="dxa"/>
          </w:tcPr>
          <w:p w14:paraId="56DECE2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58,0</w:t>
            </w:r>
          </w:p>
        </w:tc>
      </w:tr>
      <w:tr w:rsidR="00A1204B" w:rsidRPr="003817EA" w14:paraId="6B9FB100" w14:textId="77777777" w:rsidTr="00047038">
        <w:trPr>
          <w:jc w:val="left"/>
        </w:trPr>
        <w:tc>
          <w:tcPr>
            <w:tcW w:w="4678" w:type="dxa"/>
          </w:tcPr>
          <w:p w14:paraId="067581D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السفراء، 2020</w:t>
            </w:r>
          </w:p>
        </w:tc>
        <w:tc>
          <w:tcPr>
            <w:tcW w:w="1346" w:type="dxa"/>
          </w:tcPr>
          <w:p w14:paraId="6501B4F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33,4</w:t>
            </w:r>
          </w:p>
        </w:tc>
        <w:tc>
          <w:tcPr>
            <w:tcW w:w="1346" w:type="dxa"/>
          </w:tcPr>
          <w:p w14:paraId="0D89697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66,6</w:t>
            </w:r>
          </w:p>
        </w:tc>
      </w:tr>
      <w:tr w:rsidR="00A1204B" w:rsidRPr="003817EA" w14:paraId="45E6CA7C" w14:textId="77777777" w:rsidTr="00047038">
        <w:trPr>
          <w:jc w:val="left"/>
        </w:trPr>
        <w:tc>
          <w:tcPr>
            <w:tcW w:w="4678" w:type="dxa"/>
          </w:tcPr>
          <w:p w14:paraId="685644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قضاة في المحاكم المحلية، 2017</w:t>
            </w:r>
          </w:p>
        </w:tc>
        <w:tc>
          <w:tcPr>
            <w:tcW w:w="1346" w:type="dxa"/>
          </w:tcPr>
          <w:p w14:paraId="5097C45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42,9</w:t>
            </w:r>
          </w:p>
        </w:tc>
        <w:tc>
          <w:tcPr>
            <w:tcW w:w="1346" w:type="dxa"/>
          </w:tcPr>
          <w:p w14:paraId="695390C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57,1</w:t>
            </w:r>
          </w:p>
        </w:tc>
      </w:tr>
      <w:tr w:rsidR="00A1204B" w:rsidRPr="003817EA" w14:paraId="4D15BAAB" w14:textId="77777777" w:rsidTr="00047038">
        <w:trPr>
          <w:jc w:val="left"/>
        </w:trPr>
        <w:tc>
          <w:tcPr>
            <w:tcW w:w="4678" w:type="dxa"/>
          </w:tcPr>
          <w:p w14:paraId="41F2D1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قضاة في محكمة الاستئناف، 2021</w:t>
            </w:r>
          </w:p>
        </w:tc>
        <w:tc>
          <w:tcPr>
            <w:tcW w:w="1346" w:type="dxa"/>
          </w:tcPr>
          <w:p w14:paraId="1B69C47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40,0</w:t>
            </w:r>
          </w:p>
        </w:tc>
        <w:tc>
          <w:tcPr>
            <w:tcW w:w="1346" w:type="dxa"/>
          </w:tcPr>
          <w:p w14:paraId="43A286A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60,0</w:t>
            </w:r>
          </w:p>
        </w:tc>
      </w:tr>
      <w:tr w:rsidR="00A1204B" w:rsidRPr="003817EA" w14:paraId="4D9D2507" w14:textId="77777777" w:rsidTr="00047038">
        <w:trPr>
          <w:jc w:val="left"/>
        </w:trPr>
        <w:tc>
          <w:tcPr>
            <w:tcW w:w="4678" w:type="dxa"/>
          </w:tcPr>
          <w:p w14:paraId="55A71CD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قضاة في المحكمة العليا، 2021</w:t>
            </w:r>
          </w:p>
        </w:tc>
        <w:tc>
          <w:tcPr>
            <w:tcW w:w="1346" w:type="dxa"/>
          </w:tcPr>
          <w:p w14:paraId="070970F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42,9</w:t>
            </w:r>
          </w:p>
        </w:tc>
        <w:tc>
          <w:tcPr>
            <w:tcW w:w="1346" w:type="dxa"/>
          </w:tcPr>
          <w:p w14:paraId="103EA06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57,1</w:t>
            </w:r>
          </w:p>
        </w:tc>
      </w:tr>
      <w:tr w:rsidR="00A1204B" w:rsidRPr="003817EA" w14:paraId="471C0E49" w14:textId="77777777" w:rsidTr="00047038">
        <w:trPr>
          <w:jc w:val="left"/>
        </w:trPr>
        <w:tc>
          <w:tcPr>
            <w:tcW w:w="4678" w:type="dxa"/>
          </w:tcPr>
          <w:p w14:paraId="20A2568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مديرو الشركات النشطة، 2017</w:t>
            </w:r>
          </w:p>
        </w:tc>
        <w:tc>
          <w:tcPr>
            <w:tcW w:w="1346" w:type="dxa"/>
          </w:tcPr>
          <w:p w14:paraId="0EDF7DB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22,0</w:t>
            </w:r>
          </w:p>
        </w:tc>
        <w:tc>
          <w:tcPr>
            <w:tcW w:w="1346" w:type="dxa"/>
          </w:tcPr>
          <w:p w14:paraId="2EE5F60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78,0</w:t>
            </w:r>
          </w:p>
        </w:tc>
      </w:tr>
      <w:tr w:rsidR="00A1204B" w:rsidRPr="003817EA" w14:paraId="498C2871" w14:textId="77777777" w:rsidTr="00047038">
        <w:trPr>
          <w:jc w:val="left"/>
        </w:trPr>
        <w:tc>
          <w:tcPr>
            <w:tcW w:w="4678" w:type="dxa"/>
          </w:tcPr>
          <w:p w14:paraId="1A5CD2A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رؤساء الشركات النشطة، 2017</w:t>
            </w:r>
          </w:p>
        </w:tc>
        <w:tc>
          <w:tcPr>
            <w:tcW w:w="1346" w:type="dxa"/>
          </w:tcPr>
          <w:p w14:paraId="7609F2C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24,0</w:t>
            </w:r>
          </w:p>
        </w:tc>
        <w:tc>
          <w:tcPr>
            <w:tcW w:w="1346" w:type="dxa"/>
          </w:tcPr>
          <w:p w14:paraId="76B2EF1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76,0</w:t>
            </w:r>
          </w:p>
        </w:tc>
      </w:tr>
      <w:tr w:rsidR="00A1204B" w:rsidRPr="003817EA" w14:paraId="7F245B09" w14:textId="77777777" w:rsidTr="00047038">
        <w:trPr>
          <w:jc w:val="left"/>
        </w:trPr>
        <w:tc>
          <w:tcPr>
            <w:tcW w:w="4678" w:type="dxa"/>
          </w:tcPr>
          <w:p w14:paraId="20F8491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مجلس إدارة الشركات النشطة، 2017</w:t>
            </w:r>
          </w:p>
        </w:tc>
        <w:tc>
          <w:tcPr>
            <w:tcW w:w="1346" w:type="dxa"/>
          </w:tcPr>
          <w:p w14:paraId="701919F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26,0</w:t>
            </w:r>
          </w:p>
        </w:tc>
        <w:tc>
          <w:tcPr>
            <w:tcW w:w="1346" w:type="dxa"/>
          </w:tcPr>
          <w:p w14:paraId="0E055F4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74,0</w:t>
            </w:r>
          </w:p>
        </w:tc>
      </w:tr>
      <w:tr w:rsidR="00A1204B" w:rsidRPr="003817EA" w14:paraId="2D87C37A"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4678" w:type="dxa"/>
          </w:tcPr>
          <w:p w14:paraId="30C5765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أعضاء رابطات الصحفيين، 2017</w:t>
            </w:r>
          </w:p>
        </w:tc>
        <w:tc>
          <w:tcPr>
            <w:tcW w:w="1346" w:type="dxa"/>
          </w:tcPr>
          <w:p w14:paraId="225983B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38,3</w:t>
            </w:r>
          </w:p>
        </w:tc>
        <w:tc>
          <w:tcPr>
            <w:tcW w:w="1346" w:type="dxa"/>
          </w:tcPr>
          <w:p w14:paraId="5F1E6EA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61,7</w:t>
            </w:r>
          </w:p>
        </w:tc>
      </w:tr>
    </w:tbl>
    <w:p w14:paraId="4C62EBBF" w14:textId="77777777" w:rsidR="00A1204B" w:rsidRPr="001F1035" w:rsidRDefault="00A1204B" w:rsidP="00A1204B">
      <w:pPr>
        <w:pStyle w:val="SingleTxtGA"/>
        <w:keepNext/>
        <w:spacing w:before="240"/>
        <w:rPr>
          <w:i/>
          <w:iCs/>
          <w:rtl/>
        </w:rPr>
      </w:pPr>
      <w:r w:rsidRPr="001F1035">
        <w:rPr>
          <w:i/>
          <w:iCs/>
          <w:rtl/>
        </w:rPr>
        <w:tab/>
        <w:t>ويبيِّن الجدول التالي النسبة المئوية للمشاركة في الانتخابات في الفترة 2014-2020.</w:t>
      </w:r>
    </w:p>
    <w:tbl>
      <w:tblPr>
        <w:tblStyle w:val="TABLEA"/>
        <w:bidiVisual/>
        <w:tblW w:w="7370" w:type="dxa"/>
        <w:jc w:val="left"/>
        <w:tblInd w:w="1247" w:type="dxa"/>
        <w:tblLayout w:type="fixed"/>
        <w:tblLook w:val="04E0" w:firstRow="1" w:lastRow="1" w:firstColumn="1" w:lastColumn="0" w:noHBand="0" w:noVBand="1"/>
      </w:tblPr>
      <w:tblGrid>
        <w:gridCol w:w="3685"/>
        <w:gridCol w:w="3685"/>
      </w:tblGrid>
      <w:tr w:rsidR="00A1204B" w:rsidRPr="003817EA" w14:paraId="21330D1C"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4673" w:type="dxa"/>
          </w:tcPr>
          <w:p w14:paraId="09FAE2B8"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الانتخابات</w:t>
            </w:r>
          </w:p>
        </w:tc>
        <w:tc>
          <w:tcPr>
            <w:tcW w:w="4673" w:type="dxa"/>
          </w:tcPr>
          <w:p w14:paraId="78D868A2"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المجموع بالنسبة المئوية</w:t>
            </w:r>
          </w:p>
        </w:tc>
      </w:tr>
      <w:tr w:rsidR="00A1204B" w:rsidRPr="003817EA" w14:paraId="08FFBB7F" w14:textId="77777777" w:rsidTr="00047038">
        <w:trPr>
          <w:jc w:val="left"/>
        </w:trPr>
        <w:tc>
          <w:tcPr>
            <w:tcW w:w="4673" w:type="dxa"/>
          </w:tcPr>
          <w:p w14:paraId="3E8AA13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انتخابات الحكم المحلي لعام 2014</w:t>
            </w:r>
          </w:p>
        </w:tc>
        <w:tc>
          <w:tcPr>
            <w:tcW w:w="4673" w:type="dxa"/>
          </w:tcPr>
          <w:p w14:paraId="6756D39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66,5</w:t>
            </w:r>
          </w:p>
        </w:tc>
      </w:tr>
      <w:tr w:rsidR="00A1204B" w:rsidRPr="003817EA" w14:paraId="289B9F81" w14:textId="77777777" w:rsidTr="00047038">
        <w:trPr>
          <w:jc w:val="left"/>
        </w:trPr>
        <w:tc>
          <w:tcPr>
            <w:tcW w:w="4673" w:type="dxa"/>
          </w:tcPr>
          <w:p w14:paraId="55C8ABB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الانتخابات الرئاسية لعام 2016</w:t>
            </w:r>
          </w:p>
        </w:tc>
        <w:tc>
          <w:tcPr>
            <w:tcW w:w="4673" w:type="dxa"/>
          </w:tcPr>
          <w:p w14:paraId="0E7138C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75,7</w:t>
            </w:r>
          </w:p>
        </w:tc>
      </w:tr>
      <w:tr w:rsidR="00A1204B" w:rsidRPr="003817EA" w14:paraId="3721201A" w14:textId="77777777" w:rsidTr="00047038">
        <w:trPr>
          <w:jc w:val="left"/>
        </w:trPr>
        <w:tc>
          <w:tcPr>
            <w:tcW w:w="4673" w:type="dxa"/>
          </w:tcPr>
          <w:p w14:paraId="7542EBB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الانتخابات الرئاسية لعام 2020</w:t>
            </w:r>
          </w:p>
        </w:tc>
        <w:tc>
          <w:tcPr>
            <w:tcW w:w="4673" w:type="dxa"/>
          </w:tcPr>
          <w:p w14:paraId="2359626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66,9</w:t>
            </w:r>
          </w:p>
        </w:tc>
      </w:tr>
      <w:tr w:rsidR="00A1204B" w:rsidRPr="003817EA" w14:paraId="78D1A088" w14:textId="77777777" w:rsidTr="00047038">
        <w:trPr>
          <w:jc w:val="left"/>
        </w:trPr>
        <w:tc>
          <w:tcPr>
            <w:tcW w:w="4673" w:type="dxa"/>
          </w:tcPr>
          <w:p w14:paraId="0CD943A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الانتخابات العامة لعام 2016</w:t>
            </w:r>
          </w:p>
        </w:tc>
        <w:tc>
          <w:tcPr>
            <w:tcW w:w="4673" w:type="dxa"/>
          </w:tcPr>
          <w:p w14:paraId="060494E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79,2</w:t>
            </w:r>
          </w:p>
        </w:tc>
      </w:tr>
      <w:tr w:rsidR="00A1204B" w:rsidRPr="003817EA" w14:paraId="55CD36FB" w14:textId="77777777" w:rsidTr="00047038">
        <w:trPr>
          <w:jc w:val="left"/>
        </w:trPr>
        <w:tc>
          <w:tcPr>
            <w:tcW w:w="4673" w:type="dxa"/>
          </w:tcPr>
          <w:p w14:paraId="1D08853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الانتخابات العامة لعام 2017</w:t>
            </w:r>
          </w:p>
        </w:tc>
        <w:tc>
          <w:tcPr>
            <w:tcW w:w="4673" w:type="dxa"/>
          </w:tcPr>
          <w:p w14:paraId="6AEB093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81,2</w:t>
            </w:r>
          </w:p>
        </w:tc>
      </w:tr>
      <w:tr w:rsidR="00A1204B" w:rsidRPr="003817EA" w14:paraId="27CCB916"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4673" w:type="dxa"/>
          </w:tcPr>
          <w:p w14:paraId="3CC3176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انتخابات الحكم المحلي لعام 2018</w:t>
            </w:r>
          </w:p>
        </w:tc>
        <w:tc>
          <w:tcPr>
            <w:tcW w:w="4673" w:type="dxa"/>
          </w:tcPr>
          <w:p w14:paraId="236654B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67,6</w:t>
            </w:r>
          </w:p>
        </w:tc>
      </w:tr>
    </w:tbl>
    <w:p w14:paraId="73E55B34" w14:textId="77777777" w:rsidR="00A1204B" w:rsidRPr="001F1035" w:rsidRDefault="00A1204B" w:rsidP="00A1204B">
      <w:pPr>
        <w:pStyle w:val="H23GA"/>
        <w:rPr>
          <w:rtl/>
        </w:rPr>
      </w:pPr>
      <w:r w:rsidRPr="001F1035">
        <w:rPr>
          <w:rtl/>
        </w:rPr>
        <w:lastRenderedPageBreak/>
        <w:tab/>
        <w:t>3-</w:t>
      </w:r>
      <w:r w:rsidRPr="001F1035">
        <w:rPr>
          <w:rtl/>
        </w:rPr>
        <w:tab/>
        <w:t>الحكومة الآيسلندية</w:t>
      </w:r>
    </w:p>
    <w:p w14:paraId="40E8CE68" w14:textId="77777777" w:rsidR="00A1204B" w:rsidRPr="003817EA" w:rsidRDefault="00A1204B" w:rsidP="00A1204B">
      <w:pPr>
        <w:pStyle w:val="SingleTxtGA"/>
        <w:rPr>
          <w:rtl/>
        </w:rPr>
      </w:pPr>
      <w:r w:rsidRPr="003817EA">
        <w:rPr>
          <w:rtl/>
        </w:rPr>
        <w:t>39-</w:t>
      </w:r>
      <w:r w:rsidRPr="003817EA">
        <w:rPr>
          <w:rtl/>
        </w:rPr>
        <w:tab/>
        <w:t>تتألف الحكومة من الحزب أو الأحزاب التي لها أغلبية المقاعد في البرلمان، أو التي تشكِّل أقلية قادرة على الحكم. وهكذا تختار هيئة الناخبين الحكومة بصفة غير مباشرة. وتتألف الحكومة من رئيس الوزراء وعدد من الوزراء (11 وزيراً في المجموع حتى 30 تشرين الثاني/نوفمبر 2017). ويقوم مكتب رئيس الوزراء بمساعدة رئيس الوزراء في إدارة شؤون الحكومة وتنسيقها. والوزارات مسؤولة عن تنفيذ السياسات التي يقرّها الوزراء في مختلف قطاعات الإدارة الحكومية. والوزراء مسؤولون عن جميع الإجراءات التنفيذية، وهذه المساءلة محدَّدة بنص القانون.</w:t>
      </w:r>
    </w:p>
    <w:p w14:paraId="3E4330A4" w14:textId="77777777" w:rsidR="00A1204B" w:rsidRPr="001F1035" w:rsidRDefault="00A1204B" w:rsidP="00A1204B">
      <w:pPr>
        <w:pStyle w:val="H23GA"/>
        <w:rPr>
          <w:rtl/>
        </w:rPr>
      </w:pPr>
      <w:r w:rsidRPr="001F1035">
        <w:rPr>
          <w:rtl/>
        </w:rPr>
        <w:tab/>
        <w:t>4-</w:t>
      </w:r>
      <w:r w:rsidRPr="001F1035">
        <w:rPr>
          <w:rtl/>
        </w:rPr>
        <w:tab/>
        <w:t>البلديات</w:t>
      </w:r>
    </w:p>
    <w:p w14:paraId="32ADDAA5" w14:textId="77777777" w:rsidR="00A1204B" w:rsidRPr="003817EA" w:rsidRDefault="00A1204B" w:rsidP="00A1204B">
      <w:pPr>
        <w:pStyle w:val="SingleTxtGA"/>
        <w:rPr>
          <w:rtl/>
        </w:rPr>
      </w:pPr>
      <w:r w:rsidRPr="003817EA">
        <w:rPr>
          <w:rtl/>
        </w:rPr>
        <w:t>40-</w:t>
      </w:r>
      <w:r w:rsidRPr="003817EA">
        <w:rPr>
          <w:rtl/>
        </w:rPr>
        <w:tab/>
        <w:t>تنقسم آيسلندا إلى 72 بلدية (2019). وتفوِّض الحكومة المجالس البلدية سلطات مستقلة في بعض مجالات السياسة العامة، على النحو المحدَّد في التشريع. ويُضطلع أيضاً بالكثير من عمليات الإدارة العامة على هذا المستوى. والسلطات المحلية مسؤولة عن جزء كبير من المشاريع والخدمات الحكومية، بما في ذلك تشغيل مرافق التعليم ما قبل المدرسي ومدارس التعليم الإلزامي ومدارس الموسيقى.</w:t>
      </w:r>
    </w:p>
    <w:p w14:paraId="52A9C854" w14:textId="77777777" w:rsidR="00A1204B" w:rsidRPr="003817EA" w:rsidRDefault="00A1204B" w:rsidP="00A1204B">
      <w:pPr>
        <w:pStyle w:val="SingleTxtGA"/>
        <w:rPr>
          <w:rtl/>
        </w:rPr>
      </w:pPr>
      <w:r w:rsidRPr="003817EA">
        <w:rPr>
          <w:rtl/>
        </w:rPr>
        <w:t>41-</w:t>
      </w:r>
      <w:r w:rsidRPr="003817EA">
        <w:rPr>
          <w:rtl/>
        </w:rPr>
        <w:tab/>
        <w:t>وقبل الانتخابات الوطنية التي جرت في آيسلندا في 10 أيار/مايو 2003، أجريت تغييرات لتقسيم البلد إلى ست دوائر انتخابية: الدائرتان الشمالية الغربية والشمالية الشرقية، والدائرتان الجنوبية والجنوبية الغربية، وريكيافيك الشمالية، وريكيافيك الجنوبية. وكانت آيسلندا في السابق مقسَّمة إلى ثماني دوائر انتخابية.</w:t>
      </w:r>
    </w:p>
    <w:p w14:paraId="567716EE" w14:textId="77777777" w:rsidR="00A1204B" w:rsidRPr="003817EA" w:rsidRDefault="00A1204B" w:rsidP="00A1204B">
      <w:pPr>
        <w:pStyle w:val="SingleTxtGA"/>
        <w:rPr>
          <w:rtl/>
        </w:rPr>
      </w:pPr>
      <w:r w:rsidRPr="003817EA">
        <w:rPr>
          <w:rtl/>
        </w:rPr>
        <w:t>42-</w:t>
      </w:r>
      <w:r w:rsidRPr="003817EA">
        <w:rPr>
          <w:rtl/>
        </w:rPr>
        <w:tab/>
        <w:t>وتقام انتخابات المجالس البلدية كل أربع سنوات. وبلغت نسبة إقبال الناخبين في الانتخابات الأخيرة، التي أجريت في أيار/مايو 2018، 67,6 في المائة.</w:t>
      </w:r>
    </w:p>
    <w:p w14:paraId="31B78F30" w14:textId="77777777" w:rsidR="00A1204B" w:rsidRPr="001F1035" w:rsidRDefault="00A1204B" w:rsidP="00A1204B">
      <w:pPr>
        <w:pStyle w:val="H23GA"/>
        <w:rPr>
          <w:rtl/>
        </w:rPr>
      </w:pPr>
      <w:r w:rsidRPr="001F1035">
        <w:rPr>
          <w:rtl/>
        </w:rPr>
        <w:tab/>
        <w:t>5-</w:t>
      </w:r>
      <w:r w:rsidRPr="001F1035">
        <w:rPr>
          <w:rtl/>
        </w:rPr>
        <w:tab/>
        <w:t>الهيكل القانوني</w:t>
      </w:r>
    </w:p>
    <w:p w14:paraId="69FCFF66" w14:textId="77777777" w:rsidR="00A1204B" w:rsidRPr="003817EA" w:rsidRDefault="00A1204B" w:rsidP="00A1204B">
      <w:pPr>
        <w:pStyle w:val="SingleTxtGA"/>
        <w:rPr>
          <w:rtl/>
        </w:rPr>
      </w:pPr>
      <w:r w:rsidRPr="003817EA">
        <w:rPr>
          <w:rtl/>
        </w:rPr>
        <w:t>43-</w:t>
      </w:r>
      <w:r w:rsidRPr="003817EA">
        <w:rPr>
          <w:rtl/>
        </w:rPr>
        <w:tab/>
        <w:t>تتولى المحاكم مهمة إقامة العدل. وفي 1 كانون الثاني/يناير 2018، اعتُمد مستوى جديد للمحاكم في آيسلندا ليحل محل النظام السابق القائم على مستويين نظامٌ من ثلاثة مستويات. والمحكمة الجديدة هي محكمة الاستئناف، وهي محكمة من الدرجة الثانية، تتموقع بين المحاكم المحلية والمحكمة العليا على أعلى مستوى. وتبدأ جميع الإجراءات القضائية في آيسلندا في المحاكم المحلية، التي يبلغ عددها ثمانية، وتقع في جميع أنحاء البلد. ويمكن استئناف قرار المحاكم المحلية أمام محكمة الاستئناف، شريطة استيفاء شروط محدَّدة للاستئناف. وفي معظم الحالات، يكون حكم محكمة الاستئناف هو القرار النهائي في القضية قيد النظر، بيْد أنَّ من الممكن، في حالات خاصة، إحالة قرار محكمة الاستئناف إلى المحكمة العليا، بعد الحصول على إذن من هذه الأخيرة.</w:t>
      </w:r>
    </w:p>
    <w:p w14:paraId="29DED987" w14:textId="77777777" w:rsidR="00A1204B" w:rsidRPr="00175B1B" w:rsidRDefault="00A1204B" w:rsidP="00A1204B">
      <w:pPr>
        <w:pStyle w:val="SingleTxtGA"/>
        <w:rPr>
          <w:spacing w:val="-2"/>
          <w:rtl/>
        </w:rPr>
      </w:pPr>
      <w:r w:rsidRPr="003817EA">
        <w:rPr>
          <w:rtl/>
        </w:rPr>
        <w:t>44-</w:t>
      </w:r>
      <w:r w:rsidRPr="003817EA">
        <w:rPr>
          <w:rtl/>
        </w:rPr>
        <w:tab/>
      </w:r>
      <w:r w:rsidRPr="00175B1B">
        <w:rPr>
          <w:spacing w:val="-2"/>
          <w:rtl/>
        </w:rPr>
        <w:t>وبالتوازي مع المحاكم المحلية والمحكمة العليا، لدى آيسلندا محكمتان خاصتان، وهما المحكمة التي تنظر في إجراءات العزل، ومحكمة العمل. ولا تنظر المحكمة المعنية بالعزل سوى في القضايا المتعلقة بجرائم مزعومة من جانب وزراء الحكومة في رأي البرلمان الآيسلندي. ولم تنظر محكمة العزل إلا في قضية واحدة، في أعقاب الأزمة الاقتصادية في عام 2008. أما محكمة العمل فيتمثل دورها في الفصل في المنازعات القانونية التي تنشأ بين الشركاء الاجتماعيين استناداً إلى قانون النقابات والمنازعات الصناعية.</w:t>
      </w:r>
    </w:p>
    <w:p w14:paraId="654BD1FA" w14:textId="2E67A19D" w:rsidR="00A1204B" w:rsidRPr="003817EA" w:rsidRDefault="00A1204B" w:rsidP="00A1204B">
      <w:pPr>
        <w:pStyle w:val="SingleTxtGA"/>
        <w:rPr>
          <w:rtl/>
        </w:rPr>
      </w:pPr>
      <w:r w:rsidRPr="003817EA">
        <w:rPr>
          <w:rtl/>
        </w:rPr>
        <w:t>45-</w:t>
      </w:r>
      <w:r w:rsidRPr="003817EA">
        <w:rPr>
          <w:rtl/>
        </w:rPr>
        <w:tab/>
        <w:t>كما بدأت الإدارة القضائية، وهي وكالة عمومية جديدة، في العمل في 1 كانون الثاني/</w:t>
      </w:r>
      <w:r w:rsidR="00175B1B">
        <w:rPr>
          <w:rFonts w:hint="cs"/>
          <w:rtl/>
        </w:rPr>
        <w:t xml:space="preserve"> </w:t>
      </w:r>
      <w:r w:rsidRPr="003817EA">
        <w:rPr>
          <w:rtl/>
        </w:rPr>
        <w:t>يناير</w:t>
      </w:r>
      <w:r w:rsidR="00175B1B">
        <w:rPr>
          <w:rFonts w:hint="cs"/>
          <w:rtl/>
        </w:rPr>
        <w:t> </w:t>
      </w:r>
      <w:r w:rsidRPr="003817EA">
        <w:rPr>
          <w:rtl/>
        </w:rPr>
        <w:t>2018. وتتولى الإدارة القضائية متابعة شؤون العمل الإداري لكافة المحاكم وتمثيل مصالحها في التعامل مع الحكومة ووسائط الإعلام والأطراف الأخرى. والإدارة القضائية مؤسسة مستقلة.</w:t>
      </w:r>
    </w:p>
    <w:p w14:paraId="28C35E08" w14:textId="77777777" w:rsidR="00A1204B" w:rsidRPr="003817EA" w:rsidRDefault="00A1204B" w:rsidP="00A1204B">
      <w:pPr>
        <w:pStyle w:val="SingleTxtGA"/>
        <w:rPr>
          <w:rtl/>
        </w:rPr>
      </w:pPr>
      <w:r w:rsidRPr="003817EA">
        <w:rPr>
          <w:rtl/>
        </w:rPr>
        <w:lastRenderedPageBreak/>
        <w:t>46-</w:t>
      </w:r>
      <w:r w:rsidRPr="003817EA">
        <w:rPr>
          <w:rtl/>
        </w:rPr>
        <w:tab/>
        <w:t>وتخضع وكالات الإدارة العامة لإشراف المفوض البرلماني المعني بالإدارة. ويقوم المفوض البرلماني المعني بالإدارة برصد إدارة الدولة والسلطات المحلية. ويتمثل دوره أيضاً في حماية حقوق المواطنين إزاء السلطات. ويعالج المفوض البرلماني المعني بالإدارة الشكاوى المتعلقة بالقرارات الإدارية على مستوى الحكومة والبلديات، كما يجوز له أن يتَّخذ المبادرة لمباشرة التحقيق في مسألة ما.</w:t>
      </w:r>
    </w:p>
    <w:p w14:paraId="69FB1632" w14:textId="77777777" w:rsidR="00A1204B" w:rsidRPr="003817EA" w:rsidRDefault="00A1204B" w:rsidP="00A1204B">
      <w:pPr>
        <w:pStyle w:val="SingleTxtGA"/>
        <w:rPr>
          <w:rtl/>
        </w:rPr>
      </w:pPr>
      <w:r w:rsidRPr="003817EA">
        <w:rPr>
          <w:rtl/>
        </w:rPr>
        <w:t>47-</w:t>
      </w:r>
      <w:r w:rsidRPr="003817EA">
        <w:rPr>
          <w:rtl/>
        </w:rPr>
        <w:tab/>
        <w:t>وتتَّبع آيسلندا نظام القانون المدني، ومن ثم فإنَّ القانون الآيسلندي هو قانون مدوَّن. وتشمل المصادر الرئيسية للقانون في آيسلندا الدستور والتشريعات القانونية والقوانين التنظيمية. وتتمثل الموارد القانونية الأخرى في السوابق والقانون العرفي.</w:t>
      </w:r>
    </w:p>
    <w:p w14:paraId="608F6C54" w14:textId="77777777" w:rsidR="00A1204B" w:rsidRPr="001F1035" w:rsidRDefault="00A1204B" w:rsidP="00A1204B">
      <w:pPr>
        <w:pStyle w:val="H23GA"/>
        <w:rPr>
          <w:rtl/>
        </w:rPr>
      </w:pPr>
      <w:r w:rsidRPr="001F1035">
        <w:rPr>
          <w:rtl/>
        </w:rPr>
        <w:tab/>
        <w:t>6-</w:t>
      </w:r>
      <w:r w:rsidRPr="001F1035">
        <w:rPr>
          <w:rtl/>
        </w:rPr>
        <w:tab/>
        <w:t>الأقليات القومية والهجرة</w:t>
      </w:r>
    </w:p>
    <w:p w14:paraId="793BCF7E" w14:textId="426F4681" w:rsidR="00A1204B" w:rsidRPr="003817EA" w:rsidRDefault="00A1204B" w:rsidP="00A1204B">
      <w:pPr>
        <w:pStyle w:val="SingleTxtGA"/>
        <w:rPr>
          <w:rtl/>
        </w:rPr>
      </w:pPr>
      <w:r w:rsidRPr="003817EA">
        <w:rPr>
          <w:rtl/>
        </w:rPr>
        <w:t>48-</w:t>
      </w:r>
      <w:r w:rsidRPr="003817EA">
        <w:rPr>
          <w:rtl/>
        </w:rPr>
        <w:tab/>
        <w:t xml:space="preserve">لم تكن هناك هجرة تُذكر إلى آيسلندا قبل تسعينات القرن الماضي، وكان عدد ضئيل من المهاجرين يَفِدُ في الغالب من بلدان اسكندنافية أخرى، إذ كان حوالي 1 في المائة من سكان آيسلندا في عام 1900 يتحدرون من </w:t>
      </w:r>
      <w:r w:rsidR="00175B1B">
        <w:rPr>
          <w:rFonts w:hint="cs"/>
          <w:rtl/>
        </w:rPr>
        <w:t>الدانمرك</w:t>
      </w:r>
      <w:r w:rsidRPr="003817EA">
        <w:rPr>
          <w:rtl/>
        </w:rPr>
        <w:t>. وفي منتصف التسعينات، كان 95 في المائة من الآيسلنديين مولودين لآباء من أصل آيسلندي، وكان 2 في المائة من سكان آيسلندا من الجيل الأول من المهاجرين (ممن وُلدوا في الخارج لأبوين مولوديْن في الخارج، وجميع أجدادهم مولودون بدورهم في الخارج).</w:t>
      </w:r>
    </w:p>
    <w:p w14:paraId="06941415" w14:textId="77777777" w:rsidR="00A1204B" w:rsidRPr="003817EA" w:rsidRDefault="00A1204B" w:rsidP="00A1204B">
      <w:pPr>
        <w:pStyle w:val="SingleTxtGA"/>
        <w:rPr>
          <w:rtl/>
        </w:rPr>
      </w:pPr>
      <w:r w:rsidRPr="003817EA">
        <w:rPr>
          <w:rtl/>
        </w:rPr>
        <w:t>49-</w:t>
      </w:r>
      <w:r w:rsidRPr="003817EA">
        <w:rPr>
          <w:rtl/>
        </w:rPr>
        <w:tab/>
        <w:t>وزادت الهجرة إلى آيسلندا بوتيرة سريعة في أواخر القرن العشرين، مدفوعة بانضمام آيسلندا إلى المنطقة الاقتصادية الأوروبية في عام 1994، وانضمامها إلى اتفاق شنغن في عام 2001، والازدهار الاقتصادي الذي شهدته في أوائل القرن الحادي والعشرين.</w:t>
      </w:r>
    </w:p>
    <w:p w14:paraId="79D30E1E" w14:textId="77777777" w:rsidR="00A1204B" w:rsidRPr="003817EA" w:rsidRDefault="00A1204B" w:rsidP="00A1204B">
      <w:pPr>
        <w:pStyle w:val="SingleTxtGA"/>
        <w:rPr>
          <w:rtl/>
        </w:rPr>
      </w:pPr>
      <w:r w:rsidRPr="003817EA">
        <w:rPr>
          <w:rtl/>
        </w:rPr>
        <w:t>50-</w:t>
      </w:r>
      <w:r w:rsidRPr="003817EA">
        <w:rPr>
          <w:rtl/>
        </w:rPr>
        <w:tab/>
        <w:t>ويقدِّم المركز المتعدد الثقافات معلومات عن حقوق المهاجرين والخدمات التي يستفيدون منها بثماني لغات. كما يسدي المركز الآيسلندي لحقوق الإنسان مشورة قانونية مجانية للمهاجرين بموجب اتفاق مع وزارة الرعاية الاجتماعية. وتقدِّم البلديات بدورها معلومات عن المرافق والخدمات المحلية. وتقدَّم خدمات الترجمة الشفوية مجاناً في مجالات مختلفة، مثل النظام القضائي، وأثناء التحقيقات الجنائية، لطالبي اللجوء، وإلى حد ما في إطار النظامين التعليمي والصحي.</w:t>
      </w:r>
    </w:p>
    <w:p w14:paraId="30D18059" w14:textId="77777777" w:rsidR="00A1204B" w:rsidRPr="003817EA" w:rsidRDefault="00A1204B" w:rsidP="00A1204B">
      <w:pPr>
        <w:pStyle w:val="SingleTxtGA"/>
        <w:rPr>
          <w:rtl/>
        </w:rPr>
      </w:pPr>
      <w:r w:rsidRPr="003817EA">
        <w:rPr>
          <w:rtl/>
        </w:rPr>
        <w:t>51-</w:t>
      </w:r>
      <w:r w:rsidRPr="003817EA">
        <w:rPr>
          <w:rtl/>
        </w:rPr>
        <w:tab/>
        <w:t>وقد ركَّز الصندوق الآيسلندي للنهوض بالاندماج على مشاريع وبحوث تروم مكافحة العنصرية والتمييز العنصري الإثني لتعزيز المنظمات غير الحكومية العاملة مع المهاجرين. ونُفِّذت مشاريع على يد جهات فاعلة من غير الدول، مثل الاتحاد الوطني لكرة القدم، ومنتدى الشباب، والصليب الأحمر، بهدف القضاء على التحيز.</w:t>
      </w:r>
    </w:p>
    <w:p w14:paraId="70359C16" w14:textId="77777777" w:rsidR="00A1204B" w:rsidRPr="001F1035" w:rsidRDefault="00A1204B" w:rsidP="00A1204B">
      <w:pPr>
        <w:pStyle w:val="H23GA"/>
        <w:rPr>
          <w:rtl/>
        </w:rPr>
      </w:pPr>
      <w:r w:rsidRPr="001F1035">
        <w:rPr>
          <w:rtl/>
        </w:rPr>
        <w:tab/>
        <w:t>7-</w:t>
      </w:r>
      <w:r w:rsidRPr="001F1035">
        <w:rPr>
          <w:rtl/>
        </w:rPr>
        <w:tab/>
        <w:t>الاعتراف بالمنظمات غير الحكومية</w:t>
      </w:r>
    </w:p>
    <w:p w14:paraId="53B1FC51" w14:textId="77777777" w:rsidR="00A1204B" w:rsidRPr="003817EA" w:rsidRDefault="00A1204B" w:rsidP="00A1204B">
      <w:pPr>
        <w:pStyle w:val="SingleTxtGA"/>
        <w:rPr>
          <w:rtl/>
        </w:rPr>
      </w:pPr>
      <w:r w:rsidRPr="003817EA">
        <w:rPr>
          <w:rtl/>
        </w:rPr>
        <w:t>52-</w:t>
      </w:r>
      <w:r w:rsidRPr="003817EA">
        <w:rPr>
          <w:rtl/>
        </w:rPr>
        <w:tab/>
        <w:t>يمكن للمنظمات غير الربحية التسجيل في سجل الأعمال الآيسلندي. على أنَّ التسجيل اختياري تماماً. ففي عام 2017، كان هناك 494 14 منظمة مسجلة في سجل الأعمال الآيسلندي.</w:t>
      </w:r>
    </w:p>
    <w:p w14:paraId="6E2980DF" w14:textId="77777777" w:rsidR="00A1204B" w:rsidRPr="001F1035" w:rsidRDefault="00A1204B" w:rsidP="00A1204B">
      <w:pPr>
        <w:pStyle w:val="H23GA"/>
        <w:rPr>
          <w:rtl/>
        </w:rPr>
      </w:pPr>
      <w:r w:rsidRPr="001F1035">
        <w:rPr>
          <w:rtl/>
        </w:rPr>
        <w:tab/>
        <w:t>8-</w:t>
      </w:r>
      <w:r w:rsidRPr="001F1035">
        <w:rPr>
          <w:rtl/>
        </w:rPr>
        <w:tab/>
        <w:t>الجريمة والعدالة</w:t>
      </w:r>
    </w:p>
    <w:p w14:paraId="4941D5DC" w14:textId="77777777" w:rsidR="00A1204B" w:rsidRPr="003817EA" w:rsidRDefault="00A1204B" w:rsidP="00A1204B">
      <w:pPr>
        <w:pStyle w:val="SingleTxtGA"/>
        <w:rPr>
          <w:rtl/>
        </w:rPr>
      </w:pPr>
      <w:r w:rsidRPr="003817EA">
        <w:rPr>
          <w:rtl/>
        </w:rPr>
        <w:t>53-</w:t>
      </w:r>
      <w:r w:rsidRPr="003817EA">
        <w:rPr>
          <w:rtl/>
        </w:rPr>
        <w:tab/>
        <w:t>في عام 2019، بلغ العدد الإجمالي للمخالفات 764 93. ومن بين هذه المخالفات 071 75 مخالفة مرورية. وكان عدد المخالفات متشابهاً على مدى السنوات القليلة الماضية، حيث بلغ متوسط عدد المخالفات من 2016 إلى 2018 نحو 000 90.</w:t>
      </w:r>
    </w:p>
    <w:p w14:paraId="7DB633A8" w14:textId="004925B8" w:rsidR="00A1204B" w:rsidRPr="003817EA" w:rsidRDefault="00A1204B" w:rsidP="00A1204B">
      <w:pPr>
        <w:pStyle w:val="SingleTxtGA"/>
        <w:rPr>
          <w:rtl/>
        </w:rPr>
      </w:pPr>
      <w:r w:rsidRPr="003817EA">
        <w:rPr>
          <w:rtl/>
        </w:rPr>
        <w:t>54-</w:t>
      </w:r>
      <w:r w:rsidRPr="003817EA">
        <w:rPr>
          <w:rtl/>
        </w:rPr>
        <w:tab/>
        <w:t>وفي عام 2019، كان هناك 664 من أفراد الشرطة في آيسلندا. وفي عام 2020، كان هناك</w:t>
      </w:r>
      <w:r w:rsidR="00D85448">
        <w:rPr>
          <w:rFonts w:hint="cs"/>
          <w:rtl/>
        </w:rPr>
        <w:t> </w:t>
      </w:r>
      <w:r w:rsidRPr="003817EA">
        <w:rPr>
          <w:rtl/>
        </w:rPr>
        <w:t>42 قاضياً في المحاكم المحلية، و15 في محكمة الاستئناف، وسبعة في المحكمة العليا.</w:t>
      </w:r>
    </w:p>
    <w:p w14:paraId="51E8B2F6" w14:textId="77777777" w:rsidR="00A1204B" w:rsidRPr="003817EA" w:rsidRDefault="00A1204B" w:rsidP="00A1204B">
      <w:pPr>
        <w:pStyle w:val="SingleTxtGA"/>
        <w:rPr>
          <w:rtl/>
        </w:rPr>
      </w:pPr>
      <w:r w:rsidRPr="003817EA">
        <w:rPr>
          <w:rtl/>
        </w:rPr>
        <w:lastRenderedPageBreak/>
        <w:t>55-</w:t>
      </w:r>
      <w:r w:rsidRPr="003817EA">
        <w:rPr>
          <w:rtl/>
        </w:rPr>
        <w:tab/>
        <w:t>وتحظر المادة 69 من الدستور الآيسلندي عقوبة الإعدام، إذ ينص الدستور على أنه لا يجوز مطلقاً أن ينص القانون على هذه العقوبة.</w:t>
      </w:r>
    </w:p>
    <w:p w14:paraId="672655D1" w14:textId="77777777" w:rsidR="00A1204B" w:rsidRPr="001F1035" w:rsidRDefault="00A1204B" w:rsidP="00A1204B">
      <w:pPr>
        <w:pStyle w:val="SingleTxtGA"/>
        <w:rPr>
          <w:i/>
          <w:iCs/>
          <w:rtl/>
        </w:rPr>
      </w:pPr>
      <w:r w:rsidRPr="003817EA">
        <w:rPr>
          <w:rtl/>
        </w:rPr>
        <w:tab/>
      </w:r>
      <w:r w:rsidRPr="001F1035">
        <w:rPr>
          <w:i/>
          <w:iCs/>
          <w:rtl/>
        </w:rPr>
        <w:t>ويوضح الجدول التالي عدد الجرائم الجنسية والاعتداء/العنف ضد أشخاص كما وثَّقته الشرطة في الفترة 2014-2018.</w:t>
      </w:r>
    </w:p>
    <w:tbl>
      <w:tblPr>
        <w:tblStyle w:val="TABLEA"/>
        <w:bidiVisual/>
        <w:tblW w:w="7370" w:type="dxa"/>
        <w:jc w:val="left"/>
        <w:tblInd w:w="1247" w:type="dxa"/>
        <w:tblLayout w:type="fixed"/>
        <w:tblLook w:val="04E0" w:firstRow="1" w:lastRow="1" w:firstColumn="1" w:lastColumn="0" w:noHBand="0" w:noVBand="1"/>
      </w:tblPr>
      <w:tblGrid>
        <w:gridCol w:w="2457"/>
        <w:gridCol w:w="2456"/>
        <w:gridCol w:w="2457"/>
      </w:tblGrid>
      <w:tr w:rsidR="00A1204B" w:rsidRPr="003817EA" w14:paraId="11661DE2"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3115" w:type="dxa"/>
          </w:tcPr>
          <w:p w14:paraId="44B71395"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السنة</w:t>
            </w:r>
          </w:p>
        </w:tc>
        <w:tc>
          <w:tcPr>
            <w:tcW w:w="3115" w:type="dxa"/>
          </w:tcPr>
          <w:p w14:paraId="3E77211B"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الجرائم الجنسية</w:t>
            </w:r>
          </w:p>
        </w:tc>
        <w:tc>
          <w:tcPr>
            <w:tcW w:w="3116" w:type="dxa"/>
          </w:tcPr>
          <w:p w14:paraId="7B3DEAD0"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الاعتداء/العنف ضد شخص</w:t>
            </w:r>
          </w:p>
        </w:tc>
      </w:tr>
      <w:tr w:rsidR="00A1204B" w:rsidRPr="003817EA" w14:paraId="71C37DB0" w14:textId="77777777" w:rsidTr="00047038">
        <w:trPr>
          <w:jc w:val="left"/>
        </w:trPr>
        <w:tc>
          <w:tcPr>
            <w:tcW w:w="3115" w:type="dxa"/>
          </w:tcPr>
          <w:p w14:paraId="1595255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2014</w:t>
            </w:r>
          </w:p>
        </w:tc>
        <w:tc>
          <w:tcPr>
            <w:tcW w:w="3115" w:type="dxa"/>
          </w:tcPr>
          <w:p w14:paraId="15C75ED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419</w:t>
            </w:r>
          </w:p>
        </w:tc>
        <w:tc>
          <w:tcPr>
            <w:tcW w:w="3116" w:type="dxa"/>
          </w:tcPr>
          <w:p w14:paraId="1C8D3F5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237 1</w:t>
            </w:r>
          </w:p>
        </w:tc>
      </w:tr>
      <w:tr w:rsidR="00A1204B" w:rsidRPr="003817EA" w14:paraId="4779963C" w14:textId="77777777" w:rsidTr="00047038">
        <w:trPr>
          <w:jc w:val="left"/>
        </w:trPr>
        <w:tc>
          <w:tcPr>
            <w:tcW w:w="3115" w:type="dxa"/>
          </w:tcPr>
          <w:p w14:paraId="73B9B2A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2015</w:t>
            </w:r>
          </w:p>
        </w:tc>
        <w:tc>
          <w:tcPr>
            <w:tcW w:w="3115" w:type="dxa"/>
          </w:tcPr>
          <w:p w14:paraId="3607E2A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442</w:t>
            </w:r>
          </w:p>
        </w:tc>
        <w:tc>
          <w:tcPr>
            <w:tcW w:w="3116" w:type="dxa"/>
          </w:tcPr>
          <w:p w14:paraId="678DD6E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587 1</w:t>
            </w:r>
          </w:p>
        </w:tc>
      </w:tr>
      <w:tr w:rsidR="00A1204B" w:rsidRPr="003817EA" w14:paraId="505C2790" w14:textId="77777777" w:rsidTr="00047038">
        <w:trPr>
          <w:jc w:val="left"/>
        </w:trPr>
        <w:tc>
          <w:tcPr>
            <w:tcW w:w="3115" w:type="dxa"/>
          </w:tcPr>
          <w:p w14:paraId="1E85587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2016</w:t>
            </w:r>
          </w:p>
        </w:tc>
        <w:tc>
          <w:tcPr>
            <w:tcW w:w="3115" w:type="dxa"/>
          </w:tcPr>
          <w:p w14:paraId="7CA05AF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498</w:t>
            </w:r>
          </w:p>
        </w:tc>
        <w:tc>
          <w:tcPr>
            <w:tcW w:w="3116" w:type="dxa"/>
          </w:tcPr>
          <w:p w14:paraId="2ECED8B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605 1</w:t>
            </w:r>
          </w:p>
        </w:tc>
      </w:tr>
      <w:tr w:rsidR="00A1204B" w:rsidRPr="003817EA" w14:paraId="17C4E319" w14:textId="77777777" w:rsidTr="00047038">
        <w:trPr>
          <w:jc w:val="left"/>
        </w:trPr>
        <w:tc>
          <w:tcPr>
            <w:tcW w:w="3115" w:type="dxa"/>
          </w:tcPr>
          <w:p w14:paraId="7A66A5A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2017</w:t>
            </w:r>
          </w:p>
        </w:tc>
        <w:tc>
          <w:tcPr>
            <w:tcW w:w="3115" w:type="dxa"/>
          </w:tcPr>
          <w:p w14:paraId="4EEE493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476</w:t>
            </w:r>
          </w:p>
        </w:tc>
        <w:tc>
          <w:tcPr>
            <w:tcW w:w="3116" w:type="dxa"/>
          </w:tcPr>
          <w:p w14:paraId="267CAB5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671 1</w:t>
            </w:r>
          </w:p>
        </w:tc>
      </w:tr>
      <w:tr w:rsidR="00A1204B" w:rsidRPr="003817EA" w14:paraId="1FC3976A"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3115" w:type="dxa"/>
          </w:tcPr>
          <w:p w14:paraId="7748F10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2018</w:t>
            </w:r>
          </w:p>
        </w:tc>
        <w:tc>
          <w:tcPr>
            <w:tcW w:w="3115" w:type="dxa"/>
          </w:tcPr>
          <w:p w14:paraId="445457B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551</w:t>
            </w:r>
          </w:p>
        </w:tc>
        <w:tc>
          <w:tcPr>
            <w:tcW w:w="3116" w:type="dxa"/>
          </w:tcPr>
          <w:p w14:paraId="72B4DE5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757 1</w:t>
            </w:r>
          </w:p>
        </w:tc>
      </w:tr>
    </w:tbl>
    <w:p w14:paraId="2D947A47" w14:textId="77777777" w:rsidR="00A1204B" w:rsidRPr="001F1035" w:rsidRDefault="00A1204B" w:rsidP="00A1204B">
      <w:pPr>
        <w:pStyle w:val="HChGA"/>
        <w:rPr>
          <w:rtl/>
        </w:rPr>
      </w:pPr>
      <w:r w:rsidRPr="001F1035">
        <w:rPr>
          <w:rtl/>
        </w:rPr>
        <w:tab/>
        <w:t>ثانياً-</w:t>
      </w:r>
      <w:r w:rsidRPr="001F1035">
        <w:rPr>
          <w:rtl/>
        </w:rPr>
        <w:tab/>
        <w:t>الإطار العام لحماية حقوق الإنسان وتعزيزها</w:t>
      </w:r>
    </w:p>
    <w:p w14:paraId="3423B52F" w14:textId="77777777" w:rsidR="00A1204B" w:rsidRPr="001F1035" w:rsidRDefault="00A1204B" w:rsidP="00A1204B">
      <w:pPr>
        <w:pStyle w:val="H1GA"/>
        <w:rPr>
          <w:rtl/>
        </w:rPr>
      </w:pPr>
      <w:r w:rsidRPr="001F1035">
        <w:rPr>
          <w:rtl/>
        </w:rPr>
        <w:tab/>
        <w:t>ألف-</w:t>
      </w:r>
      <w:r w:rsidRPr="001F1035">
        <w:rPr>
          <w:rtl/>
        </w:rPr>
        <w:tab/>
        <w:t>قبول القواعد الدولية لحقوق الإنسان</w:t>
      </w:r>
    </w:p>
    <w:p w14:paraId="58EA992D" w14:textId="77777777" w:rsidR="00A1204B" w:rsidRPr="001F1035" w:rsidRDefault="00A1204B" w:rsidP="00A1204B">
      <w:pPr>
        <w:pStyle w:val="H23GA"/>
        <w:rPr>
          <w:rtl/>
        </w:rPr>
      </w:pPr>
      <w:r w:rsidRPr="001F1035">
        <w:rPr>
          <w:rtl/>
        </w:rPr>
        <w:tab/>
        <w:t>1-</w:t>
      </w:r>
      <w:r w:rsidRPr="001F1035">
        <w:rPr>
          <w:rtl/>
        </w:rPr>
        <w:tab/>
        <w:t>الاتفاقيات والبروتوكولات الدولية الرئيسية المتعلقة بحقوق الإنسان</w:t>
      </w:r>
    </w:p>
    <w:p w14:paraId="3B0329AA" w14:textId="77777777" w:rsidR="00A1204B" w:rsidRPr="003817EA" w:rsidRDefault="00A1204B" w:rsidP="00A1204B">
      <w:pPr>
        <w:pStyle w:val="SingleTxtGA"/>
        <w:rPr>
          <w:rtl/>
        </w:rPr>
      </w:pPr>
      <w:r w:rsidRPr="003817EA">
        <w:rPr>
          <w:rtl/>
        </w:rPr>
        <w:t>56-</w:t>
      </w:r>
      <w:r w:rsidRPr="003817EA">
        <w:rPr>
          <w:rtl/>
        </w:rPr>
        <w:tab/>
        <w:t>انضمت آيسلندا إلى اتفاقيات الأمم المتحدة لحقوق الإنسان الوارد بيانها أدناه:</w:t>
      </w:r>
    </w:p>
    <w:p w14:paraId="03624231" w14:textId="77777777" w:rsidR="00A1204B" w:rsidRPr="003817EA" w:rsidRDefault="00A1204B" w:rsidP="00A1204B">
      <w:pPr>
        <w:pStyle w:val="Bullet1GA"/>
        <w:rPr>
          <w:rtl/>
        </w:rPr>
      </w:pPr>
      <w:r w:rsidRPr="003817EA">
        <w:rPr>
          <w:rtl/>
        </w:rPr>
        <w:t>العهد الدولي الخاص بالحقوق المدنية والسياسية؛</w:t>
      </w:r>
    </w:p>
    <w:p w14:paraId="6B9206B3" w14:textId="77777777" w:rsidR="00A1204B" w:rsidRPr="003817EA" w:rsidRDefault="00A1204B" w:rsidP="00A1204B">
      <w:pPr>
        <w:pStyle w:val="Bullet1GA"/>
        <w:rPr>
          <w:rtl/>
        </w:rPr>
      </w:pPr>
      <w:r w:rsidRPr="003817EA">
        <w:rPr>
          <w:rtl/>
        </w:rPr>
        <w:t>العهد الدولي الخاص بالحقوق الاقتصادية والاجتماعية والثقافية؛</w:t>
      </w:r>
    </w:p>
    <w:p w14:paraId="5C17E402" w14:textId="77777777" w:rsidR="00A1204B" w:rsidRPr="003817EA" w:rsidRDefault="00A1204B" w:rsidP="00A1204B">
      <w:pPr>
        <w:pStyle w:val="Bullet1GA"/>
        <w:rPr>
          <w:rtl/>
        </w:rPr>
      </w:pPr>
      <w:r w:rsidRPr="003817EA">
        <w:rPr>
          <w:rtl/>
        </w:rPr>
        <w:t>الاتفاقية الدولية للقضاء على جميع أشكال التمييز العنصري؛</w:t>
      </w:r>
    </w:p>
    <w:p w14:paraId="1B92F89F" w14:textId="77777777" w:rsidR="00A1204B" w:rsidRPr="003817EA" w:rsidRDefault="00A1204B" w:rsidP="00A1204B">
      <w:pPr>
        <w:pStyle w:val="Bullet1GA"/>
        <w:rPr>
          <w:rtl/>
        </w:rPr>
      </w:pPr>
      <w:r w:rsidRPr="003817EA">
        <w:rPr>
          <w:rtl/>
        </w:rPr>
        <w:t>اتفاقية مناهضة التعذيب وغيره من ضروب المعاملة أو العقوبة القاسية أو اللاإنسانية أو المهينة؛</w:t>
      </w:r>
    </w:p>
    <w:p w14:paraId="7058A1B5" w14:textId="77777777" w:rsidR="00A1204B" w:rsidRPr="003817EA" w:rsidRDefault="00A1204B" w:rsidP="00A1204B">
      <w:pPr>
        <w:pStyle w:val="Bullet1GA"/>
        <w:rPr>
          <w:rtl/>
        </w:rPr>
      </w:pPr>
      <w:r w:rsidRPr="003817EA">
        <w:rPr>
          <w:rtl/>
        </w:rPr>
        <w:t>اتفاقية القضاء على جميع أشكال التمييز ضد المرأة؛</w:t>
      </w:r>
    </w:p>
    <w:p w14:paraId="13409491" w14:textId="77777777" w:rsidR="00A1204B" w:rsidRPr="003817EA" w:rsidRDefault="00A1204B" w:rsidP="00A1204B">
      <w:pPr>
        <w:pStyle w:val="Bullet1GA"/>
        <w:rPr>
          <w:rtl/>
        </w:rPr>
      </w:pPr>
      <w:r w:rsidRPr="003817EA">
        <w:rPr>
          <w:rtl/>
        </w:rPr>
        <w:t>اتفاقية حقوق الطفل؛</w:t>
      </w:r>
    </w:p>
    <w:p w14:paraId="2F90433D" w14:textId="77777777" w:rsidR="00A1204B" w:rsidRPr="003817EA" w:rsidRDefault="00A1204B" w:rsidP="00A1204B">
      <w:pPr>
        <w:pStyle w:val="Bullet1GA"/>
        <w:rPr>
          <w:rtl/>
        </w:rPr>
      </w:pPr>
      <w:r w:rsidRPr="003817EA">
        <w:rPr>
          <w:rtl/>
        </w:rPr>
        <w:t>اتفاقية حقوق الأشخاص ذوي الإعاقة.</w:t>
      </w:r>
    </w:p>
    <w:p w14:paraId="4C70365A" w14:textId="77777777" w:rsidR="00A1204B" w:rsidRPr="001F1035" w:rsidRDefault="00A1204B" w:rsidP="00A1204B">
      <w:pPr>
        <w:pStyle w:val="SingleTxtGA"/>
        <w:rPr>
          <w:i/>
          <w:iCs/>
          <w:rtl/>
        </w:rPr>
      </w:pPr>
      <w:r w:rsidRPr="001F1035">
        <w:rPr>
          <w:i/>
          <w:iCs/>
          <w:rtl/>
        </w:rPr>
        <w:tab/>
        <w:t>وترِد حالة التصديقات في الجدول التالي.</w:t>
      </w:r>
    </w:p>
    <w:tbl>
      <w:tblPr>
        <w:tblStyle w:val="TABLEA"/>
        <w:bidiVisual/>
        <w:tblW w:w="8505" w:type="dxa"/>
        <w:jc w:val="left"/>
        <w:tblInd w:w="1247" w:type="dxa"/>
        <w:tblLayout w:type="fixed"/>
        <w:tblLook w:val="04E0" w:firstRow="1" w:lastRow="1" w:firstColumn="1" w:lastColumn="0" w:noHBand="0" w:noVBand="1"/>
      </w:tblPr>
      <w:tblGrid>
        <w:gridCol w:w="1846"/>
        <w:gridCol w:w="1276"/>
        <w:gridCol w:w="2664"/>
        <w:gridCol w:w="2719"/>
      </w:tblGrid>
      <w:tr w:rsidR="00A1204B" w:rsidRPr="003817EA" w14:paraId="5D56E0DB" w14:textId="77777777" w:rsidTr="00175B1B">
        <w:trPr>
          <w:cnfStyle w:val="100000000000" w:firstRow="1" w:lastRow="0" w:firstColumn="0" w:lastColumn="0" w:oddVBand="0" w:evenVBand="0" w:oddHBand="0" w:evenHBand="0" w:firstRowFirstColumn="0" w:firstRowLastColumn="0" w:lastRowFirstColumn="0" w:lastRowLastColumn="0"/>
          <w:tblHeader/>
          <w:jc w:val="left"/>
        </w:trPr>
        <w:tc>
          <w:tcPr>
            <w:tcW w:w="1846" w:type="dxa"/>
          </w:tcPr>
          <w:p w14:paraId="07E20792"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الاتفاقية/البروتوكول</w:t>
            </w:r>
          </w:p>
        </w:tc>
        <w:tc>
          <w:tcPr>
            <w:tcW w:w="1276" w:type="dxa"/>
          </w:tcPr>
          <w:p w14:paraId="05491C99" w14:textId="77777777" w:rsidR="00A1204B" w:rsidRPr="001F1035"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i/>
                <w:iCs/>
                <w:sz w:val="18"/>
                <w:szCs w:val="18"/>
                <w:rtl/>
              </w:rPr>
            </w:pPr>
            <w:r w:rsidRPr="001F1035">
              <w:rPr>
                <w:i/>
                <w:iCs/>
                <w:sz w:val="18"/>
                <w:szCs w:val="18"/>
                <w:rtl/>
              </w:rPr>
              <w:t xml:space="preserve"> توقيع</w:t>
            </w:r>
          </w:p>
          <w:p w14:paraId="60DAC1AB"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تصديق</w:t>
            </w:r>
          </w:p>
        </w:tc>
        <w:tc>
          <w:tcPr>
            <w:tcW w:w="2664" w:type="dxa"/>
          </w:tcPr>
          <w:p w14:paraId="43449DC7" w14:textId="77777777" w:rsidR="00A1204B" w:rsidRPr="001F1035"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i/>
                <w:iCs/>
                <w:sz w:val="18"/>
                <w:szCs w:val="18"/>
                <w:rtl/>
              </w:rPr>
            </w:pPr>
            <w:r w:rsidRPr="001F1035">
              <w:rPr>
                <w:i/>
                <w:iCs/>
                <w:sz w:val="18"/>
                <w:szCs w:val="18"/>
                <w:rtl/>
              </w:rPr>
              <w:t xml:space="preserve"> التحفظات</w:t>
            </w:r>
          </w:p>
          <w:p w14:paraId="3A65C145"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الإعلانات</w:t>
            </w:r>
          </w:p>
        </w:tc>
        <w:tc>
          <w:tcPr>
            <w:tcW w:w="2719" w:type="dxa"/>
          </w:tcPr>
          <w:p w14:paraId="6CB45612"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قبول الإجراءات الاختيارية</w:t>
            </w:r>
          </w:p>
        </w:tc>
      </w:tr>
      <w:tr w:rsidR="00A1204B" w:rsidRPr="003817EA" w14:paraId="10B9CC1C" w14:textId="77777777" w:rsidTr="00175B1B">
        <w:trPr>
          <w:jc w:val="left"/>
        </w:trPr>
        <w:tc>
          <w:tcPr>
            <w:tcW w:w="1846" w:type="dxa"/>
          </w:tcPr>
          <w:p w14:paraId="68FD162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العهد الدولي الخاص بالحقوق الاقتصادية والاجتماعية والثقافية، 1966</w:t>
            </w:r>
          </w:p>
        </w:tc>
        <w:tc>
          <w:tcPr>
            <w:tcW w:w="1276" w:type="dxa"/>
          </w:tcPr>
          <w:p w14:paraId="5049071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22 آب/أغسطس 1979</w:t>
            </w:r>
          </w:p>
        </w:tc>
        <w:tc>
          <w:tcPr>
            <w:tcW w:w="2664" w:type="dxa"/>
          </w:tcPr>
          <w:p w14:paraId="1CA25E3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2719" w:type="dxa"/>
          </w:tcPr>
          <w:p w14:paraId="1C0541C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r w:rsidR="00A1204B" w:rsidRPr="003817EA" w14:paraId="3A4A89C3" w14:textId="77777777" w:rsidTr="00175B1B">
        <w:trPr>
          <w:jc w:val="left"/>
        </w:trPr>
        <w:tc>
          <w:tcPr>
            <w:tcW w:w="1846" w:type="dxa"/>
          </w:tcPr>
          <w:p w14:paraId="42D80CF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العهد الدولي الخاص بالحقوق المدنية والسياسية، 1966</w:t>
            </w:r>
          </w:p>
        </w:tc>
        <w:tc>
          <w:tcPr>
            <w:tcW w:w="1276" w:type="dxa"/>
          </w:tcPr>
          <w:p w14:paraId="75761B7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22 آب/أغسطس 1979</w:t>
            </w:r>
          </w:p>
        </w:tc>
        <w:tc>
          <w:tcPr>
            <w:tcW w:w="2664" w:type="dxa"/>
          </w:tcPr>
          <w:p w14:paraId="4F07DBB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إبداء تحفظات على الأحكام التالية</w:t>
            </w:r>
            <w:r w:rsidRPr="003817EA">
              <w:rPr>
                <w:sz w:val="18"/>
                <w:szCs w:val="18"/>
              </w:rPr>
              <w:t>:</w:t>
            </w:r>
          </w:p>
          <w:p w14:paraId="7B84427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الفقرة 2(ب) والجملة الثانية من الفقرة 3 من المادة 10 فيما يتعلق بفصل السجناء الأحداث عن البالغين. وينص القانون الآيسلندي من حيث المبدأ على هذا الفصل، بيْد أنه لا يُعتبر من المناسب قبول التزام على النحو المطلق الذي تنص عليه أحكام العهد.</w:t>
            </w:r>
          </w:p>
          <w:p w14:paraId="1BF679F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الفقرة 7 من المادة 14، فيما يتعلق باستئناف النظر في القضايا التي سبق البت فيها. ويتضمن قانون الإجراءات الآيسلندي أحكاماً مفصَّلة بشأن هذه المسألة، ويُعتبر من غير المناسب تنقيحها.</w:t>
            </w:r>
          </w:p>
          <w:p w14:paraId="59B0DAB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الفقرة 1 من المادة 20، فيما يتعلق بإمكانية تسبُّب حظر الدعاية للحرب في تقييد حرية التعبير. وهذا التحفظ يتفق مع الموقف الذي أعربت عنه آيسلندا أمام الجمعية العامة في دورتها السادسة عشرة.</w:t>
            </w:r>
          </w:p>
          <w:p w14:paraId="70C3288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وتُحترم الأحكام الأخرى من العهد دون انتهاك.</w:t>
            </w:r>
          </w:p>
        </w:tc>
        <w:tc>
          <w:tcPr>
            <w:tcW w:w="2719" w:type="dxa"/>
          </w:tcPr>
          <w:p w14:paraId="09F65D3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صدَّقت آيسلندا على البروتوكول الاختياري في 22 آب/أغسطس 1979</w:t>
            </w:r>
          </w:p>
          <w:p w14:paraId="4B6209C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تنضم آيسلندا إلى البروتوكول الاختياري "رهناً بتحفظ، فيما يتعلق بالفقرة 2 من المادة 5، بشأن اختصاص اللجنة المعنية بحقوق الإنسان في النظر في بلاغ مقدَّم من أحد الأفراد إذا كانت المسألة قيد</w:t>
            </w:r>
          </w:p>
          <w:p w14:paraId="0B1DDD2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النظر أو جرى النظر فيها في إطار إجراء آخر من إجراءات التحقيق الدولي أو التسوية الدولية.</w:t>
            </w:r>
          </w:p>
          <w:p w14:paraId="13B8F98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صدَّقت آيسلندا على البروتوكول الاختياري الثاني الهادف إلى إلغاء عقوبة الإعدام في 2 نيسان/أبريل 1991.</w:t>
            </w:r>
          </w:p>
        </w:tc>
      </w:tr>
      <w:tr w:rsidR="00A1204B" w:rsidRPr="003817EA" w14:paraId="3A7518BA" w14:textId="77777777" w:rsidTr="00175B1B">
        <w:trPr>
          <w:jc w:val="left"/>
        </w:trPr>
        <w:tc>
          <w:tcPr>
            <w:tcW w:w="1846" w:type="dxa"/>
          </w:tcPr>
          <w:p w14:paraId="5893DB2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الاتفاقية الدولية للقضاء على جميع أشكال التمييز العنصري، 1965</w:t>
            </w:r>
          </w:p>
        </w:tc>
        <w:tc>
          <w:tcPr>
            <w:tcW w:w="1276" w:type="dxa"/>
          </w:tcPr>
          <w:p w14:paraId="3B4A39E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13 آذار/مارس 1967</w:t>
            </w:r>
          </w:p>
        </w:tc>
        <w:tc>
          <w:tcPr>
            <w:tcW w:w="2664" w:type="dxa"/>
          </w:tcPr>
          <w:p w14:paraId="299D617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تعترف آيسلندا باختصاص لجنة القضاء على التمييز العنصري في أن تتلقى وتنظر في بلاغات واردة من أفراد أو مجموعات أفراد خاضعين للولاية القضائية لآيسلندا يدَّعون أنهم ضحايا انتهاك من جانب آيسلندا لأي من الحقوق المنصوص عليها في الاتفاقية، مع تحفُّظ مفاده ألا تنظر اللجنة في أي بلاغ مقدَّم من فرد أو مجموعة من الأفراد ما لم تتأكد اللجنة من أنَّ المسألة ذاتها ليست قيد النظر أو لم يسبق النظر فيها بموجب إجراء آخر من إجراءات التحقيق الدولي أو التسوية الدولية".</w:t>
            </w:r>
          </w:p>
        </w:tc>
        <w:tc>
          <w:tcPr>
            <w:tcW w:w="2719" w:type="dxa"/>
          </w:tcPr>
          <w:p w14:paraId="15B0CB5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r w:rsidR="00A1204B" w:rsidRPr="003817EA" w14:paraId="6CD6B294" w14:textId="77777777" w:rsidTr="00175B1B">
        <w:trPr>
          <w:jc w:val="left"/>
        </w:trPr>
        <w:tc>
          <w:tcPr>
            <w:tcW w:w="1846" w:type="dxa"/>
          </w:tcPr>
          <w:p w14:paraId="39426EC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القضاء على جميع أشكال التمييز ضد المرأة، 1979</w:t>
            </w:r>
          </w:p>
        </w:tc>
        <w:tc>
          <w:tcPr>
            <w:tcW w:w="1276" w:type="dxa"/>
          </w:tcPr>
          <w:p w14:paraId="44A0FF5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18 حزيران/يونيه 1985</w:t>
            </w:r>
          </w:p>
        </w:tc>
        <w:tc>
          <w:tcPr>
            <w:tcW w:w="2664" w:type="dxa"/>
          </w:tcPr>
          <w:p w14:paraId="6F70A32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تعديل المادة 20(1) من الاتفاقية في 8 أيار/مايو 2002</w:t>
            </w:r>
          </w:p>
        </w:tc>
        <w:tc>
          <w:tcPr>
            <w:tcW w:w="2719" w:type="dxa"/>
          </w:tcPr>
          <w:p w14:paraId="4F2F838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صدَّقت آيسلندا على البروتوكول الاختياري في 6 آذار/مارس 2001</w:t>
            </w:r>
          </w:p>
        </w:tc>
      </w:tr>
      <w:tr w:rsidR="00A1204B" w:rsidRPr="003817EA" w14:paraId="47881AF4" w14:textId="77777777" w:rsidTr="00175B1B">
        <w:trPr>
          <w:jc w:val="left"/>
        </w:trPr>
        <w:tc>
          <w:tcPr>
            <w:tcW w:w="1846" w:type="dxa"/>
          </w:tcPr>
          <w:p w14:paraId="038DC95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مناهضة التعذيب وغيره من ضروب المعاملة أو العقوبة القاسية أو اللاإنسانية أو المهينة، 1984</w:t>
            </w:r>
          </w:p>
        </w:tc>
        <w:tc>
          <w:tcPr>
            <w:tcW w:w="1276" w:type="dxa"/>
          </w:tcPr>
          <w:p w14:paraId="71728FF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23 تشرين الأول/أكتوبر</w:t>
            </w:r>
            <w:r w:rsidRPr="003817EA">
              <w:rPr>
                <w:rFonts w:hint="cs"/>
                <w:sz w:val="18"/>
                <w:szCs w:val="18"/>
                <w:rtl/>
              </w:rPr>
              <w:t xml:space="preserve"> </w:t>
            </w:r>
            <w:r w:rsidRPr="003817EA">
              <w:rPr>
                <w:sz w:val="18"/>
                <w:szCs w:val="18"/>
                <w:rtl/>
              </w:rPr>
              <w:t>1996</w:t>
            </w:r>
          </w:p>
        </w:tc>
        <w:tc>
          <w:tcPr>
            <w:tcW w:w="2664" w:type="dxa"/>
          </w:tcPr>
          <w:p w14:paraId="530A8DE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تعترف آيسلندا باختصاص لجنة مناهضة التعذيب في تلقي بلاغات والنظر فيها إذا ادعت دولة طرف أن دولة طرفاً أخرى لا تفي بالتزاماتها بموجب الاتفاقية، وتعترف آيسلندا، عملاً بالفقرة 1 من المادة 22 من الاتفاقية، باختصاص لجنة مناهضة التعذيب في تلقي ودراسة بلاغات واردة من أفراد أو نيابة عن أفراد خاضعين لولايتها القانونية يدَّعون أنهم ضحايا لانتهاك دولة طرف لأحكام الاتفاقية".</w:t>
            </w:r>
          </w:p>
        </w:tc>
        <w:tc>
          <w:tcPr>
            <w:tcW w:w="2719" w:type="dxa"/>
          </w:tcPr>
          <w:p w14:paraId="56F31C0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صدَّقت آيسلندا على البروتوكول الاختياري في 20 شباط/فبراير 2019 </w:t>
            </w:r>
          </w:p>
        </w:tc>
      </w:tr>
      <w:tr w:rsidR="00A1204B" w:rsidRPr="003817EA" w14:paraId="5CEDD037" w14:textId="77777777" w:rsidTr="00175B1B">
        <w:trPr>
          <w:jc w:val="left"/>
        </w:trPr>
        <w:tc>
          <w:tcPr>
            <w:tcW w:w="1846" w:type="dxa"/>
          </w:tcPr>
          <w:p w14:paraId="4B7EE2A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حقوق الطفل، 1989</w:t>
            </w:r>
          </w:p>
        </w:tc>
        <w:tc>
          <w:tcPr>
            <w:tcW w:w="1276" w:type="dxa"/>
          </w:tcPr>
          <w:p w14:paraId="5DC8E1C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28 تشرين الأول/أكتوبر 1992</w:t>
            </w:r>
          </w:p>
        </w:tc>
        <w:tc>
          <w:tcPr>
            <w:tcW w:w="2664" w:type="dxa"/>
          </w:tcPr>
          <w:p w14:paraId="7E89637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في 20 أيار/مايو 2015، أبلغت حكومة آيسلندا الأمين العام بأنها قررت سحب الإعلان الذي أُدلي به لدى التصديق بشأن المادة 37 من الاتفاقية.</w:t>
            </w:r>
          </w:p>
          <w:p w14:paraId="77BA52A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"فيما يتعلق بالمادة 37، ليس فصل السجناء الأحداث عن السجناء البالغين إلزاميّاً بموجب القانون الآيسلندي. غير أنَّ القانون المتعلق بالسجون والسَّجن ينص على أنه ينبغي، عند البت في اختيار المؤسسة الإصلاحية التي سيودَع بها السجين، أن تؤخذ في الاعتبار أمور تشمل سن السجين. وفي ضوء الظروف السائدة في آيسلندا، يُتوقع أن تراعي القرارات المتعلقة بسجن الأحداث مصلحة الحدث الفضلى في جميع الأحوال".</w:t>
            </w:r>
          </w:p>
        </w:tc>
        <w:tc>
          <w:tcPr>
            <w:tcW w:w="2719" w:type="dxa"/>
          </w:tcPr>
          <w:p w14:paraId="4200C88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قبلت آيسلندا تعديل المادة 43(2) في 14 كانون الثاني/يناير 2000.</w:t>
            </w:r>
          </w:p>
          <w:p w14:paraId="3319950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صدَّقت آيسلندا على البروتوكول الاختياري لاتفاقية حقوق الطفل بشأن اشتراك الأطفال في المنازعات المسلحة في 1 تشرين الأول/أكتوبر 2001.</w:t>
            </w:r>
          </w:p>
          <w:p w14:paraId="7776C09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"فيما يتعلق بالفقرة 2 من المادة 3 من البروتوكول الاختياري لاتفاقية حقوق الطفل بشأن اشتراك الأطفال في المنازعات المسلحة، تعلن جمهورية آيسلندا أنه ليس لديها قوات مسلحة وطنية، ومن ثم لا ينطبق الحد الأدنى لسن التجنيد في حالة جمهورية آيسلندا".</w:t>
            </w:r>
          </w:p>
          <w:p w14:paraId="21C6A67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صدَّقت آيسلندا على البروتوكول الاختياري الملحق باتفاقية حقوق الطفل بشأن بيع الأطفال واستغلال الأطفال في البغاء وفي المواد الإباحية في 9 تموز/يوليه 2001.</w:t>
            </w:r>
          </w:p>
        </w:tc>
      </w:tr>
      <w:tr w:rsidR="00A1204B" w:rsidRPr="003817EA" w14:paraId="7883F504" w14:textId="77777777" w:rsidTr="00175B1B">
        <w:trPr>
          <w:jc w:val="left"/>
        </w:trPr>
        <w:tc>
          <w:tcPr>
            <w:tcW w:w="1846" w:type="dxa"/>
          </w:tcPr>
          <w:p w14:paraId="2A59C0C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اتفاقية حقوق الأشخاص ذوي الإعاقة، 2006</w:t>
            </w:r>
          </w:p>
        </w:tc>
        <w:tc>
          <w:tcPr>
            <w:tcW w:w="1276" w:type="dxa"/>
          </w:tcPr>
          <w:p w14:paraId="504529E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23 أيلول/سبتمبر 2016</w:t>
            </w:r>
          </w:p>
        </w:tc>
        <w:tc>
          <w:tcPr>
            <w:tcW w:w="2664" w:type="dxa"/>
          </w:tcPr>
          <w:p w14:paraId="0865185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2719" w:type="dxa"/>
          </w:tcPr>
          <w:p w14:paraId="2963E63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وقّعت آيسلندا على البروتوكول الاختياري لاتفاقية حقوق الأشخاص ذوي الإعاقة في 30 آذار/مارس 2007.</w:t>
            </w:r>
          </w:p>
        </w:tc>
      </w:tr>
      <w:tr w:rsidR="00A1204B" w:rsidRPr="003817EA" w14:paraId="038BAAA0" w14:textId="77777777" w:rsidTr="00175B1B">
        <w:trPr>
          <w:jc w:val="left"/>
        </w:trPr>
        <w:tc>
          <w:tcPr>
            <w:tcW w:w="1846" w:type="dxa"/>
          </w:tcPr>
          <w:p w14:paraId="795B924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الاتفاقية الدولية لحماية جميع الأشخاص من الاختفاء القسري، 2006</w:t>
            </w:r>
          </w:p>
        </w:tc>
        <w:tc>
          <w:tcPr>
            <w:tcW w:w="1276" w:type="dxa"/>
          </w:tcPr>
          <w:p w14:paraId="4906FF4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التوقيع في 1 تشرين الأول/أكتوبر 2008</w:t>
            </w:r>
          </w:p>
        </w:tc>
        <w:tc>
          <w:tcPr>
            <w:tcW w:w="2664" w:type="dxa"/>
          </w:tcPr>
          <w:p w14:paraId="2C7B8EF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2719" w:type="dxa"/>
          </w:tcPr>
          <w:p w14:paraId="1B28B3E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r w:rsidR="00A1204B" w:rsidRPr="003817EA" w14:paraId="1227B62F" w14:textId="77777777" w:rsidTr="00175B1B">
        <w:trPr>
          <w:cnfStyle w:val="010000000000" w:firstRow="0" w:lastRow="1" w:firstColumn="0" w:lastColumn="0" w:oddVBand="0" w:evenVBand="0" w:oddHBand="0" w:evenHBand="0" w:firstRowFirstColumn="0" w:firstRowLastColumn="0" w:lastRowFirstColumn="0" w:lastRowLastColumn="0"/>
          <w:jc w:val="left"/>
        </w:trPr>
        <w:tc>
          <w:tcPr>
            <w:tcW w:w="1846" w:type="dxa"/>
          </w:tcPr>
          <w:p w14:paraId="201D649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الاتفاقية الدولية لحماية حقوق جميع العمال المهاجرين وأفراد أسرهم، 1990</w:t>
            </w:r>
          </w:p>
        </w:tc>
        <w:tc>
          <w:tcPr>
            <w:tcW w:w="1276" w:type="dxa"/>
          </w:tcPr>
          <w:p w14:paraId="22A8ABA1" w14:textId="35E31E72"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آيسلندا ليست طرفاً في هذه الاتفاقية</w:t>
            </w:r>
          </w:p>
        </w:tc>
        <w:tc>
          <w:tcPr>
            <w:tcW w:w="2664" w:type="dxa"/>
          </w:tcPr>
          <w:p w14:paraId="3BCD10D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صدَّقت آيسلندا على الاتفاقيات الأساسية لمنظمة العمل الدولية المتعلقة بحقوق العمال.</w:t>
            </w:r>
          </w:p>
        </w:tc>
        <w:tc>
          <w:tcPr>
            <w:tcW w:w="2719" w:type="dxa"/>
          </w:tcPr>
          <w:p w14:paraId="450CABC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bl>
    <w:p w14:paraId="1884F355" w14:textId="77777777" w:rsidR="00A1204B" w:rsidRPr="001F1035" w:rsidRDefault="00A1204B" w:rsidP="00A1204B">
      <w:pPr>
        <w:pStyle w:val="H23GA"/>
        <w:rPr>
          <w:rtl/>
        </w:rPr>
      </w:pPr>
      <w:r w:rsidRPr="001F1035">
        <w:rPr>
          <w:rtl/>
        </w:rPr>
        <w:tab/>
        <w:t>2-</w:t>
      </w:r>
      <w:r w:rsidRPr="001F1035">
        <w:rPr>
          <w:rtl/>
        </w:rPr>
        <w:tab/>
        <w:t>اتفاقيات الأمم المتحدة الأخرى المتعلقة بحقوق الإنسان والاتفاقيات ذات الصلة</w:t>
      </w:r>
    </w:p>
    <w:p w14:paraId="3F77B794" w14:textId="77777777" w:rsidR="00A1204B" w:rsidRPr="001F1035" w:rsidRDefault="00A1204B" w:rsidP="00A1204B">
      <w:pPr>
        <w:pStyle w:val="SingleTxtGA"/>
        <w:rPr>
          <w:i/>
          <w:iCs/>
          <w:rtl/>
        </w:rPr>
      </w:pPr>
      <w:r w:rsidRPr="003817EA">
        <w:rPr>
          <w:rtl/>
        </w:rPr>
        <w:tab/>
      </w:r>
      <w:r w:rsidRPr="001F1035">
        <w:rPr>
          <w:i/>
          <w:iCs/>
          <w:rtl/>
        </w:rPr>
        <w:t>آيسلندا طرف في الاتفاقيات المدرجة في الجدول أدناه.</w:t>
      </w:r>
    </w:p>
    <w:tbl>
      <w:tblPr>
        <w:tblStyle w:val="TABLEA"/>
        <w:bidiVisual/>
        <w:tblW w:w="7370" w:type="dxa"/>
        <w:jc w:val="left"/>
        <w:tblInd w:w="1247" w:type="dxa"/>
        <w:tblLayout w:type="fixed"/>
        <w:tblLook w:val="04E0" w:firstRow="1" w:lastRow="1" w:firstColumn="1" w:lastColumn="0" w:noHBand="0" w:noVBand="1"/>
      </w:tblPr>
      <w:tblGrid>
        <w:gridCol w:w="4536"/>
        <w:gridCol w:w="2834"/>
      </w:tblGrid>
      <w:tr w:rsidR="00A1204B" w:rsidRPr="003817EA" w14:paraId="08A8D8FD"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4536" w:type="dxa"/>
          </w:tcPr>
          <w:p w14:paraId="6ECA8F57"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الاتفاقية/البروتوكول</w:t>
            </w:r>
          </w:p>
        </w:tc>
        <w:tc>
          <w:tcPr>
            <w:tcW w:w="2834" w:type="dxa"/>
          </w:tcPr>
          <w:p w14:paraId="6BE9EFFE"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تصديق</w:t>
            </w:r>
          </w:p>
        </w:tc>
      </w:tr>
      <w:tr w:rsidR="00A1204B" w:rsidRPr="003817EA" w14:paraId="49498A7C" w14:textId="77777777" w:rsidTr="00047038">
        <w:trPr>
          <w:jc w:val="left"/>
        </w:trPr>
        <w:tc>
          <w:tcPr>
            <w:tcW w:w="4536" w:type="dxa"/>
          </w:tcPr>
          <w:p w14:paraId="5099232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منع جريمة الإبادة الجماعية والمعاقبة عليها لعام 1948</w:t>
            </w:r>
          </w:p>
        </w:tc>
        <w:tc>
          <w:tcPr>
            <w:tcW w:w="2834" w:type="dxa"/>
          </w:tcPr>
          <w:p w14:paraId="1DE730D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29 آب/أغسطس 1949</w:t>
            </w:r>
          </w:p>
        </w:tc>
      </w:tr>
      <w:tr w:rsidR="00A1204B" w:rsidRPr="003817EA" w14:paraId="1C938C72" w14:textId="77777777" w:rsidTr="00047038">
        <w:trPr>
          <w:jc w:val="left"/>
        </w:trPr>
        <w:tc>
          <w:tcPr>
            <w:tcW w:w="4536" w:type="dxa"/>
          </w:tcPr>
          <w:p w14:paraId="2552A3D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الاتفاقية الخاصة بالرق لعام 1926، بصيغتها المعدَّلة في عام 1955</w:t>
            </w:r>
          </w:p>
        </w:tc>
        <w:tc>
          <w:tcPr>
            <w:tcW w:w="2834" w:type="dxa"/>
          </w:tcPr>
          <w:p w14:paraId="6E64656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17 تشرين الثاني/نوفمبر 1965</w:t>
            </w:r>
          </w:p>
        </w:tc>
      </w:tr>
      <w:tr w:rsidR="00A1204B" w:rsidRPr="003817EA" w14:paraId="1419BE45" w14:textId="77777777" w:rsidTr="00047038">
        <w:trPr>
          <w:jc w:val="left"/>
        </w:trPr>
        <w:tc>
          <w:tcPr>
            <w:tcW w:w="4536" w:type="dxa"/>
          </w:tcPr>
          <w:p w14:paraId="637FAB7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الاتفاقية المتعلقة بوضع اللاجئين، 1951، وبروتوكولها لعام 1967</w:t>
            </w:r>
          </w:p>
        </w:tc>
        <w:tc>
          <w:tcPr>
            <w:tcW w:w="2834" w:type="dxa"/>
          </w:tcPr>
          <w:p w14:paraId="33E2851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26 نيسان/أبريل 1968</w:t>
            </w:r>
          </w:p>
        </w:tc>
      </w:tr>
      <w:tr w:rsidR="00A1204B" w:rsidRPr="003817EA" w14:paraId="11BE0BDA" w14:textId="77777777" w:rsidTr="00047038">
        <w:trPr>
          <w:jc w:val="left"/>
        </w:trPr>
        <w:tc>
          <w:tcPr>
            <w:tcW w:w="4536" w:type="dxa"/>
          </w:tcPr>
          <w:p w14:paraId="3AA525E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الاتفاقية المتعلقة بوضع الأشخاص عديمي الجنسية، 1954</w:t>
            </w:r>
          </w:p>
        </w:tc>
        <w:tc>
          <w:tcPr>
            <w:tcW w:w="2834" w:type="dxa"/>
          </w:tcPr>
          <w:p w14:paraId="6CABB14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26 كانون الثاني/يناير 2021</w:t>
            </w:r>
          </w:p>
        </w:tc>
      </w:tr>
      <w:tr w:rsidR="00A1204B" w:rsidRPr="003817EA" w14:paraId="6031A9CE" w14:textId="77777777" w:rsidTr="00047038">
        <w:trPr>
          <w:jc w:val="left"/>
        </w:trPr>
        <w:tc>
          <w:tcPr>
            <w:tcW w:w="4536" w:type="dxa"/>
          </w:tcPr>
          <w:p w14:paraId="42D9704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الاتفاقية المتعلقة بخفض حالات انعدام الجنسية، 1961</w:t>
            </w:r>
          </w:p>
        </w:tc>
        <w:tc>
          <w:tcPr>
            <w:tcW w:w="2834" w:type="dxa"/>
          </w:tcPr>
          <w:p w14:paraId="2AB4411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26 كانون الثاني/يناير 2021</w:t>
            </w:r>
          </w:p>
        </w:tc>
      </w:tr>
      <w:tr w:rsidR="00A1204B" w:rsidRPr="003817EA" w14:paraId="5B5ACE1C" w14:textId="77777777" w:rsidTr="00047038">
        <w:trPr>
          <w:jc w:val="left"/>
        </w:trPr>
        <w:tc>
          <w:tcPr>
            <w:tcW w:w="4536" w:type="dxa"/>
          </w:tcPr>
          <w:p w14:paraId="6C4C223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نظام روما الأساسي للمحكمة الجنائية الدولية، 1998</w:t>
            </w:r>
          </w:p>
        </w:tc>
        <w:tc>
          <w:tcPr>
            <w:tcW w:w="2834" w:type="dxa"/>
          </w:tcPr>
          <w:p w14:paraId="3FCA9FA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25 أيار/مايو 2000</w:t>
            </w:r>
          </w:p>
        </w:tc>
      </w:tr>
      <w:tr w:rsidR="00A1204B" w:rsidRPr="003817EA" w14:paraId="61DEBBA9"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4536" w:type="dxa"/>
          </w:tcPr>
          <w:p w14:paraId="45A1F43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الأمم المتحدة لمكافحة الجريمة المنظمة عبر الوطنية لعام 2000 وبروتوكولها الخاص بمنع وقمع ومعاقبة الاتجار بالأشخاص، وبخاصة النساء والأطفال</w:t>
            </w:r>
          </w:p>
        </w:tc>
        <w:tc>
          <w:tcPr>
            <w:tcW w:w="2834" w:type="dxa"/>
          </w:tcPr>
          <w:p w14:paraId="7122DF5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16 نيسان/أبريل 2010</w:t>
            </w:r>
          </w:p>
        </w:tc>
      </w:tr>
    </w:tbl>
    <w:p w14:paraId="38D21EEF" w14:textId="77777777" w:rsidR="00A1204B" w:rsidRPr="001F1035" w:rsidRDefault="00A1204B" w:rsidP="00A1204B">
      <w:pPr>
        <w:pStyle w:val="H23GA"/>
        <w:rPr>
          <w:rtl/>
        </w:rPr>
      </w:pPr>
      <w:r w:rsidRPr="001F1035">
        <w:rPr>
          <w:rtl/>
        </w:rPr>
        <w:tab/>
        <w:t xml:space="preserve"> 3-</w:t>
      </w:r>
      <w:r w:rsidRPr="001F1035">
        <w:rPr>
          <w:rtl/>
        </w:rPr>
        <w:tab/>
        <w:t>اتفاقيات منظمة العمل الدولية</w:t>
      </w:r>
    </w:p>
    <w:p w14:paraId="6FF976CF" w14:textId="77777777" w:rsidR="00A1204B" w:rsidRPr="001F1035" w:rsidRDefault="00A1204B" w:rsidP="00A1204B">
      <w:pPr>
        <w:pStyle w:val="SingleTxtGA"/>
        <w:rPr>
          <w:i/>
          <w:iCs/>
          <w:rtl/>
        </w:rPr>
      </w:pPr>
      <w:r w:rsidRPr="001F1035">
        <w:rPr>
          <w:i/>
          <w:iCs/>
          <w:rtl/>
        </w:rPr>
        <w:tab/>
        <w:t>آيسلندا طرف في الاتفاقيات المدرجة في الجدول أدناه.</w:t>
      </w:r>
    </w:p>
    <w:tbl>
      <w:tblPr>
        <w:tblStyle w:val="TABLEA"/>
        <w:bidiVisual/>
        <w:tblW w:w="7370" w:type="dxa"/>
        <w:jc w:val="left"/>
        <w:tblInd w:w="1247" w:type="dxa"/>
        <w:tblLayout w:type="fixed"/>
        <w:tblLook w:val="04E0" w:firstRow="1" w:lastRow="1" w:firstColumn="1" w:lastColumn="0" w:noHBand="0" w:noVBand="1"/>
      </w:tblPr>
      <w:tblGrid>
        <w:gridCol w:w="4252"/>
        <w:gridCol w:w="3118"/>
      </w:tblGrid>
      <w:tr w:rsidR="00A1204B" w:rsidRPr="003817EA" w14:paraId="415AA8D6"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4252" w:type="dxa"/>
          </w:tcPr>
          <w:p w14:paraId="504FE80C"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الاتفاقية/البروتوكول</w:t>
            </w:r>
          </w:p>
        </w:tc>
        <w:tc>
          <w:tcPr>
            <w:tcW w:w="3118" w:type="dxa"/>
          </w:tcPr>
          <w:p w14:paraId="2485F026"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تصديق</w:t>
            </w:r>
          </w:p>
        </w:tc>
      </w:tr>
      <w:tr w:rsidR="00A1204B" w:rsidRPr="003817EA" w14:paraId="28B82AEE" w14:textId="77777777" w:rsidTr="00047038">
        <w:trPr>
          <w:jc w:val="left"/>
        </w:trPr>
        <w:tc>
          <w:tcPr>
            <w:tcW w:w="4252" w:type="dxa"/>
          </w:tcPr>
          <w:p w14:paraId="4E0BFB1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العمل الجبري، 1930 (رقم 29)</w:t>
            </w:r>
          </w:p>
        </w:tc>
        <w:tc>
          <w:tcPr>
            <w:tcW w:w="3118" w:type="dxa"/>
          </w:tcPr>
          <w:p w14:paraId="3CABDFD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17 شباط/فبراير 1958</w:t>
            </w:r>
          </w:p>
        </w:tc>
      </w:tr>
      <w:tr w:rsidR="00A1204B" w:rsidRPr="003817EA" w14:paraId="11860498" w14:textId="77777777" w:rsidTr="00047038">
        <w:trPr>
          <w:jc w:val="left"/>
        </w:trPr>
        <w:tc>
          <w:tcPr>
            <w:tcW w:w="4252" w:type="dxa"/>
          </w:tcPr>
          <w:p w14:paraId="3C53B9C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الحرية النقابية وحماية حق التنظيم، 1948 (رقم 87)</w:t>
            </w:r>
          </w:p>
        </w:tc>
        <w:tc>
          <w:tcPr>
            <w:tcW w:w="3118" w:type="dxa"/>
          </w:tcPr>
          <w:p w14:paraId="730B3F3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19 حزيران/يونيه 1950</w:t>
            </w:r>
          </w:p>
        </w:tc>
      </w:tr>
      <w:tr w:rsidR="00A1204B" w:rsidRPr="003817EA" w14:paraId="33B844B2" w14:textId="77777777" w:rsidTr="00047038">
        <w:trPr>
          <w:jc w:val="left"/>
        </w:trPr>
        <w:tc>
          <w:tcPr>
            <w:tcW w:w="4252" w:type="dxa"/>
          </w:tcPr>
          <w:p w14:paraId="5D6AF16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حق التنظيم والمفاوضة الجماعية، 1949 (رقم 98)</w:t>
            </w:r>
          </w:p>
        </w:tc>
        <w:tc>
          <w:tcPr>
            <w:tcW w:w="3118" w:type="dxa"/>
          </w:tcPr>
          <w:p w14:paraId="6ABB6FA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15 تموز/يوليه 1952</w:t>
            </w:r>
          </w:p>
        </w:tc>
      </w:tr>
      <w:tr w:rsidR="00A1204B" w:rsidRPr="003817EA" w14:paraId="7E03106C" w14:textId="77777777" w:rsidTr="00047038">
        <w:trPr>
          <w:jc w:val="left"/>
        </w:trPr>
        <w:tc>
          <w:tcPr>
            <w:tcW w:w="4252" w:type="dxa"/>
          </w:tcPr>
          <w:p w14:paraId="3F303C6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المساواة في الأجور، 1951 (رقم 100)</w:t>
            </w:r>
          </w:p>
        </w:tc>
        <w:tc>
          <w:tcPr>
            <w:tcW w:w="3118" w:type="dxa"/>
          </w:tcPr>
          <w:p w14:paraId="3889154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17 شباط/فبراير 1958</w:t>
            </w:r>
          </w:p>
        </w:tc>
      </w:tr>
      <w:tr w:rsidR="00A1204B" w:rsidRPr="003817EA" w14:paraId="5EA642F6" w14:textId="77777777" w:rsidTr="00047038">
        <w:trPr>
          <w:jc w:val="left"/>
        </w:trPr>
        <w:tc>
          <w:tcPr>
            <w:tcW w:w="4252" w:type="dxa"/>
          </w:tcPr>
          <w:p w14:paraId="5699FD3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إلغاء العمل الجبري، 1957 (رقم 105)</w:t>
            </w:r>
          </w:p>
        </w:tc>
        <w:tc>
          <w:tcPr>
            <w:tcW w:w="3118" w:type="dxa"/>
          </w:tcPr>
          <w:p w14:paraId="6C93015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29 تشرين الثاني/نوفمبر 1960</w:t>
            </w:r>
          </w:p>
        </w:tc>
      </w:tr>
      <w:tr w:rsidR="00A1204B" w:rsidRPr="003817EA" w14:paraId="3A48AFDE" w14:textId="77777777" w:rsidTr="00047038">
        <w:trPr>
          <w:jc w:val="left"/>
        </w:trPr>
        <w:tc>
          <w:tcPr>
            <w:tcW w:w="4252" w:type="dxa"/>
          </w:tcPr>
          <w:p w14:paraId="2B63BC9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التمييز (في الاستخدام والمهنة)، 1958 (رقم 111)</w:t>
            </w:r>
          </w:p>
        </w:tc>
        <w:tc>
          <w:tcPr>
            <w:tcW w:w="3118" w:type="dxa"/>
          </w:tcPr>
          <w:p w14:paraId="2C46FC4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29 تموز/يوليه 1963</w:t>
            </w:r>
          </w:p>
        </w:tc>
      </w:tr>
      <w:tr w:rsidR="00A1204B" w:rsidRPr="003817EA" w14:paraId="2287A8DA" w14:textId="77777777" w:rsidTr="00047038">
        <w:trPr>
          <w:jc w:val="left"/>
        </w:trPr>
        <w:tc>
          <w:tcPr>
            <w:tcW w:w="4252" w:type="dxa"/>
          </w:tcPr>
          <w:p w14:paraId="118FB87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بشأن الحد الأدنى لسن الاستخدام، 1973 (رقم 138) - الحد الأدنى لسن الاستخدام</w:t>
            </w:r>
            <w:r w:rsidRPr="003817EA">
              <w:rPr>
                <w:sz w:val="18"/>
                <w:szCs w:val="18"/>
              </w:rPr>
              <w:t>:</w:t>
            </w:r>
            <w:r w:rsidRPr="003817EA">
              <w:rPr>
                <w:sz w:val="18"/>
                <w:szCs w:val="18"/>
                <w:rtl/>
              </w:rPr>
              <w:t xml:space="preserve"> 15 سنة</w:t>
            </w:r>
          </w:p>
        </w:tc>
        <w:tc>
          <w:tcPr>
            <w:tcW w:w="3118" w:type="dxa"/>
          </w:tcPr>
          <w:p w14:paraId="51A42E0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6 كانون الأول/ديسمبر 1999</w:t>
            </w:r>
          </w:p>
        </w:tc>
      </w:tr>
      <w:tr w:rsidR="00A1204B" w:rsidRPr="003817EA" w14:paraId="52D76007" w14:textId="77777777" w:rsidTr="00047038">
        <w:trPr>
          <w:jc w:val="left"/>
        </w:trPr>
        <w:tc>
          <w:tcPr>
            <w:tcW w:w="4252" w:type="dxa"/>
          </w:tcPr>
          <w:p w14:paraId="49657DE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أسوأ أشكال عمل الأطفال، 1999 (رقم 182)</w:t>
            </w:r>
          </w:p>
        </w:tc>
        <w:tc>
          <w:tcPr>
            <w:tcW w:w="3118" w:type="dxa"/>
          </w:tcPr>
          <w:p w14:paraId="559BBE1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29 أيار/مايو 2000</w:t>
            </w:r>
          </w:p>
        </w:tc>
      </w:tr>
      <w:tr w:rsidR="00A1204B" w:rsidRPr="003817EA" w14:paraId="685F573C" w14:textId="77777777" w:rsidTr="00047038">
        <w:trPr>
          <w:jc w:val="left"/>
        </w:trPr>
        <w:tc>
          <w:tcPr>
            <w:tcW w:w="4252" w:type="dxa"/>
          </w:tcPr>
          <w:p w14:paraId="2B8BBB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تفتيش العمل، 1947 (رقم 81)</w:t>
            </w:r>
          </w:p>
        </w:tc>
        <w:tc>
          <w:tcPr>
            <w:tcW w:w="3118" w:type="dxa"/>
          </w:tcPr>
          <w:p w14:paraId="2AB1218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24 آذار/مارس 2009</w:t>
            </w:r>
          </w:p>
        </w:tc>
      </w:tr>
      <w:tr w:rsidR="00A1204B" w:rsidRPr="003817EA" w14:paraId="2BBBBBED" w14:textId="77777777" w:rsidTr="00047038">
        <w:trPr>
          <w:jc w:val="left"/>
        </w:trPr>
        <w:tc>
          <w:tcPr>
            <w:tcW w:w="4252" w:type="dxa"/>
          </w:tcPr>
          <w:p w14:paraId="2CA27EE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سياسة العمالة، 1964 (رقم 122)</w:t>
            </w:r>
          </w:p>
        </w:tc>
        <w:tc>
          <w:tcPr>
            <w:tcW w:w="3118" w:type="dxa"/>
          </w:tcPr>
          <w:p w14:paraId="70EC13A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22 حزيران/يونيه 1990</w:t>
            </w:r>
          </w:p>
        </w:tc>
      </w:tr>
      <w:tr w:rsidR="00A1204B" w:rsidRPr="003817EA" w14:paraId="19831075" w14:textId="77777777" w:rsidTr="00047038">
        <w:trPr>
          <w:jc w:val="left"/>
        </w:trPr>
        <w:tc>
          <w:tcPr>
            <w:tcW w:w="4252" w:type="dxa"/>
          </w:tcPr>
          <w:p w14:paraId="5C25321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تفتيش العمل (الزراعة)، 1969 (رقم 129)</w:t>
            </w:r>
          </w:p>
        </w:tc>
        <w:tc>
          <w:tcPr>
            <w:tcW w:w="3118" w:type="dxa"/>
          </w:tcPr>
          <w:p w14:paraId="1A00532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24 آذار/مارس 2009</w:t>
            </w:r>
          </w:p>
        </w:tc>
      </w:tr>
      <w:tr w:rsidR="00A1204B" w:rsidRPr="003817EA" w14:paraId="0C82DEB1" w14:textId="77777777" w:rsidTr="00047038">
        <w:trPr>
          <w:jc w:val="left"/>
        </w:trPr>
        <w:tc>
          <w:tcPr>
            <w:tcW w:w="4252" w:type="dxa"/>
          </w:tcPr>
          <w:p w14:paraId="541B13B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المشاورات الثلاثية (معايير العمل الدولية)، 1976 (رقم 144)</w:t>
            </w:r>
          </w:p>
        </w:tc>
        <w:tc>
          <w:tcPr>
            <w:tcW w:w="3118" w:type="dxa"/>
          </w:tcPr>
          <w:p w14:paraId="2DCF808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30 حزيران/يونيه 1981</w:t>
            </w:r>
          </w:p>
        </w:tc>
      </w:tr>
      <w:tr w:rsidR="00A1204B" w:rsidRPr="003817EA" w14:paraId="17F14BBE" w14:textId="77777777" w:rsidTr="00047038">
        <w:trPr>
          <w:jc w:val="left"/>
        </w:trPr>
        <w:tc>
          <w:tcPr>
            <w:tcW w:w="4252" w:type="dxa"/>
          </w:tcPr>
          <w:p w14:paraId="13A5D464"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البطالة، 1919 (رقم 2)</w:t>
            </w:r>
          </w:p>
        </w:tc>
        <w:tc>
          <w:tcPr>
            <w:tcW w:w="3118" w:type="dxa"/>
          </w:tcPr>
          <w:p w14:paraId="5BD1BA9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17 شباط/فبراير 1958</w:t>
            </w:r>
          </w:p>
        </w:tc>
      </w:tr>
      <w:tr w:rsidR="00A1204B" w:rsidRPr="003817EA" w14:paraId="01CC8A76" w14:textId="77777777" w:rsidTr="00047038">
        <w:trPr>
          <w:jc w:val="left"/>
        </w:trPr>
        <w:tc>
          <w:tcPr>
            <w:tcW w:w="4252" w:type="dxa"/>
          </w:tcPr>
          <w:p w14:paraId="1EF373A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اتفاقية حق التجمع (الزراعة)، 1921 (رقم 11)</w:t>
            </w:r>
          </w:p>
        </w:tc>
        <w:tc>
          <w:tcPr>
            <w:tcW w:w="3118" w:type="dxa"/>
          </w:tcPr>
          <w:p w14:paraId="7CA9311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21 آب/أغسطس 1956</w:t>
            </w:r>
          </w:p>
        </w:tc>
      </w:tr>
      <w:tr w:rsidR="00A1204B" w:rsidRPr="003817EA" w14:paraId="08BFE218" w14:textId="77777777" w:rsidTr="00047038">
        <w:trPr>
          <w:jc w:val="left"/>
        </w:trPr>
        <w:tc>
          <w:tcPr>
            <w:tcW w:w="4252" w:type="dxa"/>
          </w:tcPr>
          <w:p w14:paraId="1EE87B5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العمل البحري، 2006 (رقم 186)</w:t>
            </w:r>
          </w:p>
        </w:tc>
        <w:tc>
          <w:tcPr>
            <w:tcW w:w="3118" w:type="dxa"/>
          </w:tcPr>
          <w:p w14:paraId="57D1052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4 نيسان/أبريل 2019</w:t>
            </w:r>
          </w:p>
        </w:tc>
      </w:tr>
      <w:tr w:rsidR="00A1204B" w:rsidRPr="003817EA" w14:paraId="0C33EBF4" w14:textId="77777777" w:rsidTr="00047038">
        <w:trPr>
          <w:jc w:val="left"/>
        </w:trPr>
        <w:tc>
          <w:tcPr>
            <w:tcW w:w="4252" w:type="dxa"/>
          </w:tcPr>
          <w:p w14:paraId="4451714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الضمان الاجتماعي (المعايير الدنيا)، 1952 (رقم 102)</w:t>
            </w:r>
          </w:p>
        </w:tc>
        <w:tc>
          <w:tcPr>
            <w:tcW w:w="3118" w:type="dxa"/>
          </w:tcPr>
          <w:p w14:paraId="0373CAB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20 شباط/فبراير 1961</w:t>
            </w:r>
          </w:p>
        </w:tc>
      </w:tr>
      <w:tr w:rsidR="00A1204B" w:rsidRPr="003817EA" w14:paraId="66DEF772" w14:textId="77777777" w:rsidTr="00047038">
        <w:trPr>
          <w:jc w:val="left"/>
        </w:trPr>
        <w:tc>
          <w:tcPr>
            <w:tcW w:w="4252" w:type="dxa"/>
          </w:tcPr>
          <w:p w14:paraId="3EEFA89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-قبلت الجزء الخامس والسابع والتاسع</w:t>
            </w:r>
          </w:p>
        </w:tc>
        <w:tc>
          <w:tcPr>
            <w:tcW w:w="3118" w:type="dxa"/>
          </w:tcPr>
          <w:p w14:paraId="0B235E2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r w:rsidR="00A1204B" w:rsidRPr="003817EA" w14:paraId="3E8D13F3" w14:textId="77777777" w:rsidTr="00047038">
        <w:trPr>
          <w:jc w:val="left"/>
        </w:trPr>
        <w:tc>
          <w:tcPr>
            <w:tcW w:w="4252" w:type="dxa"/>
          </w:tcPr>
          <w:p w14:paraId="12C7B9F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وثائق هوية البحارة، 1958 (رقم 108)</w:t>
            </w:r>
          </w:p>
        </w:tc>
        <w:tc>
          <w:tcPr>
            <w:tcW w:w="3118" w:type="dxa"/>
          </w:tcPr>
          <w:p w14:paraId="1336F62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26 تشرين الأول/أكتوبر 1970</w:t>
            </w:r>
          </w:p>
        </w:tc>
      </w:tr>
      <w:tr w:rsidR="00A1204B" w:rsidRPr="003817EA" w14:paraId="7E4D3188" w14:textId="77777777" w:rsidTr="00047038">
        <w:trPr>
          <w:jc w:val="left"/>
        </w:trPr>
        <w:tc>
          <w:tcPr>
            <w:tcW w:w="4252" w:type="dxa"/>
          </w:tcPr>
          <w:p w14:paraId="4543217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السرطان المهني، 1974 (رقم 139)</w:t>
            </w:r>
          </w:p>
        </w:tc>
        <w:tc>
          <w:tcPr>
            <w:tcW w:w="3118" w:type="dxa"/>
          </w:tcPr>
          <w:p w14:paraId="3B67204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21 حزيران/يونيه 1991</w:t>
            </w:r>
          </w:p>
        </w:tc>
      </w:tr>
      <w:tr w:rsidR="00A1204B" w:rsidRPr="003817EA" w14:paraId="411410CB" w14:textId="77777777" w:rsidTr="00047038">
        <w:trPr>
          <w:jc w:val="left"/>
        </w:trPr>
        <w:tc>
          <w:tcPr>
            <w:tcW w:w="4252" w:type="dxa"/>
          </w:tcPr>
          <w:p w14:paraId="7272190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الملاحة التجارية (المعايير الدنيا)، 1976 (رقم 147)</w:t>
            </w:r>
          </w:p>
        </w:tc>
        <w:tc>
          <w:tcPr>
            <w:tcW w:w="3118" w:type="dxa"/>
          </w:tcPr>
          <w:p w14:paraId="1E370DA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11 أيار/مايو 1999</w:t>
            </w:r>
          </w:p>
        </w:tc>
      </w:tr>
      <w:tr w:rsidR="00A1204B" w:rsidRPr="003817EA" w14:paraId="0C358DF2" w14:textId="77777777" w:rsidTr="00047038">
        <w:trPr>
          <w:jc w:val="left"/>
        </w:trPr>
        <w:tc>
          <w:tcPr>
            <w:tcW w:w="4252" w:type="dxa"/>
          </w:tcPr>
          <w:p w14:paraId="39D5140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السلامة والصحة المهنيتين، 1981 (رقم 155)</w:t>
            </w:r>
          </w:p>
        </w:tc>
        <w:tc>
          <w:tcPr>
            <w:tcW w:w="3118" w:type="dxa"/>
          </w:tcPr>
          <w:p w14:paraId="3E6D8FE1"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21 حزيران/يونيه 1991</w:t>
            </w:r>
          </w:p>
        </w:tc>
      </w:tr>
      <w:tr w:rsidR="00A1204B" w:rsidRPr="003817EA" w14:paraId="350B9BFD" w14:textId="77777777" w:rsidTr="00047038">
        <w:trPr>
          <w:jc w:val="left"/>
        </w:trPr>
        <w:tc>
          <w:tcPr>
            <w:tcW w:w="4252" w:type="dxa"/>
          </w:tcPr>
          <w:p w14:paraId="7D93434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العمال ذوي المسؤوليات العائلية، 1981 (رقم 156)</w:t>
            </w:r>
          </w:p>
        </w:tc>
        <w:tc>
          <w:tcPr>
            <w:tcW w:w="3118" w:type="dxa"/>
          </w:tcPr>
          <w:p w14:paraId="15889D6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22 حزيران/يونيه 2000</w:t>
            </w:r>
          </w:p>
        </w:tc>
      </w:tr>
      <w:tr w:rsidR="00A1204B" w:rsidRPr="003817EA" w14:paraId="4963AE69" w14:textId="77777777" w:rsidTr="00047038">
        <w:trPr>
          <w:jc w:val="left"/>
        </w:trPr>
        <w:tc>
          <w:tcPr>
            <w:tcW w:w="4252" w:type="dxa"/>
          </w:tcPr>
          <w:p w14:paraId="196C006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التأهيل المهني والعمالة (المعوقون)، 1983 (رقم 159)</w:t>
            </w:r>
          </w:p>
        </w:tc>
        <w:tc>
          <w:tcPr>
            <w:tcW w:w="3118" w:type="dxa"/>
          </w:tcPr>
          <w:p w14:paraId="5F57E11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22 حزيران/يونيه 1990</w:t>
            </w:r>
          </w:p>
        </w:tc>
      </w:tr>
      <w:tr w:rsidR="00A1204B" w:rsidRPr="003817EA" w14:paraId="78D048AC" w14:textId="77777777" w:rsidTr="00047038">
        <w:trPr>
          <w:jc w:val="left"/>
        </w:trPr>
        <w:tc>
          <w:tcPr>
            <w:tcW w:w="4252" w:type="dxa"/>
          </w:tcPr>
          <w:p w14:paraId="1026D7A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الإطار الترويجي للسلامة والصحة المهنيتين، 2006</w:t>
            </w:r>
          </w:p>
        </w:tc>
        <w:tc>
          <w:tcPr>
            <w:tcW w:w="3118" w:type="dxa"/>
          </w:tcPr>
          <w:p w14:paraId="3D2CC00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 حزيران/يونيه 2018</w:t>
            </w:r>
          </w:p>
        </w:tc>
      </w:tr>
      <w:tr w:rsidR="00A1204B" w:rsidRPr="003817EA" w14:paraId="0EACA2B6"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4252" w:type="dxa"/>
          </w:tcPr>
          <w:p w14:paraId="6980F72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(رقم 187) - تدخل حيز النفاذ في 1 حزيران/يونيه 2019</w:t>
            </w:r>
          </w:p>
        </w:tc>
        <w:tc>
          <w:tcPr>
            <w:tcW w:w="3118" w:type="dxa"/>
          </w:tcPr>
          <w:p w14:paraId="1396790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bl>
    <w:p w14:paraId="0FEACBF4" w14:textId="77777777" w:rsidR="00A1204B" w:rsidRPr="001F1035" w:rsidRDefault="00A1204B" w:rsidP="00A1204B">
      <w:pPr>
        <w:pStyle w:val="H23GA"/>
        <w:rPr>
          <w:rtl/>
        </w:rPr>
      </w:pPr>
      <w:r w:rsidRPr="001F1035">
        <w:rPr>
          <w:rtl/>
        </w:rPr>
        <w:tab/>
        <w:t xml:space="preserve"> 4-</w:t>
      </w:r>
      <w:r w:rsidRPr="001F1035">
        <w:rPr>
          <w:rtl/>
        </w:rPr>
        <w:tab/>
        <w:t>اتفاقيات مؤتمر لاهاي للقانون الدولي الخاص</w:t>
      </w:r>
    </w:p>
    <w:p w14:paraId="3D9F0D15" w14:textId="77777777" w:rsidR="00A1204B" w:rsidRPr="001F1035" w:rsidRDefault="00A1204B" w:rsidP="00A1204B">
      <w:pPr>
        <w:pStyle w:val="SingleTxtGA"/>
        <w:rPr>
          <w:i/>
          <w:iCs/>
          <w:rtl/>
        </w:rPr>
      </w:pPr>
      <w:r w:rsidRPr="001F1035">
        <w:rPr>
          <w:i/>
          <w:iCs/>
          <w:rtl/>
        </w:rPr>
        <w:tab/>
        <w:t>آيسلندا طرف في الاتفاقيات المدرجة في الجدول أدناه.</w:t>
      </w:r>
    </w:p>
    <w:tbl>
      <w:tblPr>
        <w:tblStyle w:val="TABLEA"/>
        <w:bidiVisual/>
        <w:tblW w:w="7370" w:type="dxa"/>
        <w:jc w:val="left"/>
        <w:tblInd w:w="1247" w:type="dxa"/>
        <w:tblLayout w:type="fixed"/>
        <w:tblLook w:val="04E0" w:firstRow="1" w:lastRow="1" w:firstColumn="1" w:lastColumn="0" w:noHBand="0" w:noVBand="1"/>
      </w:tblPr>
      <w:tblGrid>
        <w:gridCol w:w="4394"/>
        <w:gridCol w:w="2976"/>
      </w:tblGrid>
      <w:tr w:rsidR="00A1204B" w:rsidRPr="003817EA" w14:paraId="75176627"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4394" w:type="dxa"/>
          </w:tcPr>
          <w:p w14:paraId="19C5B65F"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الاتفاقية/البروتوكول</w:t>
            </w:r>
          </w:p>
        </w:tc>
        <w:tc>
          <w:tcPr>
            <w:tcW w:w="2976" w:type="dxa"/>
          </w:tcPr>
          <w:p w14:paraId="50F228E3"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انضمام/تصديق </w:t>
            </w:r>
          </w:p>
        </w:tc>
      </w:tr>
      <w:tr w:rsidR="00A1204B" w:rsidRPr="003817EA" w14:paraId="5B408AB7" w14:textId="77777777" w:rsidTr="00047038">
        <w:trPr>
          <w:jc w:val="left"/>
        </w:trPr>
        <w:tc>
          <w:tcPr>
            <w:tcW w:w="4394" w:type="dxa"/>
          </w:tcPr>
          <w:p w14:paraId="1DB6D04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c>
          <w:tcPr>
            <w:tcW w:w="2976" w:type="dxa"/>
          </w:tcPr>
          <w:p w14:paraId="0960A25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Pr>
            </w:pPr>
          </w:p>
        </w:tc>
      </w:tr>
      <w:tr w:rsidR="00A1204B" w:rsidRPr="003817EA" w14:paraId="7697E58D" w14:textId="77777777" w:rsidTr="00047038">
        <w:trPr>
          <w:jc w:val="left"/>
        </w:trPr>
        <w:tc>
          <w:tcPr>
            <w:tcW w:w="4394" w:type="dxa"/>
          </w:tcPr>
          <w:p w14:paraId="561687A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الإجراءات المدنية، 1954</w:t>
            </w:r>
          </w:p>
        </w:tc>
        <w:tc>
          <w:tcPr>
            <w:tcW w:w="2976" w:type="dxa"/>
          </w:tcPr>
          <w:p w14:paraId="395E6D67"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الانضمام في 21 تشرين الأول/أكتوبر 2008</w:t>
            </w:r>
          </w:p>
        </w:tc>
      </w:tr>
      <w:tr w:rsidR="00A1204B" w:rsidRPr="003817EA" w14:paraId="7571BF8D" w14:textId="77777777" w:rsidTr="00047038">
        <w:trPr>
          <w:jc w:val="left"/>
        </w:trPr>
        <w:tc>
          <w:tcPr>
            <w:tcW w:w="4394" w:type="dxa"/>
          </w:tcPr>
          <w:p w14:paraId="3C4E49F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إلغاء شرط التصديق القانوني على الوثائق العامة الأجنبية، 1961</w:t>
            </w:r>
          </w:p>
        </w:tc>
        <w:tc>
          <w:tcPr>
            <w:tcW w:w="2976" w:type="dxa"/>
          </w:tcPr>
          <w:p w14:paraId="2278200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28 أيلول/سبتمبر 2004</w:t>
            </w:r>
          </w:p>
        </w:tc>
      </w:tr>
      <w:tr w:rsidR="00A1204B" w:rsidRPr="003817EA" w14:paraId="019D561A" w14:textId="77777777" w:rsidTr="00047038">
        <w:trPr>
          <w:jc w:val="left"/>
        </w:trPr>
        <w:tc>
          <w:tcPr>
            <w:tcW w:w="4394" w:type="dxa"/>
          </w:tcPr>
          <w:p w14:paraId="27CE6C9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بشأن تبليغ الوثائق القضائية وغير القضائية إلى الخارج فيما يتعلق بالمسائل المدنية والتجارية، 1965</w:t>
            </w:r>
          </w:p>
        </w:tc>
        <w:tc>
          <w:tcPr>
            <w:tcW w:w="2976" w:type="dxa"/>
          </w:tcPr>
          <w:p w14:paraId="3529047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الانضمام في 21 تشرين الأول/أكتوبر 2008</w:t>
            </w:r>
          </w:p>
        </w:tc>
      </w:tr>
      <w:tr w:rsidR="00A1204B" w:rsidRPr="003817EA" w14:paraId="277C608A" w14:textId="77777777" w:rsidTr="00047038">
        <w:trPr>
          <w:jc w:val="left"/>
        </w:trPr>
        <w:tc>
          <w:tcPr>
            <w:tcW w:w="4394" w:type="dxa"/>
          </w:tcPr>
          <w:p w14:paraId="0BFCC32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الاتفاقية المتعلقة بالحصول على الأدلة خارج البلد في المسائل المدنية أو التجارية، 1970</w:t>
            </w:r>
          </w:p>
        </w:tc>
        <w:tc>
          <w:tcPr>
            <w:tcW w:w="2976" w:type="dxa"/>
          </w:tcPr>
          <w:p w14:paraId="7AD70F8C"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الانضمام في 21 تشرين الأول/أكتوبر 2008</w:t>
            </w:r>
          </w:p>
        </w:tc>
      </w:tr>
      <w:tr w:rsidR="00A1204B" w:rsidRPr="003817EA" w14:paraId="5AE2F426" w14:textId="77777777" w:rsidTr="00047038">
        <w:trPr>
          <w:jc w:val="left"/>
        </w:trPr>
        <w:tc>
          <w:tcPr>
            <w:tcW w:w="4394" w:type="dxa"/>
          </w:tcPr>
          <w:p w14:paraId="699054F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الاتفاقية المتعلقة بالجوانب المدنية للاختطاف الدولي للأطفال، 1980</w:t>
            </w:r>
          </w:p>
        </w:tc>
        <w:tc>
          <w:tcPr>
            <w:tcW w:w="2976" w:type="dxa"/>
          </w:tcPr>
          <w:p w14:paraId="61176DF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الانضمام في 14 آب/أغسطس 1996</w:t>
            </w:r>
          </w:p>
        </w:tc>
      </w:tr>
      <w:tr w:rsidR="00A1204B" w:rsidRPr="003817EA" w14:paraId="332EB04A"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4394" w:type="dxa"/>
          </w:tcPr>
          <w:p w14:paraId="4FBD37F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بشأن حماية الأطفال والتعاون في مجال التبني على الصعيد الدولي</w:t>
            </w:r>
          </w:p>
        </w:tc>
        <w:tc>
          <w:tcPr>
            <w:tcW w:w="2976" w:type="dxa"/>
          </w:tcPr>
          <w:p w14:paraId="2918B04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الانضمام في 17 كانون الثاني/يناير 2000</w:t>
            </w:r>
          </w:p>
        </w:tc>
      </w:tr>
    </w:tbl>
    <w:p w14:paraId="212DD855" w14:textId="77777777" w:rsidR="00A1204B" w:rsidRPr="001F1035" w:rsidRDefault="00A1204B" w:rsidP="00A1204B">
      <w:pPr>
        <w:pStyle w:val="H23GA"/>
        <w:rPr>
          <w:rtl/>
        </w:rPr>
      </w:pPr>
      <w:r w:rsidRPr="001F1035">
        <w:rPr>
          <w:rtl/>
        </w:rPr>
        <w:tab/>
        <w:t>5-</w:t>
      </w:r>
      <w:r w:rsidRPr="001F1035">
        <w:rPr>
          <w:rtl/>
        </w:rPr>
        <w:tab/>
        <w:t>اتفاقيات جنيف وغيرها من المعاهدات المتعلقة بالقانون الدولي الإنساني</w:t>
      </w:r>
    </w:p>
    <w:p w14:paraId="76D0F95C" w14:textId="77777777" w:rsidR="00A1204B" w:rsidRPr="001F1035" w:rsidRDefault="00A1204B" w:rsidP="00A1204B">
      <w:pPr>
        <w:pStyle w:val="SingleTxtGA"/>
        <w:rPr>
          <w:i/>
          <w:iCs/>
          <w:rtl/>
        </w:rPr>
      </w:pPr>
      <w:r w:rsidRPr="003817EA">
        <w:rPr>
          <w:rtl/>
        </w:rPr>
        <w:tab/>
      </w:r>
      <w:r w:rsidRPr="001F1035">
        <w:rPr>
          <w:i/>
          <w:iCs/>
          <w:rtl/>
        </w:rPr>
        <w:t>آيسلندا طرف في الاتفاقيات المدرجة في الجدول أدناه.</w:t>
      </w:r>
    </w:p>
    <w:tbl>
      <w:tblPr>
        <w:tblStyle w:val="TABLEA"/>
        <w:bidiVisual/>
        <w:tblW w:w="7370" w:type="dxa"/>
        <w:jc w:val="left"/>
        <w:tblInd w:w="1247" w:type="dxa"/>
        <w:tblLayout w:type="fixed"/>
        <w:tblLook w:val="04E0" w:firstRow="1" w:lastRow="1" w:firstColumn="1" w:lastColumn="0" w:noHBand="0" w:noVBand="1"/>
      </w:tblPr>
      <w:tblGrid>
        <w:gridCol w:w="4394"/>
        <w:gridCol w:w="2976"/>
      </w:tblGrid>
      <w:tr w:rsidR="00A1204B" w:rsidRPr="003817EA" w14:paraId="1177DB48"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4394" w:type="dxa"/>
          </w:tcPr>
          <w:p w14:paraId="49FB3F60"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الاتفاقية/البروتوكول</w:t>
            </w:r>
          </w:p>
        </w:tc>
        <w:tc>
          <w:tcPr>
            <w:tcW w:w="2976" w:type="dxa"/>
          </w:tcPr>
          <w:p w14:paraId="46BB1094"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انضمام/تصديق</w:t>
            </w:r>
          </w:p>
        </w:tc>
      </w:tr>
      <w:tr w:rsidR="00A1204B" w:rsidRPr="003817EA" w14:paraId="6851E390" w14:textId="77777777" w:rsidTr="00047038">
        <w:trPr>
          <w:jc w:val="left"/>
        </w:trPr>
        <w:tc>
          <w:tcPr>
            <w:tcW w:w="4394" w:type="dxa"/>
          </w:tcPr>
          <w:p w14:paraId="3E2400A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جنيف لتحسين حال جرحى ومرضى وغرقى القوات المسلحة في البحار، 1949</w:t>
            </w:r>
          </w:p>
        </w:tc>
        <w:tc>
          <w:tcPr>
            <w:tcW w:w="2976" w:type="dxa"/>
          </w:tcPr>
          <w:p w14:paraId="0639893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10 آب/أغسطس 1965</w:t>
            </w:r>
          </w:p>
        </w:tc>
      </w:tr>
      <w:tr w:rsidR="00A1204B" w:rsidRPr="003817EA" w14:paraId="5634CDF3" w14:textId="77777777" w:rsidTr="00047038">
        <w:trPr>
          <w:jc w:val="left"/>
        </w:trPr>
        <w:tc>
          <w:tcPr>
            <w:tcW w:w="4394" w:type="dxa"/>
          </w:tcPr>
          <w:p w14:paraId="2893EA5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الملحق (البروتوكول) الأول الإضافي إلى اتفاقيات جنيف المعقودة في 12 آب/أغسطس 1949 والمتعلق بحماية ضحايا المنازعات الدولية المسلحة</w:t>
            </w:r>
          </w:p>
        </w:tc>
        <w:tc>
          <w:tcPr>
            <w:tcW w:w="2976" w:type="dxa"/>
          </w:tcPr>
          <w:p w14:paraId="4D9131E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10 نيسان/أبريل 1987</w:t>
            </w:r>
          </w:p>
        </w:tc>
      </w:tr>
      <w:tr w:rsidR="00A1204B" w:rsidRPr="003817EA" w14:paraId="35A1C6A8" w14:textId="77777777" w:rsidTr="00047038">
        <w:trPr>
          <w:jc w:val="left"/>
        </w:trPr>
        <w:tc>
          <w:tcPr>
            <w:tcW w:w="4394" w:type="dxa"/>
          </w:tcPr>
          <w:p w14:paraId="42CDCB5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البروتوكول الإضافي لاتفاقيات جنيف المعقودة في 12 آب/أغسطس 1949، والمتعلق بحماية ضحايا المنازعات المسلحة غير الدولية (البروتوكول الثاني)</w:t>
            </w:r>
          </w:p>
        </w:tc>
        <w:tc>
          <w:tcPr>
            <w:tcW w:w="2976" w:type="dxa"/>
          </w:tcPr>
          <w:p w14:paraId="6BFF20F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10 نيسان/أبريل 1987</w:t>
            </w:r>
          </w:p>
        </w:tc>
      </w:tr>
      <w:tr w:rsidR="00A1204B" w:rsidRPr="003817EA" w14:paraId="1F4623E5" w14:textId="77777777" w:rsidTr="00047038">
        <w:trPr>
          <w:jc w:val="left"/>
        </w:trPr>
        <w:tc>
          <w:tcPr>
            <w:tcW w:w="4394" w:type="dxa"/>
          </w:tcPr>
          <w:p w14:paraId="1A4EE3C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البروتوكول الإضافي إلى اتفاقيات جنيف المؤرخة في 12 آب/أغسطس 1949 بشأن اعتماد شارة مميزة إضافية (البروتوكول الثالث)</w:t>
            </w:r>
          </w:p>
        </w:tc>
        <w:tc>
          <w:tcPr>
            <w:tcW w:w="2976" w:type="dxa"/>
          </w:tcPr>
          <w:p w14:paraId="5F857E2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12 تموز/يوليه 2006</w:t>
            </w:r>
          </w:p>
        </w:tc>
      </w:tr>
      <w:tr w:rsidR="00A1204B" w:rsidRPr="003817EA" w14:paraId="47C6D4C9" w14:textId="77777777" w:rsidTr="00047038">
        <w:trPr>
          <w:jc w:val="left"/>
        </w:trPr>
        <w:tc>
          <w:tcPr>
            <w:tcW w:w="4394" w:type="dxa"/>
          </w:tcPr>
          <w:p w14:paraId="60DBCDB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تكييف مبادئ اتفاقية جنيف لتطبيقها في حالة الحرب البحرية</w:t>
            </w:r>
          </w:p>
        </w:tc>
        <w:tc>
          <w:tcPr>
            <w:tcW w:w="2976" w:type="dxa"/>
          </w:tcPr>
          <w:p w14:paraId="6B7021A0"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الانضمام في 27 تشرين الثاني/نوفمبر 1909</w:t>
            </w:r>
          </w:p>
        </w:tc>
      </w:tr>
      <w:tr w:rsidR="00A1204B" w:rsidRPr="003817EA" w14:paraId="64A6168B" w14:textId="77777777" w:rsidTr="00047038">
        <w:trPr>
          <w:jc w:val="left"/>
        </w:trPr>
        <w:tc>
          <w:tcPr>
            <w:tcW w:w="4394" w:type="dxa"/>
          </w:tcPr>
          <w:p w14:paraId="31DDFEF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بروتوكول جنيف لحظر الاستعمال الحربي للغازات الخانقة أو السامة أو ما شابهها ولوسائل الحرب البكتريولوجية</w:t>
            </w:r>
          </w:p>
        </w:tc>
        <w:tc>
          <w:tcPr>
            <w:tcW w:w="2976" w:type="dxa"/>
          </w:tcPr>
          <w:p w14:paraId="2C8AD1F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19 كانون الأول/ديسمبر 1966</w:t>
            </w:r>
          </w:p>
        </w:tc>
      </w:tr>
      <w:tr w:rsidR="00A1204B" w:rsidRPr="003817EA" w14:paraId="3247EE0F" w14:textId="77777777" w:rsidTr="00047038">
        <w:trPr>
          <w:jc w:val="left"/>
        </w:trPr>
        <w:tc>
          <w:tcPr>
            <w:tcW w:w="4394" w:type="dxa"/>
          </w:tcPr>
          <w:p w14:paraId="52BBD19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جنيف المتعلقة بمعاملة أسرى الحرب</w:t>
            </w:r>
          </w:p>
        </w:tc>
        <w:tc>
          <w:tcPr>
            <w:tcW w:w="2976" w:type="dxa"/>
          </w:tcPr>
          <w:p w14:paraId="0A63D0A5"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10 آب/أغسطس 1965</w:t>
            </w:r>
          </w:p>
        </w:tc>
      </w:tr>
      <w:tr w:rsidR="00A1204B" w:rsidRPr="003817EA" w14:paraId="4EA58D1F" w14:textId="77777777" w:rsidTr="00047038">
        <w:trPr>
          <w:jc w:val="left"/>
        </w:trPr>
        <w:tc>
          <w:tcPr>
            <w:tcW w:w="4394" w:type="dxa"/>
          </w:tcPr>
          <w:p w14:paraId="0C847E0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lastRenderedPageBreak/>
              <w:t>اتفاقية جنيف لتحسين حال الجرحى والمرضى بالقوات المسلحة في الميدان</w:t>
            </w:r>
          </w:p>
        </w:tc>
        <w:tc>
          <w:tcPr>
            <w:tcW w:w="2976" w:type="dxa"/>
          </w:tcPr>
          <w:p w14:paraId="51E4B94D"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10 آب/أغسطس 1965</w:t>
            </w:r>
          </w:p>
        </w:tc>
      </w:tr>
      <w:tr w:rsidR="00A1204B" w:rsidRPr="003817EA" w14:paraId="6FBAD807"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4394" w:type="dxa"/>
          </w:tcPr>
          <w:p w14:paraId="4023C969"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جنيف بشأن حماية الأشخاص المدنيين في وقت الحرب</w:t>
            </w:r>
          </w:p>
        </w:tc>
        <w:tc>
          <w:tcPr>
            <w:tcW w:w="2976" w:type="dxa"/>
          </w:tcPr>
          <w:p w14:paraId="37F2913E"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10 آب/أغسطس 1965</w:t>
            </w:r>
          </w:p>
        </w:tc>
      </w:tr>
    </w:tbl>
    <w:p w14:paraId="6DFE82F2" w14:textId="77777777" w:rsidR="00A1204B" w:rsidRPr="001F1035" w:rsidRDefault="00A1204B" w:rsidP="00A1204B">
      <w:pPr>
        <w:pStyle w:val="H23GA"/>
        <w:rPr>
          <w:rtl/>
        </w:rPr>
      </w:pPr>
      <w:r w:rsidRPr="001F1035">
        <w:rPr>
          <w:rtl/>
        </w:rPr>
        <w:tab/>
        <w:t>6-</w:t>
      </w:r>
      <w:r w:rsidRPr="001F1035">
        <w:rPr>
          <w:rtl/>
        </w:rPr>
        <w:tab/>
        <w:t>اتفاقيات مجلس أوروبا</w:t>
      </w:r>
    </w:p>
    <w:p w14:paraId="57F2683C" w14:textId="77777777" w:rsidR="00A1204B" w:rsidRPr="001F1035" w:rsidRDefault="00A1204B" w:rsidP="00A1204B">
      <w:pPr>
        <w:pStyle w:val="SingleTxtGA"/>
        <w:rPr>
          <w:i/>
          <w:iCs/>
          <w:rtl/>
        </w:rPr>
      </w:pPr>
      <w:r w:rsidRPr="001F1035">
        <w:rPr>
          <w:i/>
          <w:iCs/>
          <w:rtl/>
        </w:rPr>
        <w:tab/>
        <w:t>آيسلندا طرف في الاتفاقيات المدرجة في الجدول أدناه.</w:t>
      </w:r>
    </w:p>
    <w:tbl>
      <w:tblPr>
        <w:tblStyle w:val="TABLEA"/>
        <w:bidiVisual/>
        <w:tblW w:w="7370" w:type="dxa"/>
        <w:jc w:val="left"/>
        <w:tblInd w:w="1247" w:type="dxa"/>
        <w:tblLayout w:type="fixed"/>
        <w:tblLook w:val="04E0" w:firstRow="1" w:lastRow="1" w:firstColumn="1" w:lastColumn="0" w:noHBand="0" w:noVBand="1"/>
      </w:tblPr>
      <w:tblGrid>
        <w:gridCol w:w="4394"/>
        <w:gridCol w:w="2976"/>
      </w:tblGrid>
      <w:tr w:rsidR="00A1204B" w:rsidRPr="003817EA" w14:paraId="066610DF" w14:textId="77777777" w:rsidTr="00047038">
        <w:trPr>
          <w:cnfStyle w:val="100000000000" w:firstRow="1" w:lastRow="0" w:firstColumn="0" w:lastColumn="0" w:oddVBand="0" w:evenVBand="0" w:oddHBand="0" w:evenHBand="0" w:firstRowFirstColumn="0" w:firstRowLastColumn="0" w:lastRowFirstColumn="0" w:lastRowLastColumn="0"/>
          <w:tblHeader/>
          <w:jc w:val="left"/>
        </w:trPr>
        <w:tc>
          <w:tcPr>
            <w:tcW w:w="4394" w:type="dxa"/>
          </w:tcPr>
          <w:p w14:paraId="0995BC69"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الاتفاقية/البروتوكول</w:t>
            </w:r>
          </w:p>
        </w:tc>
        <w:tc>
          <w:tcPr>
            <w:tcW w:w="2976" w:type="dxa"/>
          </w:tcPr>
          <w:p w14:paraId="5069D03A" w14:textId="77777777" w:rsidR="00A1204B" w:rsidRPr="003817EA" w:rsidRDefault="00A1204B" w:rsidP="00047038">
            <w:pPr>
              <w:pStyle w:val="SingleTxtGA"/>
              <w:keepNext/>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1F1035">
              <w:rPr>
                <w:i/>
                <w:iCs/>
                <w:sz w:val="18"/>
                <w:szCs w:val="18"/>
                <w:rtl/>
              </w:rPr>
              <w:t xml:space="preserve"> انضمام/تصديق </w:t>
            </w:r>
          </w:p>
        </w:tc>
      </w:tr>
      <w:tr w:rsidR="00A1204B" w:rsidRPr="003817EA" w14:paraId="1B4ACEFC" w14:textId="77777777" w:rsidTr="00047038">
        <w:trPr>
          <w:jc w:val="left"/>
        </w:trPr>
        <w:tc>
          <w:tcPr>
            <w:tcW w:w="4394" w:type="dxa"/>
          </w:tcPr>
          <w:p w14:paraId="14A1FFA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cs/>
              </w:rPr>
              <w:t>اتفاقية</w:t>
            </w:r>
            <w:r w:rsidRPr="003817EA">
              <w:rPr>
                <w:sz w:val="18"/>
                <w:szCs w:val="18"/>
                <w:rtl/>
              </w:rPr>
              <w:t xml:space="preserve"> </w:t>
            </w:r>
            <w:r w:rsidRPr="003817EA">
              <w:rPr>
                <w:sz w:val="18"/>
                <w:szCs w:val="18"/>
                <w:rtl/>
                <w:cs/>
              </w:rPr>
              <w:t>حماية</w:t>
            </w:r>
            <w:r w:rsidRPr="003817EA">
              <w:rPr>
                <w:sz w:val="18"/>
                <w:szCs w:val="18"/>
                <w:rtl/>
              </w:rPr>
              <w:t xml:space="preserve"> </w:t>
            </w:r>
            <w:r w:rsidRPr="003817EA">
              <w:rPr>
                <w:sz w:val="18"/>
                <w:szCs w:val="18"/>
                <w:rtl/>
                <w:cs/>
              </w:rPr>
              <w:t>حقوق</w:t>
            </w:r>
            <w:r w:rsidRPr="003817EA">
              <w:rPr>
                <w:sz w:val="18"/>
                <w:szCs w:val="18"/>
                <w:rtl/>
              </w:rPr>
              <w:t xml:space="preserve"> </w:t>
            </w:r>
            <w:r w:rsidRPr="003817EA">
              <w:rPr>
                <w:sz w:val="18"/>
                <w:szCs w:val="18"/>
                <w:rtl/>
                <w:cs/>
              </w:rPr>
              <w:t>الإنسان</w:t>
            </w:r>
            <w:r w:rsidRPr="003817EA">
              <w:rPr>
                <w:sz w:val="18"/>
                <w:szCs w:val="18"/>
                <w:rtl/>
              </w:rPr>
              <w:t xml:space="preserve"> </w:t>
            </w:r>
            <w:r w:rsidRPr="003817EA">
              <w:rPr>
                <w:sz w:val="18"/>
                <w:szCs w:val="18"/>
                <w:rtl/>
                <w:cs/>
              </w:rPr>
              <w:t>والحريات</w:t>
            </w:r>
            <w:r w:rsidRPr="003817EA">
              <w:rPr>
                <w:sz w:val="18"/>
                <w:szCs w:val="18"/>
                <w:rtl/>
              </w:rPr>
              <w:t xml:space="preserve"> </w:t>
            </w:r>
            <w:r w:rsidRPr="003817EA">
              <w:rPr>
                <w:sz w:val="18"/>
                <w:szCs w:val="18"/>
                <w:rtl/>
                <w:cs/>
              </w:rPr>
              <w:t>الأساسية</w:t>
            </w:r>
          </w:p>
        </w:tc>
        <w:tc>
          <w:tcPr>
            <w:tcW w:w="2976" w:type="dxa"/>
          </w:tcPr>
          <w:p w14:paraId="25D9457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29 حزيران/يونيه 1953</w:t>
            </w:r>
          </w:p>
        </w:tc>
      </w:tr>
      <w:tr w:rsidR="00A1204B" w:rsidRPr="003817EA" w14:paraId="7BD9644D" w14:textId="77777777" w:rsidTr="00047038">
        <w:trPr>
          <w:jc w:val="left"/>
        </w:trPr>
        <w:tc>
          <w:tcPr>
            <w:tcW w:w="4394" w:type="dxa"/>
          </w:tcPr>
          <w:p w14:paraId="1FF34A7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 xml:space="preserve">الميثاق الاجتماعي الأوروبي </w:t>
            </w:r>
          </w:p>
        </w:tc>
        <w:tc>
          <w:tcPr>
            <w:tcW w:w="2976" w:type="dxa"/>
          </w:tcPr>
          <w:p w14:paraId="537CF53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15 كانون الثاني/يناير 1976</w:t>
            </w:r>
          </w:p>
        </w:tc>
      </w:tr>
      <w:tr w:rsidR="00A1204B" w:rsidRPr="003817EA" w14:paraId="60AF887B" w14:textId="77777777" w:rsidTr="00047038">
        <w:trPr>
          <w:jc w:val="left"/>
        </w:trPr>
        <w:tc>
          <w:tcPr>
            <w:tcW w:w="4394" w:type="dxa"/>
          </w:tcPr>
          <w:p w14:paraId="5DE9C5D2"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مجلس أوروبا للوقاية من العنف ضد النساء والعنف المنزلي ومكافحتهما</w:t>
            </w:r>
          </w:p>
        </w:tc>
        <w:tc>
          <w:tcPr>
            <w:tcW w:w="2976" w:type="dxa"/>
          </w:tcPr>
          <w:p w14:paraId="6C57003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26 نيسان/أبريل 2018</w:t>
            </w:r>
          </w:p>
        </w:tc>
      </w:tr>
      <w:tr w:rsidR="00A1204B" w:rsidRPr="003817EA" w14:paraId="7D994296" w14:textId="77777777" w:rsidTr="00047038">
        <w:trPr>
          <w:jc w:val="left"/>
        </w:trPr>
        <w:tc>
          <w:tcPr>
            <w:tcW w:w="4394" w:type="dxa"/>
          </w:tcPr>
          <w:p w14:paraId="4913BC8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معاهدة مجلس أوروبا بشأن حماية الأطفال من الاستغلال والاعتداء الجنسي</w:t>
            </w:r>
          </w:p>
        </w:tc>
        <w:tc>
          <w:tcPr>
            <w:tcW w:w="2976" w:type="dxa"/>
          </w:tcPr>
          <w:p w14:paraId="1533C1A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4 أيلول/سبتمبر 2012</w:t>
            </w:r>
          </w:p>
        </w:tc>
      </w:tr>
      <w:tr w:rsidR="00A1204B" w:rsidRPr="003817EA" w14:paraId="3B369A2A" w14:textId="77777777" w:rsidTr="00047038">
        <w:trPr>
          <w:jc w:val="left"/>
        </w:trPr>
        <w:tc>
          <w:tcPr>
            <w:tcW w:w="4394" w:type="dxa"/>
          </w:tcPr>
          <w:p w14:paraId="7B9C7EA8"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اتفاقية مجلس أوروبا بشأن مكافحة الاتجار بالبشر</w:t>
            </w:r>
          </w:p>
        </w:tc>
        <w:tc>
          <w:tcPr>
            <w:tcW w:w="2976" w:type="dxa"/>
          </w:tcPr>
          <w:p w14:paraId="3DB3F123"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17 شباط/فبراير 2012</w:t>
            </w:r>
          </w:p>
        </w:tc>
      </w:tr>
      <w:tr w:rsidR="00A1204B" w:rsidRPr="003817EA" w14:paraId="564FC88D" w14:textId="77777777" w:rsidTr="00047038">
        <w:trPr>
          <w:jc w:val="left"/>
        </w:trPr>
        <w:tc>
          <w:tcPr>
            <w:tcW w:w="4394" w:type="dxa"/>
          </w:tcPr>
          <w:p w14:paraId="38C51DE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الاتفاقية الأوروبية لمنع التعذيب والمعاملة أو العقوبة اللاإنسانية أو المهينة</w:t>
            </w:r>
          </w:p>
        </w:tc>
        <w:tc>
          <w:tcPr>
            <w:tcW w:w="2976" w:type="dxa"/>
          </w:tcPr>
          <w:p w14:paraId="7D197FFB"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19 حزيران/يونيه 1990</w:t>
            </w:r>
          </w:p>
        </w:tc>
      </w:tr>
      <w:tr w:rsidR="00A1204B" w:rsidRPr="003817EA" w14:paraId="71207BA2" w14:textId="77777777" w:rsidTr="00047038">
        <w:trPr>
          <w:jc w:val="left"/>
        </w:trPr>
        <w:tc>
          <w:tcPr>
            <w:tcW w:w="4394" w:type="dxa"/>
          </w:tcPr>
          <w:p w14:paraId="4DCDB98A"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البروتوكول رقم 1 الملحق بالاتفاقية الأوروبية لمنع التعذيب والمعاملة أو العقوبة اللاإنسانية أو المهينة</w:t>
            </w:r>
          </w:p>
        </w:tc>
        <w:tc>
          <w:tcPr>
            <w:tcW w:w="2976" w:type="dxa"/>
          </w:tcPr>
          <w:p w14:paraId="6853C7A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29 حزيران/يونيه 1995</w:t>
            </w:r>
          </w:p>
        </w:tc>
      </w:tr>
      <w:tr w:rsidR="00A1204B" w:rsidRPr="003817EA" w14:paraId="253212C0" w14:textId="77777777" w:rsidTr="00047038">
        <w:trPr>
          <w:cnfStyle w:val="010000000000" w:firstRow="0" w:lastRow="1" w:firstColumn="0" w:lastColumn="0" w:oddVBand="0" w:evenVBand="0" w:oddHBand="0" w:evenHBand="0" w:firstRowFirstColumn="0" w:firstRowLastColumn="0" w:lastRowFirstColumn="0" w:lastRowLastColumn="0"/>
          <w:jc w:val="left"/>
        </w:trPr>
        <w:tc>
          <w:tcPr>
            <w:tcW w:w="4394" w:type="dxa"/>
          </w:tcPr>
          <w:p w14:paraId="0633E7BF"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البروتوكول رقم 2 الملحق بالاتفاقية الأوروبية لمنع التعذيب والمعاملة أو العقوبة اللاإنسانية أو المهينة</w:t>
            </w:r>
          </w:p>
        </w:tc>
        <w:tc>
          <w:tcPr>
            <w:tcW w:w="2976" w:type="dxa"/>
          </w:tcPr>
          <w:p w14:paraId="104E4176" w14:textId="77777777" w:rsidR="00A1204B" w:rsidRPr="003817EA" w:rsidRDefault="00A1204B" w:rsidP="00047038">
            <w:pPr>
              <w:pStyle w:val="SingleTxtGA"/>
              <w:tabs>
                <w:tab w:val="clear" w:pos="1928"/>
                <w:tab w:val="clear" w:pos="2608"/>
                <w:tab w:val="clear" w:pos="3289"/>
                <w:tab w:val="clear" w:pos="3969"/>
                <w:tab w:val="clear" w:pos="4649"/>
                <w:tab w:val="clear" w:pos="5330"/>
              </w:tabs>
              <w:spacing w:before="40" w:after="40" w:line="260" w:lineRule="exact"/>
              <w:ind w:left="57" w:right="57"/>
              <w:rPr>
                <w:sz w:val="18"/>
                <w:szCs w:val="18"/>
                <w:rtl/>
              </w:rPr>
            </w:pPr>
            <w:r w:rsidRPr="003817EA">
              <w:rPr>
                <w:sz w:val="18"/>
                <w:szCs w:val="18"/>
                <w:rtl/>
              </w:rPr>
              <w:t>التصديق في 29 حزيران/يونيه 1995</w:t>
            </w:r>
          </w:p>
        </w:tc>
      </w:tr>
    </w:tbl>
    <w:p w14:paraId="0D062326" w14:textId="77777777" w:rsidR="00A1204B" w:rsidRPr="001F1035" w:rsidRDefault="00A1204B" w:rsidP="00A1204B">
      <w:pPr>
        <w:pStyle w:val="H1GA"/>
        <w:rPr>
          <w:rtl/>
        </w:rPr>
      </w:pPr>
      <w:r w:rsidRPr="001F1035">
        <w:rPr>
          <w:rtl/>
        </w:rPr>
        <w:tab/>
        <w:t xml:space="preserve"> باء-</w:t>
      </w:r>
      <w:r w:rsidRPr="001F1035">
        <w:rPr>
          <w:rtl/>
        </w:rPr>
        <w:tab/>
        <w:t>الإطار القانوني لحماية حقوق الإنسان على الصعيد الوطني</w:t>
      </w:r>
    </w:p>
    <w:p w14:paraId="3F7F22A6" w14:textId="77777777" w:rsidR="00A1204B" w:rsidRPr="001F1035" w:rsidRDefault="00A1204B" w:rsidP="00A1204B">
      <w:pPr>
        <w:pStyle w:val="H23GA"/>
        <w:rPr>
          <w:rtl/>
        </w:rPr>
      </w:pPr>
      <w:r w:rsidRPr="001F1035">
        <w:rPr>
          <w:rtl/>
        </w:rPr>
        <w:tab/>
        <w:t>1-</w:t>
      </w:r>
      <w:r w:rsidRPr="001F1035">
        <w:rPr>
          <w:rtl/>
        </w:rPr>
        <w:tab/>
        <w:t>التشريعات</w:t>
      </w:r>
    </w:p>
    <w:p w14:paraId="0B611CD7" w14:textId="77777777" w:rsidR="00A1204B" w:rsidRPr="003817EA" w:rsidRDefault="00A1204B" w:rsidP="00A1204B">
      <w:pPr>
        <w:pStyle w:val="SingleTxtGA"/>
        <w:rPr>
          <w:rtl/>
        </w:rPr>
      </w:pPr>
      <w:r w:rsidRPr="003817EA">
        <w:rPr>
          <w:rtl/>
        </w:rPr>
        <w:t>57-</w:t>
      </w:r>
      <w:r w:rsidRPr="003817EA">
        <w:rPr>
          <w:rtl/>
        </w:rPr>
        <w:tab/>
        <w:t>تحظى حقوق الإنسان بالحماية بموجب الدستور وتشريعات محدَّدة في عدد من المجالات المختلفة.</w:t>
      </w:r>
    </w:p>
    <w:p w14:paraId="279C121D" w14:textId="77777777" w:rsidR="00A1204B" w:rsidRPr="003817EA" w:rsidRDefault="00A1204B" w:rsidP="00A1204B">
      <w:pPr>
        <w:pStyle w:val="SingleTxtGA"/>
        <w:rPr>
          <w:rtl/>
        </w:rPr>
      </w:pPr>
      <w:r w:rsidRPr="003817EA">
        <w:rPr>
          <w:rtl/>
        </w:rPr>
        <w:t>58-</w:t>
      </w:r>
      <w:r w:rsidRPr="003817EA">
        <w:rPr>
          <w:rtl/>
        </w:rPr>
        <w:tab/>
        <w:t>وتتَّبع آيسلندا مبدأ الثنائية. ولذلك، لا تكتسب المعاهدات الدولية المصدَّق عليها قوة القانون المحلي، بل هي ملزِمة فقط وفقاً للقانون الدولي. وقد سعت المحاكم إلى تفسير القانون الآيسلندي، قدر الإمكان، وفقاً لالتزامات آيسلندا الدولية. وكثيراً ما أشارت المحاكم إلى الالتزامات الدولية التي تعهدت بها آيسلندا، وفسرت الدستور وسائر القوانين على حد سواء بما يتماشى مع هذه الالتزامات.</w:t>
      </w:r>
    </w:p>
    <w:p w14:paraId="296FAA3E" w14:textId="77777777" w:rsidR="00A1204B" w:rsidRPr="001F1035" w:rsidRDefault="00A1204B" w:rsidP="00A1204B">
      <w:pPr>
        <w:pStyle w:val="H23GA"/>
        <w:rPr>
          <w:rtl/>
        </w:rPr>
      </w:pPr>
      <w:r w:rsidRPr="001F1035">
        <w:rPr>
          <w:rtl/>
        </w:rPr>
        <w:tab/>
      </w:r>
      <w:r w:rsidRPr="001F1035">
        <w:rPr>
          <w:rtl/>
        </w:rPr>
        <w:tab/>
        <w:t>الدستور</w:t>
      </w:r>
    </w:p>
    <w:p w14:paraId="3BE2DFD8" w14:textId="77777777" w:rsidR="00A1204B" w:rsidRPr="003817EA" w:rsidRDefault="00A1204B" w:rsidP="00A1204B">
      <w:pPr>
        <w:pStyle w:val="SingleTxtGA"/>
        <w:rPr>
          <w:rtl/>
        </w:rPr>
      </w:pPr>
      <w:r w:rsidRPr="003817EA">
        <w:rPr>
          <w:rtl/>
        </w:rPr>
        <w:t>59-</w:t>
      </w:r>
      <w:r w:rsidRPr="003817EA">
        <w:rPr>
          <w:rtl/>
        </w:rPr>
        <w:tab/>
        <w:t>أَدخل القانون الدستوري لعام 1995 تعديلات أساسية على أحكام الدستور المتعلقة بحقوق الإنسان. وهكذا أضاف إلى الدستور عدداً كبيراً من الأحكام الجديدة المتعلقة بحقوق الإنسان، كما أعيدت صياغة أحكام قديمة وتحديثُها. وباتت حقوق الإنسان والحريات الأساسية، مثل حرية الدين والحق في الخصوصية والحياة المنزلية والأسرية وحرية تكوين الجمعيات والتجمع، مكفولة للجميع.</w:t>
      </w:r>
    </w:p>
    <w:p w14:paraId="09B23AB6" w14:textId="77777777" w:rsidR="00A1204B" w:rsidRPr="001F1035" w:rsidRDefault="00A1204B" w:rsidP="00A1204B">
      <w:pPr>
        <w:pStyle w:val="H1GA"/>
        <w:rPr>
          <w:rtl/>
        </w:rPr>
      </w:pPr>
      <w:r w:rsidRPr="001F1035">
        <w:rPr>
          <w:rtl/>
        </w:rPr>
        <w:tab/>
      </w:r>
      <w:r w:rsidRPr="001F1035">
        <w:rPr>
          <w:rtl/>
        </w:rPr>
        <w:tab/>
        <w:t>تشريعات أخرى</w:t>
      </w:r>
    </w:p>
    <w:p w14:paraId="15831869" w14:textId="77777777" w:rsidR="00A1204B" w:rsidRPr="003817EA" w:rsidRDefault="00A1204B" w:rsidP="00A1204B">
      <w:pPr>
        <w:pStyle w:val="SingleTxtGA"/>
        <w:rPr>
          <w:rtl/>
        </w:rPr>
      </w:pPr>
      <w:r w:rsidRPr="003817EA">
        <w:rPr>
          <w:rtl/>
        </w:rPr>
        <w:t>60-</w:t>
      </w:r>
      <w:r w:rsidRPr="003817EA">
        <w:rPr>
          <w:rtl/>
        </w:rPr>
        <w:tab/>
        <w:t>أُدرجت عدة اتفاقيات دولية في صلب القانون الآيسلندي:</w:t>
      </w:r>
    </w:p>
    <w:p w14:paraId="614C21C6" w14:textId="77777777" w:rsidR="00A1204B" w:rsidRPr="003817EA" w:rsidRDefault="00A1204B" w:rsidP="00A1204B">
      <w:pPr>
        <w:pStyle w:val="Bullet1GA"/>
        <w:rPr>
          <w:rtl/>
        </w:rPr>
      </w:pPr>
      <w:r w:rsidRPr="003817EA">
        <w:rPr>
          <w:rtl/>
        </w:rPr>
        <w:t>الاتفاقية الأوروبية لحماية حقوق الإنسان والحريات الأساسية، مع بروتوكولات تعديلها اللاحقة والبروتوكولات الإضافية التالية: البروتوكولات رقم 1 و4 و6 و7 و13؛</w:t>
      </w:r>
    </w:p>
    <w:p w14:paraId="40B89A85" w14:textId="77777777" w:rsidR="00A1204B" w:rsidRPr="003817EA" w:rsidRDefault="00A1204B" w:rsidP="00A1204B">
      <w:pPr>
        <w:pStyle w:val="Bullet1GA"/>
        <w:rPr>
          <w:rtl/>
        </w:rPr>
      </w:pPr>
      <w:r w:rsidRPr="003817EA">
        <w:rPr>
          <w:rtl/>
        </w:rPr>
        <w:lastRenderedPageBreak/>
        <w:t>اتفاقية حقوق الطفل، بما في ذلك البروتوكول الاختياري بشأن اشتراك الأطفال في المنازعات المسلحة والبروتوكول الاختياري بشأن بيع الأطفال واستغلال الأطفال في البغاء وفي المواد الإباحية.</w:t>
      </w:r>
    </w:p>
    <w:p w14:paraId="050CC83F" w14:textId="77777777" w:rsidR="00A1204B" w:rsidRPr="001F1035" w:rsidRDefault="00A1204B" w:rsidP="00A1204B">
      <w:pPr>
        <w:pStyle w:val="H23GA"/>
        <w:rPr>
          <w:rtl/>
        </w:rPr>
      </w:pPr>
      <w:r w:rsidRPr="001F1035">
        <w:rPr>
          <w:rtl/>
        </w:rPr>
        <w:tab/>
        <w:t>2-</w:t>
      </w:r>
      <w:r w:rsidRPr="001F1035">
        <w:rPr>
          <w:rtl/>
        </w:rPr>
        <w:tab/>
        <w:t>اختصاصات السلطات القضائية والإدارية وغيرها من السلطات العامة فيما يتعلق بحقوق الإنسان</w:t>
      </w:r>
    </w:p>
    <w:p w14:paraId="566AC9E4" w14:textId="77777777" w:rsidR="00A1204B" w:rsidRPr="003817EA" w:rsidRDefault="00A1204B" w:rsidP="00A1204B">
      <w:pPr>
        <w:pStyle w:val="SingleTxtGA"/>
        <w:rPr>
          <w:rtl/>
        </w:rPr>
      </w:pPr>
      <w:r w:rsidRPr="003817EA">
        <w:rPr>
          <w:rtl/>
        </w:rPr>
        <w:t>61-</w:t>
      </w:r>
      <w:r w:rsidRPr="003817EA">
        <w:rPr>
          <w:rtl/>
        </w:rPr>
        <w:tab/>
        <w:t>جميع السلطات العامة ملزمة باحترام وضمان حقوق الإنسان كما هي مبيَّنة في الدستور وفي معاهدات حقوق الإنسان الملزمة لآيسلندا (انظر المادة 65 من الدستور الآيسلندي). وتتحمل بعض السلطات العامة مسؤولية أعم؛ فوزير العدل مثلاً مسؤول عن تنفيذ الاتفاقات الدولية لحقوق الإنسان، ومن واجب المفوض البرلماني المعني بالإدارة أن يساعد في ضمان احترام وتأمين حقوق الإنسان من جانب جميع السلطات العامة.</w:t>
      </w:r>
    </w:p>
    <w:p w14:paraId="59D001B9" w14:textId="77777777" w:rsidR="00A1204B" w:rsidRPr="001F1035" w:rsidRDefault="00A1204B" w:rsidP="00A1204B">
      <w:pPr>
        <w:pStyle w:val="H23GA"/>
        <w:rPr>
          <w:rtl/>
        </w:rPr>
      </w:pPr>
      <w:r w:rsidRPr="001F1035">
        <w:rPr>
          <w:rtl/>
        </w:rPr>
        <w:tab/>
        <w:t>3-</w:t>
      </w:r>
      <w:r w:rsidRPr="001F1035">
        <w:rPr>
          <w:rtl/>
        </w:rPr>
        <w:tab/>
        <w:t>سبل الانتصاف</w:t>
      </w:r>
    </w:p>
    <w:p w14:paraId="1BDF0481" w14:textId="77777777" w:rsidR="00A1204B" w:rsidRPr="003817EA" w:rsidRDefault="00A1204B" w:rsidP="00A1204B">
      <w:pPr>
        <w:pStyle w:val="SingleTxtGA"/>
        <w:rPr>
          <w:rtl/>
        </w:rPr>
      </w:pPr>
      <w:r w:rsidRPr="003817EA">
        <w:rPr>
          <w:rtl/>
        </w:rPr>
        <w:t>62-</w:t>
      </w:r>
      <w:r w:rsidRPr="003817EA">
        <w:rPr>
          <w:rtl/>
        </w:rPr>
        <w:tab/>
        <w:t>ثمة سبل عديدة لرفع أية مسألة تتعلق بحقوق الإنسان أمام محكمة أو سلطة إدارية آيسلندية، ومن ذلك مثلاً رفع دعوى مدنية أو جنائية، مثل المطالبة بالتعويض، أو المطالبة بإعلان إلغاء وبطلان قرار إداري أو قضائي، أو فيما يتصل بمسألة إجرائية (محاكمة عادلة مثلاً) في دعاوى مدنية أو جنائية.</w:t>
      </w:r>
    </w:p>
    <w:p w14:paraId="55BC8AB9" w14:textId="77777777" w:rsidR="00A1204B" w:rsidRPr="003817EA" w:rsidRDefault="00A1204B" w:rsidP="00A1204B">
      <w:pPr>
        <w:pStyle w:val="SingleTxtGA"/>
        <w:rPr>
          <w:rtl/>
        </w:rPr>
      </w:pPr>
      <w:r w:rsidRPr="003817EA">
        <w:rPr>
          <w:rtl/>
        </w:rPr>
        <w:t>63-</w:t>
      </w:r>
      <w:r w:rsidRPr="003817EA">
        <w:rPr>
          <w:rtl/>
        </w:rPr>
        <w:tab/>
        <w:t>وتتناول عدة سلطات عامة وآليات للشكاوى قضايا محدَّدة تتعلق بحقوق الإنسان، مثل المساواة بين الجنسين وحقوق الأطفال. وعلى مستوى أعم، يحق للفرد أن يتقدم بشكوى إلى المفوض البرلماني المعني بالإدارة بدعوى تعرضه لظلم - بما يشمل انتهاكات حقوق الإنسان - من جانب أية سلطة عامة. ويجوز أن يَعتبر المفوض البرلماني المعني بالإدارة أنَّ القرار غير معقول بوضوح أو منافٍ للممارسة الإدارية السليمة. فإذا وَجد أسباباً كافية، جاز له أن يوصي بمنح تعويض. وليس رأي المفوض البرلماني المعني بالإدارة ملزِماً قانوناً، ولكنه يُتَّبع عادةً بوجه عام.</w:t>
      </w:r>
    </w:p>
    <w:p w14:paraId="3D22CE72" w14:textId="77777777" w:rsidR="00A1204B" w:rsidRPr="001F1035" w:rsidRDefault="00A1204B" w:rsidP="00A1204B">
      <w:pPr>
        <w:pStyle w:val="H23GA"/>
        <w:rPr>
          <w:rtl/>
        </w:rPr>
      </w:pPr>
      <w:r w:rsidRPr="001F1035">
        <w:rPr>
          <w:rtl/>
        </w:rPr>
        <w:tab/>
        <w:t>4-</w:t>
      </w:r>
      <w:r w:rsidRPr="001F1035">
        <w:rPr>
          <w:rtl/>
        </w:rPr>
        <w:tab/>
        <w:t>المحكمة الأوروبية لحقوق الإنسان وغيرها من آليات الشكاوى الإقليمية</w:t>
      </w:r>
    </w:p>
    <w:p w14:paraId="7B56D330" w14:textId="77777777" w:rsidR="00A1204B" w:rsidRPr="003817EA" w:rsidRDefault="00A1204B" w:rsidP="00A1204B">
      <w:pPr>
        <w:pStyle w:val="SingleTxtGA"/>
        <w:rPr>
          <w:rtl/>
        </w:rPr>
      </w:pPr>
      <w:r w:rsidRPr="003817EA">
        <w:rPr>
          <w:rtl/>
        </w:rPr>
        <w:t>64-</w:t>
      </w:r>
      <w:r w:rsidRPr="003817EA">
        <w:rPr>
          <w:rtl/>
        </w:rPr>
        <w:tab/>
        <w:t>قبلت آيسلندا، بوصفها طرفاً في الاتفاقية الأوروبية لحقوق الإنسان، الولاية القضائية للمحكمة الأوروبية لحقوق الإنسان.</w:t>
      </w:r>
    </w:p>
    <w:p w14:paraId="4CF0C83B" w14:textId="77777777" w:rsidR="00A1204B" w:rsidRPr="001F1035" w:rsidRDefault="00A1204B" w:rsidP="00A1204B">
      <w:pPr>
        <w:pStyle w:val="H1GA"/>
        <w:rPr>
          <w:rtl/>
        </w:rPr>
      </w:pPr>
      <w:r w:rsidRPr="001F1035">
        <w:rPr>
          <w:rtl/>
        </w:rPr>
        <w:tab/>
        <w:t>جيم-</w:t>
      </w:r>
      <w:r w:rsidRPr="001F1035">
        <w:rPr>
          <w:rtl/>
        </w:rPr>
        <w:tab/>
        <w:t>إطار تعزيز حقوق الإنسان على الصعيد الوطني</w:t>
      </w:r>
    </w:p>
    <w:p w14:paraId="4C3E5992" w14:textId="77777777" w:rsidR="00A1204B" w:rsidRPr="001F1035" w:rsidRDefault="00A1204B" w:rsidP="00A1204B">
      <w:pPr>
        <w:pStyle w:val="H23GA"/>
        <w:rPr>
          <w:rtl/>
        </w:rPr>
      </w:pPr>
      <w:r w:rsidRPr="001F1035">
        <w:rPr>
          <w:rtl/>
        </w:rPr>
        <w:tab/>
        <w:t>1-</w:t>
      </w:r>
      <w:r w:rsidRPr="001F1035">
        <w:rPr>
          <w:rtl/>
        </w:rPr>
        <w:tab/>
        <w:t>مقدمة</w:t>
      </w:r>
    </w:p>
    <w:p w14:paraId="0EFF2396" w14:textId="6F50B8BA" w:rsidR="00A1204B" w:rsidRPr="003817EA" w:rsidRDefault="00A1204B" w:rsidP="00A1204B">
      <w:pPr>
        <w:pStyle w:val="SingleTxtGA"/>
        <w:rPr>
          <w:rtl/>
        </w:rPr>
      </w:pPr>
      <w:r w:rsidRPr="003817EA">
        <w:rPr>
          <w:rtl/>
        </w:rPr>
        <w:t>65-</w:t>
      </w:r>
      <w:r w:rsidRPr="003817EA">
        <w:rPr>
          <w:rtl/>
        </w:rPr>
        <w:tab/>
        <w:t>يتمثل الهدف الرئيسي للحكم الدستوري في حماية الأفراد من إساءة استخدام السلطة من جانب السلطات العامة، وضمان المساواة في المعاملة والرعاية الا</w:t>
      </w:r>
      <w:r w:rsidR="003817EA">
        <w:rPr>
          <w:rFonts w:hint="cs"/>
          <w:rtl/>
        </w:rPr>
        <w:t>ج</w:t>
      </w:r>
      <w:r w:rsidRPr="003817EA">
        <w:rPr>
          <w:rtl/>
        </w:rPr>
        <w:t>تماعية والديمقراطية. وتتقيد كل من الحكومة والإدارة العامة على الصعيدين الوطني والمحلي بالتزامات آيسلندا المتعلقة بحقوق الإنسان عند ممارسة سلطتهما. وينطبق الأمر نفسه على البرلمان والسلطة القضائية. وقد ورد أعلاه بيان تنفيذ صكوك حقوق الإنسان في القانون الآيسلندي ومركزُ هذه الصكوك في النظام القانوني.</w:t>
      </w:r>
    </w:p>
    <w:p w14:paraId="6D04FA65" w14:textId="77777777" w:rsidR="00A1204B" w:rsidRPr="003817EA" w:rsidRDefault="00A1204B" w:rsidP="00A1204B">
      <w:pPr>
        <w:pStyle w:val="SingleTxtGA"/>
        <w:rPr>
          <w:rtl/>
        </w:rPr>
      </w:pPr>
      <w:r w:rsidRPr="003817EA">
        <w:rPr>
          <w:rtl/>
        </w:rPr>
        <w:t>66-</w:t>
      </w:r>
      <w:r w:rsidRPr="003817EA">
        <w:rPr>
          <w:rtl/>
        </w:rPr>
        <w:tab/>
        <w:t>والقضاء مستقل عن السلطة التنفيذية والتشريعية، ومن حقه وواجبه مراجعة دستورية القوانين التي يقرها البرلمان (انظر المادة 60 من الدستور الآيسلندي). ويجوز له أيضاً مراجعة القرارات الإدارية. ويجوز تقديم الشكاوى المتعلقة بالقرارات الإدارية إلى المفوض البرلماني المعني بالإدارة.</w:t>
      </w:r>
    </w:p>
    <w:p w14:paraId="7306EAC7" w14:textId="77777777" w:rsidR="00A1204B" w:rsidRPr="003817EA" w:rsidRDefault="00A1204B" w:rsidP="00A1204B">
      <w:pPr>
        <w:pStyle w:val="SingleTxtGA"/>
        <w:rPr>
          <w:rtl/>
        </w:rPr>
      </w:pPr>
      <w:r w:rsidRPr="003817EA">
        <w:rPr>
          <w:rtl/>
        </w:rPr>
        <w:lastRenderedPageBreak/>
        <w:t>67-</w:t>
      </w:r>
      <w:r w:rsidRPr="003817EA">
        <w:rPr>
          <w:rtl/>
        </w:rPr>
        <w:tab/>
        <w:t>وتوزَّع المسؤولية عن تنفيذ الالتزامات المتعلقة بحقوق الإنسان على الصعيد الوطني بين الوزارات، وهذه الوزارات مسؤولة كلها عن متابعة توصيات مختلف هيئات المعاهدات في مجالات اختصاصها. وحقوق الإنسان مدمَجة ومعمَّمة في صلب جميع قطاعات الحكومة والإدارة. وجميع الوزارات والهيئات الإدارية ملزَمة بمراعاة حقوق الإنسان لدى صوغ التشريعات، ووضع المبادئ التوجيهية للممارسة الإدارية، واعتماد القرارات.</w:t>
      </w:r>
    </w:p>
    <w:p w14:paraId="6B69B852" w14:textId="77777777" w:rsidR="00A1204B" w:rsidRPr="003817EA" w:rsidRDefault="00A1204B" w:rsidP="00A1204B">
      <w:pPr>
        <w:pStyle w:val="SingleTxtGA"/>
        <w:rPr>
          <w:rtl/>
        </w:rPr>
      </w:pPr>
      <w:r w:rsidRPr="003817EA">
        <w:rPr>
          <w:rtl/>
        </w:rPr>
        <w:t>68-</w:t>
      </w:r>
      <w:r w:rsidRPr="003817EA">
        <w:rPr>
          <w:rtl/>
        </w:rPr>
        <w:tab/>
        <w:t>ومع ذلك، تضطلع وزارة العدل بمسؤولية محدَّدة تتمثل في ضمان توافق القانون الآيسلندي والممارسة الإدارية في البلد مع التزامات آيسلندا في مجال حقوق الإنسان.</w:t>
      </w:r>
    </w:p>
    <w:p w14:paraId="51D10E82" w14:textId="77777777" w:rsidR="00A1204B" w:rsidRPr="001F1035" w:rsidRDefault="00A1204B" w:rsidP="00A1204B">
      <w:pPr>
        <w:pStyle w:val="H23GA"/>
        <w:rPr>
          <w:rtl/>
        </w:rPr>
      </w:pPr>
      <w:r w:rsidRPr="001F1035">
        <w:rPr>
          <w:rtl/>
        </w:rPr>
        <w:tab/>
        <w:t>2-</w:t>
      </w:r>
      <w:r w:rsidRPr="001F1035">
        <w:rPr>
          <w:rtl/>
        </w:rPr>
        <w:tab/>
        <w:t>المجالس النيابية والهيئات التداولية الوطنية والإقليمية</w:t>
      </w:r>
    </w:p>
    <w:p w14:paraId="5C2680A5" w14:textId="77777777" w:rsidR="00A1204B" w:rsidRPr="001F1035" w:rsidRDefault="00A1204B" w:rsidP="00A1204B">
      <w:pPr>
        <w:pStyle w:val="H23GA"/>
        <w:rPr>
          <w:rtl/>
        </w:rPr>
      </w:pPr>
      <w:r w:rsidRPr="001F1035">
        <w:rPr>
          <w:rtl/>
        </w:rPr>
        <w:tab/>
      </w:r>
      <w:r w:rsidRPr="001F1035">
        <w:rPr>
          <w:rtl/>
        </w:rPr>
        <w:tab/>
        <w:t>آلثينجي (البرلمان الآيسلندي)</w:t>
      </w:r>
    </w:p>
    <w:p w14:paraId="4C22179A" w14:textId="77777777" w:rsidR="00A1204B" w:rsidRPr="003817EA" w:rsidRDefault="00A1204B" w:rsidP="00A1204B">
      <w:pPr>
        <w:pStyle w:val="SingleTxtGA"/>
        <w:rPr>
          <w:rtl/>
        </w:rPr>
      </w:pPr>
      <w:r w:rsidRPr="003817EA">
        <w:rPr>
          <w:rtl/>
        </w:rPr>
        <w:t>69-</w:t>
      </w:r>
      <w:r w:rsidRPr="003817EA">
        <w:rPr>
          <w:rtl/>
        </w:rPr>
        <w:tab/>
        <w:t>الحكومة مسؤولة، بموجب النظام البرلماني الآيسلندي، أمام البرلمان، الذي يمارس رقابة مستمرة على أنشطة الحكومة، بما يشمل حماية حقوق الإنسان وتعزيزها.</w:t>
      </w:r>
    </w:p>
    <w:p w14:paraId="52F04ABB" w14:textId="77777777" w:rsidR="00A1204B" w:rsidRPr="003817EA" w:rsidRDefault="00A1204B" w:rsidP="00A1204B">
      <w:pPr>
        <w:pStyle w:val="SingleTxtGA"/>
        <w:rPr>
          <w:rtl/>
        </w:rPr>
      </w:pPr>
      <w:r w:rsidRPr="003817EA">
        <w:rPr>
          <w:rtl/>
        </w:rPr>
        <w:t>70-</w:t>
      </w:r>
      <w:r w:rsidRPr="003817EA">
        <w:rPr>
          <w:rtl/>
        </w:rPr>
        <w:tab/>
        <w:t>وفي البرلمان، على غرار جميع الهياكل الحكومية، تقوم كل لجنة، والبرلمان بكامل هيئته، بتعميم حقوق الإنسان ومراعاتها لدى إقرار التشريعات واعتماد القرارات. وليس لدى البرلمان لجنة منفصلة تعنى بقضايا حقوق الإنسان حصراً. غير أنَّ لجنة الشؤون القضائية والتعليم تناقش حقوق الإنسان في إطار اجتماعاتها العادية.</w:t>
      </w:r>
    </w:p>
    <w:p w14:paraId="676FD554" w14:textId="77777777" w:rsidR="00A1204B" w:rsidRPr="001F1035" w:rsidRDefault="00A1204B" w:rsidP="00A1204B">
      <w:pPr>
        <w:pStyle w:val="H23GA"/>
        <w:rPr>
          <w:rtl/>
        </w:rPr>
      </w:pPr>
      <w:r w:rsidRPr="001F1035">
        <w:rPr>
          <w:rtl/>
        </w:rPr>
        <w:tab/>
      </w:r>
      <w:r w:rsidRPr="001F1035">
        <w:rPr>
          <w:rtl/>
        </w:rPr>
        <w:tab/>
        <w:t>سلطات المقاطعات والبلديات</w:t>
      </w:r>
    </w:p>
    <w:p w14:paraId="4857D8D9" w14:textId="77777777" w:rsidR="00A1204B" w:rsidRPr="003817EA" w:rsidRDefault="00A1204B" w:rsidP="00A1204B">
      <w:pPr>
        <w:pStyle w:val="SingleTxtGA"/>
        <w:rPr>
          <w:rtl/>
        </w:rPr>
      </w:pPr>
      <w:r w:rsidRPr="003817EA">
        <w:rPr>
          <w:rtl/>
        </w:rPr>
        <w:t>71-</w:t>
      </w:r>
      <w:r w:rsidRPr="003817EA">
        <w:rPr>
          <w:rtl/>
        </w:rPr>
        <w:tab/>
        <w:t>لدى آيسلندا مستويان إداريان من الحكم: الدولة والسلطات المحلية. والسلطات المحلية هي أحد مصدري السلطة التنفيذية الحكومية في آيسلندا. والوضع الخاص لهذه السلطات مستمد من سلطتها القانونية في الإدارة الذاتية لشؤونها وفقاً للقانون. وهذا الحق خاضع للحماية بموجب المادة 78 من الدستور. ومن ثم فإنَّ السلطات المحلية ملزمة بالتقيد بالإطار القانوني الذي سنَّه البرلمان.</w:t>
      </w:r>
    </w:p>
    <w:p w14:paraId="6D26D4CC" w14:textId="77777777" w:rsidR="00A1204B" w:rsidRPr="003817EA" w:rsidRDefault="00A1204B" w:rsidP="00A1204B">
      <w:pPr>
        <w:pStyle w:val="SingleTxtGA"/>
        <w:rPr>
          <w:rtl/>
        </w:rPr>
      </w:pPr>
      <w:r w:rsidRPr="003817EA">
        <w:rPr>
          <w:rtl/>
        </w:rPr>
        <w:t>72-</w:t>
      </w:r>
      <w:r w:rsidRPr="003817EA">
        <w:rPr>
          <w:rtl/>
        </w:rPr>
        <w:tab/>
        <w:t>ومن أجل ضمان حقوق المواطنين وشرعية القرارات المعتمدة، تخضع سلطات البلديات لإشراف الدولة ورقابتها. ووفقاً للمادة 102 من قانون الحكم المحلي، تراقب وزارة الشؤون الاجتماعية أداء المجالس البلدية لواجباتها. وتتولى الوزارة البت في مختلف المسائل الخلافية التي قد تنشأ في تنفيذ الأمور المتعلقة بالحكم المحلي.</w:t>
      </w:r>
    </w:p>
    <w:p w14:paraId="05BE7965" w14:textId="77777777" w:rsidR="00A1204B" w:rsidRPr="003817EA" w:rsidRDefault="00A1204B" w:rsidP="00A1204B">
      <w:pPr>
        <w:pStyle w:val="SingleTxtGA"/>
        <w:rPr>
          <w:rtl/>
        </w:rPr>
      </w:pPr>
      <w:r w:rsidRPr="003817EA">
        <w:rPr>
          <w:rtl/>
        </w:rPr>
        <w:t>73-</w:t>
      </w:r>
      <w:r w:rsidRPr="003817EA">
        <w:rPr>
          <w:rtl/>
        </w:rPr>
        <w:tab/>
        <w:t>وتؤدِّي البلديات دوراً هامّاً في تفعيل الديمقراطية الإقليمية. وهي جزء من الحكومة الأقرب إلى عامة الناس. وبالإضافة إلى الوظيفة الإدارية للسلطات المحلية، فهي تكفل تفعيل العديد من الخدمات الأساسية، مثل التعليم والخدمات الاجتماعية، وتتحمل مسؤوليتها.</w:t>
      </w:r>
    </w:p>
    <w:p w14:paraId="7743BEBA" w14:textId="77777777" w:rsidR="00A1204B" w:rsidRPr="003817EA" w:rsidRDefault="00A1204B" w:rsidP="00A1204B">
      <w:pPr>
        <w:pStyle w:val="SingleTxtGA"/>
        <w:rPr>
          <w:rtl/>
        </w:rPr>
      </w:pPr>
      <w:r w:rsidRPr="003817EA">
        <w:rPr>
          <w:rtl/>
        </w:rPr>
        <w:t>74-</w:t>
      </w:r>
      <w:r w:rsidRPr="003817EA">
        <w:rPr>
          <w:rtl/>
        </w:rPr>
        <w:tab/>
        <w:t>وفي ريكيافيك، أنشئ مكتب خاص لحقوق الإنسان في عام 2007 يضطلع بدور تنفيذ قرارات مجلس حقوق الإنسان. كما يعمل المكتب على توعية المواطنين بسياسة المدينة في مجال حقوق الإنسان وحماية حقوق جميع المواطنين.</w:t>
      </w:r>
    </w:p>
    <w:p w14:paraId="7CF8D7C2" w14:textId="77777777" w:rsidR="00A1204B" w:rsidRPr="003817EA" w:rsidRDefault="00A1204B" w:rsidP="00A1204B">
      <w:pPr>
        <w:pStyle w:val="SingleTxtGA"/>
        <w:rPr>
          <w:rtl/>
        </w:rPr>
      </w:pPr>
      <w:r w:rsidRPr="003817EA">
        <w:rPr>
          <w:rtl/>
        </w:rPr>
        <w:t>75-</w:t>
      </w:r>
      <w:r w:rsidRPr="003817EA">
        <w:rPr>
          <w:rtl/>
        </w:rPr>
        <w:tab/>
        <w:t>ويوجد في ريكيافيك أيضاً أمين مظالم للمواطنين، يوجِّه الشركات والمواطنين في التواصل مع المدينة فيما يتعلق بحقوقهم ويقدِّم المشورة بشأن سبل الاستئناف الخاصة بالشكاوى المقدَّمة إليه.</w:t>
      </w:r>
    </w:p>
    <w:p w14:paraId="717A26C8" w14:textId="77777777" w:rsidR="00A1204B" w:rsidRPr="001F1035" w:rsidRDefault="00A1204B" w:rsidP="00A1204B">
      <w:pPr>
        <w:pStyle w:val="H23GA"/>
        <w:rPr>
          <w:rtl/>
        </w:rPr>
      </w:pPr>
      <w:r w:rsidRPr="001F1035">
        <w:rPr>
          <w:rtl/>
        </w:rPr>
        <w:lastRenderedPageBreak/>
        <w:tab/>
        <w:t>3-</w:t>
      </w:r>
      <w:r w:rsidRPr="001F1035">
        <w:rPr>
          <w:rtl/>
        </w:rPr>
        <w:tab/>
        <w:t>المؤسسات الوطنية لحقوق الإنسان</w:t>
      </w:r>
    </w:p>
    <w:p w14:paraId="762EC9DA" w14:textId="77777777" w:rsidR="00A1204B" w:rsidRPr="003817EA" w:rsidRDefault="00A1204B" w:rsidP="00A1204B">
      <w:pPr>
        <w:pStyle w:val="SingleTxtGA"/>
        <w:rPr>
          <w:rtl/>
        </w:rPr>
      </w:pPr>
      <w:r w:rsidRPr="003817EA">
        <w:rPr>
          <w:rtl/>
        </w:rPr>
        <w:t>76-</w:t>
      </w:r>
      <w:r w:rsidRPr="003817EA">
        <w:rPr>
          <w:rtl/>
        </w:rPr>
        <w:tab/>
        <w:t>حتى عام 2020، لم تكن هناك مؤسسة وطنية مستقلة لحقوق الإنسان في آيسلندا تستوفي مبادئ باريس بشأن مؤسسات حقوق الإنسان. وقد عمل المركز الآيسلندي لحقوق الإنسان جزئيّاً بصفته مؤسسة وطنية مستقلة لحقوق الإنسان. غير أنه لا يفي بمبادئ باريس، لأنَّ تلك المبادئ تتطلب إنشاء مؤسسة مستقلة بموجب القانون. ويتلقى المكتب تمويلاً عموميّاً لأداء مهامه، مثل رصد تنفيذ اتفاقيات حقوق الإنسان، وتقديم تقارير إضافية إلى هيئات الرصد الدولية، والتعليق على مشاريع القوانين، ونشر مواد مطبوعة عن حقوق الإنسان، والتعاون الدولي، والرد على الاستفسارات المتعلقة بقضايا حقوق الإنسان، ودعم إعمال حقوق الإنسان في آيسلندا.</w:t>
      </w:r>
    </w:p>
    <w:p w14:paraId="7C02B27E" w14:textId="77777777" w:rsidR="00A1204B" w:rsidRPr="001F1035" w:rsidRDefault="00A1204B" w:rsidP="00A1204B">
      <w:pPr>
        <w:pStyle w:val="H23GA"/>
        <w:rPr>
          <w:rtl/>
        </w:rPr>
      </w:pPr>
      <w:r w:rsidRPr="001F1035">
        <w:rPr>
          <w:rtl/>
        </w:rPr>
        <w:tab/>
      </w:r>
      <w:r w:rsidRPr="001F1035">
        <w:rPr>
          <w:rtl/>
        </w:rPr>
        <w:tab/>
        <w:t>المفوض البرلماني المعني بالإدارة</w:t>
      </w:r>
    </w:p>
    <w:p w14:paraId="0E86872F" w14:textId="77777777" w:rsidR="00A1204B" w:rsidRPr="003817EA" w:rsidRDefault="00A1204B" w:rsidP="00A1204B">
      <w:pPr>
        <w:pStyle w:val="SingleTxtGA"/>
        <w:rPr>
          <w:rtl/>
        </w:rPr>
      </w:pPr>
      <w:r w:rsidRPr="003817EA">
        <w:rPr>
          <w:rtl/>
        </w:rPr>
        <w:t>77-</w:t>
      </w:r>
      <w:r w:rsidRPr="003817EA">
        <w:rPr>
          <w:rtl/>
        </w:rPr>
        <w:tab/>
        <w:t>ينتخب البرلمان المفوض البرلماني المعني بالإدارة لفترة من أربع سنوات. ويجب أن يستوفي المفوض البرلماني الشروط المنصوص عليها في القانون لتعيينه في المحكمة العليا. وهو مستقل في عمله ولا يتلقى أوامر من البرلمان.</w:t>
      </w:r>
    </w:p>
    <w:p w14:paraId="59FCCFD8" w14:textId="77777777" w:rsidR="00A1204B" w:rsidRPr="003817EA" w:rsidRDefault="00A1204B" w:rsidP="00A1204B">
      <w:pPr>
        <w:pStyle w:val="SingleTxtGA"/>
        <w:rPr>
          <w:rtl/>
        </w:rPr>
      </w:pPr>
      <w:r w:rsidRPr="003817EA">
        <w:rPr>
          <w:rtl/>
        </w:rPr>
        <w:t>78-</w:t>
      </w:r>
      <w:r w:rsidRPr="003817EA">
        <w:rPr>
          <w:rtl/>
        </w:rPr>
        <w:tab/>
        <w:t>ويتمثل دور المفوض البرلماني في رصد إدارة الدولة والسلطات المحلية وحماية حقوق المواطنين تجاه السلطات. ويعمل المفوض البرلماني على ضمان احترام مبدأ المساواة وتقيُّد الإدارة في جوانب أخرى بأحكام القانون وقواعد الممارسات الإدارية الجيدة. ويعالج المفوض البرلماني أيضاً الشكاوى المقدَّمة من المواطنين بشأن الظلم الذي يتعرضون له من جانب الإدارة العامة سواء على مستوى الحكومة أو البلديات.</w:t>
      </w:r>
    </w:p>
    <w:p w14:paraId="52BE6D08" w14:textId="77777777" w:rsidR="00A1204B" w:rsidRPr="003817EA" w:rsidRDefault="00A1204B" w:rsidP="00A1204B">
      <w:pPr>
        <w:pStyle w:val="SingleTxtGA"/>
        <w:rPr>
          <w:rtl/>
        </w:rPr>
      </w:pPr>
      <w:r w:rsidRPr="003817EA">
        <w:rPr>
          <w:rtl/>
        </w:rPr>
        <w:t>79-</w:t>
      </w:r>
      <w:r w:rsidRPr="003817EA">
        <w:rPr>
          <w:rtl/>
        </w:rPr>
        <w:tab/>
        <w:t>وقد حدَّد القانون رقم 85/1997 مهام المفوض البرلماني. ويعيِّن البرلمان المفوض البرلماني الذي يكون خاضعاً له إدارياً، ولكنه يتصرف بصفته هيئة مستقلة لدى ممارسة وظائفه.</w:t>
      </w:r>
    </w:p>
    <w:p w14:paraId="6E69A465" w14:textId="77777777" w:rsidR="00A1204B" w:rsidRPr="003817EA" w:rsidRDefault="00A1204B" w:rsidP="00A1204B">
      <w:pPr>
        <w:pStyle w:val="SingleTxtGA"/>
        <w:rPr>
          <w:rtl/>
        </w:rPr>
      </w:pPr>
      <w:r w:rsidRPr="003817EA">
        <w:rPr>
          <w:rtl/>
        </w:rPr>
        <w:t>80-</w:t>
      </w:r>
      <w:r w:rsidRPr="003817EA">
        <w:rPr>
          <w:rtl/>
        </w:rPr>
        <w:tab/>
        <w:t>والاستنتاجات التي يخلص إليها المفوض البرلماني في القضايا التي تُعرض عليه غير ملزِمة قانوناً للسلطات، ومع ذلك فهي تُتَّبع عادةً. وفي حالة عدم اكتراث سلطة عامة ما بأحد استنتاجات المفوض البرلماني، يجوز له أن يوصي بتمكين الطرف المعني من المساعدة القانونية لرفع دعوى قضائية ضد السلطة المعنية. ويقدِّم المفوض البرلماني تقارير سنوية عن عمله إلى البرلمان، يفصِّل فيها جملة أمور تشمل خلاصات القضايا المعروضة عليه وما ينبغي أن تتَّخذه السلطات من إجراءات لاحقاً.</w:t>
      </w:r>
    </w:p>
    <w:p w14:paraId="65D4A462" w14:textId="77777777" w:rsidR="00A1204B" w:rsidRPr="001F1035" w:rsidRDefault="00A1204B" w:rsidP="00A1204B">
      <w:pPr>
        <w:pStyle w:val="H23GA"/>
        <w:rPr>
          <w:rtl/>
        </w:rPr>
      </w:pPr>
      <w:r w:rsidRPr="001F1035">
        <w:rPr>
          <w:rtl/>
        </w:rPr>
        <w:tab/>
      </w:r>
      <w:r w:rsidRPr="001F1035">
        <w:rPr>
          <w:rtl/>
        </w:rPr>
        <w:tab/>
        <w:t>أمين المظالم المعني بالأطفال</w:t>
      </w:r>
    </w:p>
    <w:p w14:paraId="29B340CF" w14:textId="77777777" w:rsidR="00A1204B" w:rsidRPr="003817EA" w:rsidRDefault="00A1204B" w:rsidP="00A1204B">
      <w:pPr>
        <w:pStyle w:val="SingleTxtGA"/>
        <w:rPr>
          <w:rtl/>
        </w:rPr>
      </w:pPr>
      <w:r w:rsidRPr="003817EA">
        <w:rPr>
          <w:rtl/>
        </w:rPr>
        <w:t>81-</w:t>
      </w:r>
      <w:r w:rsidRPr="003817EA">
        <w:rPr>
          <w:rtl/>
        </w:rPr>
        <w:tab/>
        <w:t>أنشئ مكتب أمين المظالم المعني بالأطفال في عام 1994. ويعيَّن أمين المظالم المعني بالأطفال من قِبَل رئيس الوزراء لمدة خمس سنوات. وهو مستقل في عمله ولا يتلقى تعليمات من السلطات. وعلاوة على ذلك، يجوز له إثارة مسائل ونقدُ السياسة الحكومية بحرّية.</w:t>
      </w:r>
    </w:p>
    <w:p w14:paraId="5CCA0CAE" w14:textId="77777777" w:rsidR="00A1204B" w:rsidRPr="003817EA" w:rsidRDefault="00A1204B" w:rsidP="00A1204B">
      <w:pPr>
        <w:pStyle w:val="SingleTxtGA"/>
        <w:rPr>
          <w:rtl/>
        </w:rPr>
      </w:pPr>
      <w:r w:rsidRPr="003817EA">
        <w:rPr>
          <w:rtl/>
        </w:rPr>
        <w:t>82-</w:t>
      </w:r>
      <w:r w:rsidRPr="003817EA">
        <w:rPr>
          <w:rtl/>
        </w:rPr>
        <w:tab/>
        <w:t>ويتمثل دور أمين المظالم المعني بالأطفال في تعزيز رفاه الأطفال ورعاية مصالحهم وحقوقهم واحتياجاتهم إزاء الجهات العمومية والخاصة في جميع مناحي الحياة. ويُتوقع من أمين المظالم المعني بالأطفال أن يوفِّر الحماية لجميع الأطفال حتى سن الثامنة عشرة.</w:t>
      </w:r>
    </w:p>
    <w:p w14:paraId="4E5553FD" w14:textId="77777777" w:rsidR="00A1204B" w:rsidRPr="008214D9" w:rsidRDefault="00A1204B" w:rsidP="00A1204B">
      <w:pPr>
        <w:pStyle w:val="SingleTxtGA"/>
        <w:rPr>
          <w:spacing w:val="-2"/>
          <w:rtl/>
        </w:rPr>
      </w:pPr>
      <w:r w:rsidRPr="003817EA">
        <w:rPr>
          <w:rtl/>
        </w:rPr>
        <w:t>83-</w:t>
      </w:r>
      <w:r w:rsidRPr="003817EA">
        <w:rPr>
          <w:rtl/>
        </w:rPr>
        <w:tab/>
      </w:r>
      <w:r w:rsidRPr="008214D9">
        <w:rPr>
          <w:spacing w:val="-2"/>
          <w:rtl/>
        </w:rPr>
        <w:t>ويجوز عرض جميع المسائل المتعلقة بالأطفال على أمين المظالم المعني بالأطفال، باستثناء المنازعات التي تنشأ بين الأفراد. فإذا خلص أمين المظالم إلى أنَّ هناك ما يدعو إلى إجراء مزيد من التحقيق في مسألة ما، سعى إلى الحصول على معلومات من الأطراف المعنية. ويمكن لأمين المظالم أن يطلب من السلطات جميع المعلومات التي يرى أنها لازمة، مثل التقارير والوثائق والسجلات وغيرها من المواد.</w:t>
      </w:r>
    </w:p>
    <w:p w14:paraId="3A83F683" w14:textId="77777777" w:rsidR="00A1204B" w:rsidRPr="001F1035" w:rsidRDefault="00A1204B" w:rsidP="00A1204B">
      <w:pPr>
        <w:pStyle w:val="H23GA"/>
        <w:rPr>
          <w:rtl/>
        </w:rPr>
      </w:pPr>
      <w:r w:rsidRPr="001F1035">
        <w:rPr>
          <w:rtl/>
        </w:rPr>
        <w:lastRenderedPageBreak/>
        <w:tab/>
      </w:r>
      <w:r w:rsidRPr="001F1035">
        <w:rPr>
          <w:rtl/>
        </w:rPr>
        <w:tab/>
        <w:t>أمين المظالم المعني بالمدينة</w:t>
      </w:r>
    </w:p>
    <w:p w14:paraId="7394E51D" w14:textId="77777777" w:rsidR="00A1204B" w:rsidRPr="008214D9" w:rsidRDefault="00A1204B" w:rsidP="00A1204B">
      <w:pPr>
        <w:pStyle w:val="SingleTxtGA"/>
        <w:rPr>
          <w:spacing w:val="-4"/>
          <w:rtl/>
        </w:rPr>
      </w:pPr>
      <w:r w:rsidRPr="003817EA">
        <w:rPr>
          <w:rtl/>
        </w:rPr>
        <w:t>84-</w:t>
      </w:r>
      <w:r w:rsidRPr="003817EA">
        <w:rPr>
          <w:rtl/>
        </w:rPr>
        <w:tab/>
      </w:r>
      <w:r w:rsidRPr="008214D9">
        <w:rPr>
          <w:spacing w:val="-4"/>
          <w:rtl/>
        </w:rPr>
        <w:t>يوجد في ريكيافيك أمين مظالم خاص لسكان المدينة، يساعد في الحالات التي تنطوي على انتهاكات ترتكبها البلدية. ويتمثل دوره في حماية حقوق سكان ريكيافيك ويعالج عدة قضايا تتعلق بحقوق الإنسان.</w:t>
      </w:r>
    </w:p>
    <w:p w14:paraId="32268E76" w14:textId="77777777" w:rsidR="00A1204B" w:rsidRPr="001F1035" w:rsidRDefault="00A1204B" w:rsidP="00A1204B">
      <w:pPr>
        <w:pStyle w:val="H23GA"/>
        <w:rPr>
          <w:rtl/>
        </w:rPr>
      </w:pPr>
      <w:r w:rsidRPr="001F1035">
        <w:rPr>
          <w:rtl/>
        </w:rPr>
        <w:tab/>
        <w:t>4-</w:t>
      </w:r>
      <w:r w:rsidRPr="001F1035">
        <w:rPr>
          <w:rtl/>
        </w:rPr>
        <w:tab/>
        <w:t>نشر صكوك حقوق الإنسان</w:t>
      </w:r>
    </w:p>
    <w:p w14:paraId="0C340156" w14:textId="77777777" w:rsidR="00A1204B" w:rsidRPr="003817EA" w:rsidRDefault="00A1204B" w:rsidP="00A1204B">
      <w:pPr>
        <w:pStyle w:val="SingleTxtGA"/>
        <w:rPr>
          <w:rtl/>
        </w:rPr>
      </w:pPr>
      <w:r w:rsidRPr="003817EA">
        <w:rPr>
          <w:rtl/>
        </w:rPr>
        <w:t>85-</w:t>
      </w:r>
      <w:r w:rsidRPr="003817EA">
        <w:rPr>
          <w:rtl/>
        </w:rPr>
        <w:tab/>
        <w:t>تُرجمت جميع المعاهدات الدولية الرئيسية المتعلقة بحقوق الإنسان التي صدَّقت عليها آيسلندا إلى اللغة الآيسلندية. وجميع الاتفاقيات الدولية التي أُدمجت في القانون الآيسلندي متاحة على الموقع الإلكتروني للبرلمان والموقع الإلكتروني للحكومة باللغتين الإنكليزية والآيسلندية. كما أنَّ معظم الاتفاقات الدولية الأخرى متاحة باللغة الآيسلندية عبر هذين الموقعين. ويمكن الحصول على نسخ مطبوعة من هاتين المؤسستين عند الطلب.</w:t>
      </w:r>
    </w:p>
    <w:p w14:paraId="42240A1F" w14:textId="77777777" w:rsidR="00A1204B" w:rsidRPr="003817EA" w:rsidRDefault="00A1204B" w:rsidP="00A1204B">
      <w:pPr>
        <w:pStyle w:val="SingleTxtGA"/>
        <w:rPr>
          <w:rtl/>
        </w:rPr>
      </w:pPr>
      <w:r w:rsidRPr="003817EA">
        <w:rPr>
          <w:rtl/>
        </w:rPr>
        <w:t>86-</w:t>
      </w:r>
      <w:r w:rsidRPr="003817EA">
        <w:rPr>
          <w:rtl/>
        </w:rPr>
        <w:tab/>
        <w:t>ونُشرت أيضاً بعض الصكوك الرئيسية لحقوق الإنسان في كراسات ووُزعت على نطاق واسع. فعلى سبيل المثال، خُصِّص لاتفاقية حقوق الطفل موقع إلكتروني يعرِض طائفة واسعة من المواد التعليمية، فضلاً عن نسخة موجزة من الاتفاقية. وقد تولى إنشاءَ هذا الموقع أمينُ المظالم المعني بالأطفال بالتعاون مع مكتب اليونيسيف في آيسلندا ومكتب منظمة إنقاذ الطفولة في آيسلندا. وجميع الترجمات الآيسلندية للاتفاقية الأوروبية لحقوق الإنسان، والميثاق الاجتماعي الأوروبي، واتفاقية القضاء على جميع أشكال التمييز ضد المرأة، واتفاقية القضاء على جميع أشكال التمييز العنصري، متاحة باللغة الآيسلندية من خلال الموقع الإلكتروني للبرلمان.</w:t>
      </w:r>
    </w:p>
    <w:p w14:paraId="7BA524D8" w14:textId="77777777" w:rsidR="00A1204B" w:rsidRPr="003817EA" w:rsidRDefault="00A1204B" w:rsidP="00A1204B">
      <w:pPr>
        <w:pStyle w:val="SingleTxtGA"/>
        <w:rPr>
          <w:rtl/>
        </w:rPr>
      </w:pPr>
      <w:r w:rsidRPr="003817EA">
        <w:rPr>
          <w:rtl/>
        </w:rPr>
        <w:t>87-</w:t>
      </w:r>
      <w:r w:rsidRPr="003817EA">
        <w:rPr>
          <w:rtl/>
        </w:rPr>
        <w:tab/>
        <w:t>وتُنشر الأحكام التي تصدرها المحكمة الأوروبية لحقوق الإنسان، الخاصة بالقضايا التي تكون آيسلندا طرفاً فيها، على الموقع الشبكي للحكومة باللغة الآيسلندية. والأحكام متاحة أيضاً عبر الموقع الإلكتروني لمركز حقوق الإنسان.</w:t>
      </w:r>
    </w:p>
    <w:p w14:paraId="09836DA8" w14:textId="77777777" w:rsidR="00A1204B" w:rsidRPr="001F1035" w:rsidRDefault="00A1204B" w:rsidP="00A1204B">
      <w:pPr>
        <w:pStyle w:val="H23GA"/>
        <w:rPr>
          <w:rtl/>
        </w:rPr>
      </w:pPr>
      <w:r w:rsidRPr="001F1035">
        <w:rPr>
          <w:rtl/>
        </w:rPr>
        <w:tab/>
        <w:t>5-</w:t>
      </w:r>
      <w:r w:rsidRPr="001F1035">
        <w:rPr>
          <w:rtl/>
        </w:rPr>
        <w:tab/>
        <w:t>إذكاء الوعي بحقوق الإنسان في صفوف الموظفين العموميين وغيرهم من المهنيين</w:t>
      </w:r>
    </w:p>
    <w:p w14:paraId="12126AD3" w14:textId="06CBB5E7" w:rsidR="00A1204B" w:rsidRPr="003817EA" w:rsidRDefault="00A1204B" w:rsidP="00A1204B">
      <w:pPr>
        <w:pStyle w:val="SingleTxtGA"/>
        <w:rPr>
          <w:rtl/>
        </w:rPr>
      </w:pPr>
      <w:r w:rsidRPr="003817EA">
        <w:rPr>
          <w:rtl/>
        </w:rPr>
        <w:t>88-</w:t>
      </w:r>
      <w:r w:rsidRPr="003817EA">
        <w:rPr>
          <w:rtl/>
        </w:rPr>
        <w:tab/>
        <w:t>في عام 2016، وافقت الحكومة على تنفيذ برنامجَيْ مكتب المؤسسات الديمقراطية وحقوق الإنسان للتدريب على مكافحة جرائم الكراهية لأغراض إنفاذ القانون وتدريب المدَّعين العامين في مجال جرائم الكراهية. وتلقّى ضباط الشرطة والمدَّعون العامين تدريباً في إطار هذين البرنامجين.</w:t>
      </w:r>
    </w:p>
    <w:p w14:paraId="6798DB3F" w14:textId="77777777" w:rsidR="00A1204B" w:rsidRPr="003817EA" w:rsidRDefault="00A1204B" w:rsidP="00A1204B">
      <w:pPr>
        <w:pStyle w:val="SingleTxtGA"/>
        <w:rPr>
          <w:rtl/>
        </w:rPr>
      </w:pPr>
      <w:r w:rsidRPr="003817EA">
        <w:rPr>
          <w:rtl/>
        </w:rPr>
        <w:t>89-</w:t>
      </w:r>
      <w:r w:rsidRPr="003817EA">
        <w:rPr>
          <w:rtl/>
        </w:rPr>
        <w:tab/>
        <w:t>وتنص المادة 12 من قانون التعليم الإلزامي على أن تضع كل مدرسة خطة بشأن كيفية تنظيم التعلم مدى الحياة لموظفيها من أجل تحقيق أفضل مواءمة مع الأولويات التي حدَّدتها المدرسة والبلدية والدليل الوطني للمناهج الدراسية. وتشمل الخطة التدريب في مجال الديمقراطية وحقوق الإنسان والمساواة.</w:t>
      </w:r>
    </w:p>
    <w:p w14:paraId="6E1FDB5F" w14:textId="77777777" w:rsidR="00A1204B" w:rsidRPr="001F1035" w:rsidRDefault="00A1204B" w:rsidP="00A1204B">
      <w:pPr>
        <w:pStyle w:val="H23GA"/>
        <w:rPr>
          <w:rtl/>
        </w:rPr>
      </w:pPr>
      <w:r w:rsidRPr="001F1035">
        <w:rPr>
          <w:rtl/>
        </w:rPr>
        <w:tab/>
        <w:t>6-</w:t>
      </w:r>
      <w:r w:rsidRPr="001F1035">
        <w:rPr>
          <w:rtl/>
        </w:rPr>
        <w:tab/>
        <w:t>تعزيز الوعي بحقوق الإنسان من خلال البرامج التعليمية والمعلومات العامة التي توفرها الحكومة</w:t>
      </w:r>
    </w:p>
    <w:p w14:paraId="572FC365" w14:textId="77777777" w:rsidR="00A1204B" w:rsidRPr="003817EA" w:rsidRDefault="00A1204B" w:rsidP="00A1204B">
      <w:pPr>
        <w:pStyle w:val="SingleTxtGA"/>
        <w:rPr>
          <w:rtl/>
        </w:rPr>
      </w:pPr>
      <w:r w:rsidRPr="003817EA">
        <w:rPr>
          <w:rtl/>
        </w:rPr>
        <w:t>90-</w:t>
      </w:r>
      <w:r w:rsidRPr="003817EA">
        <w:rPr>
          <w:rtl/>
        </w:rPr>
        <w:tab/>
        <w:t>تعميم مراعاة حقوق الإنسان في جميع جوانب المجتمع الآيسلندي التزام ثابت من جانب آيسلندا. ويشكِّل التثقيف في مجال حقوق الإنسان في آيسلندا جزءاً متكاملاً وشاملاً لعدة مناهج دراسية في الثقافة المدرسية وأساليب عمل المدارس، وفقاً للدليل الوطني للمناهج الدراسية. ويستند الدليل إلى ست ركائز أساسية هي: الإلمام بالقراءة والكتابة، والاستدامة، والصحة والرفاه، والديمقراطية وحقوق الإنسان، والمساواة والإبداع. وكل ركيزة من هذه الركائز الأساسية مستمدة من القوانين المتعلقة بالتعليم قبل المدرسي والتعليم الإلزامي والتعليم الثانوي العالي. وتأخذ هذه السياسة في الاعتبار الاتفاقيات الدولية التي انضمت إليها آيسلندا، مثل اتفاقية حقوق الطفل، وسياسة المؤسسات الدولية التي تضم في عضويتها جمهورية آيسلندا.</w:t>
      </w:r>
    </w:p>
    <w:p w14:paraId="5E67EB82" w14:textId="77777777" w:rsidR="00A1204B" w:rsidRPr="001F1035" w:rsidRDefault="00A1204B" w:rsidP="00A1204B">
      <w:pPr>
        <w:pStyle w:val="H23GA"/>
        <w:rPr>
          <w:rtl/>
        </w:rPr>
      </w:pPr>
      <w:r w:rsidRPr="001F1035">
        <w:rPr>
          <w:rtl/>
        </w:rPr>
        <w:lastRenderedPageBreak/>
        <w:tab/>
      </w:r>
      <w:r w:rsidRPr="001F1035">
        <w:rPr>
          <w:rtl/>
        </w:rPr>
        <w:tab/>
        <w:t>نظام ما قبل التعليم المدرسي</w:t>
      </w:r>
    </w:p>
    <w:p w14:paraId="53C2B0B1" w14:textId="77777777" w:rsidR="00A1204B" w:rsidRPr="003817EA" w:rsidRDefault="00A1204B" w:rsidP="00A1204B">
      <w:pPr>
        <w:pStyle w:val="SingleTxtGA"/>
        <w:rPr>
          <w:rtl/>
        </w:rPr>
      </w:pPr>
      <w:r w:rsidRPr="003817EA">
        <w:rPr>
          <w:rtl/>
        </w:rPr>
        <w:t>91-</w:t>
      </w:r>
      <w:r w:rsidRPr="003817EA">
        <w:rPr>
          <w:rtl/>
        </w:rPr>
        <w:tab/>
        <w:t>تنص المادة 2 من قانون ما قبل التعليم المدرسي على أنَّ مصالح الأطفال ورفاههم هما المهمة الرئيسية لجميع أنشطة ما قبل التعليم المدرسي. وتتميز الممارسة والأساليب المتَّبعة في مرحلة ما قبل التعليم المدرسي بقيم التسامح والمودة، والمساواة، والتعاون الديمقراطي، والمسؤولية، والصفح، واحترام القيم الإنسانية، والتراث المسيحي للثقافة الآيسلندية.</w:t>
      </w:r>
    </w:p>
    <w:p w14:paraId="6F0167AA" w14:textId="77777777" w:rsidR="00A1204B" w:rsidRPr="003817EA" w:rsidRDefault="00A1204B" w:rsidP="00A1204B">
      <w:pPr>
        <w:pStyle w:val="SingleTxtGA"/>
        <w:rPr>
          <w:rtl/>
        </w:rPr>
      </w:pPr>
      <w:r w:rsidRPr="003817EA">
        <w:rPr>
          <w:rtl/>
        </w:rPr>
        <w:t>92-</w:t>
      </w:r>
      <w:r w:rsidRPr="003817EA">
        <w:rPr>
          <w:rtl/>
        </w:rPr>
        <w:tab/>
        <w:t>وسطَّر الدليل الوطني لمناهج رياض الأطفال، الذي وضعته وزارة التعليم والعلوم والثقافة الآيسلندية، أهدافاً مماثلة. ووفقاً للمنهج الدراسي، ينبغي لرياض الأطفال أن تستند في أنشطتها إلى مجموعة مشتركة من القيم التي تتماشى مع الركائز الأساسية للسياسة التعليمية في آيسلندا، مثل تشجيع اتساع أفق التفكير لدى الأطفال وتعزيز القيم الأخلاقية لديهم، وإرساء الأساس اللازم لكي يصبح الأطفال مشاركين مستقلين ونشطين ومسؤولين في مجتمع ديمقراطي.</w:t>
      </w:r>
    </w:p>
    <w:p w14:paraId="23F2DE25" w14:textId="77777777" w:rsidR="00A1204B" w:rsidRPr="001F1035" w:rsidRDefault="00A1204B" w:rsidP="00A1204B">
      <w:pPr>
        <w:pStyle w:val="H23GA"/>
        <w:rPr>
          <w:rtl/>
        </w:rPr>
      </w:pPr>
      <w:r w:rsidRPr="001F1035">
        <w:rPr>
          <w:rtl/>
        </w:rPr>
        <w:tab/>
      </w:r>
      <w:r w:rsidRPr="001F1035">
        <w:rPr>
          <w:rtl/>
        </w:rPr>
        <w:tab/>
        <w:t>التعليم الابتدائي والثانوي</w:t>
      </w:r>
    </w:p>
    <w:p w14:paraId="3740EECF" w14:textId="77777777" w:rsidR="00A1204B" w:rsidRPr="003817EA" w:rsidRDefault="00A1204B" w:rsidP="00A1204B">
      <w:pPr>
        <w:pStyle w:val="SingleTxtGA"/>
        <w:rPr>
          <w:rtl/>
        </w:rPr>
      </w:pPr>
      <w:r w:rsidRPr="003817EA">
        <w:rPr>
          <w:rtl/>
        </w:rPr>
        <w:t>93-</w:t>
      </w:r>
      <w:r w:rsidRPr="003817EA">
        <w:rPr>
          <w:rtl/>
        </w:rPr>
        <w:tab/>
        <w:t>تنص المادة 2 من قانون التعليم الإلزامي على أن تتسم طريقة اشتغال مدارس التعليم الإلزامي بالتسامح والمحبة، مسترشدة بالتراث المسيحي للثقافة الآيسلندية، وأن تتَّبع مُثُلَ المساواة والتعاون الديمقراطي والمسؤولية والتقدير والصفح واحترام مكانة الإنسان.</w:t>
      </w:r>
    </w:p>
    <w:p w14:paraId="51164BF9" w14:textId="77777777" w:rsidR="00A1204B" w:rsidRPr="003817EA" w:rsidRDefault="00A1204B" w:rsidP="00A1204B">
      <w:pPr>
        <w:pStyle w:val="SingleTxtGA"/>
        <w:rPr>
          <w:rtl/>
        </w:rPr>
      </w:pPr>
      <w:r w:rsidRPr="003817EA">
        <w:rPr>
          <w:rtl/>
        </w:rPr>
        <w:t>94-</w:t>
      </w:r>
      <w:r w:rsidRPr="003817EA">
        <w:rPr>
          <w:rtl/>
        </w:rPr>
        <w:tab/>
        <w:t>ويشدِّد الدليل الوطني لمناهج مدارس التعليم الإلزامي على أهداف مماثلة، مثل أهمية إلمام التلاميذ والمدرِّسين على حد سواء بحقوق الطفل وحقوق الإنسان بصفة عامة. كما ينص الدليل على أن تأخذ المدارس في الاعتبار، في جميع أساليب عملها، احترام حقوق الإنسان لكل فرد.</w:t>
      </w:r>
    </w:p>
    <w:p w14:paraId="5F6D61F4" w14:textId="77777777" w:rsidR="00A1204B" w:rsidRPr="001F1035" w:rsidRDefault="00A1204B" w:rsidP="00A1204B">
      <w:pPr>
        <w:pStyle w:val="H23GA"/>
        <w:rPr>
          <w:rtl/>
        </w:rPr>
      </w:pPr>
      <w:r w:rsidRPr="001F1035">
        <w:rPr>
          <w:rtl/>
        </w:rPr>
        <w:tab/>
        <w:t>7-</w:t>
      </w:r>
      <w:r w:rsidRPr="001F1035">
        <w:rPr>
          <w:rtl/>
        </w:rPr>
        <w:tab/>
        <w:t>تعميم مراعاة حقوق الإنسان</w:t>
      </w:r>
    </w:p>
    <w:p w14:paraId="0253A6F6" w14:textId="77777777" w:rsidR="00A1204B" w:rsidRPr="003817EA" w:rsidRDefault="00A1204B" w:rsidP="00A1204B">
      <w:pPr>
        <w:pStyle w:val="SingleTxtGA"/>
        <w:rPr>
          <w:rtl/>
        </w:rPr>
      </w:pPr>
      <w:r w:rsidRPr="003817EA">
        <w:rPr>
          <w:rtl/>
        </w:rPr>
        <w:t>95-</w:t>
      </w:r>
      <w:r w:rsidRPr="003817EA">
        <w:rPr>
          <w:rtl/>
        </w:rPr>
        <w:tab/>
        <w:t>تعميم مراعاة حقوق الإنسان التزام ثابت من جانب آيسلندا. وأنشئت، في الآونة الأخيرة، لجنة توجيهية مشتركة بين الوزارات في عام 2017 لتعميم مراعاة حقوق الإنسان. وجاء إنشاء اللجنة قبل استعراض آيسلندا الثاني في إطار الاستعراض الدوري الشامل في عام 2016. وقد ثبت نجاح التعاون القائم في تنسيق وحفز العمل من أجل حقوق الإنسان في الفترة التي سبقت الاستعراض. واللجنة التوجيهية مكلفة بمتابعة توصيات الاستعراض، فضلاً عن التحضير لاستعراض آيسلندا الثالث في عام 2021. وهي أيضاً الآلية الوطنية لإعداد التقارير عن التنسيق مع الآليات الدولية والإقليمية لحقوق الإنسان ومتابعتها بوجه أعم، بما في ذلك هيئات معاهدات حقوق الإنسان والإجراءات الخاصة، بالإضافة إلى الاستعراض الدوري الشامل. وتتوخى اللجنة كذلك زيادة تيسير التعاون بين الوزارات التي تتقاسم المسؤوليات فيما يتعلق بحقوق الإنسان.</w:t>
      </w:r>
    </w:p>
    <w:p w14:paraId="5E38CC42" w14:textId="77777777" w:rsidR="00A1204B" w:rsidRPr="001F1035" w:rsidRDefault="00A1204B" w:rsidP="00A1204B">
      <w:pPr>
        <w:pStyle w:val="H23GA"/>
        <w:rPr>
          <w:rtl/>
        </w:rPr>
      </w:pPr>
      <w:r w:rsidRPr="001F1035">
        <w:rPr>
          <w:rtl/>
        </w:rPr>
        <w:tab/>
        <w:t>8-</w:t>
      </w:r>
      <w:r w:rsidRPr="001F1035">
        <w:rPr>
          <w:rtl/>
        </w:rPr>
        <w:tab/>
        <w:t>تعزيز التوعية بحقوق الإنسان في وسائط الإعلام</w:t>
      </w:r>
    </w:p>
    <w:p w14:paraId="4400F637" w14:textId="77777777" w:rsidR="00A1204B" w:rsidRPr="003817EA" w:rsidRDefault="00A1204B" w:rsidP="00A1204B">
      <w:pPr>
        <w:pStyle w:val="SingleTxtGA"/>
        <w:rPr>
          <w:rtl/>
        </w:rPr>
      </w:pPr>
      <w:r w:rsidRPr="003817EA">
        <w:rPr>
          <w:rtl/>
        </w:rPr>
        <w:t>96-</w:t>
      </w:r>
      <w:r w:rsidRPr="003817EA">
        <w:rPr>
          <w:rtl/>
        </w:rPr>
        <w:tab/>
        <w:t>حرية التعبير والصحافة مكفولةٌ عن طريق كل من الصكوك الدولية لحقوق الإنسان والدستور الآيسلندي. وتُعتبر الصحافة ووسائط الإعلام الأخرى حيوية في تيسير النقاش بشأن قضايا حقوق الإنسان. كما أنها تؤدي دوراً حاسماً في تسليط الضوء على قضايا حقوق الإنسان الهامة في آيسلندا. وتستعين منظمات المجتمع المدني أيضاً بوسائط الإعلام في وضع المسائل المتعلقة بحقوق الإنسان على جدول الأعمال العام.</w:t>
      </w:r>
    </w:p>
    <w:p w14:paraId="73F27E95" w14:textId="77777777" w:rsidR="00A1204B" w:rsidRPr="001F1035" w:rsidRDefault="00A1204B" w:rsidP="00A1204B">
      <w:pPr>
        <w:pStyle w:val="H23GA"/>
        <w:rPr>
          <w:rtl/>
        </w:rPr>
      </w:pPr>
      <w:r w:rsidRPr="001F1035">
        <w:rPr>
          <w:rtl/>
        </w:rPr>
        <w:lastRenderedPageBreak/>
        <w:tab/>
        <w:t>9-</w:t>
      </w:r>
      <w:r w:rsidRPr="001F1035">
        <w:rPr>
          <w:rtl/>
        </w:rPr>
        <w:tab/>
        <w:t>دور المجتمع المدني، بما في ذلك المنظمات غير الحكومية</w:t>
      </w:r>
    </w:p>
    <w:p w14:paraId="38EF1BD5" w14:textId="77777777" w:rsidR="00A1204B" w:rsidRPr="008214D9" w:rsidRDefault="00A1204B" w:rsidP="00A1204B">
      <w:pPr>
        <w:pStyle w:val="SingleTxtGA"/>
        <w:rPr>
          <w:spacing w:val="-4"/>
          <w:rtl/>
        </w:rPr>
      </w:pPr>
      <w:r w:rsidRPr="003817EA">
        <w:rPr>
          <w:rtl/>
        </w:rPr>
        <w:t>97-</w:t>
      </w:r>
      <w:r w:rsidRPr="003817EA">
        <w:rPr>
          <w:rtl/>
        </w:rPr>
        <w:tab/>
      </w:r>
      <w:r w:rsidRPr="008214D9">
        <w:rPr>
          <w:spacing w:val="-4"/>
          <w:rtl/>
        </w:rPr>
        <w:t>يؤدي المدافعون عن حقوق الإنسان والنقابات والمنظمات المهنية جميعاً دوراً حيويّاً في إعمال حقوق الإنسان في آيسلندا، وقد أسهموا في إرساء أسس الديمقراطية والرعاية الاجتماعية في المجتمع الآيسلندي.</w:t>
      </w:r>
    </w:p>
    <w:p w14:paraId="480B7E0A" w14:textId="77777777" w:rsidR="00A1204B" w:rsidRPr="003817EA" w:rsidRDefault="00A1204B" w:rsidP="00A1204B">
      <w:pPr>
        <w:pStyle w:val="SingleTxtGA"/>
        <w:rPr>
          <w:rtl/>
        </w:rPr>
      </w:pPr>
      <w:r w:rsidRPr="003817EA">
        <w:rPr>
          <w:rtl/>
        </w:rPr>
        <w:t>98-</w:t>
      </w:r>
      <w:r w:rsidRPr="003817EA">
        <w:rPr>
          <w:rtl/>
        </w:rPr>
        <w:tab/>
        <w:t>وتقدِّم الحكومة الدعم لمنظمات المجتمع المدني، وتقيم حواراً مستمرّاً معها بشأن قضايا حقوق الإنسان وما يتصل بها من تحديات، حيثما كان ذلك مناسباً. ويشمل ذلك عمليات التشاور المفتوح بشأن التشريعات المقترحة وإعداد التقارير المقدَّمة إلى هيئات معاهدات حقوق الإنسان.</w:t>
      </w:r>
    </w:p>
    <w:p w14:paraId="7BEF204B" w14:textId="77777777" w:rsidR="00A1204B" w:rsidRPr="003817EA" w:rsidRDefault="00A1204B" w:rsidP="00A1204B">
      <w:pPr>
        <w:pStyle w:val="SingleTxtGA"/>
        <w:rPr>
          <w:rtl/>
        </w:rPr>
      </w:pPr>
      <w:r w:rsidRPr="003817EA">
        <w:rPr>
          <w:rtl/>
        </w:rPr>
        <w:t>99-</w:t>
      </w:r>
      <w:r w:rsidRPr="003817EA">
        <w:rPr>
          <w:rtl/>
        </w:rPr>
        <w:tab/>
        <w:t>وتُعتبر النقابات العمالية والمنظمات المهنية أساسية لحماية حقوق الناس في سوق العمل، والتفاوض نيابة عنهم بشأن الأجور وسائر شروط العمل في اتفاقات الأجور الجماعية. كما أنها تؤدّي عملاً فعالاً في حماية الحق في التنظيم وتضطلع بدور مهم في الحياة المهنية بآيسلندا.</w:t>
      </w:r>
    </w:p>
    <w:p w14:paraId="1FB6D535" w14:textId="77777777" w:rsidR="00A1204B" w:rsidRPr="001F1035" w:rsidRDefault="00A1204B" w:rsidP="00A1204B">
      <w:pPr>
        <w:pStyle w:val="H23GA"/>
        <w:rPr>
          <w:rtl/>
        </w:rPr>
      </w:pPr>
      <w:r w:rsidRPr="001F1035">
        <w:rPr>
          <w:rtl/>
        </w:rPr>
        <w:tab/>
        <w:t>10-</w:t>
      </w:r>
      <w:r w:rsidRPr="001F1035">
        <w:rPr>
          <w:rtl/>
        </w:rPr>
        <w:tab/>
        <w:t>مخصصات الميزانية</w:t>
      </w:r>
    </w:p>
    <w:p w14:paraId="441E24C0" w14:textId="77777777" w:rsidR="00A1204B" w:rsidRPr="003817EA" w:rsidRDefault="00A1204B" w:rsidP="00A1204B">
      <w:pPr>
        <w:pStyle w:val="SingleTxtGA"/>
        <w:rPr>
          <w:rtl/>
        </w:rPr>
      </w:pPr>
      <w:r w:rsidRPr="003817EA">
        <w:rPr>
          <w:rtl/>
        </w:rPr>
        <w:t>100-</w:t>
      </w:r>
      <w:r w:rsidRPr="003817EA">
        <w:rPr>
          <w:rtl/>
        </w:rPr>
        <w:tab/>
        <w:t>لمّا كانت حقوق الإنسان معمَّمة في جميع مجالات الإدارة العامة في آيسلندا، فإنَّ تمويل شؤون حقوق الإنسان لا تُرصد له اعتمادات خاصة في الميزانية الوطنية، بل يندرج ضمن نطاق عريض من البنود، مثل التعليم والصحة والرعاية الاجتماعية، والشؤون الخارجية، وإدارة المحاكم.</w:t>
      </w:r>
    </w:p>
    <w:p w14:paraId="5374B310" w14:textId="77777777" w:rsidR="00A1204B" w:rsidRPr="001F1035" w:rsidRDefault="00A1204B" w:rsidP="00A1204B">
      <w:pPr>
        <w:pStyle w:val="H23GA"/>
        <w:rPr>
          <w:rtl/>
        </w:rPr>
      </w:pPr>
      <w:r w:rsidRPr="001F1035">
        <w:rPr>
          <w:rtl/>
        </w:rPr>
        <w:tab/>
        <w:t>11-</w:t>
      </w:r>
      <w:r w:rsidRPr="001F1035">
        <w:rPr>
          <w:rtl/>
        </w:rPr>
        <w:tab/>
        <w:t>التعاون والمساعدة الإنمائيان</w:t>
      </w:r>
    </w:p>
    <w:p w14:paraId="3F065A6F" w14:textId="1A94A1B9" w:rsidR="00A1204B" w:rsidRPr="003817EA" w:rsidRDefault="00A1204B" w:rsidP="00A1204B">
      <w:pPr>
        <w:pStyle w:val="SingleTxtGA"/>
        <w:rPr>
          <w:rtl/>
        </w:rPr>
      </w:pPr>
      <w:r w:rsidRPr="003817EA">
        <w:rPr>
          <w:rtl/>
        </w:rPr>
        <w:t>101-</w:t>
      </w:r>
      <w:r w:rsidRPr="003817EA">
        <w:rPr>
          <w:rtl/>
        </w:rPr>
        <w:tab/>
        <w:t xml:space="preserve">التعاون الإنمائي الدولي جزء لا يتجزأ من السياسة الخارجية لآيسلندا. وتحدِّد </w:t>
      </w:r>
      <w:hyperlink r:id="rId11" w:history="1">
        <w:r w:rsidRPr="00D85448">
          <w:rPr>
            <w:rStyle w:val="Hyperlink"/>
            <w:rtl/>
          </w:rPr>
          <w:t>سياسة آيسلندا للتعاون الإنمائي الدولي للفترة 2019-2023</w:t>
        </w:r>
      </w:hyperlink>
      <w:r w:rsidRPr="003817EA">
        <w:rPr>
          <w:rtl/>
        </w:rPr>
        <w:t xml:space="preserve"> مجالات التركيز والأهداف والتنفيذ والكفاءة والنتائج. وتركِّز استراتيجية التعاون الإنمائي الدولي على النهوض بحقوق الإنسان والمساواة بين الجنسين، والسلام والأمن، فضلاً عن مكافحة الفقر والظلم الاجتماعي والتفاوت في الظروف المعيشية والجوع. كما أنها تسعى إلى ضمان الاتساق الداخلي في سياسة آيسلندا الخارجية فيما يتعلق بالمسائل الاقتصادية والبيئية والأمنية العالمية. ويركِّز التعاون الإنمائي لآيسلندا على مجالات يمكن فيها استثمار المعارف المتخصصة التي يتمتع بها البلد في مكافحة الفقر وفي تحقيق أهداف التنمية المستدامة.</w:t>
      </w:r>
    </w:p>
    <w:p w14:paraId="71C82432" w14:textId="77777777" w:rsidR="00A1204B" w:rsidRPr="003817EA" w:rsidRDefault="00A1204B" w:rsidP="00A1204B">
      <w:pPr>
        <w:pStyle w:val="SingleTxtGA"/>
        <w:rPr>
          <w:rtl/>
        </w:rPr>
      </w:pPr>
      <w:r w:rsidRPr="003817EA">
        <w:rPr>
          <w:rtl/>
        </w:rPr>
        <w:t>102-</w:t>
      </w:r>
      <w:r w:rsidRPr="003817EA">
        <w:rPr>
          <w:rtl/>
        </w:rPr>
        <w:tab/>
        <w:t>وتشمل حقوق الإنسان قطاعات متعددة في التعاون الإنمائي لآيسلندا، وتدمِج مختلفُ الآليات نهجاً قائماً على حقوق الإنسان يغطي التعاون المتعدد الأطراف والثنائي، والمساعدة الإنسانية، والشراكة الاستراتيجية، بما يشمل التعاون مع المجتمع المدني والمنظمات غير الحكومية والقطاع الخاص والأوساط الأكاديمية. وقد بلغ إجمالي الإنفاق على التعاون الإنمائي لآيسلندا في عام 2020 ما مجموعه 842 8 مليار كرونة آيسلندية.</w:t>
      </w:r>
    </w:p>
    <w:p w14:paraId="26218422" w14:textId="426DE51B" w:rsidR="00A1204B" w:rsidRPr="003817EA" w:rsidRDefault="00A1204B" w:rsidP="00A1204B">
      <w:pPr>
        <w:pStyle w:val="SingleTxtGA"/>
        <w:rPr>
          <w:rtl/>
        </w:rPr>
      </w:pPr>
      <w:r w:rsidRPr="003817EA">
        <w:rPr>
          <w:rtl/>
        </w:rPr>
        <w:t>103-</w:t>
      </w:r>
      <w:r w:rsidRPr="003817EA">
        <w:rPr>
          <w:rtl/>
        </w:rPr>
        <w:tab/>
        <w:t xml:space="preserve">وتحظى أربع منظمات متعددة الأطراف بأهمية خاصة لأولويات سياسة آيسلندا في مجال التعاون الإنمائي الدولي، وهي: </w:t>
      </w:r>
      <w:hyperlink r:id="rId12" w:history="1">
        <w:r w:rsidRPr="00D85448">
          <w:rPr>
            <w:rStyle w:val="Hyperlink"/>
            <w:rtl/>
          </w:rPr>
          <w:t>البنك الدولي</w:t>
        </w:r>
      </w:hyperlink>
      <w:r w:rsidRPr="003817EA">
        <w:rPr>
          <w:rtl/>
        </w:rPr>
        <w:t>، و</w:t>
      </w:r>
      <w:hyperlink r:id="rId13" w:history="1">
        <w:r w:rsidRPr="00D85448">
          <w:rPr>
            <w:rStyle w:val="Hyperlink"/>
            <w:rtl/>
          </w:rPr>
          <w:t>منظمة الأمم المتحدة للطفولة (اليونيسيف)</w:t>
        </w:r>
      </w:hyperlink>
      <w:r w:rsidRPr="003817EA">
        <w:rPr>
          <w:rtl/>
        </w:rPr>
        <w:t>، و</w:t>
      </w:r>
      <w:hyperlink r:id="rId14" w:history="1">
        <w:r w:rsidRPr="00D85448">
          <w:rPr>
            <w:rStyle w:val="Hyperlink"/>
            <w:rtl/>
          </w:rPr>
          <w:t>هيئة الأمم المتحدة للمساواة بين الجنسين وتمكين المرأة (هيئة الأمم المتحدة للمرأة)</w:t>
        </w:r>
      </w:hyperlink>
      <w:r w:rsidRPr="003817EA">
        <w:rPr>
          <w:rtl/>
        </w:rPr>
        <w:t>، و</w:t>
      </w:r>
      <w:hyperlink r:id="rId15" w:history="1">
        <w:r w:rsidRPr="00D85448">
          <w:rPr>
            <w:rStyle w:val="Hyperlink"/>
            <w:rtl/>
          </w:rPr>
          <w:t>صندوق الأمم المتحدة للسكان</w:t>
        </w:r>
      </w:hyperlink>
      <w:r w:rsidRPr="003817EA">
        <w:rPr>
          <w:rtl/>
        </w:rPr>
        <w:t xml:space="preserve">. وتسعى حكومة آيسلندا أيضاً إلى التخفيف من معاناة الفئات الأكثر ضعفاً بالشراكة مع وكالات الأمم المتحدة المتخصصة والصناديق المكلفة بتنسيق وتنفيذ العمل الإنساني على الصعيد العالمي (مكتب تنسيق الشؤون الإنسانية، والصندوق المركزي لمواجهة الطوارئ، ومفوضية الأمم المتحدة لشؤون اللاجئين، وبرنامج الأغذية العالمي). والبلَدان الشريكان لآيسلندا هما أوغندا وملاوي من أفريقيا جنوب الصحراء الكبرى. ويهدف تعاون آيسلندا في هذا الصدد إلى تحسين نوعية حياة الشعوب عن طريق التمكين وبناء </w:t>
      </w:r>
      <w:r w:rsidRPr="003817EA">
        <w:rPr>
          <w:rtl/>
        </w:rPr>
        <w:lastRenderedPageBreak/>
        <w:t>القدرات ونقل المعارف. والهدف المتوخى على المدى البعيد هو تحقيق التنمية المستدامة والنمو الاقتصادي والمساواة والاستقلالية والديمقراطية ومناصرة حقوق الإنسان.</w:t>
      </w:r>
      <w:bookmarkStart w:id="1" w:name="_Hlk519672263"/>
    </w:p>
    <w:p w14:paraId="6ED6CA77" w14:textId="77777777" w:rsidR="00A1204B" w:rsidRPr="001F1035" w:rsidRDefault="00A1204B" w:rsidP="00A1204B">
      <w:pPr>
        <w:pStyle w:val="H1GA"/>
        <w:rPr>
          <w:rtl/>
        </w:rPr>
      </w:pPr>
      <w:r w:rsidRPr="001F1035">
        <w:rPr>
          <w:rtl/>
        </w:rPr>
        <w:tab/>
        <w:t>دال-</w:t>
      </w:r>
      <w:r w:rsidRPr="001F1035">
        <w:rPr>
          <w:rtl/>
        </w:rPr>
        <w:tab/>
        <w:t>عملية إعداد التقارير على الصعيد الوطني</w:t>
      </w:r>
    </w:p>
    <w:p w14:paraId="41222753" w14:textId="77777777" w:rsidR="00A1204B" w:rsidRPr="003817EA" w:rsidRDefault="00A1204B" w:rsidP="00A1204B">
      <w:pPr>
        <w:pStyle w:val="SingleTxtGA"/>
        <w:rPr>
          <w:rtl/>
        </w:rPr>
      </w:pPr>
      <w:r w:rsidRPr="003817EA">
        <w:rPr>
          <w:rtl/>
        </w:rPr>
        <w:t>104-</w:t>
      </w:r>
      <w:r w:rsidRPr="003817EA">
        <w:rPr>
          <w:rtl/>
        </w:rPr>
        <w:tab/>
        <w:t>تتقاسم الوزارات، المسؤولة جميعها عن المساهمة في صياغة التقارير ومتابعة توصيات مختلف هيئات المعاهدات في مجالات اختصاصها، المسؤولية عن تنفيذ الالتزامات المتعلقة بحقوق الإنسان على الصعيد الوطني. وحقوق الإنسان مدمَجة ومعمَّمة في جميع قطاعات الحكومة والإدارة. ومع ذلك، تتولى وزارة العدل مسؤولية خاصة تتمثل في كفالة اتساق القانون والممارسات الإدارية في آيسلندا مع التزامات البلد في مجال حقوق الإنسان وتنسيق صياغة التقارير ومتابعة توصيات هيئات المعاهدات والإشراف عليها. ويتم تنسيق هذا العمل من خلال الفريق التوجيهي الحكومي المعني بحقوق الإنسان الذي يتألف من ممثلين عن جميع الوزارات.</w:t>
      </w:r>
    </w:p>
    <w:p w14:paraId="564B6ACD" w14:textId="098CAE5D" w:rsidR="00A1204B" w:rsidRPr="003817EA" w:rsidRDefault="00A1204B" w:rsidP="00A1204B">
      <w:pPr>
        <w:pStyle w:val="SingleTxtGA"/>
        <w:rPr>
          <w:rtl/>
        </w:rPr>
      </w:pPr>
      <w:r w:rsidRPr="003817EA">
        <w:rPr>
          <w:rtl/>
        </w:rPr>
        <w:t>105-</w:t>
      </w:r>
      <w:r w:rsidRPr="003817EA">
        <w:rPr>
          <w:rtl/>
        </w:rPr>
        <w:tab/>
        <w:t>وتستند التقارير إلى المعلومات التي يتم جمعها من الوزارات والمؤسسات الحكومية ورابطة السلطات المحلية والرابطات التمثيلية ورابطات المصلحة العامة والأوساط الأكاديمية وعامة الناس، حسبما ينطبق. وتُبذل جهود خاصة للتشاور مع المجتمع المدني الذي يعمل في الميدان، ولا سيما المركز الآيسلندي لحقوق الإنسان. وتُنشر مشاريع التقارير في بوابة المشاورات الحكومية، مما يتيح لعامة الناس فرصة إبداء آرائهم بشأن مضمونها.</w:t>
      </w:r>
      <w:bookmarkEnd w:id="1"/>
    </w:p>
    <w:p w14:paraId="264D1789" w14:textId="77777777" w:rsidR="00A1204B" w:rsidRPr="001F1035" w:rsidRDefault="00A1204B" w:rsidP="00A1204B">
      <w:pPr>
        <w:pStyle w:val="HChGA"/>
        <w:rPr>
          <w:rtl/>
        </w:rPr>
      </w:pPr>
      <w:r w:rsidRPr="001F1035">
        <w:rPr>
          <w:rtl/>
        </w:rPr>
        <w:tab/>
        <w:t>ثالثاً-</w:t>
      </w:r>
      <w:r w:rsidRPr="001F1035">
        <w:rPr>
          <w:rtl/>
        </w:rPr>
        <w:tab/>
        <w:t>معلومات عن عدم التمييز والمساواة وسبل الانتصاف الفعالة</w:t>
      </w:r>
    </w:p>
    <w:p w14:paraId="768CAD2C" w14:textId="77777777" w:rsidR="00A1204B" w:rsidRPr="001F1035" w:rsidRDefault="00A1204B" w:rsidP="00A1204B">
      <w:pPr>
        <w:pStyle w:val="H1GA"/>
        <w:rPr>
          <w:rtl/>
        </w:rPr>
      </w:pPr>
      <w:r w:rsidRPr="001F1035">
        <w:rPr>
          <w:rtl/>
        </w:rPr>
        <w:tab/>
        <w:t>ألف-</w:t>
      </w:r>
      <w:r w:rsidRPr="001F1035">
        <w:rPr>
          <w:rtl/>
        </w:rPr>
        <w:tab/>
        <w:t>الإطار القانوني</w:t>
      </w:r>
    </w:p>
    <w:p w14:paraId="0DDC58FD" w14:textId="77777777" w:rsidR="00A1204B" w:rsidRPr="001F1035" w:rsidRDefault="00A1204B" w:rsidP="00A1204B">
      <w:pPr>
        <w:pStyle w:val="H23GA"/>
        <w:rPr>
          <w:rtl/>
        </w:rPr>
      </w:pPr>
      <w:r w:rsidRPr="001F1035">
        <w:rPr>
          <w:rtl/>
        </w:rPr>
        <w:tab/>
        <w:t>1-</w:t>
      </w:r>
      <w:r w:rsidRPr="001F1035">
        <w:rPr>
          <w:rtl/>
        </w:rPr>
        <w:tab/>
        <w:t>الدستور</w:t>
      </w:r>
    </w:p>
    <w:p w14:paraId="594E99E1" w14:textId="77777777" w:rsidR="00A1204B" w:rsidRPr="003817EA" w:rsidRDefault="00A1204B" w:rsidP="00A1204B">
      <w:pPr>
        <w:pStyle w:val="SingleTxtGA"/>
        <w:rPr>
          <w:rtl/>
        </w:rPr>
      </w:pPr>
      <w:r w:rsidRPr="003817EA">
        <w:rPr>
          <w:rtl/>
        </w:rPr>
        <w:t>106-</w:t>
      </w:r>
      <w:r w:rsidRPr="003817EA">
        <w:rPr>
          <w:rtl/>
        </w:rPr>
        <w:tab/>
        <w:t>يتناول حكم وارد في دستور جمهورية آيسلندا مبدأَ المساواة تحديداً (انظر المادة 65 من الدستور، رقم 33/1944، والقانون الدستوري رقم 97/1995)، وينص ذلك الحكم على أنَّ للرجل والمرأة حقوقاً متساوية من جميع النواحي. وأرست آيسلندا أيضاً قانوناً خاصّاً يهدف إلى ضمان المساواة بين المرأة والرجل ووضعهما المتساوي من جميع النواحي منذ عام 1976.</w:t>
      </w:r>
    </w:p>
    <w:p w14:paraId="377240E1" w14:textId="77777777" w:rsidR="00A1204B" w:rsidRPr="003817EA" w:rsidRDefault="00A1204B" w:rsidP="00A1204B">
      <w:pPr>
        <w:pStyle w:val="SingleTxtGA"/>
        <w:rPr>
          <w:rtl/>
        </w:rPr>
      </w:pPr>
      <w:r w:rsidRPr="003817EA">
        <w:rPr>
          <w:rtl/>
        </w:rPr>
        <w:t>107-</w:t>
      </w:r>
      <w:r w:rsidRPr="003817EA">
        <w:rPr>
          <w:rtl/>
        </w:rPr>
        <w:tab/>
        <w:t>وتنص المادة 65 من الدستور كذلك على أن يتمتع كل فرد بحقوق الإنسان وعلى المساواة أمام القانون بصرف النظر عن الجنس أو الدين أو الرأي أو الأصل القومي أو العِرْق أو اللون أو الملكية أو المولد أو أي وضع آخر.</w:t>
      </w:r>
    </w:p>
    <w:p w14:paraId="352FC00C" w14:textId="77777777" w:rsidR="00A1204B" w:rsidRPr="001F1035" w:rsidRDefault="00A1204B" w:rsidP="00A1204B">
      <w:pPr>
        <w:pStyle w:val="H23GA"/>
        <w:rPr>
          <w:rtl/>
        </w:rPr>
      </w:pPr>
      <w:r w:rsidRPr="001F1035">
        <w:rPr>
          <w:rtl/>
        </w:rPr>
        <w:tab/>
        <w:t>2-</w:t>
      </w:r>
      <w:r w:rsidRPr="001F1035">
        <w:rPr>
          <w:rtl/>
        </w:rPr>
        <w:tab/>
        <w:t>الإدماج</w:t>
      </w:r>
    </w:p>
    <w:p w14:paraId="03E74AB4" w14:textId="77777777" w:rsidR="00A1204B" w:rsidRPr="00D85448" w:rsidRDefault="00A1204B" w:rsidP="00A1204B">
      <w:pPr>
        <w:pStyle w:val="SingleTxtGA"/>
        <w:rPr>
          <w:spacing w:val="-2"/>
          <w:rtl/>
        </w:rPr>
      </w:pPr>
      <w:r w:rsidRPr="003817EA">
        <w:rPr>
          <w:rtl/>
        </w:rPr>
        <w:t>108-</w:t>
      </w:r>
      <w:r w:rsidRPr="003817EA">
        <w:rPr>
          <w:rtl/>
        </w:rPr>
        <w:tab/>
      </w:r>
      <w:r w:rsidRPr="00D85448">
        <w:rPr>
          <w:spacing w:val="-2"/>
          <w:rtl/>
        </w:rPr>
        <w:t>قبل التصديق على المعاهدات الدولية لحقوق الإنسان، تكفل الحكومة الآيسلندية، من خلال تدابير تشريعية وغيرها، كون القانون الآيسلندي متكيفاً مع أحكام المعاهدة المعنية. ومن حيث المبدأ، لا تُعتمد المعاهدة على هذا النحو بصفتها قانوناً. وهذا الأمر يؤثِّر بدوره على احتكام المحاكم إلى المعاهدات، إذ تشير عموماً إلى تشريعات قد تستند إلى معاهدات، بينما لا تشير إلى أحكام المعاهدات في حد ذاتها.</w:t>
      </w:r>
    </w:p>
    <w:p w14:paraId="5B2993A9" w14:textId="77777777" w:rsidR="00A1204B" w:rsidRPr="001F1035" w:rsidRDefault="00A1204B" w:rsidP="00A1204B">
      <w:pPr>
        <w:pStyle w:val="H23GA"/>
        <w:rPr>
          <w:rtl/>
        </w:rPr>
      </w:pPr>
      <w:r w:rsidRPr="001F1035">
        <w:rPr>
          <w:rtl/>
        </w:rPr>
        <w:lastRenderedPageBreak/>
        <w:tab/>
        <w:t>3-</w:t>
      </w:r>
      <w:r w:rsidRPr="001F1035">
        <w:rPr>
          <w:rtl/>
        </w:rPr>
        <w:tab/>
        <w:t>قانون المساواة</w:t>
      </w:r>
    </w:p>
    <w:p w14:paraId="6512A40B" w14:textId="1B523556" w:rsidR="00A1204B" w:rsidRPr="003817EA" w:rsidRDefault="00A1204B" w:rsidP="00A1204B">
      <w:pPr>
        <w:pStyle w:val="SingleTxtGA"/>
        <w:rPr>
          <w:rtl/>
        </w:rPr>
      </w:pPr>
      <w:r w:rsidRPr="003817EA">
        <w:rPr>
          <w:rtl/>
        </w:rPr>
        <w:t>109-</w:t>
      </w:r>
      <w:r w:rsidRPr="003817EA">
        <w:rPr>
          <w:rtl/>
        </w:rPr>
        <w:tab/>
        <w:t>يشتمل قانون المساواة بين الجنسين، رقم 10/2008، على إجراءات لتنفيذ السياسة ذات الصلة</w:t>
      </w:r>
      <w:r w:rsidR="008214D9">
        <w:rPr>
          <w:rFonts w:hint="cs"/>
          <w:rtl/>
        </w:rPr>
        <w:t> </w:t>
      </w:r>
      <w:r w:rsidRPr="003817EA">
        <w:rPr>
          <w:rtl/>
        </w:rPr>
        <w:t>ورصدها.</w:t>
      </w:r>
    </w:p>
    <w:p w14:paraId="172C182F" w14:textId="77777777" w:rsidR="00A1204B" w:rsidRPr="003817EA" w:rsidRDefault="00A1204B" w:rsidP="00A1204B">
      <w:pPr>
        <w:pStyle w:val="SingleTxtGA"/>
        <w:rPr>
          <w:rtl/>
        </w:rPr>
      </w:pPr>
      <w:r w:rsidRPr="003817EA">
        <w:rPr>
          <w:rtl/>
        </w:rPr>
        <w:t>110-</w:t>
      </w:r>
      <w:r w:rsidRPr="003817EA">
        <w:rPr>
          <w:rtl/>
        </w:rPr>
        <w:tab/>
        <w:t>وقد أُدخل تعديل على قانون المساواة بين الجنسين، في حزيران/يونيه 2014، بموجب القانون رقم 62/2014 (بشأن العمالة والوظائف وما إلى ذلك). وجاء هذا التعديل، في جملة أمور، استجابة لانتقادات وجَّهتها إليه سلطة المراقبة التابعة للرابطة الأوروبية للتجارة الحرة لأنَّ الأحكام السابقة من قانون المساواة بين الجنسين لا تجسِّد على نحو كافٍ مضمون بعض توجيهات الاتحاد الأوروبي المتعلقة بالمساواة بين الجنسين فيما يتعلق بالتمييز المباشر وغير المباشر والتحرش الجنساني والتحرش الجنسي. وأضيفت أيضاً فقرة جديدة إلى المادة 19 من القانون (بشأن المساواة في الأجور)، تأذن للوزير بإصدار لوائح بشأن مواصلة تطبيق المادة، بما في ذلك استحداث معيار للمساواة في الأجور، فيما يتعلق مثلاً بشروط التأهيل للحصول على الشهادات ومنح شهادات المساواة في الأجور.</w:t>
      </w:r>
    </w:p>
    <w:p w14:paraId="11A882EB" w14:textId="133A4122" w:rsidR="00A1204B" w:rsidRPr="003817EA" w:rsidRDefault="00A1204B" w:rsidP="00A1204B">
      <w:pPr>
        <w:pStyle w:val="SingleTxtGA"/>
        <w:rPr>
          <w:rtl/>
        </w:rPr>
      </w:pPr>
      <w:r w:rsidRPr="003817EA">
        <w:rPr>
          <w:rtl/>
        </w:rPr>
        <w:t>111-</w:t>
      </w:r>
      <w:r w:rsidRPr="003817EA">
        <w:rPr>
          <w:rtl/>
        </w:rPr>
        <w:tab/>
        <w:t xml:space="preserve">وفي عام 2015، أُدخل تعديل على قانون المساواة بين الجنسين، بموجب القانون رقم 97/2015، يفرض حظراً على التمييز فيما يتعلق بتوفير السلع والخدمات. وقد أفضى ذلك إلى تنفيذ التوجيه الصادر عن مجلس أوروبا </w:t>
      </w:r>
      <w:r w:rsidR="00D85448" w:rsidRPr="00D85448">
        <w:t>2004/113/EC</w:t>
      </w:r>
      <w:r w:rsidRPr="003817EA">
        <w:rPr>
          <w:rtl/>
        </w:rPr>
        <w:t xml:space="preserve"> المتعلق بتنفيذ مبدأ المساواة في المعاملة بين الرجل والمرأة من حيث الحصول على السلع والخدمات وتوفيرها.</w:t>
      </w:r>
    </w:p>
    <w:p w14:paraId="08B31B8F" w14:textId="77777777" w:rsidR="00A1204B" w:rsidRPr="003817EA" w:rsidRDefault="00A1204B" w:rsidP="00A1204B">
      <w:pPr>
        <w:pStyle w:val="SingleTxtGA"/>
        <w:rPr>
          <w:rtl/>
        </w:rPr>
      </w:pPr>
      <w:r w:rsidRPr="003817EA">
        <w:rPr>
          <w:rtl/>
        </w:rPr>
        <w:t>112-</w:t>
      </w:r>
      <w:r w:rsidRPr="003817EA">
        <w:rPr>
          <w:rtl/>
        </w:rPr>
        <w:tab/>
        <w:t>ويهدف قانون المساواة بين الجنسين في آيسلندا إلى إرساء المساواة بين المرأة والرجل في الحقوق والفرص والحفاظ عليها، وإلى تحقيق المساواة بينهما في المركز في جميع مجالات المجتمع، وكفالة تكافؤ الفرص بين جميع الأفراد للاستفادة من مبادراتهم الخاصة وتنمية مهاراتهم، بصرف النظر عن نوع الجنس. ويفرض القانون التزامات قطعية على السلطات الحكومية في مجال المساواة بين الجنسين؛ وينص على ضرورة اتخاذ خطوات لتحسين وضع المرأة تحديداً باتخاذ تدابير تدرُّجية وزيادة فرصها في المجتمع؛ وتستند هذه الأهداف إلى المادة 3 من اتفاقية القضاء على جميع أشكال التمييز ضد المرأة.</w:t>
      </w:r>
    </w:p>
    <w:p w14:paraId="5A34FA8A" w14:textId="77777777" w:rsidR="00A1204B" w:rsidRPr="003817EA" w:rsidRDefault="00A1204B" w:rsidP="00A1204B">
      <w:pPr>
        <w:pStyle w:val="SingleTxtGA"/>
        <w:rPr>
          <w:rtl/>
        </w:rPr>
      </w:pPr>
      <w:r w:rsidRPr="003817EA">
        <w:rPr>
          <w:rtl/>
        </w:rPr>
        <w:t>113-</w:t>
      </w:r>
      <w:r w:rsidRPr="003817EA">
        <w:rPr>
          <w:rtl/>
        </w:rPr>
        <w:tab/>
        <w:t>وبالإضافة إلى دوره الاستشاري، ينظِّم مجلس المساواة بين الجنسين، بالشراكة مع وزير الشؤون الاجتماعية والمساواة، منتدى المساواة بين الجنسين كل سنتين، للتشجيع على إجراء مناقشة نشطة في هذا المجال بين عامة الناس والجهات المعنية.</w:t>
      </w:r>
    </w:p>
    <w:p w14:paraId="3D7C65D0" w14:textId="77777777" w:rsidR="00A1204B" w:rsidRPr="003817EA" w:rsidRDefault="00A1204B" w:rsidP="00A1204B">
      <w:pPr>
        <w:pStyle w:val="SingleTxtGA"/>
        <w:rPr>
          <w:rtl/>
        </w:rPr>
      </w:pPr>
      <w:r w:rsidRPr="003817EA">
        <w:rPr>
          <w:rtl/>
        </w:rPr>
        <w:t>114-</w:t>
      </w:r>
      <w:r w:rsidRPr="003817EA">
        <w:rPr>
          <w:rtl/>
        </w:rPr>
        <w:tab/>
        <w:t>وقد دخل مشروع قانون (معدِّل لقانون المساواة بين الجنسين 10/2008) قدَّمه وزير الشؤون الاجتماعية والمساواة وأقره البرلمان بأغلبية ساحقة في 1 حزيران/يونيه 2017، حيز النفاذ في 1 كانون الثاني/يناير 2018. وباتت الشركات والمؤسسات التي توظِّف 25 عاملاً أو أكثر، على أساس سنوي، ملزَمة بالحصول على شهادة المساواة في الأجر لنظامها الخاص بالمساواة في الأجور وتنفيذه. والغرض من هذه الشهادة الإلزامية هو إنفاذ التشريع الحالي الذي يحظر الممارسات التمييزية القائمة على نوع الجنس، ويَشترط أن يتقاضى النساء والرجال العاملون لدى نفس رب العمل أجوراً متساوية وأن يتمتعوا بشروط عمل متساوية لنفس الوظائف أو الوظائف المتساوية القيمة. وأَدرَجت التعديلات التي تم إقرارها تغييرات على المادة 19 المتعلقة بالمساواة في الأجور.</w:t>
      </w:r>
    </w:p>
    <w:p w14:paraId="685AA2B1" w14:textId="77777777" w:rsidR="00A1204B" w:rsidRPr="001F1035" w:rsidRDefault="00A1204B" w:rsidP="00A1204B">
      <w:pPr>
        <w:pStyle w:val="H23GA"/>
        <w:rPr>
          <w:rtl/>
        </w:rPr>
      </w:pPr>
      <w:r w:rsidRPr="001F1035">
        <w:rPr>
          <w:rtl/>
        </w:rPr>
        <w:tab/>
        <w:t>4-</w:t>
      </w:r>
      <w:r w:rsidRPr="001F1035">
        <w:rPr>
          <w:rtl/>
        </w:rPr>
        <w:tab/>
        <w:t>قوانين مناهضة التمييز</w:t>
      </w:r>
    </w:p>
    <w:p w14:paraId="78206119" w14:textId="7B95E047" w:rsidR="00A1204B" w:rsidRPr="003817EA" w:rsidRDefault="00A1204B" w:rsidP="00A1204B">
      <w:pPr>
        <w:pStyle w:val="SingleTxtGA"/>
        <w:rPr>
          <w:rtl/>
        </w:rPr>
      </w:pPr>
      <w:r w:rsidRPr="003817EA">
        <w:rPr>
          <w:rtl/>
        </w:rPr>
        <w:t>115-</w:t>
      </w:r>
      <w:r w:rsidRPr="003817EA">
        <w:rPr>
          <w:rtl/>
        </w:rPr>
        <w:tab/>
        <w:t>قدَّم وزير الشؤون الاجتماعية والمساواة مشروعي قانونين إلى البرلمان في 19 آذار/</w:t>
      </w:r>
      <w:r w:rsidR="008214D9">
        <w:rPr>
          <w:rFonts w:hint="cs"/>
          <w:rtl/>
        </w:rPr>
        <w:t xml:space="preserve"> </w:t>
      </w:r>
      <w:r w:rsidRPr="003817EA">
        <w:rPr>
          <w:rtl/>
        </w:rPr>
        <w:t>مارس</w:t>
      </w:r>
      <w:r w:rsidR="008214D9">
        <w:rPr>
          <w:rFonts w:hint="cs"/>
          <w:rtl/>
        </w:rPr>
        <w:t> </w:t>
      </w:r>
      <w:r w:rsidRPr="003817EA">
        <w:rPr>
          <w:rtl/>
        </w:rPr>
        <w:t xml:space="preserve">2018، يتعلق أحدهما بالمساواة في المعاملة في سوق العمل، والآخر بالمساواة في المعاملة بين </w:t>
      </w:r>
      <w:r w:rsidRPr="003817EA">
        <w:rPr>
          <w:rtl/>
        </w:rPr>
        <w:lastRenderedPageBreak/>
        <w:t>الناس بصرف النظر عن العِرْق أو الأصل القومي. وأُقرَّ مشروعا القانونين ودخل التشريع الجديد حيز النفاذ في 1 أيلول/سبتمبر 2018.</w:t>
      </w:r>
    </w:p>
    <w:p w14:paraId="0D3A0581" w14:textId="77777777" w:rsidR="00A1204B" w:rsidRPr="003817EA" w:rsidRDefault="00A1204B" w:rsidP="00A1204B">
      <w:pPr>
        <w:pStyle w:val="SingleTxtGA"/>
        <w:rPr>
          <w:rtl/>
        </w:rPr>
      </w:pPr>
      <w:r w:rsidRPr="003817EA">
        <w:rPr>
          <w:rtl/>
        </w:rPr>
        <w:t>116-</w:t>
      </w:r>
      <w:r w:rsidRPr="003817EA">
        <w:rPr>
          <w:rtl/>
        </w:rPr>
        <w:tab/>
        <w:t xml:space="preserve">ويتضمن القانون الجديد المتعلق بالمساواة في المعاملة في سوق العمل حظراً على جميع أشكال التمييز ضد الناس في سوق العمل، سواء كان تمييزاً مباشراً أم غير مباشر، بسبب عِرقهم أو أصلهم القومي أو دينهم أو إعاقتهم أو ضعف قدرتهم على العمل أو سنّهم أو ميولهم الجنسية. وهذا القانون مهم لتعزيز المشاركة النشطة في سوق العمل، التي تُعتبر من أفضل السبل لمنع الإقصاء الاجتماعي والفقر. وفي عملية التشريع، شكَّل التوجيه الصادر عن مجلس الاتحاد الأوروبي </w:t>
      </w:r>
      <w:r w:rsidRPr="003817EA">
        <w:t>2000/78/EB</w:t>
      </w:r>
      <w:r w:rsidRPr="003817EA">
        <w:rPr>
          <w:rtl/>
        </w:rPr>
        <w:t xml:space="preserve"> بشأن قواعد المساواة في المعاملة في سوق العمل والحياة الاقتصادية مبدأً توجيهيّاً.</w:t>
      </w:r>
    </w:p>
    <w:p w14:paraId="05F1DE70" w14:textId="77777777" w:rsidR="00A1204B" w:rsidRPr="003817EA" w:rsidRDefault="00A1204B" w:rsidP="00A1204B">
      <w:pPr>
        <w:pStyle w:val="SingleTxtGA"/>
        <w:rPr>
          <w:rtl/>
        </w:rPr>
      </w:pPr>
      <w:r w:rsidRPr="003817EA">
        <w:rPr>
          <w:rtl/>
        </w:rPr>
        <w:t>117-</w:t>
      </w:r>
      <w:r w:rsidRPr="003817EA">
        <w:rPr>
          <w:rtl/>
        </w:rPr>
        <w:tab/>
        <w:t xml:space="preserve">ويهدف القانون الجديد المتعلق بالمساواة في المعاملة بين الناس، بصرف النظر عن العِرْق أو الأصل القومي، إلى ضمان نفس المبدأ المتمثل في المساواة في المعاملة بين الناس، ولكن خارج سوق العمل في جميع مناحي المجتمع الآيسلندي. وفي عملية التشريع، شكَّل مضمون التوجيه الصادر عن مجلس الاتحاد الأوروبي </w:t>
      </w:r>
      <w:r w:rsidRPr="003817EA">
        <w:t>2000/43/EB</w:t>
      </w:r>
      <w:r w:rsidRPr="003817EA">
        <w:rPr>
          <w:rtl/>
        </w:rPr>
        <w:t xml:space="preserve"> بشأن المساواة في المعاملة بصرف النظر عن العِرْق أو الأصل القومي مبدأً توجيهيّاً.</w:t>
      </w:r>
    </w:p>
    <w:p w14:paraId="2AEF277C" w14:textId="77777777" w:rsidR="00A1204B" w:rsidRPr="003817EA" w:rsidRDefault="00A1204B" w:rsidP="00A1204B">
      <w:pPr>
        <w:pStyle w:val="SingleTxtGA"/>
        <w:rPr>
          <w:rtl/>
        </w:rPr>
      </w:pPr>
      <w:r w:rsidRPr="003817EA">
        <w:rPr>
          <w:rtl/>
        </w:rPr>
        <w:t>118-</w:t>
      </w:r>
      <w:r w:rsidRPr="003817EA">
        <w:rPr>
          <w:rtl/>
        </w:rPr>
        <w:tab/>
        <w:t>والهدف من فرض حظر واضح على جميع أشكال التمييز هو تشجيع مشاركة أكبر عدد ممكن من الناس في المجتمع الآيسلندي مشاركة نشطة، بصرف النظر عن العِرْق أو الأصل القومي، ومنع الإقصاء الاجتماعي للأفراد لنفس الأسباب.</w:t>
      </w:r>
    </w:p>
    <w:p w14:paraId="33CA8DC0" w14:textId="77777777" w:rsidR="00A1204B" w:rsidRPr="001F1035" w:rsidRDefault="00A1204B" w:rsidP="00A1204B">
      <w:pPr>
        <w:pStyle w:val="H1GA"/>
        <w:rPr>
          <w:rtl/>
        </w:rPr>
      </w:pPr>
      <w:r w:rsidRPr="001F1035">
        <w:rPr>
          <w:rtl/>
        </w:rPr>
        <w:tab/>
        <w:t>باء-</w:t>
      </w:r>
      <w:r w:rsidRPr="001F1035">
        <w:rPr>
          <w:rtl/>
        </w:rPr>
        <w:tab/>
        <w:t>الإطار المؤسسي وسبل الانتصاف الفعالة</w:t>
      </w:r>
    </w:p>
    <w:p w14:paraId="7CACC016" w14:textId="77777777" w:rsidR="00A1204B" w:rsidRPr="001F1035" w:rsidRDefault="00A1204B" w:rsidP="00A1204B">
      <w:pPr>
        <w:pStyle w:val="H23GA"/>
        <w:rPr>
          <w:rtl/>
        </w:rPr>
      </w:pPr>
      <w:r w:rsidRPr="001F1035">
        <w:rPr>
          <w:rtl/>
        </w:rPr>
        <w:tab/>
        <w:t>1-</w:t>
      </w:r>
      <w:r w:rsidRPr="001F1035">
        <w:rPr>
          <w:rtl/>
        </w:rPr>
        <w:tab/>
        <w:t>اللجنة المعنية بالشكاوى المتعلقة بالمساواة بين الجنسين</w:t>
      </w:r>
    </w:p>
    <w:p w14:paraId="0A51F4D2" w14:textId="77777777" w:rsidR="00A1204B" w:rsidRPr="008214D9" w:rsidRDefault="00A1204B" w:rsidP="00A1204B">
      <w:pPr>
        <w:pStyle w:val="SingleTxtGA"/>
        <w:rPr>
          <w:spacing w:val="-2"/>
          <w:rtl/>
        </w:rPr>
      </w:pPr>
      <w:r w:rsidRPr="003817EA">
        <w:rPr>
          <w:rtl/>
        </w:rPr>
        <w:t>119-</w:t>
      </w:r>
      <w:r w:rsidRPr="003817EA">
        <w:rPr>
          <w:rtl/>
        </w:rPr>
        <w:tab/>
      </w:r>
      <w:r w:rsidRPr="008214D9">
        <w:rPr>
          <w:spacing w:val="-2"/>
          <w:rtl/>
        </w:rPr>
        <w:t>تتمثل مهمة اللجنة المعنية بالشكاوى المتعلقة بالمساواة بين الجنسين في النظر في القضايا وإصدار قرار خطي بشأن ما إذا كانت أحكام القانون رقم 10/2008 قد انتُهكت. ولا يجوز إحالة القرارات التي تصدرها اللجنة إلى سلطة أعلى. وفي الحالات التي يُتوقع أن تؤثِّر فيها تلك القرارات على السياسة العامة المتعلقة بسوق العمل برمّته، تلتمس اللجنة تعليقات من الاتحادات الوطنية للعمال وأرباب العمل قبل أن تُصدر قرارها. وقرارات اللجنة ملزمة للأطراف المعنية. ويجوز للأطراف إحالة قرارات اللجنة إلى المحاكم.</w:t>
      </w:r>
    </w:p>
    <w:p w14:paraId="0529D444" w14:textId="77777777" w:rsidR="00A1204B" w:rsidRPr="001F1035" w:rsidRDefault="00A1204B" w:rsidP="00A1204B">
      <w:pPr>
        <w:pStyle w:val="H23GA"/>
        <w:rPr>
          <w:rtl/>
        </w:rPr>
      </w:pPr>
      <w:r w:rsidRPr="001F1035">
        <w:rPr>
          <w:rtl/>
        </w:rPr>
        <w:tab/>
        <w:t>2-</w:t>
      </w:r>
      <w:r w:rsidRPr="001F1035">
        <w:rPr>
          <w:rtl/>
        </w:rPr>
        <w:tab/>
        <w:t>مركز المساواة بين الجنسين</w:t>
      </w:r>
    </w:p>
    <w:p w14:paraId="30C0DC1E" w14:textId="77777777" w:rsidR="00A1204B" w:rsidRPr="003817EA" w:rsidRDefault="00A1204B" w:rsidP="00A1204B">
      <w:pPr>
        <w:pStyle w:val="SingleTxtGA"/>
        <w:rPr>
          <w:rtl/>
        </w:rPr>
      </w:pPr>
      <w:r w:rsidRPr="003817EA">
        <w:rPr>
          <w:rtl/>
        </w:rPr>
        <w:t>120-</w:t>
      </w:r>
      <w:r w:rsidRPr="003817EA">
        <w:rPr>
          <w:rtl/>
        </w:rPr>
        <w:tab/>
        <w:t>يتولى مركز المساواة بين الجنسين مسؤولية إدارة التشريعات المتعلقة بالمساواة بين الجنسين، ويقدِّم المشورة وخدمات التثقيف في مجال المساواة بين الجنسين. ويساعد المركز أيضاً، عند الاقتضاء، في إعداد الشكاوى لتقديمها إلى اللجنة المعنية بالشكاوى. غير أنَّ المركز ليس مؤسسة مستقلة، إذ يعمل تحت إشراف وزارة الشؤون الاجتماعية والمساواة.</w:t>
      </w:r>
    </w:p>
    <w:p w14:paraId="71C93334" w14:textId="77777777" w:rsidR="00A1204B" w:rsidRPr="001F1035" w:rsidRDefault="00A1204B" w:rsidP="00A1204B">
      <w:pPr>
        <w:pStyle w:val="H23GA"/>
        <w:rPr>
          <w:rtl/>
        </w:rPr>
      </w:pPr>
      <w:r w:rsidRPr="001F1035">
        <w:rPr>
          <w:rtl/>
        </w:rPr>
        <w:tab/>
        <w:t>3-</w:t>
      </w:r>
      <w:r w:rsidRPr="001F1035">
        <w:rPr>
          <w:rtl/>
        </w:rPr>
        <w:tab/>
        <w:t>مجلس المساواة بين الجنسين</w:t>
      </w:r>
    </w:p>
    <w:p w14:paraId="4EBE3698" w14:textId="77777777" w:rsidR="00A1204B" w:rsidRPr="003817EA" w:rsidRDefault="00A1204B" w:rsidP="00A1204B">
      <w:pPr>
        <w:pStyle w:val="SingleTxtGA"/>
        <w:rPr>
          <w:rtl/>
        </w:rPr>
      </w:pPr>
      <w:r w:rsidRPr="003817EA">
        <w:rPr>
          <w:rtl/>
        </w:rPr>
        <w:t>121-</w:t>
      </w:r>
      <w:r w:rsidRPr="003817EA">
        <w:rPr>
          <w:rtl/>
        </w:rPr>
        <w:tab/>
        <w:t xml:space="preserve">بعد إجراء كل انتخابات برلمانية، يعيِّن وزير الشؤون الاجتماعية والمساواة مجلساً للمساواة بين الجنسين يتألف من أحد عشر عضواً. ويرشَّح الأعضاء الممثَّلون في المجلس من قِبَل رابطات الموظفين وأرباب العمل، ومختلف المنظمات النسائية، ومنظمات المجتمع المدني، والمؤسسات الأكاديمية، ورابطة السلطات المحلية في آيسلندا. ويعمل المجلس في اتصال وثيق مع مركز المساواة بين الجنسين ووزارة </w:t>
      </w:r>
      <w:r w:rsidRPr="003817EA">
        <w:rPr>
          <w:rtl/>
        </w:rPr>
        <w:lastRenderedPageBreak/>
        <w:t>الشؤون الاجتماعية والمساواة، مع التركيز بوجه خاص على تعزيز المساواة بين الجنسين في سوق العمل وعلى التوفيق بين الحياة المهنية والحياة الأسرية.</w:t>
      </w:r>
    </w:p>
    <w:p w14:paraId="724143DA" w14:textId="77777777" w:rsidR="00A1204B" w:rsidRPr="001F1035" w:rsidRDefault="00A1204B" w:rsidP="00A1204B">
      <w:pPr>
        <w:pStyle w:val="H23GA"/>
        <w:rPr>
          <w:rtl/>
        </w:rPr>
      </w:pPr>
      <w:r w:rsidRPr="001F1035">
        <w:rPr>
          <w:rtl/>
        </w:rPr>
        <w:tab/>
        <w:t>4-</w:t>
      </w:r>
      <w:r w:rsidRPr="001F1035">
        <w:rPr>
          <w:rtl/>
        </w:rPr>
        <w:tab/>
        <w:t>التنظيم داخل الإدارة العامة المركزية</w:t>
      </w:r>
    </w:p>
    <w:p w14:paraId="4CD4EBD8" w14:textId="77777777" w:rsidR="00A1204B" w:rsidRPr="003817EA" w:rsidRDefault="00A1204B" w:rsidP="00A1204B">
      <w:pPr>
        <w:pStyle w:val="SingleTxtGA"/>
        <w:rPr>
          <w:rtl/>
        </w:rPr>
      </w:pPr>
      <w:r w:rsidRPr="003817EA">
        <w:rPr>
          <w:rtl/>
        </w:rPr>
        <w:t>122-</w:t>
      </w:r>
      <w:r w:rsidRPr="003817EA">
        <w:rPr>
          <w:rtl/>
        </w:rPr>
        <w:tab/>
        <w:t>تؤدِّي وزارة الشؤون الاجتماعية والمساواة دوراً رئيسيّاً في الجهود الرامية إلى تعزيز منظور المساواة في الحقوق في جميع مجالات السياسة العامة وعلى جميع المستويات الإدارية. غير أنَّ كل وزارةٍ مسؤولةٌ عن تعزيز المساواة في الحقوق ومنع التمييز داخل قطاعها.</w:t>
      </w:r>
    </w:p>
    <w:p w14:paraId="1F689BCE" w14:textId="77777777" w:rsidR="00A1204B" w:rsidRPr="003817EA" w:rsidRDefault="00A1204B" w:rsidP="00A1204B">
      <w:pPr>
        <w:pStyle w:val="SingleTxtGA"/>
        <w:rPr>
          <w:rtl/>
        </w:rPr>
      </w:pPr>
      <w:r w:rsidRPr="003817EA">
        <w:rPr>
          <w:rtl/>
        </w:rPr>
        <w:t>123-</w:t>
      </w:r>
      <w:r w:rsidRPr="003817EA">
        <w:rPr>
          <w:rtl/>
        </w:rPr>
        <w:tab/>
        <w:t>وليس لدى آيسلندا أمين مظالم معني بالتمييز تابع للدولة يساعد الضحايا على رفع قضايا التمييز إلى المحاكم. ولا يعالج مركز المساواة بين الجنسين سوى التمييز المتصل بنوع الجنس.</w:t>
      </w:r>
    </w:p>
    <w:p w14:paraId="0B2DFB9D" w14:textId="77777777" w:rsidR="00A1204B" w:rsidRPr="001F1035" w:rsidRDefault="00A1204B" w:rsidP="00A1204B">
      <w:pPr>
        <w:pStyle w:val="H1GA"/>
        <w:rPr>
          <w:rtl/>
        </w:rPr>
      </w:pPr>
      <w:r w:rsidRPr="001F1035">
        <w:rPr>
          <w:rtl/>
        </w:rPr>
        <w:tab/>
        <w:t>جيم-</w:t>
      </w:r>
      <w:r w:rsidRPr="001F1035">
        <w:rPr>
          <w:rtl/>
        </w:rPr>
        <w:tab/>
        <w:t>المساواة بين الجنسين وفئات ضعيفة محدَّدة</w:t>
      </w:r>
    </w:p>
    <w:p w14:paraId="7E1A7E56" w14:textId="77777777" w:rsidR="00A1204B" w:rsidRPr="001F1035" w:rsidRDefault="00A1204B" w:rsidP="00A1204B">
      <w:pPr>
        <w:pStyle w:val="H23GA"/>
        <w:rPr>
          <w:rtl/>
        </w:rPr>
      </w:pPr>
      <w:r w:rsidRPr="001F1035">
        <w:rPr>
          <w:rtl/>
        </w:rPr>
        <w:tab/>
        <w:t>1-</w:t>
      </w:r>
      <w:r w:rsidRPr="001F1035">
        <w:rPr>
          <w:rtl/>
        </w:rPr>
        <w:tab/>
        <w:t>خطاب الكراهية</w:t>
      </w:r>
    </w:p>
    <w:p w14:paraId="596DB44F" w14:textId="77777777" w:rsidR="00A1204B" w:rsidRPr="008214D9" w:rsidRDefault="00A1204B" w:rsidP="00A1204B">
      <w:pPr>
        <w:pStyle w:val="SingleTxtGA"/>
        <w:rPr>
          <w:spacing w:val="-2"/>
          <w:rtl/>
        </w:rPr>
      </w:pPr>
      <w:r w:rsidRPr="003817EA">
        <w:rPr>
          <w:rtl/>
        </w:rPr>
        <w:t>124-</w:t>
      </w:r>
      <w:r w:rsidRPr="003817EA">
        <w:rPr>
          <w:rtl/>
        </w:rPr>
        <w:tab/>
      </w:r>
      <w:r w:rsidRPr="008214D9">
        <w:rPr>
          <w:spacing w:val="-2"/>
          <w:rtl/>
        </w:rPr>
        <w:t>تنص المادة 233(أ) من قانون العقوبات العام في آيسلندا على أنَّ كل من يسْخَر علناً من شخص أو مجموعة من الأشخاص أو يشهِّر بهم أو يشوِّه سمعتهم أو يهدِّدهم بتعليقات أو تعبيرات ذات طابع آخر، عن طريق صور أو رموز مثلاً، بسبب جنسيتهم أو لونهم أو عِرْقهم أو دينهم أو ميولهم الجنسية أو هويتهم الجنسانية، أو ينشر هذه المواد، يعاقَب بالغرامة أو بالسجن لمدة تصل إلى سنتين. كما تتضمن المواد 125 و180 و234 من قانون العقوبات أحكاماً بشأن شكل من أشكال خطاب الكراهية أو التمييز.</w:t>
      </w:r>
    </w:p>
    <w:p w14:paraId="60AB1955" w14:textId="77777777" w:rsidR="00A1204B" w:rsidRPr="003817EA" w:rsidRDefault="00A1204B" w:rsidP="00A1204B">
      <w:pPr>
        <w:pStyle w:val="SingleTxtGA"/>
        <w:rPr>
          <w:rtl/>
        </w:rPr>
      </w:pPr>
      <w:r w:rsidRPr="003817EA">
        <w:rPr>
          <w:rtl/>
        </w:rPr>
        <w:t>125-</w:t>
      </w:r>
      <w:r w:rsidRPr="003817EA">
        <w:rPr>
          <w:rtl/>
        </w:rPr>
        <w:tab/>
        <w:t>وتنص المادة 65 من الدستور على مبدأ المساواة بصرف النظر عن الجنس أو الدين أو الرأي أو الأصل القومي أو العِرْق أو اللون أو الملكية أو المولد أو أي وضع آخر.</w:t>
      </w:r>
    </w:p>
    <w:p w14:paraId="1EF7BB88" w14:textId="77777777" w:rsidR="00A1204B" w:rsidRPr="003817EA" w:rsidRDefault="00A1204B" w:rsidP="00A1204B">
      <w:pPr>
        <w:pStyle w:val="SingleTxtGA"/>
        <w:rPr>
          <w:rtl/>
        </w:rPr>
      </w:pPr>
      <w:r w:rsidRPr="003817EA">
        <w:rPr>
          <w:rtl/>
        </w:rPr>
        <w:t>126-</w:t>
      </w:r>
      <w:r w:rsidRPr="003817EA">
        <w:rPr>
          <w:rtl/>
        </w:rPr>
        <w:tab/>
        <w:t>وتنص المادة 27 من قانون وسائط الإعلام على أنه لا يُسمح للمراسلين الصحفيين بتأجيج الكراهية عمداً على أساس العِرْق أو نوع الجنس أو الميل الجنسي أو الدين أو الجنسية أو الوضع الثقافي أو الاقتصادي أو الاجتماعي في المجتمع.</w:t>
      </w:r>
      <w:bookmarkStart w:id="2" w:name="_Hlk68606347"/>
    </w:p>
    <w:p w14:paraId="20E2083B" w14:textId="77777777" w:rsidR="00A1204B" w:rsidRPr="001F1035" w:rsidRDefault="00A1204B" w:rsidP="00A1204B">
      <w:pPr>
        <w:pStyle w:val="H23GA"/>
        <w:rPr>
          <w:rtl/>
        </w:rPr>
      </w:pPr>
      <w:r w:rsidRPr="001F1035">
        <w:rPr>
          <w:rtl/>
        </w:rPr>
        <w:tab/>
        <w:t>2-</w:t>
      </w:r>
      <w:r w:rsidRPr="001F1035">
        <w:rPr>
          <w:rtl/>
        </w:rPr>
        <w:tab/>
        <w:t>المساواة بين الجنسين</w:t>
      </w:r>
    </w:p>
    <w:p w14:paraId="1A627F46" w14:textId="743A85AB" w:rsidR="00A1204B" w:rsidRPr="003817EA" w:rsidRDefault="00A1204B" w:rsidP="00A1204B">
      <w:pPr>
        <w:pStyle w:val="SingleTxtGA"/>
        <w:rPr>
          <w:rtl/>
        </w:rPr>
      </w:pPr>
      <w:r w:rsidRPr="003817EA">
        <w:rPr>
          <w:rtl/>
        </w:rPr>
        <w:t>127-</w:t>
      </w:r>
      <w:r w:rsidRPr="003817EA">
        <w:rPr>
          <w:rtl/>
        </w:rPr>
        <w:tab/>
        <w:t>يحظر قانونا المساواة ومناهضة التمييز كل تمييز على أساس نوع الجنس في جميع مجالات المجتمع.</w:t>
      </w:r>
      <w:bookmarkEnd w:id="2"/>
    </w:p>
    <w:p w14:paraId="4FB970FA" w14:textId="77777777" w:rsidR="00A1204B" w:rsidRPr="008214D9" w:rsidRDefault="00A1204B" w:rsidP="00A1204B">
      <w:pPr>
        <w:pStyle w:val="SingleTxtGA"/>
        <w:rPr>
          <w:spacing w:val="-2"/>
          <w:rtl/>
        </w:rPr>
      </w:pPr>
      <w:r w:rsidRPr="003817EA">
        <w:rPr>
          <w:rtl/>
        </w:rPr>
        <w:t>128-</w:t>
      </w:r>
      <w:r w:rsidRPr="003817EA">
        <w:rPr>
          <w:rtl/>
        </w:rPr>
        <w:tab/>
      </w:r>
      <w:r w:rsidRPr="008214D9">
        <w:rPr>
          <w:spacing w:val="-2"/>
          <w:rtl/>
        </w:rPr>
        <w:t>ويتناول حكم في الدستور مبدأ المساواة تحديداً (انظر المادة 65). وينص الحكم المذكور على أنَّ من الواجب أن يتمتع الرجال والنساء بحقوق متساوية من جميع النواحي. وأرست آيسلندا أيضاً قانوناً خاصّاً يهدف إلى ضمان المساواة بين المرأة والرجل ووضعهما المتساوي من جميع النواحي منذ عام 1976.</w:t>
      </w:r>
    </w:p>
    <w:p w14:paraId="18300AC7" w14:textId="77777777" w:rsidR="00A1204B" w:rsidRPr="003817EA" w:rsidRDefault="00A1204B" w:rsidP="00A1204B">
      <w:pPr>
        <w:pStyle w:val="SingleTxtGA"/>
        <w:rPr>
          <w:rtl/>
        </w:rPr>
      </w:pPr>
      <w:r w:rsidRPr="003817EA">
        <w:rPr>
          <w:rtl/>
        </w:rPr>
        <w:t>129-</w:t>
      </w:r>
      <w:r w:rsidRPr="003817EA">
        <w:rPr>
          <w:rtl/>
        </w:rPr>
        <w:tab/>
        <w:t xml:space="preserve">وعندما بدأ إنشاء نظام الرعاية الاجتماعية في آيسلندا في الأربعينات من القرن الماضي وفقاً لنموذج بلدان الشمال الأوروبي، بدأت تبرز صورة جديدة لمكانتي الرجل والمرأة تكتسب فيها المرأة باستمرار حقوقاً أكبر ومساواة في المكانة. ومنذ عام 1850، عندما اتُّخذت أول خطوة تشريعية على طريق المساواة بين الجنسين بإرساء المساواة بين البنات والأبناء في الحق في الإرث، اتُّخذت خطوات عديدة لضمان المساواة بين الجنسين في آيسلندا. ووفقاً للمنتدى الاقتصادي العالمي، فقد تحقَّق قدر كبير من المساواة بين الجنسين داخل النظام الآيسلندي، كما يؤكِّد ذلك مؤشر الفجوة بين الجنسين. وصنَّف المنتدى آيسلندا في المرتبة الأولى عالميّاً في مجال المساواة بين الجنسين للسنة الثانية عشرة على التوالي في دراسة استقصائية شملت 140 بلداً. ويجري تقييم وضع كل بلد استناداً إلى أربعة معايير، وهي الحصول على </w:t>
      </w:r>
      <w:r w:rsidRPr="003817EA">
        <w:rPr>
          <w:rtl/>
        </w:rPr>
        <w:lastRenderedPageBreak/>
        <w:t>الرعاية الصحية، ومستوى التعليم، والمشاركة السياسية، والمكانة الاقتصادية. وتشمل كل نقطة من هذه النقاط الرئيسية فئات فرعية، منها مثلاً المشاركة في سوق العمل، والمساواة في الأجر، والدخل المحصَّل من العمل، ونسبة النساء بين المديرين والخبراء.</w:t>
      </w:r>
    </w:p>
    <w:p w14:paraId="061A339C" w14:textId="77777777" w:rsidR="00A1204B" w:rsidRPr="001F1035" w:rsidRDefault="00A1204B" w:rsidP="00A1204B">
      <w:pPr>
        <w:pStyle w:val="H23GA"/>
        <w:rPr>
          <w:rtl/>
        </w:rPr>
      </w:pPr>
      <w:r w:rsidRPr="001F1035">
        <w:rPr>
          <w:rtl/>
        </w:rPr>
        <w:tab/>
        <w:t>3-</w:t>
      </w:r>
      <w:r w:rsidRPr="001F1035">
        <w:rPr>
          <w:rtl/>
        </w:rPr>
        <w:tab/>
        <w:t>المساواة في الحقوق للمثليات والمثليين ومزدوجي الميل الجنسي ومغايري الهوية الجنسانية وحاملي صفات الجنسين</w:t>
      </w:r>
    </w:p>
    <w:p w14:paraId="363AADCE" w14:textId="77777777" w:rsidR="00A1204B" w:rsidRPr="003817EA" w:rsidRDefault="00A1204B" w:rsidP="00A1204B">
      <w:pPr>
        <w:pStyle w:val="SingleTxtGA"/>
        <w:rPr>
          <w:rtl/>
        </w:rPr>
      </w:pPr>
      <w:r w:rsidRPr="003817EA">
        <w:rPr>
          <w:rtl/>
        </w:rPr>
        <w:t>130-</w:t>
      </w:r>
      <w:r w:rsidRPr="003817EA">
        <w:rPr>
          <w:rtl/>
        </w:rPr>
        <w:tab/>
        <w:t>آيسلندا من المناصرين بثبات لحقوق المثليات والمثليين ومزدوجي الميل الجنسي ومغايري الهوية الجنسانية وحاملي صفات الجنسين، كما يتجلى في التزامها الطوعي تجاه مجلس حقوق الإنسان، الذي تتعهد فيه آيسلندا بمواصلة تعزيز حقوق هذه الفئات ومناصرتها. وتتصدر آيسلندا المؤشر من حيث تقبُّل المجتمع للمثليات والمثليين ومزدوجي الميل الجنسي ومغايري الهوية الجنسانية وحاملي صفات الجنسين، وفقاً لدراسة أجرتها منظمة التعاون والتنمية في الميدان الاقتصادي في عام 2019.</w:t>
      </w:r>
    </w:p>
    <w:p w14:paraId="042A9247" w14:textId="77777777" w:rsidR="00A1204B" w:rsidRPr="003817EA" w:rsidRDefault="00A1204B" w:rsidP="00A1204B">
      <w:pPr>
        <w:pStyle w:val="SingleTxtGA"/>
        <w:rPr>
          <w:rtl/>
        </w:rPr>
      </w:pPr>
      <w:r w:rsidRPr="003817EA">
        <w:rPr>
          <w:rtl/>
        </w:rPr>
        <w:t>131-</w:t>
      </w:r>
      <w:r w:rsidRPr="003817EA">
        <w:rPr>
          <w:rtl/>
        </w:rPr>
        <w:tab/>
        <w:t>ومنذ عام 1996، أصبح التمييز على أساس الميل الجنسي خاضعاً للعقوبة بموجب قانون العقوبات العام. وفي العام نفسه، مُنحت الشراكة المسجَّلة بين الأزواج من جنس واحد نفسَ الوضع القانوني الخاص بالزواج باستثناء بعض القيود المتعلقة بالتبني. وفي عام 2010، ألغي هذا الفرق بين الزيجات والشراكات المسجَّلة، وبات قانون الزواج ينطبق على الأزواج من جنسين مختلفين ومن نفس الجنس على حد سواء. وبذلك أصبح بإمكان الأفراد من المثليات والمثليين ومزدوجي الميل الجنسي ومغايري الهوية الجنسانية وحاملي صفات الجنسين، ممن هم في وضع شراكة مسجَّلة أو زواج، تبني أطفال. ومع ذلك، يمكن أن تكون العملية صعبة، إذ إنَّ تشريعات التبني في البلدان التي يسعى الآيسلنديون إلى تبني أطفال منها غالباً ما تكون مختلفة فيما يتعلق بحقوق المثليات والمثليين ومزدوجي الميل الجنسي ومغايري الهوية الجنسانية وحاملي صفات الجنسين.</w:t>
      </w:r>
    </w:p>
    <w:p w14:paraId="703A6A7B" w14:textId="77777777" w:rsidR="00A1204B" w:rsidRPr="003817EA" w:rsidRDefault="00A1204B" w:rsidP="00A1204B">
      <w:pPr>
        <w:pStyle w:val="SingleTxtGA"/>
        <w:rPr>
          <w:rtl/>
        </w:rPr>
      </w:pPr>
      <w:r w:rsidRPr="003817EA">
        <w:rPr>
          <w:rtl/>
        </w:rPr>
        <w:t>132-</w:t>
      </w:r>
      <w:r w:rsidRPr="003817EA">
        <w:rPr>
          <w:rtl/>
        </w:rPr>
        <w:tab/>
        <w:t>ويكفل قانون استقلالية الجنسين لعام 2019 (رقم 80/2019) حق كل شخص في سن 15 عاماً فما فوق في تغيير تسجيل جنسه في سجلات آيسلندا. ويحقُّ لمقدِّم الطلب أيضاً، إلى جانب تغيير تسجيل نوع الجنس، تغيير الاسم. ولا يمكن اشتراط أي متطلبات طبية لتغيير تسجيل نوع الجنس، مثل العمليات الجراحية أو الأدوية أو العلاج الهرموني أو العلاج النفساني أو النفسي. ويُسمح أيضاً بالتسجيل المحايد من حيث نوع الجنس. ويعزِّز القانون حقوق الأشخاص أحرار الهوية الجنسانية من حيث إنَّ آيسلندا باتت تعترف تماماً بالحق في تسجيل نوع الجنس دون أي تدخل طبي أو نفساني.</w:t>
      </w:r>
    </w:p>
    <w:p w14:paraId="0C13F5D6" w14:textId="77777777" w:rsidR="00A1204B" w:rsidRPr="003817EA" w:rsidRDefault="00A1204B" w:rsidP="00A1204B">
      <w:pPr>
        <w:pStyle w:val="SingleTxtGA"/>
        <w:rPr>
          <w:rtl/>
        </w:rPr>
      </w:pPr>
      <w:r w:rsidRPr="003817EA">
        <w:rPr>
          <w:rtl/>
        </w:rPr>
        <w:t>133-</w:t>
      </w:r>
      <w:r w:rsidRPr="003817EA">
        <w:rPr>
          <w:rtl/>
        </w:rPr>
        <w:tab/>
        <w:t>وفي عام 2020، أضاف تعديل على قانون الاستقلال الجنساني حكماً يتعلق بالتغيرات في الخصائص الجنسية للأطفال المولودين بخصائص جنسية غير عادية. وهكذا أصبح القانون يحظر التدخلات الطبية غير الضرورية على القاصرين المولودين بخصائص جنسية غير عادية إلى أن يتمكن الطفل من إعطاء موافقة مستنيرة بهذا الشأن.</w:t>
      </w:r>
    </w:p>
    <w:p w14:paraId="74CABDAC" w14:textId="77777777" w:rsidR="00A1204B" w:rsidRPr="003817EA" w:rsidRDefault="00A1204B" w:rsidP="00A1204B">
      <w:pPr>
        <w:pStyle w:val="SingleTxtGA"/>
        <w:rPr>
          <w:rtl/>
        </w:rPr>
      </w:pPr>
      <w:r w:rsidRPr="003817EA">
        <w:rPr>
          <w:rtl/>
        </w:rPr>
        <w:t>134-</w:t>
      </w:r>
      <w:r w:rsidRPr="003817EA">
        <w:rPr>
          <w:rtl/>
        </w:rPr>
        <w:tab/>
        <w:t>ويكفل قانون جديد بشأن المساواة بين الجنسين صدر في كانون الأول/ديسمبر 2020 حق الأشخاص من ذوي التسجيل المحايد من حيث نوع الجنس، وحق الرجال والنساء.</w:t>
      </w:r>
    </w:p>
    <w:p w14:paraId="20DB72C3" w14:textId="77777777" w:rsidR="00A1204B" w:rsidRPr="008214D9" w:rsidRDefault="00A1204B" w:rsidP="00A1204B">
      <w:pPr>
        <w:pStyle w:val="SingleTxtGA"/>
        <w:rPr>
          <w:spacing w:val="-2"/>
        </w:rPr>
      </w:pPr>
      <w:r w:rsidRPr="003817EA">
        <w:rPr>
          <w:rtl/>
        </w:rPr>
        <w:t>135-</w:t>
      </w:r>
      <w:r w:rsidRPr="003817EA">
        <w:rPr>
          <w:rtl/>
        </w:rPr>
        <w:tab/>
      </w:r>
      <w:r w:rsidRPr="008214D9">
        <w:rPr>
          <w:spacing w:val="-2"/>
          <w:rtl/>
        </w:rPr>
        <w:t>وينظِّم قانون المساواة في المعاملة في سوق العمل لعام 2018 (رقم 86/2018) المساواة في المعاملة بين الأفراد في مجال العمالة ويغطي الأسباب المتمثلة في الأصل العِرْقي أو الإثني والدين والإعاقة وضعف القدرة على العمل والعمر والميل الجنسي والهوية الجنسانية والخصائص الجنسية والتعبير الجنساني.</w:t>
      </w:r>
    </w:p>
    <w:p w14:paraId="1DCE5F4F" w14:textId="77777777" w:rsidR="00A1204B" w:rsidRPr="001F1035" w:rsidRDefault="00A1204B" w:rsidP="00A1204B">
      <w:pPr>
        <w:pStyle w:val="H23GA"/>
        <w:rPr>
          <w:rtl/>
        </w:rPr>
      </w:pPr>
      <w:r w:rsidRPr="001F1035">
        <w:rPr>
          <w:rtl/>
        </w:rPr>
        <w:lastRenderedPageBreak/>
        <w:tab/>
        <w:t>4-</w:t>
      </w:r>
      <w:r w:rsidRPr="001F1035">
        <w:rPr>
          <w:rtl/>
        </w:rPr>
        <w:tab/>
        <w:t>مساواة الأشخاص ذوي الإعاقة في الحقوق</w:t>
      </w:r>
    </w:p>
    <w:p w14:paraId="112B2395" w14:textId="77777777" w:rsidR="00A1204B" w:rsidRPr="003817EA" w:rsidRDefault="00A1204B" w:rsidP="00A1204B">
      <w:pPr>
        <w:pStyle w:val="SingleTxtGA"/>
        <w:rPr>
          <w:rtl/>
        </w:rPr>
      </w:pPr>
      <w:r w:rsidRPr="003817EA">
        <w:rPr>
          <w:rtl/>
        </w:rPr>
        <w:t>136-</w:t>
      </w:r>
      <w:r w:rsidRPr="003817EA">
        <w:rPr>
          <w:rtl/>
        </w:rPr>
        <w:tab/>
        <w:t>لا يتضمن قانون المساواة وقانون مكافحة التمييز أحكاماً بشأن مكافحة التمييز ضد الأشخاص ذوي الإعاقة. ومع ذلك، فإنَّ حقوق الأشخاص ذوي الإعاقة مكفولة في الدستور.</w:t>
      </w:r>
    </w:p>
    <w:p w14:paraId="3F00C25A" w14:textId="77777777" w:rsidR="00A1204B" w:rsidRPr="003817EA" w:rsidRDefault="00A1204B" w:rsidP="00A1204B">
      <w:pPr>
        <w:pStyle w:val="SingleTxtGA"/>
        <w:rPr>
          <w:rtl/>
        </w:rPr>
      </w:pPr>
      <w:r w:rsidRPr="003817EA">
        <w:rPr>
          <w:rtl/>
        </w:rPr>
        <w:t>137-</w:t>
      </w:r>
      <w:r w:rsidRPr="003817EA">
        <w:rPr>
          <w:rtl/>
        </w:rPr>
        <w:tab/>
        <w:t>وقد صدَّقت آيسلندا على اتفاقية حقوق الأشخاص ذوي الإعاقة.</w:t>
      </w:r>
    </w:p>
    <w:p w14:paraId="1B2CCB84" w14:textId="77777777" w:rsidR="00A1204B" w:rsidRPr="003817EA" w:rsidRDefault="00A1204B" w:rsidP="00A1204B">
      <w:pPr>
        <w:pStyle w:val="SingleTxtGA"/>
        <w:rPr>
          <w:rtl/>
        </w:rPr>
      </w:pPr>
      <w:r w:rsidRPr="003817EA">
        <w:rPr>
          <w:rtl/>
        </w:rPr>
        <w:t>138-</w:t>
      </w:r>
      <w:r w:rsidRPr="003817EA">
        <w:rPr>
          <w:rtl/>
        </w:rPr>
        <w:tab/>
        <w:t>وأُضفي على لغة الإشارة الآيسلندية طابع رسمي من خلال القانون رقم 61/2011 المتعلق باللغة الآيسلندية ولغة الإشارة الآيسلندية. وتنص المادة 3 من القانون على أن يكون بإمكان أي شخص يحتاج إلى لغة الإشارة تعلمُ لغة الإشارة الآيسلندية واستخدامُها، في وقت مبكر منذ بدء اكتساب اللغة، أو من وقت بدء الصمم لديه. وبالإضافة إلى ذلك، دخلت قوانين تتعلق بمركز الخدمات والمعارف للمكفوفين وضعاف البصر والأفراد الذين يعانون من مزيج من ضعف البصر والسمع حيز النفاذ في نيسان/أبريل 2018.</w:t>
      </w:r>
    </w:p>
    <w:p w14:paraId="2088521C" w14:textId="77777777" w:rsidR="00A1204B" w:rsidRPr="003817EA" w:rsidRDefault="00A1204B" w:rsidP="00A1204B">
      <w:pPr>
        <w:pStyle w:val="SingleTxtGA"/>
        <w:rPr>
          <w:rtl/>
        </w:rPr>
      </w:pPr>
      <w:r w:rsidRPr="003817EA">
        <w:rPr>
          <w:rtl/>
        </w:rPr>
        <w:t>139-</w:t>
      </w:r>
      <w:r w:rsidRPr="003817EA">
        <w:rPr>
          <w:rtl/>
        </w:rPr>
        <w:tab/>
        <w:t>ويواجه العديد من الأشخاص ذوي الإعاقة عقبات في حياتهم اليومية بسبب نقص إمكانية الوصول في البيئات المادية المحيطة بهم. وتكتسي إمكانية الوصول أهمية حاسمة في ضمان المشاركة الكاملة في المجتمع. وأقر البرلمان، في أيار/مايو 2018، قانوناً جديداً بشأن الخدمات المقدَّمة للأشخاص الذين يحتاجون إلى المساعدة على المدى البعيد. ويتضمن القانون أحكاماً بشأن تقديم مساعدة شخصية للأشخاص ذوي الإعاقة، يديرها المستفيد من المساعدة بنفسه. والمساعدة الشخصية أداة تمكِّن من العيش باستقلالية. وتنص المادة 19 من اتفاقية حقوق الأشخاص ذوي الإعاقة على الحق في العيش المستقل والإدماج في المجتمع. والدول الأطراف في الاتفاقية ملزمة بأن "تتخذ تدابير فعالة ومناسبة" لتيسير التمتع بهذا الحق بصورة كاملة. والقانون الجديد خطوة في هذا الاتجاه.</w:t>
      </w:r>
    </w:p>
    <w:p w14:paraId="28C2B6C4" w14:textId="77777777" w:rsidR="00A1204B" w:rsidRPr="001F1035" w:rsidRDefault="00A1204B" w:rsidP="00A1204B">
      <w:pPr>
        <w:pStyle w:val="H23GA"/>
        <w:rPr>
          <w:rtl/>
        </w:rPr>
      </w:pPr>
      <w:r w:rsidRPr="001F1035">
        <w:rPr>
          <w:rtl/>
        </w:rPr>
        <w:tab/>
        <w:t>5-</w:t>
      </w:r>
      <w:r w:rsidRPr="001F1035">
        <w:rPr>
          <w:rtl/>
        </w:rPr>
        <w:tab/>
        <w:t>المساواة في الحقوق للمهاجرين وطالبي اللجوء واللاجئين</w:t>
      </w:r>
    </w:p>
    <w:p w14:paraId="50EA58B1" w14:textId="77777777" w:rsidR="00A1204B" w:rsidRPr="008214D9" w:rsidRDefault="00A1204B" w:rsidP="00A1204B">
      <w:pPr>
        <w:pStyle w:val="SingleTxtGA"/>
        <w:rPr>
          <w:spacing w:val="-2"/>
          <w:rtl/>
        </w:rPr>
      </w:pPr>
      <w:r w:rsidRPr="003817EA">
        <w:rPr>
          <w:rtl/>
        </w:rPr>
        <w:t>140-</w:t>
      </w:r>
      <w:r w:rsidRPr="003817EA">
        <w:rPr>
          <w:rtl/>
        </w:rPr>
        <w:tab/>
      </w:r>
      <w:r w:rsidRPr="008214D9">
        <w:rPr>
          <w:spacing w:val="-2"/>
          <w:rtl/>
        </w:rPr>
        <w:t>وفقاً لقانون الأجانب رقم 80/2016، الذي يجسِّد اتفاقية الأمم المتحدة للاجئين، يحق لطالب اللجوء في آيسلندا الاستفادة من السكن أثناء معالجة طلبه، فضلاً عن الدعم المالي والرعاية الصحية. كما يحق لطالبي اللجوء الاستفادة من خدمات متحدث باسمهم، بما يتيح لهم المساعدة في المسائل القانونية ذات الصلة بقضيتهم. وأخيراً، يجب أن يكون مترجم شفويّاً متاحاً لطالبي اللجوء أثناء عملية تقديم الطلب.</w:t>
      </w:r>
    </w:p>
    <w:p w14:paraId="49594FD3" w14:textId="77777777" w:rsidR="00A1204B" w:rsidRPr="003817EA" w:rsidRDefault="00A1204B" w:rsidP="00A1204B">
      <w:pPr>
        <w:pStyle w:val="SingleTxtGA"/>
        <w:rPr>
          <w:rtl/>
        </w:rPr>
      </w:pPr>
      <w:r w:rsidRPr="003817EA">
        <w:rPr>
          <w:rtl/>
        </w:rPr>
        <w:t>141-</w:t>
      </w:r>
      <w:r w:rsidRPr="003817EA">
        <w:rPr>
          <w:rtl/>
        </w:rPr>
        <w:tab/>
        <w:t>ووفقاً لأحكام القانون، يحق للأشخاص الذين يتعرضون للاضطهاد في بلدهم الأصلي أو يواجهون خطر عقوبة الإعدام أو التعذيب أو المعاملة أو العقوبة اللاإنسانية أو المهينة أن يُمنحوا اللجوء في آيسلندا. ويجوز منح طالب اللجوء، الذي لا يُعتبر لاجئاً، تصريحاً بالإقامة لدواعٍ إنسانية شريطة أن يكون ذلك معلَّلاً بحجج وجيهة، مثل مرض خطير أو صعوبة الظروف في البلد الأصلي.</w:t>
      </w:r>
    </w:p>
    <w:p w14:paraId="02581D1C" w14:textId="77777777" w:rsidR="00A1204B" w:rsidRPr="003817EA" w:rsidRDefault="00A1204B" w:rsidP="00A1204B">
      <w:pPr>
        <w:pStyle w:val="SingleTxtGA"/>
        <w:rPr>
          <w:rtl/>
        </w:rPr>
      </w:pPr>
      <w:r w:rsidRPr="003817EA">
        <w:rPr>
          <w:rtl/>
        </w:rPr>
        <w:t>142-</w:t>
      </w:r>
      <w:r w:rsidRPr="003817EA">
        <w:rPr>
          <w:rtl/>
        </w:rPr>
        <w:tab/>
        <w:t>واعتمدت آيسلندا لائحة دبلن الصادرة عن الاتحاد الأوروبي، والتي بموجبها تكون الدولة العضو، التي يصل إليها طالب اللجوء أولاً، مسؤولة عن معالجة طلبه. ومن ثم، يتم النظر في جميع الطلبات في آيسلندا أولاً فيما يتعلق بما إذا كانت دولة عضو أخرى ملزمةً بمعالجة الطلب واستقبال مقدِّمه مرة أخرى.</w:t>
      </w:r>
    </w:p>
    <w:p w14:paraId="09616B48" w14:textId="77777777" w:rsidR="00A1204B" w:rsidRPr="003817EA" w:rsidRDefault="00A1204B" w:rsidP="00A1204B">
      <w:pPr>
        <w:pStyle w:val="SingleTxtGA"/>
        <w:rPr>
          <w:rtl/>
        </w:rPr>
      </w:pPr>
      <w:r w:rsidRPr="003817EA">
        <w:rPr>
          <w:rtl/>
        </w:rPr>
        <w:t>143-</w:t>
      </w:r>
      <w:r w:rsidRPr="003817EA">
        <w:rPr>
          <w:rtl/>
        </w:rPr>
        <w:tab/>
        <w:t>فإذا رُفض طلب اللجوء، يوفَّر للمواطن الأجنبي السكن ريثما يغادر آيسلندا. ويحق لطالبي اللجوء الحصول على الرعاية الصحية حتى يوم ترحيلهم من آيسلندا.</w:t>
      </w:r>
    </w:p>
    <w:p w14:paraId="795D4DCC" w14:textId="77777777" w:rsidR="00A1204B" w:rsidRPr="001F1035" w:rsidRDefault="00A1204B" w:rsidP="00A1204B">
      <w:pPr>
        <w:pStyle w:val="H1GA"/>
        <w:rPr>
          <w:rtl/>
        </w:rPr>
      </w:pPr>
      <w:r w:rsidRPr="001F1035">
        <w:rPr>
          <w:rtl/>
        </w:rPr>
        <w:lastRenderedPageBreak/>
        <w:tab/>
        <w:t>دال-</w:t>
      </w:r>
      <w:r w:rsidRPr="001F1035">
        <w:rPr>
          <w:rtl/>
        </w:rPr>
        <w:tab/>
        <w:t>التدابير العامة المعتمدة للحد من التفاوتات الاقتصادية والاجتماعية والجغرافية</w:t>
      </w:r>
    </w:p>
    <w:p w14:paraId="0B7E7521" w14:textId="77777777" w:rsidR="00A1204B" w:rsidRPr="003817EA" w:rsidRDefault="00A1204B" w:rsidP="00A1204B">
      <w:pPr>
        <w:pStyle w:val="SingleTxtGA"/>
        <w:rPr>
          <w:rtl/>
        </w:rPr>
      </w:pPr>
      <w:r w:rsidRPr="003817EA">
        <w:rPr>
          <w:rtl/>
        </w:rPr>
        <w:t>144-</w:t>
      </w:r>
      <w:r w:rsidRPr="003817EA">
        <w:rPr>
          <w:rtl/>
        </w:rPr>
        <w:tab/>
        <w:t>يتسم نموذج الرفاه في بلدان الشمال بإعادة توزيع واسعة نسبيّاً للثروة من خلال نظام الضريبة على الدخل، ونُظم الرعاية الاجتماعية الشاملة، ونظام التعليم الشامل المموَّل من الحكومة، وسياسة فعالة خاصة بسوق العمل، وسوق العمل المرنة. والنظام الآيسلندي مزيج من اقتصاد السوق الحر ونظام قوي للرعاية الاجتماعية يهدف إلى ضمان أن يتمتع كل فرد، بصرف النظر عن دخله ومركزه الاجتماعي، بنفس الحق في التعليم والرعاية الصحية، ومن ثم نفس فرص التقدم الاقتصادي.</w:t>
      </w:r>
    </w:p>
    <w:p w14:paraId="0D601815" w14:textId="77777777" w:rsidR="00A1204B" w:rsidRPr="001F1035" w:rsidRDefault="00A1204B" w:rsidP="00A1204B">
      <w:pPr>
        <w:pStyle w:val="H23GA"/>
        <w:rPr>
          <w:rtl/>
        </w:rPr>
      </w:pPr>
      <w:r w:rsidRPr="001F1035">
        <w:rPr>
          <w:rtl/>
        </w:rPr>
        <w:tab/>
        <w:t>1-</w:t>
      </w:r>
      <w:r w:rsidRPr="001F1035">
        <w:rPr>
          <w:rtl/>
        </w:rPr>
        <w:tab/>
        <w:t>التعليم والتدريب</w:t>
      </w:r>
    </w:p>
    <w:p w14:paraId="3A888DBC" w14:textId="77777777" w:rsidR="00A1204B" w:rsidRPr="003817EA" w:rsidRDefault="00A1204B" w:rsidP="00A1204B">
      <w:pPr>
        <w:pStyle w:val="SingleTxtGA"/>
        <w:rPr>
          <w:rtl/>
        </w:rPr>
      </w:pPr>
      <w:r w:rsidRPr="003817EA">
        <w:rPr>
          <w:rtl/>
        </w:rPr>
        <w:t>145-</w:t>
      </w:r>
      <w:r w:rsidRPr="003817EA">
        <w:rPr>
          <w:rtl/>
        </w:rPr>
        <w:tab/>
        <w:t>يروم هيكل النظام التعليمي تحقيق المساواة الاجتماعية في المجتمع الآيسلندي والمحافظة عليها. ويتيح النظام التعليمي لجميع الأفراد فرصة متساوية في التعلم ويلبّي احتياجاتهم منه، مما يساعد على الحد من الفوارق الاجتماعية. ويقوم النظام الآيسلندي على مبدأ التعليم الشامل للجميع، الذي يتمتع فيه جميع الأطفال بالحق في تعليم يلائم احتياجاتهم. وينبغي أن تكون الفرص متساوية بغضّ النظر عن حالة كل طفل أو جنسيته أو عِرْقه أو إعاقته أو سماته الجنسية أو أي شيء آخر.</w:t>
      </w:r>
    </w:p>
    <w:p w14:paraId="23B2304D" w14:textId="77777777" w:rsidR="00A1204B" w:rsidRPr="003817EA" w:rsidRDefault="00A1204B" w:rsidP="00A1204B">
      <w:pPr>
        <w:pStyle w:val="SingleTxtGA"/>
        <w:rPr>
          <w:rtl/>
        </w:rPr>
      </w:pPr>
      <w:r w:rsidRPr="003817EA">
        <w:rPr>
          <w:rtl/>
        </w:rPr>
        <w:t>146-</w:t>
      </w:r>
      <w:r w:rsidRPr="003817EA">
        <w:rPr>
          <w:rtl/>
        </w:rPr>
        <w:tab/>
        <w:t>وتتمثل المشاكل الرئيسية التي يواجهها النظام التعليمي في السنوات الأخيرة في زيادة معدل تسرب الأطفال من المدارس الثانوية العليا، وانخفاض معدلات الإلمام بالقراءة والكتابة في صفوف التلاميذ الذين يتركون التعليم الإلزامي، وبطء تحصيل الطلاب في المدارس الثانوية العليا. وعلاوة على ذلك، يلتحق عدد قليل نسبيّاً من الطلاب بالبرامج المهنية، وقلّما يتخرَّج الملتحقون، إلى جانب الطلاب المسجلين في البرامج التحضيرية، في الوقت المحدَّد.</w:t>
      </w:r>
    </w:p>
    <w:p w14:paraId="05F3CCFF" w14:textId="77777777" w:rsidR="00A1204B" w:rsidRPr="008214D9" w:rsidRDefault="00A1204B" w:rsidP="00A1204B">
      <w:pPr>
        <w:pStyle w:val="SingleTxtGA"/>
        <w:rPr>
          <w:spacing w:val="-2"/>
          <w:rtl/>
        </w:rPr>
      </w:pPr>
      <w:r w:rsidRPr="003817EA">
        <w:rPr>
          <w:rtl/>
        </w:rPr>
        <w:t>147-</w:t>
      </w:r>
      <w:r w:rsidRPr="003817EA">
        <w:rPr>
          <w:rtl/>
        </w:rPr>
        <w:tab/>
      </w:r>
      <w:r w:rsidRPr="008214D9">
        <w:rPr>
          <w:spacing w:val="-2"/>
          <w:rtl/>
        </w:rPr>
        <w:t>ونشرت الحكومة في عام 2015 كتاباً أبيض في مجال إصلاح التعليم، يعرض نقاط القوة الرئيسية لنظام التعليم في آيسلندا. وتتمثل نقاط القوة في الفجوات الضئيلة نسبيّاً في الإنجاز بين المدارس، وشعور الطلاب عموماً بالسعادة في رحاب المدرسة، ومرونة النظام المدرسي وعدم مركزيته على نحو مفرط.</w:t>
      </w:r>
    </w:p>
    <w:p w14:paraId="750C1000" w14:textId="77777777" w:rsidR="00A1204B" w:rsidRPr="008214D9" w:rsidRDefault="00A1204B" w:rsidP="00A1204B">
      <w:pPr>
        <w:pStyle w:val="SingleTxtGA"/>
        <w:rPr>
          <w:spacing w:val="-4"/>
          <w:rtl/>
        </w:rPr>
      </w:pPr>
      <w:r w:rsidRPr="003817EA">
        <w:rPr>
          <w:rtl/>
        </w:rPr>
        <w:t>148-</w:t>
      </w:r>
      <w:r w:rsidRPr="003817EA">
        <w:rPr>
          <w:rtl/>
        </w:rPr>
        <w:tab/>
      </w:r>
      <w:r w:rsidRPr="008214D9">
        <w:rPr>
          <w:spacing w:val="-4"/>
          <w:rtl/>
        </w:rPr>
        <w:t>كما أرسى الكتاب الأبيض تدابير لمعالجة القضايا المذكورة أعلاه. وتشمل هذه التدابير زيادة التركيز على اللغة الآيسلندية في أدلة المناهج الدراسية الوطنية، وإعطاء الأولوية للقراءة وللإلمام بالقراءة والكتابة، وإعادة تنظيم مدة البرامج من خلال تقصير مدة الدراسات الثانوية العليا، وإعادة هيكلة البرامج المهنية.</w:t>
      </w:r>
    </w:p>
    <w:p w14:paraId="6ACEC722" w14:textId="77777777" w:rsidR="00A1204B" w:rsidRPr="001F1035" w:rsidRDefault="00A1204B" w:rsidP="00A1204B">
      <w:pPr>
        <w:pStyle w:val="H23GA"/>
        <w:rPr>
          <w:rtl/>
        </w:rPr>
      </w:pPr>
      <w:r w:rsidRPr="001F1035">
        <w:rPr>
          <w:rtl/>
        </w:rPr>
        <w:tab/>
        <w:t>2-</w:t>
      </w:r>
      <w:r w:rsidRPr="001F1035">
        <w:rPr>
          <w:rtl/>
        </w:rPr>
        <w:tab/>
        <w:t>العمالة</w:t>
      </w:r>
    </w:p>
    <w:p w14:paraId="19BA5C5D" w14:textId="77777777" w:rsidR="00A1204B" w:rsidRPr="003817EA" w:rsidRDefault="00A1204B" w:rsidP="00A1204B">
      <w:pPr>
        <w:pStyle w:val="SingleTxtGA"/>
        <w:rPr>
          <w:rtl/>
        </w:rPr>
      </w:pPr>
      <w:r w:rsidRPr="003817EA">
        <w:rPr>
          <w:rtl/>
        </w:rPr>
        <w:t>149-</w:t>
      </w:r>
      <w:r w:rsidRPr="003817EA">
        <w:rPr>
          <w:rtl/>
        </w:rPr>
        <w:tab/>
        <w:t>تطمح آيسلندا إلى تحقيق مستوى عال من العمالة وخفض معدل البطالة وبناء سوق عمل شاملة للجميع يكون فيها مكان لكل إنسان قادر على العمل وراغب فيه. وتتولى مديرية العمل مسؤولية تنفيذ سياسة سوق العمل، وتتولى تدبير العمليات اليومية لصندوق التأمين ضد البطالة، وصندوق إجازة الأمومة والأبوة، وصندوق ضمان الأجور، والعديد من المشاريع الأخرى المتصلة بسوق العمل. وتتولى المديرية أيضاً تسجيل الباحثين عن عمل، ولديها قاعدة بيانات خاصة بها عن الوظائف المتاحة في كل حين.</w:t>
      </w:r>
    </w:p>
    <w:p w14:paraId="1D761CC0" w14:textId="77777777" w:rsidR="00A1204B" w:rsidRPr="001F1035" w:rsidRDefault="00A1204B" w:rsidP="00A1204B">
      <w:pPr>
        <w:pStyle w:val="H23GA"/>
        <w:rPr>
          <w:rtl/>
        </w:rPr>
      </w:pPr>
      <w:r w:rsidRPr="001F1035">
        <w:rPr>
          <w:rtl/>
        </w:rPr>
        <w:tab/>
        <w:t>3-</w:t>
      </w:r>
      <w:r w:rsidRPr="001F1035">
        <w:rPr>
          <w:rtl/>
        </w:rPr>
        <w:tab/>
        <w:t>نظام التأمين الوطني</w:t>
      </w:r>
    </w:p>
    <w:p w14:paraId="5739B7BB" w14:textId="77777777" w:rsidR="00A1204B" w:rsidRPr="003817EA" w:rsidRDefault="00A1204B" w:rsidP="00A1204B">
      <w:pPr>
        <w:pStyle w:val="SingleTxtGA"/>
        <w:rPr>
          <w:rtl/>
        </w:rPr>
      </w:pPr>
      <w:r w:rsidRPr="003817EA">
        <w:rPr>
          <w:rtl/>
        </w:rPr>
        <w:t>150-</w:t>
      </w:r>
      <w:r w:rsidRPr="003817EA">
        <w:rPr>
          <w:rtl/>
        </w:rPr>
        <w:tab/>
        <w:t>كل مقيم بصورة قانونية في آيسلندا لفترة معيَّنة من الزمن يصبح تلقائيّاً منخرطاً في نظام التأمين الاجتماعي الآيسلندي، بغضّ النظر عن الجنسية أو العِرْق أو نوع الجنس أو السن أو ما إلى ذلك. على أنَّ من الواجب استيفاء بعض الشروط لكي يكون الشخص مؤهَّلاً للاستفادة من الاستحقاقات، تتعلق مثلاً بالسن والإعاقة ووقت الإقامة. كما يمكن أن تؤثِّر الظروف المتعلقة بالدخل والأسرة على الاستحقاق.</w:t>
      </w:r>
    </w:p>
    <w:p w14:paraId="5C4A73CC" w14:textId="77777777" w:rsidR="00A1204B" w:rsidRPr="003817EA" w:rsidRDefault="00A1204B" w:rsidP="00A1204B">
      <w:pPr>
        <w:pStyle w:val="SingleTxtGA"/>
        <w:rPr>
          <w:rtl/>
        </w:rPr>
      </w:pPr>
      <w:r w:rsidRPr="003817EA">
        <w:rPr>
          <w:rtl/>
        </w:rPr>
        <w:lastRenderedPageBreak/>
        <w:t>151-</w:t>
      </w:r>
      <w:r w:rsidRPr="003817EA">
        <w:rPr>
          <w:rtl/>
        </w:rPr>
        <w:tab/>
        <w:t>ويموَّل نظام التأمين الاجتماعي في آيسلندا من خزينة الدولة من خلال مدفوعات الضرائب إلى الخزينة والاقتطاعات الضريبية من الأجور التي يدفعها أرباب العمل والعاملون المستقلون، ولكن لا يوجد قسط محدَّد آخر يُدفع لنظام التأمين الاجتماعي.</w:t>
      </w:r>
    </w:p>
    <w:p w14:paraId="2F494468" w14:textId="77777777" w:rsidR="00A1204B" w:rsidRPr="001F1035" w:rsidRDefault="00A1204B" w:rsidP="00A1204B">
      <w:pPr>
        <w:pStyle w:val="H23GA"/>
        <w:rPr>
          <w:rtl/>
        </w:rPr>
      </w:pPr>
      <w:r w:rsidRPr="001F1035">
        <w:rPr>
          <w:rtl/>
        </w:rPr>
        <w:tab/>
        <w:t>4-</w:t>
      </w:r>
      <w:r w:rsidRPr="001F1035">
        <w:rPr>
          <w:rtl/>
        </w:rPr>
        <w:tab/>
        <w:t>الخدمات الاجتماعية</w:t>
      </w:r>
    </w:p>
    <w:p w14:paraId="28D227D1" w14:textId="77777777" w:rsidR="00A1204B" w:rsidRPr="003817EA" w:rsidRDefault="00A1204B" w:rsidP="00A1204B">
      <w:pPr>
        <w:pStyle w:val="SingleTxtGA"/>
        <w:rPr>
          <w:rtl/>
        </w:rPr>
      </w:pPr>
      <w:r w:rsidRPr="003817EA">
        <w:rPr>
          <w:rtl/>
        </w:rPr>
        <w:t>152-</w:t>
      </w:r>
      <w:r w:rsidRPr="003817EA">
        <w:rPr>
          <w:rtl/>
        </w:rPr>
        <w:tab/>
        <w:t>تتولى البلديات مسؤولية توفير الخدمات الاجتماعية داخل المناطق التابعة لها. ويحق للأشخاص غير القادرين على إعالة أنفسهم عن طريق العمل أن يحصلوا على دعم مالي يروم جعل الشخص قادراً على إعالة نفسه.</w:t>
      </w:r>
    </w:p>
    <w:p w14:paraId="214E5532" w14:textId="77777777" w:rsidR="00A1204B" w:rsidRPr="001F1035" w:rsidRDefault="00A1204B" w:rsidP="00A1204B">
      <w:pPr>
        <w:pStyle w:val="H23GA"/>
        <w:rPr>
          <w:rtl/>
        </w:rPr>
      </w:pPr>
      <w:r w:rsidRPr="001F1035">
        <w:rPr>
          <w:rtl/>
        </w:rPr>
        <w:tab/>
        <w:t>5-</w:t>
      </w:r>
      <w:r w:rsidRPr="001F1035">
        <w:rPr>
          <w:rtl/>
        </w:rPr>
        <w:tab/>
        <w:t>تدابير أخرى لتعزيز الإدماج الاجتماعي والحد من الفقر</w:t>
      </w:r>
    </w:p>
    <w:p w14:paraId="55271197" w14:textId="77777777" w:rsidR="00A1204B" w:rsidRPr="003817EA" w:rsidRDefault="00A1204B" w:rsidP="00A1204B">
      <w:pPr>
        <w:pStyle w:val="SingleTxtGA"/>
        <w:rPr>
          <w:rtl/>
        </w:rPr>
      </w:pPr>
      <w:r w:rsidRPr="003817EA">
        <w:rPr>
          <w:rtl/>
        </w:rPr>
        <w:t>153-</w:t>
      </w:r>
      <w:r w:rsidRPr="003817EA">
        <w:rPr>
          <w:rtl/>
        </w:rPr>
        <w:tab/>
        <w:t>في أعقاب الأزمة الاقتصادية التي اندلعت في عام 2008، أنشئت لجنة توجيهية جديدة لتتبع الآثار الاجتماعية والاقتصادية للأزمة على الأسر والأفراد في البلد، وتقديم اقتراحات لاتخاذ إجراءات لصالح الأسر المعيشية. وأُطلق على اللجنة التوجيهية اسم "هيئة مراقبة الرعاية الاجتماعية"، ولا تزال تعمل حتى اليوم. وتركِّز اللجنة على رفاه الأسر المحرومة التي لديها أطفال وعلى وضعها المالي، ولا سيما العائلون الوحيدون وأطفالهم، وتجمع بيانات عن حالة من يعيشون في فقر. ثم تقوم اللجنة بعدئذ بتقديم تقارير مرحلية دورية إلى وزير الرعاية الاجتماعية، مع تقديم اقتراحات تروم التحسين في كل مرة تقدِّم فيها تقريرها.</w:t>
      </w:r>
    </w:p>
    <w:p w14:paraId="56DAB10F" w14:textId="77777777" w:rsidR="00A1204B" w:rsidRPr="003817EA" w:rsidRDefault="00A1204B" w:rsidP="00A1204B">
      <w:pPr>
        <w:pStyle w:val="SingleTxtGA"/>
        <w:rPr>
          <w:rtl/>
        </w:rPr>
      </w:pPr>
      <w:r w:rsidRPr="003817EA">
        <w:rPr>
          <w:rtl/>
        </w:rPr>
        <w:t>154-</w:t>
      </w:r>
      <w:r w:rsidRPr="003817EA">
        <w:rPr>
          <w:rtl/>
        </w:rPr>
        <w:tab/>
        <w:t>ويقدِّم مكتب أمين المظالم المعني بالمدينين مساعدة مجانية للأفراد الذين يواجهون صعوبات جمة في الوفاء بالتزاماتهم المالية من أجل إقامة توازن بين القدرات المالية والالتزامات المالية. فإذا كان الأفراد لا يتكلمون اللغة الآيسلندية أو الإنكليزية، يتكفل أمين المظالم بدفع تكاليف المترجم الشفوي.</w:t>
      </w:r>
    </w:p>
    <w:p w14:paraId="1EC7792C" w14:textId="77777777" w:rsidR="00A1204B" w:rsidRPr="001F1035" w:rsidRDefault="00A1204B" w:rsidP="00A1204B">
      <w:pPr>
        <w:pStyle w:val="H23GA"/>
        <w:rPr>
          <w:rtl/>
        </w:rPr>
      </w:pPr>
      <w:r w:rsidRPr="001F1035">
        <w:rPr>
          <w:rtl/>
        </w:rPr>
        <w:tab/>
        <w:t>6-</w:t>
      </w:r>
      <w:r w:rsidRPr="001F1035">
        <w:rPr>
          <w:rtl/>
        </w:rPr>
        <w:tab/>
        <w:t>تدابير للحد من التفاوتات الجغرافية</w:t>
      </w:r>
    </w:p>
    <w:p w14:paraId="658055F6" w14:textId="77777777" w:rsidR="00A1204B" w:rsidRPr="003817EA" w:rsidRDefault="00A1204B" w:rsidP="00A1204B">
      <w:pPr>
        <w:pStyle w:val="SingleTxtGA"/>
        <w:rPr>
          <w:rtl/>
        </w:rPr>
      </w:pPr>
      <w:r w:rsidRPr="003817EA">
        <w:rPr>
          <w:rtl/>
        </w:rPr>
        <w:t>155-</w:t>
      </w:r>
      <w:r w:rsidRPr="003817EA">
        <w:rPr>
          <w:rtl/>
        </w:rPr>
        <w:tab/>
        <w:t>صندوق معادلة البلديات هو صندوق يشتغل تحت إدارة وزارة النقل والحكم المحلي. ويتمثل دور الصندوق في معادلة مختلف التكاليف والإيرادات الضريبية لبلديات آيسلندا بمساهمات من الصندوق، استناداً إلى القوانين واللوائح والقواعد المتعلقة بتشغيل الصندوق. وبالإضافة إلى ذلك، يقدِّم الصندوق مساهمات إلى مختلف اتحادات البلديات ومؤسساتها وغيرها، وفقاً للقانون.</w:t>
      </w:r>
    </w:p>
    <w:p w14:paraId="076EBB6D" w14:textId="77777777" w:rsidR="00A1204B" w:rsidRPr="008214D9" w:rsidRDefault="00A1204B" w:rsidP="00A1204B">
      <w:pPr>
        <w:pStyle w:val="SingleTxtGA"/>
        <w:rPr>
          <w:spacing w:val="-2"/>
          <w:rtl/>
        </w:rPr>
      </w:pPr>
      <w:r w:rsidRPr="003817EA">
        <w:rPr>
          <w:rtl/>
        </w:rPr>
        <w:t>156-</w:t>
      </w:r>
      <w:r w:rsidRPr="003817EA">
        <w:rPr>
          <w:rtl/>
        </w:rPr>
        <w:tab/>
      </w:r>
      <w:r w:rsidRPr="008214D9">
        <w:rPr>
          <w:spacing w:val="-2"/>
          <w:rtl/>
        </w:rPr>
        <w:t>وتشكِّل الرابطة الآيسلندية للسلطات المحلية منتدى للتعاون بين السلطات المحلية. وقد أنشأته 52 سلطة محلية في عام 1945، ومنذئذ أصبحت جميع السلطات المحلية في البلد أعضاء فيه. ويتمثل دور الرابطة في الدفاع عن مصالح البلديات، وتوفير المعلومات عن جوانب معيَّنة من السلطات المحلية، ونشر مواد تتعلق بالسلطات المحلية، وتنفيذ سياسات الرابطة. كما تُصدر الرابطة مجلة تعنى بالشؤون البلدية.</w:t>
      </w:r>
    </w:p>
    <w:p w14:paraId="3E18FE25" w14:textId="77777777" w:rsidR="00A1204B" w:rsidRPr="001F1035" w:rsidRDefault="00A1204B" w:rsidP="00A1204B">
      <w:pPr>
        <w:rPr>
          <w:b/>
          <w:bCs/>
          <w:rtl/>
        </w:rPr>
      </w:pPr>
      <w:r w:rsidRPr="001F1035">
        <w:rPr>
          <w:b/>
          <w:bCs/>
          <w:rtl/>
        </w:rPr>
        <w:br w:type="page"/>
      </w:r>
    </w:p>
    <w:p w14:paraId="5FDA9819" w14:textId="77777777" w:rsidR="00A1204B" w:rsidRPr="001F1035" w:rsidRDefault="00A1204B" w:rsidP="00A1204B">
      <w:pPr>
        <w:pStyle w:val="HChGA"/>
      </w:pPr>
      <w:r w:rsidRPr="001F1035">
        <w:rPr>
          <w:rtl/>
        </w:rPr>
        <w:lastRenderedPageBreak/>
        <w:tab/>
      </w:r>
      <w:r w:rsidRPr="001F1035">
        <w:rPr>
          <w:rtl/>
        </w:rPr>
        <w:tab/>
        <w:t>مواقع إلكترونية مفيدة</w:t>
      </w:r>
    </w:p>
    <w:p w14:paraId="6009DBEF" w14:textId="77777777" w:rsidR="00A1204B" w:rsidRPr="003817EA" w:rsidRDefault="00A1204B" w:rsidP="00A1204B">
      <w:pPr>
        <w:pStyle w:val="SingleTxtG"/>
        <w:tabs>
          <w:tab w:val="left" w:pos="3969"/>
        </w:tabs>
        <w:jc w:val="right"/>
      </w:pPr>
      <w:r w:rsidRPr="003817EA">
        <w:t>[English only]</w:t>
      </w:r>
    </w:p>
    <w:p w14:paraId="75474C64" w14:textId="77777777" w:rsidR="00A1204B" w:rsidRPr="003817EA" w:rsidRDefault="00A1204B" w:rsidP="00A1204B">
      <w:pPr>
        <w:pStyle w:val="SingleTxtG"/>
        <w:tabs>
          <w:tab w:val="left" w:pos="4536"/>
        </w:tabs>
        <w:ind w:left="5670" w:right="567" w:hanging="4536"/>
      </w:pPr>
      <w:r w:rsidRPr="003817EA">
        <w:t>Althing Ombudsman</w:t>
      </w:r>
      <w:r w:rsidRPr="003817EA">
        <w:tab/>
      </w:r>
      <w:hyperlink r:id="rId16" w:history="1">
        <w:r w:rsidRPr="003817EA">
          <w:rPr>
            <w:rStyle w:val="Hyperlink"/>
            <w:rFonts w:eastAsiaTheme="minorHAnsi"/>
            <w:color w:val="0000FF" w:themeColor="hyperlink"/>
            <w:lang w:val="sv-SE"/>
          </w:rPr>
          <w:t>https://www.umbodsmadur.is/en</w:t>
        </w:r>
      </w:hyperlink>
    </w:p>
    <w:p w14:paraId="4B4AA019" w14:textId="77777777" w:rsidR="00A1204B" w:rsidRPr="003817EA" w:rsidRDefault="00A1204B" w:rsidP="00A1204B">
      <w:pPr>
        <w:pStyle w:val="SingleTxtG"/>
        <w:tabs>
          <w:tab w:val="left" w:pos="4536"/>
        </w:tabs>
        <w:ind w:left="5670" w:right="567" w:hanging="4536"/>
        <w:rPr>
          <w:rStyle w:val="Hyperlink"/>
          <w:rFonts w:eastAsiaTheme="minorHAnsi"/>
          <w:color w:val="0000FF" w:themeColor="hyperlink"/>
          <w:lang w:val="sv-SE"/>
        </w:rPr>
      </w:pPr>
      <w:r w:rsidRPr="003817EA">
        <w:t>Althingi, the Icelandic Parliament</w:t>
      </w:r>
      <w:r w:rsidRPr="003817EA">
        <w:tab/>
      </w:r>
      <w:hyperlink r:id="rId17" w:history="1">
        <w:r w:rsidRPr="003817EA">
          <w:rPr>
            <w:rStyle w:val="Hyperlink"/>
            <w:rFonts w:eastAsiaTheme="minorHAnsi"/>
            <w:color w:val="0000FF" w:themeColor="hyperlink"/>
            <w:lang w:val="sv-SE"/>
          </w:rPr>
          <w:t>https://www.althingi.is/english</w:t>
        </w:r>
      </w:hyperlink>
    </w:p>
    <w:p w14:paraId="08ECBE05" w14:textId="77777777" w:rsidR="00A1204B" w:rsidRPr="003817EA" w:rsidRDefault="00A1204B" w:rsidP="00A1204B">
      <w:pPr>
        <w:pStyle w:val="SingleTxtG"/>
        <w:tabs>
          <w:tab w:val="left" w:pos="4536"/>
        </w:tabs>
        <w:ind w:left="5670" w:right="567" w:hanging="4536"/>
        <w:rPr>
          <w:rStyle w:val="Hyperlink"/>
          <w:rFonts w:eastAsiaTheme="minorHAnsi"/>
        </w:rPr>
      </w:pPr>
      <w:r w:rsidRPr="003817EA">
        <w:t>Central Bank of Iceland</w:t>
      </w:r>
      <w:r w:rsidRPr="003817EA">
        <w:tab/>
      </w:r>
      <w:hyperlink r:id="rId18" w:history="1">
        <w:r w:rsidRPr="003817EA">
          <w:rPr>
            <w:rStyle w:val="Hyperlink"/>
            <w:rFonts w:eastAsiaTheme="minorHAnsi"/>
          </w:rPr>
          <w:t>www.cb.is</w:t>
        </w:r>
      </w:hyperlink>
    </w:p>
    <w:p w14:paraId="7D427E9C" w14:textId="77777777" w:rsidR="00A1204B" w:rsidRPr="003817EA" w:rsidRDefault="00A1204B" w:rsidP="00A1204B">
      <w:pPr>
        <w:pStyle w:val="SingleTxtG"/>
        <w:ind w:left="4536" w:hanging="3402"/>
        <w:rPr>
          <w:rStyle w:val="Hyperlink"/>
          <w:rFonts w:eastAsiaTheme="minorHAnsi"/>
          <w:color w:val="0000FF" w:themeColor="hyperlink"/>
          <w:lang w:val="sv-SE"/>
        </w:rPr>
      </w:pPr>
      <w:r w:rsidRPr="003817EA" w:rsidDel="00B26B87">
        <w:t xml:space="preserve">The </w:t>
      </w:r>
      <w:r w:rsidRPr="003817EA">
        <w:t>Constitution of Iceland</w:t>
      </w:r>
      <w:r w:rsidRPr="003817EA" w:rsidDel="00B26B87">
        <w:t xml:space="preserve"> in English</w:t>
      </w:r>
      <w:r w:rsidRPr="003817EA">
        <w:tab/>
      </w:r>
      <w:hyperlink r:id="rId19" w:history="1">
        <w:r w:rsidRPr="003817EA">
          <w:rPr>
            <w:rStyle w:val="Hyperlink"/>
            <w:rFonts w:eastAsiaTheme="minorHAnsi"/>
            <w:lang w:val="sv-SE"/>
          </w:rPr>
          <w:t>https://www.government.is/topics/governance-and-national-symbols/constitution/</w:t>
        </w:r>
      </w:hyperlink>
    </w:p>
    <w:p w14:paraId="7B001ABC" w14:textId="77777777" w:rsidR="00A1204B" w:rsidRPr="003817EA" w:rsidRDefault="00A1204B" w:rsidP="00A1204B">
      <w:pPr>
        <w:pStyle w:val="SingleTxtG"/>
        <w:tabs>
          <w:tab w:val="left" w:pos="4536"/>
        </w:tabs>
        <w:ind w:left="5670" w:right="567" w:hanging="4536"/>
      </w:pPr>
      <w:r w:rsidRPr="003817EA">
        <w:t xml:space="preserve">Directorate of Education </w:t>
      </w:r>
      <w:r w:rsidRPr="003817EA">
        <w:tab/>
      </w:r>
      <w:hyperlink r:id="rId20" w:history="1">
        <w:r w:rsidRPr="003817EA">
          <w:rPr>
            <w:rStyle w:val="Hyperlink"/>
            <w:rFonts w:eastAsiaTheme="minorHAnsi"/>
            <w:color w:val="0000FF" w:themeColor="hyperlink"/>
            <w:lang w:val="sv-SE"/>
          </w:rPr>
          <w:t>https://mms.is/directorate-education</w:t>
        </w:r>
      </w:hyperlink>
    </w:p>
    <w:p w14:paraId="4E0E8612" w14:textId="77777777" w:rsidR="00A1204B" w:rsidRPr="003817EA" w:rsidRDefault="00A1204B" w:rsidP="00A1204B">
      <w:pPr>
        <w:pStyle w:val="SingleTxtG"/>
        <w:tabs>
          <w:tab w:val="left" w:pos="4536"/>
        </w:tabs>
        <w:ind w:left="5670" w:right="567" w:hanging="4536"/>
        <w:rPr>
          <w:rStyle w:val="Hyperlink"/>
          <w:rFonts w:eastAsiaTheme="minorHAnsi"/>
          <w:color w:val="0000FF" w:themeColor="hyperlink"/>
          <w:lang w:val="sv-SE"/>
        </w:rPr>
      </w:pPr>
      <w:r w:rsidRPr="003817EA">
        <w:t xml:space="preserve">Directorate of Health </w:t>
      </w:r>
      <w:r w:rsidRPr="003817EA">
        <w:tab/>
      </w:r>
      <w:hyperlink r:id="rId21" w:history="1">
        <w:r w:rsidRPr="003817EA">
          <w:rPr>
            <w:rStyle w:val="Hyperlink"/>
            <w:rFonts w:eastAsiaTheme="minorHAnsi"/>
            <w:color w:val="0000FF" w:themeColor="hyperlink"/>
            <w:lang w:val="sv-SE"/>
          </w:rPr>
          <w:t>https://www.landlaeknir.is/english/</w:t>
        </w:r>
      </w:hyperlink>
    </w:p>
    <w:p w14:paraId="1E3A5069" w14:textId="77777777" w:rsidR="00A1204B" w:rsidRPr="003817EA" w:rsidRDefault="00A1204B" w:rsidP="00A1204B">
      <w:pPr>
        <w:pStyle w:val="SingleTxtG"/>
        <w:tabs>
          <w:tab w:val="left" w:pos="4536"/>
        </w:tabs>
        <w:ind w:left="5670" w:right="567" w:hanging="4536"/>
        <w:rPr>
          <w:rStyle w:val="Hyperlink"/>
          <w:rFonts w:eastAsiaTheme="minorHAnsi"/>
          <w:color w:val="0000FF" w:themeColor="hyperlink"/>
          <w:lang w:val="sv-SE"/>
        </w:rPr>
      </w:pPr>
      <w:r w:rsidRPr="003817EA">
        <w:t>Directorate of Labour</w:t>
      </w:r>
      <w:r w:rsidRPr="003817EA">
        <w:tab/>
      </w:r>
      <w:hyperlink r:id="rId22" w:history="1">
        <w:r w:rsidRPr="003817EA">
          <w:rPr>
            <w:rStyle w:val="Hyperlink"/>
            <w:rFonts w:eastAsiaTheme="minorHAnsi"/>
            <w:color w:val="0000FF" w:themeColor="hyperlink"/>
            <w:lang w:val="sv-SE"/>
          </w:rPr>
          <w:t>https://vinnumalastofnun.is/en</w:t>
        </w:r>
      </w:hyperlink>
    </w:p>
    <w:p w14:paraId="3E2B86E4" w14:textId="77777777" w:rsidR="00A1204B" w:rsidRPr="003817EA" w:rsidRDefault="00A1204B" w:rsidP="00A1204B">
      <w:pPr>
        <w:pStyle w:val="SingleTxtG"/>
        <w:tabs>
          <w:tab w:val="left" w:pos="4536"/>
        </w:tabs>
        <w:ind w:left="5670" w:right="567" w:hanging="4536"/>
        <w:rPr>
          <w:rStyle w:val="Hyperlink"/>
          <w:rFonts w:eastAsiaTheme="minorHAnsi"/>
          <w:color w:val="0000FF" w:themeColor="hyperlink"/>
          <w:lang w:val="sv-SE"/>
        </w:rPr>
      </w:pPr>
      <w:r w:rsidRPr="003817EA">
        <w:t xml:space="preserve">Icelandic Human Rights Centre </w:t>
      </w:r>
      <w:r w:rsidRPr="003817EA">
        <w:tab/>
      </w:r>
      <w:hyperlink r:id="rId23" w:history="1">
        <w:r w:rsidRPr="003817EA">
          <w:rPr>
            <w:rStyle w:val="Hyperlink"/>
            <w:rFonts w:eastAsiaTheme="minorHAnsi"/>
            <w:color w:val="0000FF" w:themeColor="hyperlink"/>
            <w:lang w:val="sv-SE"/>
          </w:rPr>
          <w:t>http://www.humanrights.is/en</w:t>
        </w:r>
      </w:hyperlink>
    </w:p>
    <w:p w14:paraId="26E29BE4" w14:textId="77777777" w:rsidR="00A1204B" w:rsidRPr="003817EA" w:rsidRDefault="00A1204B" w:rsidP="00A1204B">
      <w:pPr>
        <w:pStyle w:val="SingleTxtG"/>
        <w:tabs>
          <w:tab w:val="left" w:pos="4536"/>
        </w:tabs>
        <w:ind w:left="5670" w:right="567" w:hanging="4536"/>
        <w:rPr>
          <w:rStyle w:val="Hyperlink"/>
          <w:rFonts w:eastAsiaTheme="minorHAnsi"/>
          <w:color w:val="0000FF" w:themeColor="hyperlink"/>
          <w:lang w:val="sv-SE"/>
        </w:rPr>
      </w:pPr>
      <w:r w:rsidRPr="003817EA">
        <w:rPr>
          <w:lang w:val="sv-SE"/>
        </w:rPr>
        <w:t xml:space="preserve">Multicultural and Information Centre </w:t>
      </w:r>
      <w:r w:rsidRPr="003817EA">
        <w:rPr>
          <w:lang w:val="sv-SE"/>
        </w:rPr>
        <w:tab/>
      </w:r>
      <w:hyperlink r:id="rId24" w:history="1">
        <w:r w:rsidRPr="003817EA">
          <w:rPr>
            <w:rStyle w:val="Hyperlink"/>
            <w:rFonts w:eastAsiaTheme="minorHAnsi"/>
            <w:color w:val="0000FF" w:themeColor="hyperlink"/>
            <w:lang w:val="sv-SE"/>
          </w:rPr>
          <w:t>http://www.mcc.is</w:t>
        </w:r>
      </w:hyperlink>
    </w:p>
    <w:p w14:paraId="5E83431B" w14:textId="77777777" w:rsidR="00A1204B" w:rsidRPr="003817EA" w:rsidRDefault="00A1204B" w:rsidP="00A1204B">
      <w:pPr>
        <w:pStyle w:val="SingleTxtG"/>
        <w:tabs>
          <w:tab w:val="left" w:pos="4536"/>
        </w:tabs>
        <w:ind w:left="5670" w:right="567" w:hanging="4536"/>
        <w:rPr>
          <w:rStyle w:val="Hyperlink"/>
          <w:rFonts w:eastAsiaTheme="minorHAnsi"/>
          <w:color w:val="0000FF" w:themeColor="hyperlink"/>
          <w:lang w:val="sv-SE"/>
        </w:rPr>
      </w:pPr>
      <w:r w:rsidRPr="003817EA">
        <w:rPr>
          <w:lang w:val="sv-SE"/>
        </w:rPr>
        <w:t>Ombudsman for Children</w:t>
      </w:r>
      <w:r w:rsidRPr="003817EA">
        <w:rPr>
          <w:lang w:val="sv-SE"/>
        </w:rPr>
        <w:tab/>
      </w:r>
      <w:r w:rsidRPr="003817EA">
        <w:rPr>
          <w:rStyle w:val="Hyperlink"/>
          <w:rFonts w:eastAsiaTheme="minorHAnsi"/>
          <w:color w:val="0000FF" w:themeColor="hyperlink"/>
          <w:lang w:val="sv-SE"/>
        </w:rPr>
        <w:t>https://www.barn.is/english/</w:t>
      </w:r>
    </w:p>
    <w:p w14:paraId="6CB2555F" w14:textId="77777777" w:rsidR="00A1204B" w:rsidRPr="003817EA" w:rsidRDefault="00A1204B" w:rsidP="00A1204B">
      <w:pPr>
        <w:pStyle w:val="SingleTxtG"/>
        <w:tabs>
          <w:tab w:val="left" w:pos="4536"/>
        </w:tabs>
        <w:ind w:left="5670" w:right="567" w:hanging="4536"/>
        <w:rPr>
          <w:rStyle w:val="Hyperlink"/>
          <w:rFonts w:eastAsiaTheme="minorHAnsi"/>
          <w:color w:val="0000FF" w:themeColor="hyperlink"/>
          <w:lang w:val="sv-SE"/>
        </w:rPr>
      </w:pPr>
      <w:r w:rsidRPr="003817EA">
        <w:rPr>
          <w:lang w:val="sv-SE"/>
        </w:rPr>
        <w:t>Statistics Iceland</w:t>
      </w:r>
      <w:r w:rsidRPr="003817EA" w:rsidDel="00B26B87">
        <w:rPr>
          <w:lang w:val="sv-SE"/>
        </w:rPr>
        <w:t xml:space="preserve"> </w:t>
      </w:r>
      <w:r w:rsidRPr="003817EA">
        <w:rPr>
          <w:lang w:val="sv-SE"/>
        </w:rPr>
        <w:tab/>
      </w:r>
      <w:hyperlink r:id="rId25" w:history="1">
        <w:r w:rsidRPr="003817EA">
          <w:rPr>
            <w:rStyle w:val="Hyperlink"/>
            <w:rFonts w:eastAsiaTheme="minorHAnsi"/>
            <w:lang w:val="sv-SE"/>
          </w:rPr>
          <w:t>https://statice.is/</w:t>
        </w:r>
      </w:hyperlink>
    </w:p>
    <w:p w14:paraId="1082134D" w14:textId="77777777" w:rsidR="00A1204B" w:rsidRPr="003817EA" w:rsidRDefault="00A1204B" w:rsidP="00A1204B">
      <w:pPr>
        <w:pStyle w:val="SingleTxtG"/>
        <w:tabs>
          <w:tab w:val="left" w:pos="4536"/>
        </w:tabs>
        <w:ind w:left="5670" w:right="567" w:hanging="4536"/>
        <w:rPr>
          <w:rStyle w:val="Hyperlink"/>
          <w:rFonts w:eastAsiaTheme="minorHAnsi"/>
          <w:color w:val="0000FF" w:themeColor="hyperlink"/>
          <w:lang w:val="sv-SE"/>
        </w:rPr>
      </w:pPr>
      <w:r w:rsidRPr="003817EA">
        <w:t xml:space="preserve">The Government of Iceland </w:t>
      </w:r>
      <w:r w:rsidRPr="003817EA">
        <w:tab/>
      </w:r>
      <w:hyperlink r:id="rId26" w:history="1">
        <w:r w:rsidRPr="003817EA">
          <w:rPr>
            <w:rStyle w:val="Hyperlink"/>
            <w:rFonts w:eastAsiaTheme="minorHAnsi"/>
            <w:color w:val="0000FF" w:themeColor="hyperlink"/>
            <w:lang w:val="sv-SE"/>
          </w:rPr>
          <w:t>https://www.government.is/</w:t>
        </w:r>
      </w:hyperlink>
    </w:p>
    <w:p w14:paraId="692B3920" w14:textId="77777777" w:rsidR="00A1204B" w:rsidRDefault="00A1204B" w:rsidP="00A1204B">
      <w:pPr>
        <w:pStyle w:val="SingleTxtG"/>
        <w:tabs>
          <w:tab w:val="left" w:pos="4536"/>
        </w:tabs>
        <w:ind w:left="5670" w:right="567" w:hanging="4536"/>
        <w:rPr>
          <w:u w:val="single"/>
        </w:rPr>
      </w:pPr>
      <w:r w:rsidRPr="003817EA">
        <w:t xml:space="preserve">The Judicial Administration </w:t>
      </w:r>
      <w:r w:rsidRPr="003817EA">
        <w:tab/>
      </w:r>
      <w:hyperlink r:id="rId27" w:history="1">
        <w:r w:rsidRPr="003817EA">
          <w:rPr>
            <w:rStyle w:val="Hyperlink"/>
            <w:rFonts w:eastAsiaTheme="minorHAnsi"/>
            <w:color w:val="0000FF" w:themeColor="hyperlink"/>
            <w:lang w:val="sv-SE"/>
          </w:rPr>
          <w:t>https://www.domstolasyslan.is/en/</w:t>
        </w:r>
      </w:hyperlink>
      <w:r w:rsidRPr="003817EA">
        <w:rPr>
          <w:rStyle w:val="Hyperlink"/>
          <w:rFonts w:eastAsiaTheme="minorHAnsi"/>
          <w:color w:val="0000FF" w:themeColor="hyperlink"/>
          <w:lang w:val="sv-SE"/>
        </w:rPr>
        <w:t>?</w:t>
      </w:r>
    </w:p>
    <w:p w14:paraId="3A3B7DC2" w14:textId="77777777" w:rsidR="00A1204B" w:rsidRPr="001403E9" w:rsidRDefault="00A1204B" w:rsidP="00A1204B">
      <w:pPr>
        <w:pStyle w:val="SingleTxtGA"/>
        <w:jc w:val="center"/>
        <w:rPr>
          <w:u w:val="single"/>
          <w:rtl/>
        </w:rPr>
      </w:pPr>
      <w:r>
        <w:rPr>
          <w:u w:val="single"/>
          <w:rtl/>
        </w:rPr>
        <w:tab/>
      </w:r>
      <w:r>
        <w:rPr>
          <w:u w:val="single"/>
          <w:rtl/>
        </w:rPr>
        <w:tab/>
      </w:r>
      <w:r>
        <w:rPr>
          <w:u w:val="single"/>
          <w:rtl/>
        </w:rPr>
        <w:tab/>
      </w:r>
    </w:p>
    <w:p w14:paraId="1D1409FF" w14:textId="77777777" w:rsidR="00E40CC2" w:rsidRPr="00A1204B" w:rsidRDefault="00E40CC2" w:rsidP="00A1204B">
      <w:pPr>
        <w:rPr>
          <w:szCs w:val="20"/>
          <w:rtl/>
        </w:rPr>
      </w:pPr>
    </w:p>
    <w:sectPr w:rsidR="00E40CC2" w:rsidRPr="00A1204B" w:rsidSect="006E13EF">
      <w:headerReference w:type="even" r:id="rId28"/>
      <w:headerReference w:type="default" r:id="rId29"/>
      <w:footerReference w:type="even" r:id="rId30"/>
      <w:footerReference w:type="default" r:id="rId31"/>
      <w:footerReference w:type="first" r:id="rId3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8FDC9" w14:textId="77777777" w:rsidR="00BA2393" w:rsidRPr="002901D9" w:rsidRDefault="00BA2393" w:rsidP="009815E4">
      <w:pPr>
        <w:spacing w:after="60" w:line="240" w:lineRule="auto"/>
        <w:ind w:left="57"/>
        <w:rPr>
          <w:i/>
          <w:iCs/>
        </w:rPr>
      </w:pPr>
      <w:r>
        <w:rPr>
          <w:rFonts w:hint="cs"/>
          <w:i/>
          <w:iCs/>
          <w:rtl/>
        </w:rPr>
        <w:t>الحواشي</w:t>
      </w:r>
    </w:p>
  </w:endnote>
  <w:endnote w:type="continuationSeparator" w:id="0">
    <w:p w14:paraId="32363D06" w14:textId="77777777" w:rsidR="00BA2393" w:rsidRDefault="00BA239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F9BA8" w14:textId="7101ACB1" w:rsidR="00BA2393" w:rsidRPr="000C3A5D" w:rsidRDefault="00BA2393" w:rsidP="000C3A5D">
    <w:pPr>
      <w:pStyle w:val="Footer"/>
      <w:tabs>
        <w:tab w:val="right" w:pos="9638"/>
      </w:tabs>
      <w:rPr>
        <w:b/>
        <w:sz w:val="18"/>
        <w:lang w:val="en-US"/>
      </w:rPr>
    </w:pPr>
    <w:r>
      <w:rPr>
        <w:lang w:val="en-US"/>
      </w:rPr>
      <w:t>GE.21-10479</w:t>
    </w:r>
    <w:r>
      <w:rPr>
        <w:lang w:val="en-US"/>
      </w:rPr>
      <w:tab/>
    </w:r>
    <w:r w:rsidRPr="000C3A5D">
      <w:rPr>
        <w:b/>
        <w:sz w:val="18"/>
        <w:lang w:val="en-US"/>
      </w:rPr>
      <w:fldChar w:fldCharType="begin"/>
    </w:r>
    <w:r w:rsidRPr="000C3A5D">
      <w:rPr>
        <w:b/>
        <w:sz w:val="18"/>
        <w:lang w:val="en-US"/>
      </w:rPr>
      <w:instrText xml:space="preserve"> PAGE  \* MERGEFORMAT </w:instrText>
    </w:r>
    <w:r w:rsidRPr="000C3A5D">
      <w:rPr>
        <w:b/>
        <w:sz w:val="18"/>
        <w:lang w:val="en-US"/>
      </w:rPr>
      <w:fldChar w:fldCharType="separate"/>
    </w:r>
    <w:r w:rsidRPr="000C3A5D">
      <w:rPr>
        <w:b/>
        <w:noProof/>
        <w:sz w:val="18"/>
        <w:lang w:val="en-US"/>
      </w:rPr>
      <w:t>2</w:t>
    </w:r>
    <w:r w:rsidRPr="000C3A5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4B3E6" w14:textId="021FE18E" w:rsidR="00BA2393" w:rsidRPr="000C3A5D" w:rsidRDefault="00BA2393" w:rsidP="000C3A5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GE.21-10479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DF4D4" w14:textId="61546F53" w:rsidR="00BA2393" w:rsidRPr="000C3A5D" w:rsidRDefault="00BA2393" w:rsidP="000C3A5D">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36F92D07" wp14:editId="62239CB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21-10479 (A)</w:t>
    </w:r>
    <w:r>
      <w:rPr>
        <w:noProof/>
        <w:sz w:val="20"/>
        <w:lang w:val="en-US"/>
      </w:rPr>
      <w:drawing>
        <wp:anchor distT="0" distB="0" distL="114300" distR="114300" simplePos="0" relativeHeight="251659264" behindDoc="0" locked="0" layoutInCell="1" allowOverlap="1" wp14:anchorId="661E6077" wp14:editId="204DF29D">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C4341" w14:textId="77777777" w:rsidR="00BA2393" w:rsidRPr="00CA22EA" w:rsidRDefault="00BA2393"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124276E" w14:textId="77777777" w:rsidR="00BA2393" w:rsidRDefault="00BA2393" w:rsidP="00656392">
      <w:pPr>
        <w:spacing w:line="240" w:lineRule="auto"/>
      </w:pPr>
      <w:r>
        <w:continuationSeparator/>
      </w:r>
    </w:p>
  </w:footnote>
  <w:footnote w:id="1">
    <w:p w14:paraId="44C5321B" w14:textId="77777777" w:rsidR="00BA2393" w:rsidRPr="001403E9" w:rsidRDefault="00BA2393" w:rsidP="00A1204B">
      <w:pPr>
        <w:pStyle w:val="FootnoteText1"/>
      </w:pPr>
      <w:r>
        <w:rPr>
          <w:rtl/>
        </w:rPr>
        <w:t>*</w:t>
      </w:r>
      <w:r>
        <w:rPr>
          <w:rtl/>
        </w:rPr>
        <w:tab/>
      </w:r>
      <w:r w:rsidRPr="001403E9">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00567" w14:textId="27809176" w:rsidR="00BA2393" w:rsidRPr="000C3A5D" w:rsidRDefault="00BA2393" w:rsidP="000C3A5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A5F5F">
      <w:t>HRI/CORE/ISL/2021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6917B" w14:textId="1B4BB3FB" w:rsidR="00BA2393" w:rsidRPr="000C3A5D" w:rsidRDefault="00BA2393" w:rsidP="000C3A5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A5F5F">
      <w:t>HRI/CORE/ISL/2021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5DD6575"/>
    <w:multiLevelType w:val="multilevel"/>
    <w:tmpl w:val="0409001D"/>
    <w:styleLink w:val="1ai"/>
    <w:lvl w:ilvl="0">
      <w:start w:val="1"/>
      <w:numFmt w:val="decimal"/>
      <w:pStyle w:val="Heading1"/>
      <w:lvlText w:val="%1)"/>
      <w:lvlJc w:val="left"/>
      <w:pPr>
        <w:tabs>
          <w:tab w:val="num" w:pos="360"/>
        </w:tabs>
        <w:ind w:left="360" w:hanging="360"/>
      </w:pPr>
    </w:lvl>
    <w:lvl w:ilvl="1">
      <w:start w:val="1"/>
      <w:numFmt w:val="lowerLetter"/>
      <w:pStyle w:val="Heading2"/>
      <w:lvlText w:val="%2)"/>
      <w:lvlJc w:val="left"/>
      <w:pPr>
        <w:tabs>
          <w:tab w:val="num" w:pos="720"/>
        </w:tabs>
        <w:ind w:left="720" w:hanging="360"/>
      </w:pPr>
    </w:lvl>
    <w:lvl w:ilvl="2">
      <w:start w:val="1"/>
      <w:numFmt w:val="lowerRoman"/>
      <w:pStyle w:val="Heading3"/>
      <w:lvlText w:val="%3)"/>
      <w:lvlJc w:val="left"/>
      <w:pPr>
        <w:tabs>
          <w:tab w:val="num" w:pos="1080"/>
        </w:tabs>
        <w:ind w:left="1080" w:hanging="360"/>
      </w:pPr>
    </w:lvl>
    <w:lvl w:ilvl="3">
      <w:start w:val="1"/>
      <w:numFmt w:val="decimal"/>
      <w:pStyle w:val="Heading4"/>
      <w:lvlText w:val="(%4)"/>
      <w:lvlJc w:val="left"/>
      <w:pPr>
        <w:tabs>
          <w:tab w:val="num" w:pos="1440"/>
        </w:tabs>
        <w:ind w:left="1440" w:hanging="360"/>
      </w:pPr>
    </w:lvl>
    <w:lvl w:ilvl="4">
      <w:start w:val="1"/>
      <w:numFmt w:val="lowerLetter"/>
      <w:pStyle w:val="Heading5"/>
      <w:lvlText w:val="(%5)"/>
      <w:lvlJc w:val="left"/>
      <w:pPr>
        <w:tabs>
          <w:tab w:val="num" w:pos="1800"/>
        </w:tabs>
        <w:ind w:left="1800" w:hanging="360"/>
      </w:pPr>
    </w:lvl>
    <w:lvl w:ilvl="5">
      <w:start w:val="1"/>
      <w:numFmt w:val="lowerRoman"/>
      <w:pStyle w:val="Heading6"/>
      <w:lvlText w:val="(%6)"/>
      <w:lvlJc w:val="left"/>
      <w:pPr>
        <w:tabs>
          <w:tab w:val="num" w:pos="2160"/>
        </w:tabs>
        <w:ind w:left="2160" w:hanging="360"/>
      </w:pPr>
    </w:lvl>
    <w:lvl w:ilvl="6">
      <w:start w:val="1"/>
      <w:numFmt w:val="decimal"/>
      <w:pStyle w:val="Heading7"/>
      <w:lvlText w:val="%7."/>
      <w:lvlJc w:val="left"/>
      <w:pPr>
        <w:tabs>
          <w:tab w:val="num" w:pos="2520"/>
        </w:tabs>
        <w:ind w:left="2520" w:hanging="360"/>
      </w:pPr>
    </w:lvl>
    <w:lvl w:ilvl="7">
      <w:start w:val="1"/>
      <w:numFmt w:val="lowerLetter"/>
      <w:pStyle w:val="Heading8"/>
      <w:lvlText w:val="%8."/>
      <w:lvlJc w:val="left"/>
      <w:pPr>
        <w:tabs>
          <w:tab w:val="num" w:pos="2880"/>
        </w:tabs>
        <w:ind w:left="2880" w:hanging="360"/>
      </w:pPr>
    </w:lvl>
    <w:lvl w:ilvl="8">
      <w:start w:val="1"/>
      <w:numFmt w:val="lowerRoman"/>
      <w:pStyle w:val="Heading9"/>
      <w:lvlText w:val="%9."/>
      <w:lvlJc w:val="left"/>
      <w:pPr>
        <w:tabs>
          <w:tab w:val="num" w:pos="3240"/>
        </w:tabs>
        <w:ind w:left="3240" w:hanging="36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9"/>
  </w:num>
  <w:num w:numId="2">
    <w:abstractNumId w:val="15"/>
  </w:num>
  <w:num w:numId="3">
    <w:abstractNumId w:val="3"/>
  </w:num>
  <w:num w:numId="4">
    <w:abstractNumId w:val="14"/>
  </w:num>
  <w:num w:numId="5">
    <w:abstractNumId w:val="11"/>
  </w:num>
  <w:num w:numId="6">
    <w:abstractNumId w:val="8"/>
  </w:num>
  <w:num w:numId="7">
    <w:abstractNumId w:val="21"/>
  </w:num>
  <w:num w:numId="8">
    <w:abstractNumId w:val="3"/>
  </w:num>
  <w:num w:numId="9">
    <w:abstractNumId w:val="14"/>
  </w:num>
  <w:num w:numId="10">
    <w:abstractNumId w:val="8"/>
  </w:num>
  <w:num w:numId="11">
    <w:abstractNumId w:val="21"/>
  </w:num>
  <w:num w:numId="12">
    <w:abstractNumId w:val="7"/>
  </w:num>
  <w:num w:numId="13">
    <w:abstractNumId w:val="4"/>
  </w:num>
  <w:num w:numId="14">
    <w:abstractNumId w:val="20"/>
  </w:num>
  <w:num w:numId="15">
    <w:abstractNumId w:val="16"/>
  </w:num>
  <w:num w:numId="16">
    <w:abstractNumId w:val="1"/>
  </w:num>
  <w:num w:numId="17">
    <w:abstractNumId w:val="18"/>
  </w:num>
  <w:num w:numId="18">
    <w:abstractNumId w:val="0"/>
  </w:num>
  <w:num w:numId="19">
    <w:abstractNumId w:val="12"/>
  </w:num>
  <w:num w:numId="20">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0"/>
  </w:num>
  <w:num w:numId="26">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9"/>
  </w:num>
  <w:num w:numId="28">
    <w:abstractNumId w:val="5"/>
  </w:num>
  <w:num w:numId="29">
    <w:abstractNumId w:val="17"/>
  </w:num>
  <w:num w:numId="30">
    <w:abstractNumId w:val="6"/>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7"/>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B1B"/>
    <w:rsid w:val="000076D5"/>
    <w:rsid w:val="00043663"/>
    <w:rsid w:val="00047038"/>
    <w:rsid w:val="000505CF"/>
    <w:rsid w:val="0006642E"/>
    <w:rsid w:val="0009460F"/>
    <w:rsid w:val="000A5F5F"/>
    <w:rsid w:val="000B462C"/>
    <w:rsid w:val="000C3A5D"/>
    <w:rsid w:val="000D701C"/>
    <w:rsid w:val="000E2A71"/>
    <w:rsid w:val="00160263"/>
    <w:rsid w:val="00175B1B"/>
    <w:rsid w:val="00181F96"/>
    <w:rsid w:val="001A1371"/>
    <w:rsid w:val="001B2F42"/>
    <w:rsid w:val="001B346A"/>
    <w:rsid w:val="001E0C6B"/>
    <w:rsid w:val="001E1CAD"/>
    <w:rsid w:val="001E290D"/>
    <w:rsid w:val="001F1035"/>
    <w:rsid w:val="002144FA"/>
    <w:rsid w:val="0023469A"/>
    <w:rsid w:val="00243C8A"/>
    <w:rsid w:val="00267A0E"/>
    <w:rsid w:val="002705E5"/>
    <w:rsid w:val="002901D9"/>
    <w:rsid w:val="002976C2"/>
    <w:rsid w:val="002E196D"/>
    <w:rsid w:val="002E3DD0"/>
    <w:rsid w:val="003260FF"/>
    <w:rsid w:val="00343D95"/>
    <w:rsid w:val="00354CC2"/>
    <w:rsid w:val="00374341"/>
    <w:rsid w:val="003817EA"/>
    <w:rsid w:val="003957A0"/>
    <w:rsid w:val="003A4ADA"/>
    <w:rsid w:val="003D1062"/>
    <w:rsid w:val="00420D7B"/>
    <w:rsid w:val="00433E15"/>
    <w:rsid w:val="00450B21"/>
    <w:rsid w:val="00453B63"/>
    <w:rsid w:val="00455780"/>
    <w:rsid w:val="004A3298"/>
    <w:rsid w:val="004B0A1C"/>
    <w:rsid w:val="004D298E"/>
    <w:rsid w:val="004E2E6B"/>
    <w:rsid w:val="004F6383"/>
    <w:rsid w:val="0053722C"/>
    <w:rsid w:val="0054472E"/>
    <w:rsid w:val="00556AB9"/>
    <w:rsid w:val="005662A9"/>
    <w:rsid w:val="005827D4"/>
    <w:rsid w:val="0059622A"/>
    <w:rsid w:val="005A069E"/>
    <w:rsid w:val="005C5878"/>
    <w:rsid w:val="005C7CEA"/>
    <w:rsid w:val="005D3C0B"/>
    <w:rsid w:val="005E5217"/>
    <w:rsid w:val="005F0FA4"/>
    <w:rsid w:val="005F30EE"/>
    <w:rsid w:val="0060473A"/>
    <w:rsid w:val="00623495"/>
    <w:rsid w:val="00624B9B"/>
    <w:rsid w:val="0063775D"/>
    <w:rsid w:val="00650416"/>
    <w:rsid w:val="00656392"/>
    <w:rsid w:val="00676B5E"/>
    <w:rsid w:val="0068781D"/>
    <w:rsid w:val="006959B0"/>
    <w:rsid w:val="006B3E27"/>
    <w:rsid w:val="006B6507"/>
    <w:rsid w:val="006C104C"/>
    <w:rsid w:val="006E13EF"/>
    <w:rsid w:val="006E68C4"/>
    <w:rsid w:val="00733704"/>
    <w:rsid w:val="00752395"/>
    <w:rsid w:val="0078071A"/>
    <w:rsid w:val="00780EA4"/>
    <w:rsid w:val="007A3956"/>
    <w:rsid w:val="007A63CA"/>
    <w:rsid w:val="007C1295"/>
    <w:rsid w:val="007E37A9"/>
    <w:rsid w:val="008214D9"/>
    <w:rsid w:val="00852A9A"/>
    <w:rsid w:val="008D6B1B"/>
    <w:rsid w:val="008F2B79"/>
    <w:rsid w:val="008F49E1"/>
    <w:rsid w:val="0090370F"/>
    <w:rsid w:val="009269D2"/>
    <w:rsid w:val="00942135"/>
    <w:rsid w:val="009521B0"/>
    <w:rsid w:val="00957371"/>
    <w:rsid w:val="009815E4"/>
    <w:rsid w:val="00994130"/>
    <w:rsid w:val="009A7E9F"/>
    <w:rsid w:val="009E5018"/>
    <w:rsid w:val="00A1204B"/>
    <w:rsid w:val="00A12B37"/>
    <w:rsid w:val="00A130A4"/>
    <w:rsid w:val="00A1373C"/>
    <w:rsid w:val="00A519EC"/>
    <w:rsid w:val="00A575B0"/>
    <w:rsid w:val="00A6363A"/>
    <w:rsid w:val="00AA29CE"/>
    <w:rsid w:val="00AB6758"/>
    <w:rsid w:val="00AF0202"/>
    <w:rsid w:val="00AF2F75"/>
    <w:rsid w:val="00AF6EC9"/>
    <w:rsid w:val="00B13763"/>
    <w:rsid w:val="00B452DB"/>
    <w:rsid w:val="00B477A4"/>
    <w:rsid w:val="00B54045"/>
    <w:rsid w:val="00B627BA"/>
    <w:rsid w:val="00B706DA"/>
    <w:rsid w:val="00BA2393"/>
    <w:rsid w:val="00C2304B"/>
    <w:rsid w:val="00C438D7"/>
    <w:rsid w:val="00C81B50"/>
    <w:rsid w:val="00CA22EA"/>
    <w:rsid w:val="00CB28F9"/>
    <w:rsid w:val="00CD1801"/>
    <w:rsid w:val="00D01CC9"/>
    <w:rsid w:val="00D10EF1"/>
    <w:rsid w:val="00D16080"/>
    <w:rsid w:val="00D42810"/>
    <w:rsid w:val="00D72D17"/>
    <w:rsid w:val="00D82754"/>
    <w:rsid w:val="00D85448"/>
    <w:rsid w:val="00D914A7"/>
    <w:rsid w:val="00DB1D2F"/>
    <w:rsid w:val="00DC4300"/>
    <w:rsid w:val="00DD13C3"/>
    <w:rsid w:val="00DD596E"/>
    <w:rsid w:val="00DD621E"/>
    <w:rsid w:val="00DE78AC"/>
    <w:rsid w:val="00DF0575"/>
    <w:rsid w:val="00E20734"/>
    <w:rsid w:val="00E40CC2"/>
    <w:rsid w:val="00E70E04"/>
    <w:rsid w:val="00E76499"/>
    <w:rsid w:val="00E777FD"/>
    <w:rsid w:val="00E84BC2"/>
    <w:rsid w:val="00E9006F"/>
    <w:rsid w:val="00EC05A7"/>
    <w:rsid w:val="00EC4B6B"/>
    <w:rsid w:val="00EC6FD0"/>
    <w:rsid w:val="00EF1EE5"/>
    <w:rsid w:val="00F62C8F"/>
    <w:rsid w:val="00F763B4"/>
    <w:rsid w:val="00F900C3"/>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335CDC9"/>
  <w15:docId w15:val="{FEA3D0E6-D867-4517-B09B-61718E196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275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82754"/>
    <w:pPr>
      <w:numPr>
        <w:numId w:val="30"/>
      </w:numPr>
      <w:bidi w:val="0"/>
      <w:outlineLvl w:val="0"/>
    </w:pPr>
  </w:style>
  <w:style w:type="paragraph" w:styleId="Heading2">
    <w:name w:val="heading 2"/>
    <w:basedOn w:val="Normal"/>
    <w:next w:val="Normal"/>
    <w:link w:val="Heading2Char"/>
    <w:unhideWhenUsed/>
    <w:qFormat/>
    <w:rsid w:val="00D82754"/>
    <w:pPr>
      <w:keepNext/>
      <w:keepLines/>
      <w:numPr>
        <w:ilvl w:val="1"/>
        <w:numId w:val="30"/>
      </w:numPr>
      <w:spacing w:before="200"/>
      <w:outlineLvl w:val="1"/>
    </w:pPr>
    <w:rPr>
      <w:b/>
      <w:bCs/>
      <w:color w:val="4F81BD"/>
      <w:sz w:val="26"/>
      <w:szCs w:val="26"/>
    </w:rPr>
  </w:style>
  <w:style w:type="paragraph" w:styleId="Heading3">
    <w:name w:val="heading 3"/>
    <w:basedOn w:val="Normal"/>
    <w:next w:val="Normal"/>
    <w:link w:val="Heading3Char"/>
    <w:unhideWhenUsed/>
    <w:qFormat/>
    <w:rsid w:val="00D82754"/>
    <w:pPr>
      <w:keepNext/>
      <w:keepLines/>
      <w:numPr>
        <w:ilvl w:val="2"/>
        <w:numId w:val="30"/>
      </w:numPr>
      <w:spacing w:before="200"/>
      <w:outlineLvl w:val="2"/>
    </w:pPr>
    <w:rPr>
      <w:b/>
      <w:bCs/>
      <w:color w:val="4F81BD"/>
    </w:rPr>
  </w:style>
  <w:style w:type="paragraph" w:styleId="Heading4">
    <w:name w:val="heading 4"/>
    <w:basedOn w:val="Normal"/>
    <w:next w:val="Normal"/>
    <w:link w:val="Heading4Char"/>
    <w:unhideWhenUsed/>
    <w:qFormat/>
    <w:rsid w:val="00D82754"/>
    <w:pPr>
      <w:keepNext/>
      <w:keepLines/>
      <w:numPr>
        <w:ilvl w:val="3"/>
        <w:numId w:val="30"/>
      </w:numPr>
      <w:spacing w:before="200"/>
      <w:outlineLvl w:val="3"/>
    </w:pPr>
    <w:rPr>
      <w:b/>
      <w:bCs/>
      <w:i/>
      <w:iCs/>
      <w:color w:val="4F81BD"/>
    </w:rPr>
  </w:style>
  <w:style w:type="paragraph" w:styleId="Heading5">
    <w:name w:val="heading 5"/>
    <w:basedOn w:val="Normal"/>
    <w:next w:val="Normal"/>
    <w:link w:val="Heading5Char"/>
    <w:unhideWhenUsed/>
    <w:qFormat/>
    <w:rsid w:val="00D82754"/>
    <w:pPr>
      <w:keepNext/>
      <w:keepLines/>
      <w:numPr>
        <w:ilvl w:val="4"/>
        <w:numId w:val="30"/>
      </w:numPr>
      <w:spacing w:before="200"/>
      <w:outlineLvl w:val="4"/>
    </w:pPr>
    <w:rPr>
      <w:color w:val="243F60"/>
    </w:rPr>
  </w:style>
  <w:style w:type="paragraph" w:styleId="Heading6">
    <w:name w:val="heading 6"/>
    <w:basedOn w:val="Normal"/>
    <w:next w:val="Normal"/>
    <w:link w:val="Heading6Char"/>
    <w:unhideWhenUsed/>
    <w:qFormat/>
    <w:rsid w:val="00D82754"/>
    <w:pPr>
      <w:keepNext/>
      <w:keepLines/>
      <w:numPr>
        <w:ilvl w:val="5"/>
        <w:numId w:val="30"/>
      </w:numPr>
      <w:spacing w:before="200"/>
      <w:outlineLvl w:val="5"/>
    </w:pPr>
    <w:rPr>
      <w:i/>
      <w:iCs/>
      <w:color w:val="243F60"/>
    </w:rPr>
  </w:style>
  <w:style w:type="paragraph" w:styleId="Heading7">
    <w:name w:val="heading 7"/>
    <w:basedOn w:val="Normal"/>
    <w:next w:val="Normal"/>
    <w:link w:val="Heading7Char"/>
    <w:unhideWhenUsed/>
    <w:qFormat/>
    <w:rsid w:val="00D82754"/>
    <w:pPr>
      <w:keepNext/>
      <w:keepLines/>
      <w:numPr>
        <w:ilvl w:val="6"/>
        <w:numId w:val="30"/>
      </w:numPr>
      <w:spacing w:before="200"/>
      <w:outlineLvl w:val="6"/>
    </w:pPr>
    <w:rPr>
      <w:i/>
      <w:iCs/>
      <w:color w:val="404040"/>
    </w:rPr>
  </w:style>
  <w:style w:type="paragraph" w:styleId="Heading8">
    <w:name w:val="heading 8"/>
    <w:basedOn w:val="Normal"/>
    <w:next w:val="Normal"/>
    <w:link w:val="Heading8Char"/>
    <w:unhideWhenUsed/>
    <w:qFormat/>
    <w:rsid w:val="00D82754"/>
    <w:pPr>
      <w:keepNext/>
      <w:keepLines/>
      <w:numPr>
        <w:ilvl w:val="7"/>
        <w:numId w:val="30"/>
      </w:numPr>
      <w:spacing w:before="200"/>
      <w:outlineLvl w:val="7"/>
    </w:pPr>
    <w:rPr>
      <w:color w:val="404040"/>
      <w:szCs w:val="20"/>
    </w:rPr>
  </w:style>
  <w:style w:type="paragraph" w:styleId="Heading9">
    <w:name w:val="heading 9"/>
    <w:basedOn w:val="Normal"/>
    <w:next w:val="Normal"/>
    <w:link w:val="Heading9Char"/>
    <w:unhideWhenUsed/>
    <w:qFormat/>
    <w:rsid w:val="00D82754"/>
    <w:pPr>
      <w:keepNext/>
      <w:keepLines/>
      <w:numPr>
        <w:ilvl w:val="8"/>
        <w:numId w:val="30"/>
      </w:numPr>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82754"/>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82754"/>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D82754"/>
    <w:rPr>
      <w:szCs w:val="18"/>
      <w:vertAlign w:val="superscript"/>
    </w:rPr>
  </w:style>
  <w:style w:type="paragraph" w:customStyle="1" w:styleId="HMGA">
    <w:name w:val="_ H __M_GA"/>
    <w:basedOn w:val="Normal"/>
    <w:next w:val="SingleTxtGA"/>
    <w:qFormat/>
    <w:rsid w:val="00D8275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8275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8275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8275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8275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8275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8275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8275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8275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8275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8275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8275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8275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82754"/>
    <w:pPr>
      <w:numPr>
        <w:numId w:val="5"/>
      </w:numPr>
      <w:bidi w:val="0"/>
    </w:pPr>
    <w:rPr>
      <w:lang w:val="en-US"/>
    </w:rPr>
  </w:style>
  <w:style w:type="paragraph" w:customStyle="1" w:styleId="Roman1GA">
    <w:name w:val="_Roman 1_GA"/>
    <w:basedOn w:val="Bullet1GA"/>
    <w:qFormat/>
    <w:rsid w:val="00D82754"/>
    <w:pPr>
      <w:numPr>
        <w:numId w:val="6"/>
      </w:numPr>
      <w:tabs>
        <w:tab w:val="clear" w:pos="2310"/>
        <w:tab w:val="left" w:pos="2486"/>
      </w:tabs>
      <w:ind w:left="2486" w:hanging="378"/>
    </w:pPr>
  </w:style>
  <w:style w:type="paragraph" w:customStyle="1" w:styleId="Roman2GA">
    <w:name w:val="_Roman 2_GA"/>
    <w:basedOn w:val="Bullet2GA"/>
    <w:qFormat/>
    <w:rsid w:val="00D8275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8275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82754"/>
    <w:rPr>
      <w:rFonts w:ascii="Times New Roman" w:eastAsia="PMingLiU" w:hAnsi="Times New Roman" w:cs="Simplified Arabic"/>
      <w:sz w:val="18"/>
      <w:szCs w:val="20"/>
      <w:lang w:val="en-GB"/>
    </w:rPr>
  </w:style>
  <w:style w:type="character" w:customStyle="1" w:styleId="EndtnoteReference">
    <w:name w:val="Endtnote Reference"/>
    <w:aliases w:val="1_GA"/>
    <w:qFormat/>
    <w:rsid w:val="00D8275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82754"/>
    <w:pPr>
      <w:suppressAutoHyphens/>
      <w:bidi w:val="0"/>
      <w:spacing w:line="240" w:lineRule="auto"/>
    </w:pPr>
    <w:rPr>
      <w:sz w:val="16"/>
      <w:lang w:val="en-GB"/>
    </w:rPr>
  </w:style>
  <w:style w:type="character" w:customStyle="1" w:styleId="FooterChar">
    <w:name w:val="Footer Char"/>
    <w:aliases w:val="3_GA Char,3_G Char"/>
    <w:link w:val="Footer"/>
    <w:rsid w:val="00D82754"/>
    <w:rPr>
      <w:rFonts w:ascii="Times New Roman" w:eastAsia="PMingLiU" w:hAnsi="Times New Roman" w:cs="Simplified Arabic"/>
      <w:sz w:val="16"/>
      <w:lang w:val="en-GB"/>
    </w:rPr>
  </w:style>
  <w:style w:type="paragraph" w:customStyle="1" w:styleId="FootnoteText1">
    <w:name w:val="Footnote Text1"/>
    <w:aliases w:val="5_GA"/>
    <w:basedOn w:val="Normal"/>
    <w:qFormat/>
    <w:rsid w:val="00D82754"/>
    <w:pPr>
      <w:spacing w:after="60" w:line="280" w:lineRule="exact"/>
      <w:ind w:left="1247" w:right="1247" w:hanging="567"/>
    </w:pPr>
    <w:rPr>
      <w:sz w:val="18"/>
      <w:szCs w:val="18"/>
    </w:rPr>
  </w:style>
  <w:style w:type="paragraph" w:styleId="Header">
    <w:name w:val="header"/>
    <w:aliases w:val="6_GA,6_G"/>
    <w:basedOn w:val="Normal"/>
    <w:link w:val="HeaderChar"/>
    <w:qFormat/>
    <w:rsid w:val="00D8275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8275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82754"/>
    <w:rPr>
      <w:rFonts w:ascii="Times New Roman" w:eastAsia="PMingLiU" w:hAnsi="Times New Roman" w:cs="Simplified Arabic"/>
      <w:lang w:val="en-GB"/>
    </w:rPr>
  </w:style>
  <w:style w:type="character" w:styleId="PageNumber">
    <w:name w:val="page number"/>
    <w:aliases w:val="7_GA,7_G"/>
    <w:qFormat/>
    <w:rsid w:val="00D82754"/>
    <w:rPr>
      <w:rFonts w:ascii="Times New Roman Bold" w:hAnsi="Times New Roman Bold"/>
      <w:b/>
      <w:i w:val="0"/>
      <w:sz w:val="18"/>
      <w:szCs w:val="18"/>
    </w:rPr>
  </w:style>
  <w:style w:type="paragraph" w:customStyle="1" w:styleId="XXLargeGA">
    <w:name w:val="XXLarge_GA"/>
    <w:basedOn w:val="Normal"/>
    <w:next w:val="SingleTxtGA"/>
    <w:qFormat/>
    <w:rsid w:val="00D82754"/>
    <w:pPr>
      <w:suppressAutoHyphens/>
      <w:spacing w:line="820" w:lineRule="exact"/>
    </w:pPr>
    <w:rPr>
      <w:spacing w:val="-8"/>
      <w:w w:val="96"/>
      <w:sz w:val="57"/>
      <w:szCs w:val="86"/>
      <w:lang w:val="en-GB"/>
    </w:rPr>
  </w:style>
  <w:style w:type="character" w:customStyle="1" w:styleId="Heading2Char">
    <w:name w:val="Heading 2 Char"/>
    <w:link w:val="Heading2"/>
    <w:rsid w:val="00D82754"/>
    <w:rPr>
      <w:rFonts w:ascii="Times New Roman" w:eastAsia="PMingLiU" w:hAnsi="Times New Roman" w:cs="Simplified Arabic"/>
      <w:b/>
      <w:bCs/>
      <w:color w:val="4F81BD"/>
      <w:sz w:val="26"/>
      <w:szCs w:val="26"/>
    </w:rPr>
  </w:style>
  <w:style w:type="character" w:styleId="BookTitle">
    <w:name w:val="Book Title"/>
    <w:uiPriority w:val="33"/>
    <w:rsid w:val="00D82754"/>
    <w:rPr>
      <w:b/>
      <w:bCs/>
      <w:smallCaps/>
      <w:spacing w:val="5"/>
    </w:rPr>
  </w:style>
  <w:style w:type="character" w:customStyle="1" w:styleId="Heading3Char">
    <w:name w:val="Heading 3 Char"/>
    <w:link w:val="Heading3"/>
    <w:rsid w:val="00D82754"/>
    <w:rPr>
      <w:rFonts w:ascii="Times New Roman" w:eastAsia="PMingLiU" w:hAnsi="Times New Roman" w:cs="Simplified Arabic"/>
      <w:b/>
      <w:bCs/>
      <w:color w:val="4F81BD"/>
      <w:sz w:val="20"/>
    </w:rPr>
  </w:style>
  <w:style w:type="character" w:customStyle="1" w:styleId="Heading4Char">
    <w:name w:val="Heading 4 Char"/>
    <w:link w:val="Heading4"/>
    <w:rsid w:val="00D82754"/>
    <w:rPr>
      <w:rFonts w:ascii="Times New Roman" w:eastAsia="PMingLiU" w:hAnsi="Times New Roman" w:cs="Simplified Arabic"/>
      <w:b/>
      <w:bCs/>
      <w:i/>
      <w:iCs/>
      <w:color w:val="4F81BD"/>
      <w:sz w:val="20"/>
    </w:rPr>
  </w:style>
  <w:style w:type="character" w:customStyle="1" w:styleId="Heading5Char">
    <w:name w:val="Heading 5 Char"/>
    <w:link w:val="Heading5"/>
    <w:rsid w:val="00D82754"/>
    <w:rPr>
      <w:rFonts w:ascii="Times New Roman" w:eastAsia="PMingLiU" w:hAnsi="Times New Roman" w:cs="Simplified Arabic"/>
      <w:color w:val="243F60"/>
      <w:sz w:val="20"/>
    </w:rPr>
  </w:style>
  <w:style w:type="character" w:customStyle="1" w:styleId="Heading6Char">
    <w:name w:val="Heading 6 Char"/>
    <w:link w:val="Heading6"/>
    <w:rsid w:val="00D82754"/>
    <w:rPr>
      <w:rFonts w:ascii="Times New Roman" w:eastAsia="PMingLiU" w:hAnsi="Times New Roman" w:cs="Simplified Arabic"/>
      <w:i/>
      <w:iCs/>
      <w:color w:val="243F60"/>
      <w:sz w:val="20"/>
    </w:rPr>
  </w:style>
  <w:style w:type="character" w:customStyle="1" w:styleId="Heading7Char">
    <w:name w:val="Heading 7 Char"/>
    <w:link w:val="Heading7"/>
    <w:rsid w:val="00D82754"/>
    <w:rPr>
      <w:rFonts w:ascii="Times New Roman" w:eastAsia="PMingLiU" w:hAnsi="Times New Roman" w:cs="Simplified Arabic"/>
      <w:i/>
      <w:iCs/>
      <w:color w:val="404040"/>
      <w:sz w:val="20"/>
    </w:rPr>
  </w:style>
  <w:style w:type="character" w:customStyle="1" w:styleId="Heading8Char">
    <w:name w:val="Heading 8 Char"/>
    <w:link w:val="Heading8"/>
    <w:rsid w:val="00D82754"/>
    <w:rPr>
      <w:rFonts w:ascii="Times New Roman" w:eastAsia="PMingLiU" w:hAnsi="Times New Roman" w:cs="Simplified Arabic"/>
      <w:color w:val="404040"/>
      <w:sz w:val="20"/>
      <w:szCs w:val="20"/>
    </w:rPr>
  </w:style>
  <w:style w:type="character" w:customStyle="1" w:styleId="Heading9Char">
    <w:name w:val="Heading 9 Char"/>
    <w:link w:val="Heading9"/>
    <w:rsid w:val="00D8275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8275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8275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82754"/>
    <w:pPr>
      <w:numPr>
        <w:ilvl w:val="1"/>
      </w:numPr>
    </w:pPr>
    <w:rPr>
      <w:i/>
      <w:iCs/>
      <w:color w:val="4F81BD"/>
      <w:spacing w:val="15"/>
      <w:sz w:val="24"/>
      <w:szCs w:val="24"/>
    </w:rPr>
  </w:style>
  <w:style w:type="character" w:customStyle="1" w:styleId="SubtitleChar">
    <w:name w:val="Subtitle Char"/>
    <w:link w:val="Subtitle"/>
    <w:uiPriority w:val="11"/>
    <w:rsid w:val="00D82754"/>
    <w:rPr>
      <w:rFonts w:ascii="Times New Roman" w:eastAsia="PMingLiU" w:hAnsi="Times New Roman" w:cs="Simplified Arabic"/>
      <w:i/>
      <w:iCs/>
      <w:color w:val="4F81BD"/>
      <w:spacing w:val="15"/>
      <w:sz w:val="24"/>
      <w:szCs w:val="24"/>
    </w:rPr>
  </w:style>
  <w:style w:type="character" w:styleId="SubtleEmphasis">
    <w:name w:val="Subtle Emphasis"/>
    <w:uiPriority w:val="19"/>
    <w:rsid w:val="00D82754"/>
    <w:rPr>
      <w:i/>
      <w:iCs/>
      <w:color w:val="808080"/>
    </w:rPr>
  </w:style>
  <w:style w:type="table" w:styleId="ColorfulGrid-Accent6">
    <w:name w:val="Colorful Grid Accent 6"/>
    <w:basedOn w:val="TableNormal"/>
    <w:uiPriority w:val="73"/>
    <w:rsid w:val="00D82754"/>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qFormat/>
    <w:rsid w:val="00D82754"/>
    <w:rPr>
      <w:i/>
      <w:iCs/>
    </w:rPr>
  </w:style>
  <w:style w:type="character" w:styleId="IntenseEmphasis">
    <w:name w:val="Intense Emphasis"/>
    <w:uiPriority w:val="21"/>
    <w:rsid w:val="00D82754"/>
    <w:rPr>
      <w:b/>
      <w:bCs/>
      <w:i/>
      <w:iCs/>
      <w:color w:val="4F81BD"/>
    </w:rPr>
  </w:style>
  <w:style w:type="character" w:styleId="Strong">
    <w:name w:val="Strong"/>
    <w:uiPriority w:val="22"/>
    <w:rsid w:val="00D82754"/>
    <w:rPr>
      <w:b/>
      <w:bCs/>
    </w:rPr>
  </w:style>
  <w:style w:type="paragraph" w:styleId="Quote">
    <w:name w:val="Quote"/>
    <w:basedOn w:val="Normal"/>
    <w:next w:val="Normal"/>
    <w:link w:val="QuoteChar"/>
    <w:uiPriority w:val="29"/>
    <w:rsid w:val="00D82754"/>
    <w:rPr>
      <w:i/>
      <w:iCs/>
      <w:color w:val="000000"/>
    </w:rPr>
  </w:style>
  <w:style w:type="character" w:customStyle="1" w:styleId="QuoteChar">
    <w:name w:val="Quote Char"/>
    <w:link w:val="Quote"/>
    <w:uiPriority w:val="29"/>
    <w:rsid w:val="00D8275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D827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82754"/>
    <w:rPr>
      <w:rFonts w:ascii="Times New Roman" w:eastAsia="PMingLiU" w:hAnsi="Times New Roman" w:cs="Simplified Arabic"/>
      <w:b/>
      <w:bCs/>
      <w:i/>
      <w:iCs/>
      <w:color w:val="4F81BD"/>
      <w:sz w:val="20"/>
    </w:rPr>
  </w:style>
  <w:style w:type="character" w:styleId="SubtleReference">
    <w:name w:val="Subtle Reference"/>
    <w:uiPriority w:val="31"/>
    <w:rsid w:val="00D82754"/>
    <w:rPr>
      <w:smallCaps/>
      <w:color w:val="C0504D"/>
      <w:u w:val="single"/>
    </w:rPr>
  </w:style>
  <w:style w:type="character" w:styleId="IntenseReference">
    <w:name w:val="Intense Reference"/>
    <w:uiPriority w:val="32"/>
    <w:rsid w:val="00D82754"/>
    <w:rPr>
      <w:b/>
      <w:bCs/>
      <w:smallCaps/>
      <w:color w:val="C0504D"/>
      <w:spacing w:val="5"/>
      <w:u w:val="single"/>
    </w:rPr>
  </w:style>
  <w:style w:type="paragraph" w:styleId="ListParagraph">
    <w:name w:val="List Paragraph"/>
    <w:basedOn w:val="Normal"/>
    <w:uiPriority w:val="34"/>
    <w:qFormat/>
    <w:rsid w:val="00D82754"/>
    <w:pPr>
      <w:ind w:left="720"/>
      <w:contextualSpacing/>
    </w:pPr>
  </w:style>
  <w:style w:type="table" w:styleId="MediumShading1-Accent4">
    <w:name w:val="Medium Shading 1 Accent 4"/>
    <w:basedOn w:val="TableNormal"/>
    <w:uiPriority w:val="63"/>
    <w:rsid w:val="00D82754"/>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82754"/>
    <w:rPr>
      <w:rFonts w:eastAsia="MS Mincho"/>
      <w:sz w:val="18"/>
      <w:vertAlign w:val="superscript"/>
    </w:rPr>
  </w:style>
  <w:style w:type="table" w:styleId="TableGrid">
    <w:name w:val="Table Grid"/>
    <w:basedOn w:val="TableNormal"/>
    <w:rsid w:val="00D8275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2754"/>
    <w:pPr>
      <w:spacing w:line="240" w:lineRule="auto"/>
    </w:pPr>
    <w:rPr>
      <w:sz w:val="16"/>
      <w:szCs w:val="16"/>
    </w:rPr>
  </w:style>
  <w:style w:type="character" w:customStyle="1" w:styleId="BalloonTextChar">
    <w:name w:val="Balloon Text Char"/>
    <w:link w:val="BalloonText"/>
    <w:uiPriority w:val="99"/>
    <w:semiHidden/>
    <w:rsid w:val="00D82754"/>
    <w:rPr>
      <w:rFonts w:ascii="Times New Roman" w:eastAsia="PMingLiU" w:hAnsi="Times New Roman" w:cs="Simplified Arabic"/>
      <w:sz w:val="16"/>
      <w:szCs w:val="16"/>
    </w:rPr>
  </w:style>
  <w:style w:type="character" w:styleId="Hyperlink">
    <w:name w:val="Hyperlink"/>
    <w:uiPriority w:val="99"/>
    <w:unhideWhenUsed/>
    <w:rsid w:val="00D82754"/>
    <w:rPr>
      <w:color w:val="0000FF"/>
      <w:u w:val="none"/>
    </w:rPr>
  </w:style>
  <w:style w:type="paragraph" w:styleId="TOC1">
    <w:name w:val="toc 1"/>
    <w:basedOn w:val="Normal"/>
    <w:link w:val="TOC1Char"/>
    <w:autoRedefine/>
    <w:uiPriority w:val="39"/>
    <w:unhideWhenUsed/>
    <w:rsid w:val="00D8275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8275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8275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82754"/>
    <w:rPr>
      <w:rFonts w:eastAsia="DengXian"/>
      <w:color w:val="auto"/>
      <w:sz w:val="20"/>
      <w:szCs w:val="20"/>
      <w:u w:val="none"/>
      <w:lang w:eastAsia="zh-CN" w:bidi="ar-EG"/>
    </w:rPr>
  </w:style>
  <w:style w:type="paragraph" w:styleId="TOC4">
    <w:name w:val="toc 4"/>
    <w:basedOn w:val="Normal"/>
    <w:link w:val="TOC4Char"/>
    <w:autoRedefine/>
    <w:uiPriority w:val="39"/>
    <w:unhideWhenUsed/>
    <w:rsid w:val="00D8275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8275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82754"/>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82754"/>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D82754"/>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82754"/>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D82754"/>
    <w:rPr>
      <w:color w:val="605E5C"/>
      <w:shd w:val="clear" w:color="auto" w:fill="E1DFDD"/>
    </w:rPr>
  </w:style>
  <w:style w:type="character" w:customStyle="1" w:styleId="TOC1Char">
    <w:name w:val="TOC 1 Char"/>
    <w:basedOn w:val="DefaultParagraphFont"/>
    <w:link w:val="TOC1"/>
    <w:uiPriority w:val="39"/>
    <w:rsid w:val="00D8275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8275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8275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8275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8275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82754"/>
    <w:rPr>
      <w:rFonts w:ascii="Times New Roman" w:eastAsia="PMingLiU" w:hAnsi="Times New Roman" w:cs="Simplified Arabic"/>
      <w:sz w:val="20"/>
      <w:szCs w:val="20"/>
      <w:lang w:val="en-GB"/>
    </w:rPr>
  </w:style>
  <w:style w:type="paragraph" w:customStyle="1" w:styleId="SessionDate">
    <w:name w:val="Session_Date"/>
    <w:basedOn w:val="Normal"/>
    <w:qFormat/>
    <w:rsid w:val="00D82754"/>
    <w:pPr>
      <w:spacing w:before="240" w:after="240" w:line="460" w:lineRule="exact"/>
      <w:ind w:left="1247"/>
    </w:pPr>
    <w:rPr>
      <w:b/>
      <w:bCs/>
      <w:sz w:val="32"/>
      <w:szCs w:val="44"/>
    </w:rPr>
  </w:style>
  <w:style w:type="paragraph" w:customStyle="1" w:styleId="SessionNumber">
    <w:name w:val="Session_Number"/>
    <w:basedOn w:val="Normal"/>
    <w:qFormat/>
    <w:rsid w:val="00D82754"/>
    <w:pPr>
      <w:spacing w:line="480" w:lineRule="exact"/>
      <w:ind w:left="1247"/>
    </w:pPr>
    <w:rPr>
      <w:b/>
      <w:bCs/>
      <w:sz w:val="28"/>
      <w:szCs w:val="38"/>
    </w:rPr>
  </w:style>
  <w:style w:type="paragraph" w:customStyle="1" w:styleId="CityandYear">
    <w:name w:val="City and Year"/>
    <w:basedOn w:val="SingleTxtGA"/>
    <w:qFormat/>
    <w:rsid w:val="00D82754"/>
    <w:pPr>
      <w:spacing w:line="480" w:lineRule="exact"/>
    </w:pPr>
    <w:rPr>
      <w:b/>
      <w:bCs/>
      <w:sz w:val="30"/>
      <w:szCs w:val="38"/>
      <w:lang w:eastAsia="ar-SA"/>
    </w:rPr>
  </w:style>
  <w:style w:type="paragraph" w:customStyle="1" w:styleId="NormalA">
    <w:name w:val="Normal_A"/>
    <w:basedOn w:val="Normal"/>
    <w:qFormat/>
    <w:rsid w:val="00D82754"/>
  </w:style>
  <w:style w:type="paragraph" w:customStyle="1" w:styleId="SingleTxtG">
    <w:name w:val="_ Single Txt_G"/>
    <w:basedOn w:val="Normal"/>
    <w:link w:val="SingleTxtGChar"/>
    <w:qFormat/>
    <w:rsid w:val="00D82754"/>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D82754"/>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D82754"/>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D82754"/>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82754"/>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8275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82754"/>
    <w:rPr>
      <w:sz w:val="44"/>
      <w:szCs w:val="44"/>
      <w:lang w:val="en-US" w:bidi="ar-DZ"/>
    </w:rPr>
  </w:style>
  <w:style w:type="paragraph" w:customStyle="1" w:styleId="FootnoteGA0">
    <w:name w:val="Footnote_GA"/>
    <w:basedOn w:val="Normal"/>
    <w:qFormat/>
    <w:rsid w:val="00D82754"/>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82754"/>
    <w:pPr>
      <w:keepNext/>
      <w:keepLines/>
      <w:spacing w:after="120" w:line="400" w:lineRule="exact"/>
      <w:outlineLvl w:val="0"/>
    </w:pPr>
    <w:rPr>
      <w:b/>
      <w:bCs/>
      <w:kern w:val="14"/>
      <w:sz w:val="24"/>
      <w:szCs w:val="32"/>
    </w:rPr>
  </w:style>
  <w:style w:type="paragraph" w:customStyle="1" w:styleId="HCh">
    <w:name w:val="_ H _Ch"/>
    <w:basedOn w:val="H1"/>
    <w:next w:val="SingleTxt"/>
    <w:qFormat/>
    <w:rsid w:val="00D82754"/>
    <w:pPr>
      <w:spacing w:line="440" w:lineRule="exact"/>
    </w:pPr>
    <w:rPr>
      <w:spacing w:val="-2"/>
      <w:sz w:val="28"/>
      <w:szCs w:val="36"/>
    </w:rPr>
  </w:style>
  <w:style w:type="character" w:styleId="CommentReference">
    <w:name w:val="annotation reference"/>
    <w:uiPriority w:val="99"/>
    <w:semiHidden/>
    <w:rsid w:val="00D82754"/>
    <w:rPr>
      <w:sz w:val="6"/>
      <w:szCs w:val="9"/>
    </w:rPr>
  </w:style>
  <w:style w:type="paragraph" w:customStyle="1" w:styleId="HM">
    <w:name w:val="_ H __M"/>
    <w:basedOn w:val="HCh"/>
    <w:next w:val="Normal"/>
    <w:qFormat/>
    <w:rsid w:val="00D82754"/>
    <w:pPr>
      <w:suppressAutoHyphens/>
      <w:spacing w:line="520" w:lineRule="exact"/>
    </w:pPr>
    <w:rPr>
      <w:spacing w:val="-3"/>
      <w:sz w:val="34"/>
      <w:szCs w:val="48"/>
    </w:rPr>
  </w:style>
  <w:style w:type="paragraph" w:customStyle="1" w:styleId="SingleTxt">
    <w:name w:val="__Single Txt"/>
    <w:basedOn w:val="Normal"/>
    <w:qFormat/>
    <w:rsid w:val="00D8275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82754"/>
    <w:pPr>
      <w:suppressAutoHyphens/>
      <w:spacing w:line="360" w:lineRule="exact"/>
      <w:outlineLvl w:val="1"/>
    </w:pPr>
    <w:rPr>
      <w:spacing w:val="2"/>
      <w:sz w:val="20"/>
      <w:szCs w:val="28"/>
    </w:rPr>
  </w:style>
  <w:style w:type="paragraph" w:customStyle="1" w:styleId="H4">
    <w:name w:val="_ H_4"/>
    <w:basedOn w:val="Normal"/>
    <w:next w:val="Normal"/>
    <w:qFormat/>
    <w:rsid w:val="00D82754"/>
    <w:pPr>
      <w:keepNext/>
      <w:keepLines/>
      <w:spacing w:after="120" w:line="360" w:lineRule="exact"/>
      <w:outlineLvl w:val="3"/>
    </w:pPr>
    <w:rPr>
      <w:i/>
      <w:iCs/>
      <w:kern w:val="14"/>
      <w:szCs w:val="28"/>
    </w:rPr>
  </w:style>
  <w:style w:type="paragraph" w:customStyle="1" w:styleId="H56">
    <w:name w:val="_ H_5/6"/>
    <w:basedOn w:val="Normal"/>
    <w:next w:val="Normal"/>
    <w:qFormat/>
    <w:rsid w:val="00D82754"/>
    <w:pPr>
      <w:keepNext/>
      <w:keepLines/>
      <w:spacing w:after="120" w:line="360" w:lineRule="exact"/>
      <w:outlineLvl w:val="4"/>
    </w:pPr>
    <w:rPr>
      <w:kern w:val="14"/>
      <w:szCs w:val="28"/>
    </w:rPr>
  </w:style>
  <w:style w:type="paragraph" w:customStyle="1" w:styleId="DualTxt">
    <w:name w:val="__Dual Txt"/>
    <w:basedOn w:val="Normal"/>
    <w:qFormat/>
    <w:rsid w:val="00D8275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8275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8275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82754"/>
    <w:pPr>
      <w:spacing w:after="120" w:line="440" w:lineRule="exact"/>
      <w:jc w:val="center"/>
    </w:pPr>
    <w:rPr>
      <w:b/>
      <w:bCs/>
      <w:sz w:val="25"/>
      <w:szCs w:val="38"/>
    </w:rPr>
  </w:style>
  <w:style w:type="paragraph" w:customStyle="1" w:styleId="JH1">
    <w:name w:val="J_H_1"/>
    <w:basedOn w:val="JCH"/>
    <w:qFormat/>
    <w:rsid w:val="00D82754"/>
    <w:pPr>
      <w:spacing w:line="420" w:lineRule="exact"/>
    </w:pPr>
    <w:rPr>
      <w:sz w:val="23"/>
      <w:szCs w:val="34"/>
    </w:rPr>
  </w:style>
  <w:style w:type="paragraph" w:customStyle="1" w:styleId="JH2">
    <w:name w:val="J_H_2"/>
    <w:basedOn w:val="JH1"/>
    <w:qFormat/>
    <w:rsid w:val="00D82754"/>
    <w:pPr>
      <w:spacing w:line="400" w:lineRule="exact"/>
    </w:pPr>
    <w:rPr>
      <w:sz w:val="20"/>
      <w:szCs w:val="30"/>
    </w:rPr>
  </w:style>
  <w:style w:type="paragraph" w:customStyle="1" w:styleId="JSmall">
    <w:name w:val="J_Small"/>
    <w:basedOn w:val="JSingleTxt"/>
    <w:next w:val="JSingleTxt"/>
    <w:qFormat/>
    <w:rsid w:val="00D827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2754"/>
    <w:pPr>
      <w:tabs>
        <w:tab w:val="right" w:leader="dot" w:pos="360"/>
      </w:tabs>
      <w:spacing w:line="310" w:lineRule="exact"/>
      <w:jc w:val="right"/>
    </w:pPr>
    <w:rPr>
      <w:spacing w:val="5"/>
      <w:w w:val="104"/>
      <w:kern w:val="14"/>
      <w:sz w:val="17"/>
      <w:szCs w:val="25"/>
    </w:rPr>
  </w:style>
  <w:style w:type="character" w:styleId="LineNumber">
    <w:name w:val="line number"/>
    <w:qFormat/>
    <w:rsid w:val="00D82754"/>
    <w:rPr>
      <w:sz w:val="14"/>
      <w:szCs w:val="16"/>
    </w:rPr>
  </w:style>
  <w:style w:type="paragraph" w:customStyle="1" w:styleId="SmallX">
    <w:name w:val="SmallX"/>
    <w:basedOn w:val="Small"/>
    <w:next w:val="Normal"/>
    <w:qFormat/>
    <w:rsid w:val="00D82754"/>
    <w:pPr>
      <w:spacing w:line="240" w:lineRule="exact"/>
    </w:pPr>
    <w:rPr>
      <w:spacing w:val="6"/>
      <w:w w:val="106"/>
      <w:sz w:val="14"/>
      <w:szCs w:val="21"/>
    </w:rPr>
  </w:style>
  <w:style w:type="paragraph" w:customStyle="1" w:styleId="XLarge">
    <w:name w:val="XLarge"/>
    <w:basedOn w:val="HM"/>
    <w:qFormat/>
    <w:rsid w:val="00D827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82754"/>
    <w:pPr>
      <w:spacing w:line="820" w:lineRule="exact"/>
    </w:pPr>
    <w:rPr>
      <w:spacing w:val="-8"/>
      <w:w w:val="96"/>
      <w:sz w:val="57"/>
      <w:szCs w:val="86"/>
    </w:rPr>
  </w:style>
  <w:style w:type="paragraph" w:customStyle="1" w:styleId="Distribution">
    <w:name w:val="Distribu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82754"/>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D82754"/>
    <w:pPr>
      <w:tabs>
        <w:tab w:val="left" w:pos="662"/>
        <w:tab w:val="left" w:pos="1267"/>
        <w:tab w:val="left" w:pos="1987"/>
        <w:tab w:val="left" w:pos="2650"/>
      </w:tabs>
      <w:spacing w:after="0"/>
      <w:ind w:left="662" w:hanging="662"/>
    </w:pPr>
  </w:style>
  <w:style w:type="paragraph" w:customStyle="1" w:styleId="Committee">
    <w:name w:val="Committee"/>
    <w:basedOn w:val="H1"/>
    <w:qFormat/>
    <w:rsid w:val="00D82754"/>
    <w:pPr>
      <w:tabs>
        <w:tab w:val="left" w:pos="662"/>
        <w:tab w:val="left" w:pos="1267"/>
        <w:tab w:val="left" w:pos="1987"/>
        <w:tab w:val="left" w:pos="2650"/>
      </w:tabs>
      <w:ind w:right="1264"/>
    </w:pPr>
  </w:style>
  <w:style w:type="paragraph" w:customStyle="1" w:styleId="AgendaItemNormal">
    <w:name w:val="Agenda_Item_Normal"/>
    <w:next w:val="Normal"/>
    <w:qFormat/>
    <w:rsid w:val="00D82754"/>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D8275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827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827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827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82754"/>
    <w:rPr>
      <w:i w:val="0"/>
      <w:color w:val="0000FF"/>
      <w:u w:val="none"/>
    </w:rPr>
  </w:style>
  <w:style w:type="paragraph" w:customStyle="1" w:styleId="Bullet1">
    <w:name w:val="Bullet 1"/>
    <w:basedOn w:val="Normal"/>
    <w:qFormat/>
    <w:rsid w:val="00D82754"/>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82754"/>
    <w:pPr>
      <w:numPr>
        <w:numId w:val="14"/>
      </w:numPr>
      <w:spacing w:after="120" w:line="360" w:lineRule="exact"/>
      <w:ind w:right="1264"/>
    </w:pPr>
    <w:rPr>
      <w:kern w:val="14"/>
      <w:szCs w:val="28"/>
    </w:rPr>
  </w:style>
  <w:style w:type="paragraph" w:customStyle="1" w:styleId="Bullet3">
    <w:name w:val="Bullet 3"/>
    <w:basedOn w:val="SingleTxt"/>
    <w:qFormat/>
    <w:rsid w:val="00D82754"/>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82754"/>
    <w:pPr>
      <w:ind w:right="5760"/>
      <w:outlineLvl w:val="1"/>
    </w:pPr>
    <w:rPr>
      <w:spacing w:val="2"/>
      <w:sz w:val="20"/>
      <w:szCs w:val="28"/>
    </w:rPr>
  </w:style>
  <w:style w:type="paragraph" w:customStyle="1" w:styleId="STitleM">
    <w:name w:val="S_Title_M"/>
    <w:basedOn w:val="Normal"/>
    <w:next w:val="Normal"/>
    <w:qFormat/>
    <w:rsid w:val="00D8275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82754"/>
    <w:pPr>
      <w:spacing w:line="600" w:lineRule="exact"/>
      <w:ind w:left="1267" w:right="1267"/>
    </w:pPr>
    <w:rPr>
      <w:w w:val="103"/>
      <w:sz w:val="60"/>
      <w:szCs w:val="60"/>
    </w:rPr>
  </w:style>
  <w:style w:type="paragraph" w:customStyle="1" w:styleId="STitleL">
    <w:name w:val="S_Title_L"/>
    <w:basedOn w:val="XLarge"/>
    <w:next w:val="Normal"/>
    <w:qFormat/>
    <w:rsid w:val="00D82754"/>
    <w:rPr>
      <w:spacing w:val="-8"/>
      <w:w w:val="96"/>
      <w:sz w:val="57"/>
    </w:rPr>
  </w:style>
  <w:style w:type="paragraph" w:styleId="CommentText">
    <w:name w:val="annotation text"/>
    <w:basedOn w:val="Normal"/>
    <w:link w:val="CommentTextChar"/>
    <w:uiPriority w:val="99"/>
    <w:semiHidden/>
    <w:unhideWhenUsed/>
    <w:rsid w:val="00D82754"/>
    <w:pPr>
      <w:spacing w:line="240" w:lineRule="auto"/>
    </w:pPr>
    <w:rPr>
      <w:kern w:val="14"/>
    </w:rPr>
  </w:style>
  <w:style w:type="character" w:customStyle="1" w:styleId="CommentTextChar">
    <w:name w:val="Comment Text Char"/>
    <w:basedOn w:val="DefaultParagraphFont"/>
    <w:link w:val="CommentText"/>
    <w:uiPriority w:val="99"/>
    <w:semiHidden/>
    <w:rsid w:val="00D82754"/>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D82754"/>
    <w:rPr>
      <w:b/>
      <w:bCs/>
    </w:rPr>
  </w:style>
  <w:style w:type="character" w:customStyle="1" w:styleId="CommentSubjectChar">
    <w:name w:val="Comment Subject Char"/>
    <w:basedOn w:val="CommentTextChar"/>
    <w:link w:val="CommentSubject"/>
    <w:uiPriority w:val="99"/>
    <w:semiHidden/>
    <w:rsid w:val="00D82754"/>
    <w:rPr>
      <w:rFonts w:ascii="Times New Roman" w:eastAsia="PMingLiU" w:hAnsi="Times New Roman" w:cs="Simplified Arabic"/>
      <w:b/>
      <w:bCs/>
      <w:kern w:val="14"/>
      <w:sz w:val="20"/>
    </w:rPr>
  </w:style>
  <w:style w:type="paragraph" w:customStyle="1" w:styleId="Bullet1G">
    <w:name w:val="_Bullet 1_G"/>
    <w:basedOn w:val="Normal"/>
    <w:qFormat/>
    <w:rsid w:val="00D82754"/>
    <w:pPr>
      <w:numPr>
        <w:numId w:val="16"/>
      </w:numPr>
      <w:bidi w:val="0"/>
      <w:spacing w:after="120"/>
      <w:ind w:right="1134"/>
      <w:jc w:val="both"/>
    </w:pPr>
    <w:rPr>
      <w:sz w:val="22"/>
    </w:rPr>
  </w:style>
  <w:style w:type="character" w:customStyle="1" w:styleId="SingleTxtGChar">
    <w:name w:val="_ Single Txt_G Char"/>
    <w:link w:val="SingleTxtG"/>
    <w:rsid w:val="00D82754"/>
    <w:rPr>
      <w:rFonts w:ascii="Times New Roman" w:eastAsia="PMingLiU" w:hAnsi="Times New Roman" w:cs="Simplified Arabic"/>
      <w:sz w:val="20"/>
      <w:szCs w:val="20"/>
      <w:lang w:val="en-GB"/>
    </w:rPr>
  </w:style>
  <w:style w:type="paragraph" w:customStyle="1" w:styleId="Preparedby">
    <w:name w:val="Prepared by:"/>
    <w:basedOn w:val="H23GA"/>
    <w:qFormat/>
    <w:rsid w:val="00D82754"/>
    <w:rPr>
      <w:sz w:val="32"/>
      <w:szCs w:val="32"/>
    </w:rPr>
  </w:style>
  <w:style w:type="paragraph" w:customStyle="1" w:styleId="ParaNoG">
    <w:name w:val="_ParaNo._G"/>
    <w:basedOn w:val="SingleTxtG"/>
    <w:rsid w:val="00D82754"/>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82754"/>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82754"/>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82754"/>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82754"/>
    <w:pPr>
      <w:spacing w:after="0" w:line="240" w:lineRule="auto"/>
    </w:pPr>
    <w:rPr>
      <w:rFonts w:eastAsiaTheme="minorEastAsia"/>
      <w:sz w:val="24"/>
      <w:szCs w:val="24"/>
      <w:lang w:val="fr-FR" w:eastAsia="fr-FR"/>
    </w:rPr>
  </w:style>
  <w:style w:type="paragraph" w:customStyle="1" w:styleId="Default">
    <w:name w:val="Default"/>
    <w:semiHidden/>
    <w:rsid w:val="00D82754"/>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82754"/>
  </w:style>
  <w:style w:type="character" w:customStyle="1" w:styleId="preferred">
    <w:name w:val="preferred"/>
    <w:basedOn w:val="DefaultParagraphFont"/>
    <w:rsid w:val="00D82754"/>
  </w:style>
  <w:style w:type="character" w:customStyle="1" w:styleId="admitted">
    <w:name w:val="admitted"/>
    <w:basedOn w:val="DefaultParagraphFont"/>
    <w:rsid w:val="00D82754"/>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D82754"/>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EndNote">
    <w:name w:val="EndNote"/>
    <w:basedOn w:val="Normal"/>
    <w:qFormat/>
    <w:rsid w:val="00A1204B"/>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A1204B"/>
    <w:pPr>
      <w:numPr>
        <w:numId w:val="28"/>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A1204B"/>
    <w:rPr>
      <w:color w:val="808080"/>
    </w:rPr>
  </w:style>
  <w:style w:type="paragraph" w:styleId="PlainText">
    <w:name w:val="Plain Text"/>
    <w:basedOn w:val="Normal"/>
    <w:link w:val="PlainTextChar"/>
    <w:semiHidden/>
    <w:rsid w:val="00A1204B"/>
    <w:pPr>
      <w:suppressAutoHyphens/>
      <w:bidi w:val="0"/>
      <w:jc w:val="left"/>
    </w:pPr>
    <w:rPr>
      <w:rFonts w:eastAsia="Times New Roman" w:cs="Courier New" w:hint="cs"/>
      <w:szCs w:val="30"/>
      <w:lang w:val="en-GB" w:eastAsia="zh-CN"/>
    </w:rPr>
  </w:style>
  <w:style w:type="character" w:customStyle="1" w:styleId="PlainTextChar">
    <w:name w:val="Plain Text Char"/>
    <w:basedOn w:val="DefaultParagraphFont"/>
    <w:link w:val="PlainText"/>
    <w:semiHidden/>
    <w:rsid w:val="00A1204B"/>
    <w:rPr>
      <w:rFonts w:ascii="Times New Roman" w:hAnsi="Times New Roman" w:cs="Courier New"/>
      <w:sz w:val="20"/>
      <w:szCs w:val="30"/>
      <w:lang w:val="en-GB" w:eastAsia="zh-CN"/>
    </w:rPr>
  </w:style>
  <w:style w:type="paragraph" w:styleId="BodyText">
    <w:name w:val="Body Text"/>
    <w:basedOn w:val="Normal"/>
    <w:next w:val="Normal"/>
    <w:link w:val="BodyTextChar"/>
    <w:semiHidden/>
    <w:rsid w:val="00A1204B"/>
    <w:pPr>
      <w:suppressAutoHyphens/>
      <w:bidi w:val="0"/>
      <w:jc w:val="left"/>
    </w:pPr>
    <w:rPr>
      <w:rFonts w:eastAsia="Times New Roman" w:cs="Traditional Arabic" w:hint="cs"/>
      <w:szCs w:val="30"/>
      <w:lang w:val="en-GB" w:eastAsia="zh-CN"/>
    </w:rPr>
  </w:style>
  <w:style w:type="character" w:customStyle="1" w:styleId="BodyTextChar">
    <w:name w:val="Body Text Char"/>
    <w:basedOn w:val="DefaultParagraphFont"/>
    <w:link w:val="BodyText"/>
    <w:semiHidden/>
    <w:rsid w:val="00A1204B"/>
    <w:rPr>
      <w:rFonts w:ascii="Times New Roman" w:hAnsi="Times New Roman" w:cs="Traditional Arabic"/>
      <w:sz w:val="20"/>
      <w:szCs w:val="30"/>
      <w:lang w:val="en-GB" w:eastAsia="zh-CN"/>
    </w:rPr>
  </w:style>
  <w:style w:type="paragraph" w:styleId="BodyTextIndent">
    <w:name w:val="Body Text Indent"/>
    <w:basedOn w:val="Normal"/>
    <w:link w:val="BodyTextIndentChar"/>
    <w:semiHidden/>
    <w:rsid w:val="00A1204B"/>
    <w:pPr>
      <w:suppressAutoHyphens/>
      <w:bidi w:val="0"/>
      <w:spacing w:after="120"/>
      <w:ind w:left="283"/>
      <w:jc w:val="left"/>
    </w:pPr>
    <w:rPr>
      <w:rFonts w:eastAsia="Times New Roman" w:cs="Traditional Arabic" w:hint="cs"/>
      <w:szCs w:val="30"/>
      <w:lang w:val="en-GB" w:eastAsia="zh-CN"/>
    </w:rPr>
  </w:style>
  <w:style w:type="character" w:customStyle="1" w:styleId="BodyTextIndentChar">
    <w:name w:val="Body Text Indent Char"/>
    <w:basedOn w:val="DefaultParagraphFont"/>
    <w:link w:val="BodyTextIndent"/>
    <w:semiHidden/>
    <w:rsid w:val="00A1204B"/>
    <w:rPr>
      <w:rFonts w:ascii="Times New Roman" w:hAnsi="Times New Roman" w:cs="Traditional Arabic"/>
      <w:sz w:val="20"/>
      <w:szCs w:val="30"/>
      <w:lang w:val="en-GB" w:eastAsia="zh-CN"/>
    </w:rPr>
  </w:style>
  <w:style w:type="paragraph" w:styleId="BlockText">
    <w:name w:val="Block Text"/>
    <w:basedOn w:val="Normal"/>
    <w:semiHidden/>
    <w:rsid w:val="00A1204B"/>
    <w:pPr>
      <w:suppressAutoHyphens/>
      <w:bidi w:val="0"/>
      <w:ind w:left="1440" w:right="1440"/>
      <w:jc w:val="left"/>
    </w:pPr>
    <w:rPr>
      <w:rFonts w:eastAsia="Times New Roman" w:cs="Traditional Arabic" w:hint="cs"/>
      <w:szCs w:val="30"/>
      <w:lang w:val="en-GB" w:eastAsia="zh-CN"/>
    </w:rPr>
  </w:style>
  <w:style w:type="numbering" w:styleId="111111">
    <w:name w:val="Outline List 2"/>
    <w:basedOn w:val="NoList"/>
    <w:semiHidden/>
    <w:rsid w:val="00A1204B"/>
    <w:pPr>
      <w:numPr>
        <w:numId w:val="29"/>
      </w:numPr>
    </w:pPr>
  </w:style>
  <w:style w:type="numbering" w:styleId="1ai">
    <w:name w:val="Outline List 1"/>
    <w:basedOn w:val="NoList"/>
    <w:semiHidden/>
    <w:rsid w:val="00A1204B"/>
    <w:pPr>
      <w:numPr>
        <w:numId w:val="30"/>
      </w:numPr>
    </w:pPr>
  </w:style>
  <w:style w:type="numbering" w:styleId="ArticleSection">
    <w:name w:val="Outline List 3"/>
    <w:basedOn w:val="NoList"/>
    <w:semiHidden/>
    <w:rsid w:val="00A1204B"/>
    <w:pPr>
      <w:numPr>
        <w:numId w:val="31"/>
      </w:numPr>
    </w:pPr>
  </w:style>
  <w:style w:type="paragraph" w:styleId="BodyText2">
    <w:name w:val="Body Text 2"/>
    <w:basedOn w:val="Normal"/>
    <w:link w:val="BodyText2Char"/>
    <w:semiHidden/>
    <w:rsid w:val="00A1204B"/>
    <w:pPr>
      <w:suppressAutoHyphens/>
      <w:bidi w:val="0"/>
      <w:spacing w:after="120" w:line="480" w:lineRule="auto"/>
      <w:jc w:val="left"/>
    </w:pPr>
    <w:rPr>
      <w:rFonts w:eastAsia="Times New Roman" w:cs="Traditional Arabic" w:hint="cs"/>
      <w:szCs w:val="30"/>
      <w:lang w:val="en-GB" w:eastAsia="zh-CN"/>
    </w:rPr>
  </w:style>
  <w:style w:type="character" w:customStyle="1" w:styleId="BodyText2Char">
    <w:name w:val="Body Text 2 Char"/>
    <w:basedOn w:val="DefaultParagraphFont"/>
    <w:link w:val="BodyText2"/>
    <w:semiHidden/>
    <w:rsid w:val="00A1204B"/>
    <w:rPr>
      <w:rFonts w:ascii="Times New Roman" w:hAnsi="Times New Roman" w:cs="Traditional Arabic"/>
      <w:sz w:val="20"/>
      <w:szCs w:val="30"/>
      <w:lang w:val="en-GB" w:eastAsia="zh-CN"/>
    </w:rPr>
  </w:style>
  <w:style w:type="paragraph" w:styleId="BodyText3">
    <w:name w:val="Body Text 3"/>
    <w:basedOn w:val="Normal"/>
    <w:link w:val="BodyText3Char"/>
    <w:semiHidden/>
    <w:rsid w:val="00A1204B"/>
    <w:pPr>
      <w:suppressAutoHyphens/>
      <w:bidi w:val="0"/>
      <w:spacing w:after="120"/>
      <w:jc w:val="left"/>
    </w:pPr>
    <w:rPr>
      <w:rFonts w:eastAsia="Times New Roman" w:cs="Traditional Arabic" w:hint="cs"/>
      <w:sz w:val="16"/>
      <w:szCs w:val="16"/>
      <w:lang w:val="en-GB" w:eastAsia="zh-CN"/>
    </w:rPr>
  </w:style>
  <w:style w:type="character" w:customStyle="1" w:styleId="BodyText3Char">
    <w:name w:val="Body Text 3 Char"/>
    <w:basedOn w:val="DefaultParagraphFont"/>
    <w:link w:val="BodyText3"/>
    <w:semiHidden/>
    <w:rsid w:val="00A1204B"/>
    <w:rPr>
      <w:rFonts w:ascii="Times New Roman" w:hAnsi="Times New Roman" w:cs="Traditional Arabic"/>
      <w:sz w:val="16"/>
      <w:szCs w:val="16"/>
      <w:lang w:val="en-GB" w:eastAsia="zh-CN"/>
    </w:rPr>
  </w:style>
  <w:style w:type="paragraph" w:styleId="BodyTextFirstIndent">
    <w:name w:val="Body Text First Indent"/>
    <w:basedOn w:val="BodyText"/>
    <w:link w:val="BodyTextFirstIndentChar"/>
    <w:semiHidden/>
    <w:rsid w:val="00A1204B"/>
    <w:pPr>
      <w:spacing w:after="120"/>
      <w:ind w:firstLine="210"/>
    </w:pPr>
  </w:style>
  <w:style w:type="character" w:customStyle="1" w:styleId="BodyTextFirstIndentChar">
    <w:name w:val="Body Text First Indent Char"/>
    <w:basedOn w:val="BodyTextChar"/>
    <w:link w:val="BodyTextFirstIndent"/>
    <w:semiHidden/>
    <w:rsid w:val="00A1204B"/>
    <w:rPr>
      <w:rFonts w:ascii="Times New Roman" w:hAnsi="Times New Roman" w:cs="Traditional Arabic"/>
      <w:sz w:val="20"/>
      <w:szCs w:val="30"/>
      <w:lang w:val="en-GB" w:eastAsia="zh-CN"/>
    </w:rPr>
  </w:style>
  <w:style w:type="paragraph" w:styleId="BodyTextFirstIndent2">
    <w:name w:val="Body Text First Indent 2"/>
    <w:basedOn w:val="BodyTextIndent"/>
    <w:link w:val="BodyTextFirstIndent2Char"/>
    <w:semiHidden/>
    <w:rsid w:val="00A1204B"/>
    <w:pPr>
      <w:ind w:firstLine="210"/>
    </w:pPr>
  </w:style>
  <w:style w:type="character" w:customStyle="1" w:styleId="BodyTextFirstIndent2Char">
    <w:name w:val="Body Text First Indent 2 Char"/>
    <w:basedOn w:val="BodyTextIndentChar"/>
    <w:link w:val="BodyTextFirstIndent2"/>
    <w:semiHidden/>
    <w:rsid w:val="00A1204B"/>
    <w:rPr>
      <w:rFonts w:ascii="Times New Roman" w:hAnsi="Times New Roman" w:cs="Traditional Arabic"/>
      <w:sz w:val="20"/>
      <w:szCs w:val="30"/>
      <w:lang w:val="en-GB" w:eastAsia="zh-CN"/>
    </w:rPr>
  </w:style>
  <w:style w:type="paragraph" w:styleId="BodyTextIndent2">
    <w:name w:val="Body Text Indent 2"/>
    <w:basedOn w:val="Normal"/>
    <w:link w:val="BodyTextIndent2Char"/>
    <w:semiHidden/>
    <w:rsid w:val="00A1204B"/>
    <w:pPr>
      <w:suppressAutoHyphens/>
      <w:bidi w:val="0"/>
      <w:spacing w:after="120" w:line="480" w:lineRule="auto"/>
      <w:ind w:left="283"/>
      <w:jc w:val="left"/>
    </w:pPr>
    <w:rPr>
      <w:rFonts w:eastAsia="Times New Roman" w:cs="Traditional Arabic" w:hint="cs"/>
      <w:szCs w:val="30"/>
      <w:lang w:val="en-GB" w:eastAsia="zh-CN"/>
    </w:rPr>
  </w:style>
  <w:style w:type="character" w:customStyle="1" w:styleId="BodyTextIndent2Char">
    <w:name w:val="Body Text Indent 2 Char"/>
    <w:basedOn w:val="DefaultParagraphFont"/>
    <w:link w:val="BodyTextIndent2"/>
    <w:semiHidden/>
    <w:rsid w:val="00A1204B"/>
    <w:rPr>
      <w:rFonts w:ascii="Times New Roman" w:hAnsi="Times New Roman" w:cs="Traditional Arabic"/>
      <w:sz w:val="20"/>
      <w:szCs w:val="30"/>
      <w:lang w:val="en-GB" w:eastAsia="zh-CN"/>
    </w:rPr>
  </w:style>
  <w:style w:type="paragraph" w:styleId="BodyTextIndent3">
    <w:name w:val="Body Text Indent 3"/>
    <w:basedOn w:val="Normal"/>
    <w:link w:val="BodyTextIndent3Char"/>
    <w:semiHidden/>
    <w:rsid w:val="00A1204B"/>
    <w:pPr>
      <w:suppressAutoHyphens/>
      <w:bidi w:val="0"/>
      <w:spacing w:after="120"/>
      <w:ind w:left="283"/>
      <w:jc w:val="left"/>
    </w:pPr>
    <w:rPr>
      <w:rFonts w:eastAsia="Times New Roman" w:cs="Traditional Arabic" w:hint="cs"/>
      <w:sz w:val="16"/>
      <w:szCs w:val="16"/>
      <w:lang w:val="en-GB" w:eastAsia="zh-CN"/>
    </w:rPr>
  </w:style>
  <w:style w:type="character" w:customStyle="1" w:styleId="BodyTextIndent3Char">
    <w:name w:val="Body Text Indent 3 Char"/>
    <w:basedOn w:val="DefaultParagraphFont"/>
    <w:link w:val="BodyTextIndent3"/>
    <w:semiHidden/>
    <w:rsid w:val="00A1204B"/>
    <w:rPr>
      <w:rFonts w:ascii="Times New Roman" w:hAnsi="Times New Roman" w:cs="Traditional Arabic"/>
      <w:sz w:val="16"/>
      <w:szCs w:val="16"/>
      <w:lang w:val="en-GB" w:eastAsia="zh-CN"/>
    </w:rPr>
  </w:style>
  <w:style w:type="paragraph" w:styleId="Closing">
    <w:name w:val="Closing"/>
    <w:basedOn w:val="Normal"/>
    <w:link w:val="ClosingChar"/>
    <w:semiHidden/>
    <w:rsid w:val="00A1204B"/>
    <w:pPr>
      <w:suppressAutoHyphens/>
      <w:bidi w:val="0"/>
      <w:ind w:left="4252"/>
      <w:jc w:val="left"/>
    </w:pPr>
    <w:rPr>
      <w:rFonts w:eastAsia="Times New Roman" w:cs="Traditional Arabic" w:hint="cs"/>
      <w:szCs w:val="30"/>
      <w:lang w:val="en-GB" w:eastAsia="zh-CN"/>
    </w:rPr>
  </w:style>
  <w:style w:type="character" w:customStyle="1" w:styleId="ClosingChar">
    <w:name w:val="Closing Char"/>
    <w:basedOn w:val="DefaultParagraphFont"/>
    <w:link w:val="Closing"/>
    <w:semiHidden/>
    <w:rsid w:val="00A1204B"/>
    <w:rPr>
      <w:rFonts w:ascii="Times New Roman" w:hAnsi="Times New Roman" w:cs="Traditional Arabic"/>
      <w:sz w:val="20"/>
      <w:szCs w:val="30"/>
      <w:lang w:val="en-GB" w:eastAsia="zh-CN"/>
    </w:rPr>
  </w:style>
  <w:style w:type="paragraph" w:styleId="Date">
    <w:name w:val="Date"/>
    <w:basedOn w:val="Normal"/>
    <w:next w:val="Normal"/>
    <w:link w:val="DateChar"/>
    <w:semiHidden/>
    <w:rsid w:val="00A1204B"/>
    <w:pPr>
      <w:suppressAutoHyphens/>
      <w:bidi w:val="0"/>
      <w:jc w:val="left"/>
    </w:pPr>
    <w:rPr>
      <w:rFonts w:eastAsia="Times New Roman" w:cs="Traditional Arabic" w:hint="cs"/>
      <w:szCs w:val="30"/>
      <w:lang w:val="en-GB" w:eastAsia="zh-CN"/>
    </w:rPr>
  </w:style>
  <w:style w:type="character" w:customStyle="1" w:styleId="DateChar">
    <w:name w:val="Date Char"/>
    <w:basedOn w:val="DefaultParagraphFont"/>
    <w:link w:val="Date"/>
    <w:semiHidden/>
    <w:rsid w:val="00A1204B"/>
    <w:rPr>
      <w:rFonts w:ascii="Times New Roman" w:hAnsi="Times New Roman" w:cs="Traditional Arabic"/>
      <w:sz w:val="20"/>
      <w:szCs w:val="30"/>
      <w:lang w:val="en-GB" w:eastAsia="zh-CN"/>
    </w:rPr>
  </w:style>
  <w:style w:type="paragraph" w:styleId="E-mailSignature">
    <w:name w:val="E-mail Signature"/>
    <w:basedOn w:val="Normal"/>
    <w:link w:val="E-mailSignatureChar"/>
    <w:semiHidden/>
    <w:rsid w:val="00A1204B"/>
    <w:pPr>
      <w:suppressAutoHyphens/>
      <w:bidi w:val="0"/>
      <w:jc w:val="left"/>
    </w:pPr>
    <w:rPr>
      <w:rFonts w:eastAsia="Times New Roman" w:cs="Traditional Arabic" w:hint="cs"/>
      <w:szCs w:val="30"/>
      <w:lang w:val="en-GB" w:eastAsia="zh-CN"/>
    </w:rPr>
  </w:style>
  <w:style w:type="character" w:customStyle="1" w:styleId="E-mailSignatureChar">
    <w:name w:val="E-mail Signature Char"/>
    <w:basedOn w:val="DefaultParagraphFont"/>
    <w:link w:val="E-mailSignature"/>
    <w:semiHidden/>
    <w:rsid w:val="00A1204B"/>
    <w:rPr>
      <w:rFonts w:ascii="Times New Roman" w:hAnsi="Times New Roman" w:cs="Traditional Arabic"/>
      <w:sz w:val="20"/>
      <w:szCs w:val="30"/>
      <w:lang w:val="en-GB" w:eastAsia="zh-CN"/>
    </w:rPr>
  </w:style>
  <w:style w:type="paragraph" w:styleId="EnvelopeReturn">
    <w:name w:val="envelope return"/>
    <w:basedOn w:val="Normal"/>
    <w:semiHidden/>
    <w:rsid w:val="00A1204B"/>
    <w:pPr>
      <w:suppressAutoHyphens/>
      <w:bidi w:val="0"/>
      <w:jc w:val="left"/>
    </w:pPr>
    <w:rPr>
      <w:rFonts w:ascii="Arial" w:eastAsia="Times New Roman" w:hAnsi="Arial" w:cs="Arial" w:hint="cs"/>
      <w:szCs w:val="30"/>
      <w:lang w:val="en-GB" w:eastAsia="zh-CN"/>
    </w:rPr>
  </w:style>
  <w:style w:type="character" w:styleId="HTMLAcronym">
    <w:name w:val="HTML Acronym"/>
    <w:basedOn w:val="DefaultParagraphFont"/>
    <w:semiHidden/>
    <w:rsid w:val="00A1204B"/>
  </w:style>
  <w:style w:type="paragraph" w:styleId="HTMLAddress">
    <w:name w:val="HTML Address"/>
    <w:basedOn w:val="Normal"/>
    <w:link w:val="HTMLAddressChar"/>
    <w:semiHidden/>
    <w:rsid w:val="00A1204B"/>
    <w:pPr>
      <w:suppressAutoHyphens/>
      <w:bidi w:val="0"/>
      <w:jc w:val="left"/>
    </w:pPr>
    <w:rPr>
      <w:rFonts w:eastAsia="Times New Roman" w:cs="Traditional Arabic" w:hint="cs"/>
      <w:i/>
      <w:iCs/>
      <w:szCs w:val="30"/>
      <w:lang w:val="en-GB" w:eastAsia="zh-CN"/>
    </w:rPr>
  </w:style>
  <w:style w:type="character" w:customStyle="1" w:styleId="HTMLAddressChar">
    <w:name w:val="HTML Address Char"/>
    <w:basedOn w:val="DefaultParagraphFont"/>
    <w:link w:val="HTMLAddress"/>
    <w:semiHidden/>
    <w:rsid w:val="00A1204B"/>
    <w:rPr>
      <w:rFonts w:ascii="Times New Roman" w:hAnsi="Times New Roman" w:cs="Traditional Arabic"/>
      <w:i/>
      <w:iCs/>
      <w:sz w:val="20"/>
      <w:szCs w:val="30"/>
      <w:lang w:val="en-GB" w:eastAsia="zh-CN"/>
    </w:rPr>
  </w:style>
  <w:style w:type="character" w:styleId="HTMLCite">
    <w:name w:val="HTML Cite"/>
    <w:semiHidden/>
    <w:rsid w:val="00A1204B"/>
    <w:rPr>
      <w:i/>
      <w:iCs/>
    </w:rPr>
  </w:style>
  <w:style w:type="character" w:styleId="HTMLCode">
    <w:name w:val="HTML Code"/>
    <w:semiHidden/>
    <w:rsid w:val="00A1204B"/>
    <w:rPr>
      <w:rFonts w:ascii="Courier New" w:hAnsi="Courier New" w:cs="Courier New"/>
      <w:sz w:val="20"/>
      <w:szCs w:val="20"/>
    </w:rPr>
  </w:style>
  <w:style w:type="character" w:styleId="HTMLDefinition">
    <w:name w:val="HTML Definition"/>
    <w:semiHidden/>
    <w:rsid w:val="00A1204B"/>
    <w:rPr>
      <w:i/>
      <w:iCs/>
    </w:rPr>
  </w:style>
  <w:style w:type="character" w:styleId="HTMLKeyboard">
    <w:name w:val="HTML Keyboard"/>
    <w:semiHidden/>
    <w:rsid w:val="00A1204B"/>
    <w:rPr>
      <w:rFonts w:ascii="Courier New" w:hAnsi="Courier New" w:cs="Courier New"/>
      <w:sz w:val="20"/>
      <w:szCs w:val="20"/>
    </w:rPr>
  </w:style>
  <w:style w:type="paragraph" w:styleId="HTMLPreformatted">
    <w:name w:val="HTML Preformatted"/>
    <w:basedOn w:val="Normal"/>
    <w:link w:val="HTMLPreformattedChar"/>
    <w:semiHidden/>
    <w:rsid w:val="00A1204B"/>
    <w:pPr>
      <w:suppressAutoHyphens/>
      <w:bidi w:val="0"/>
      <w:jc w:val="left"/>
    </w:pPr>
    <w:rPr>
      <w:rFonts w:ascii="Courier New" w:eastAsia="Times New Roman" w:hAnsi="Courier New" w:cs="Courier New" w:hint="cs"/>
      <w:szCs w:val="30"/>
      <w:lang w:val="en-GB" w:eastAsia="zh-CN"/>
    </w:rPr>
  </w:style>
  <w:style w:type="character" w:customStyle="1" w:styleId="HTMLPreformattedChar">
    <w:name w:val="HTML Preformatted Char"/>
    <w:basedOn w:val="DefaultParagraphFont"/>
    <w:link w:val="HTMLPreformatted"/>
    <w:semiHidden/>
    <w:rsid w:val="00A1204B"/>
    <w:rPr>
      <w:rFonts w:ascii="Courier New" w:hAnsi="Courier New" w:cs="Courier New"/>
      <w:sz w:val="20"/>
      <w:szCs w:val="30"/>
      <w:lang w:val="en-GB" w:eastAsia="zh-CN"/>
    </w:rPr>
  </w:style>
  <w:style w:type="character" w:styleId="HTMLSample">
    <w:name w:val="HTML Sample"/>
    <w:semiHidden/>
    <w:rsid w:val="00A1204B"/>
    <w:rPr>
      <w:rFonts w:ascii="Courier New" w:hAnsi="Courier New" w:cs="Courier New"/>
    </w:rPr>
  </w:style>
  <w:style w:type="character" w:styleId="HTMLTypewriter">
    <w:name w:val="HTML Typewriter"/>
    <w:semiHidden/>
    <w:rsid w:val="00A1204B"/>
    <w:rPr>
      <w:rFonts w:ascii="Courier New" w:hAnsi="Courier New" w:cs="Courier New"/>
      <w:sz w:val="20"/>
      <w:szCs w:val="20"/>
    </w:rPr>
  </w:style>
  <w:style w:type="character" w:styleId="HTMLVariable">
    <w:name w:val="HTML Variable"/>
    <w:semiHidden/>
    <w:rsid w:val="00A1204B"/>
    <w:rPr>
      <w:i/>
      <w:iCs/>
    </w:rPr>
  </w:style>
  <w:style w:type="paragraph" w:styleId="List">
    <w:name w:val="List"/>
    <w:basedOn w:val="Normal"/>
    <w:semiHidden/>
    <w:rsid w:val="00A1204B"/>
    <w:pPr>
      <w:suppressAutoHyphens/>
      <w:bidi w:val="0"/>
      <w:ind w:left="283" w:hanging="283"/>
      <w:jc w:val="left"/>
    </w:pPr>
    <w:rPr>
      <w:rFonts w:eastAsia="Times New Roman" w:cs="Traditional Arabic" w:hint="cs"/>
      <w:szCs w:val="30"/>
      <w:lang w:val="en-GB" w:eastAsia="zh-CN"/>
    </w:rPr>
  </w:style>
  <w:style w:type="paragraph" w:styleId="List2">
    <w:name w:val="List 2"/>
    <w:basedOn w:val="Normal"/>
    <w:semiHidden/>
    <w:rsid w:val="00A1204B"/>
    <w:pPr>
      <w:suppressAutoHyphens/>
      <w:bidi w:val="0"/>
      <w:ind w:left="566" w:hanging="283"/>
      <w:jc w:val="left"/>
    </w:pPr>
    <w:rPr>
      <w:rFonts w:eastAsia="Times New Roman" w:cs="Traditional Arabic" w:hint="cs"/>
      <w:szCs w:val="30"/>
      <w:lang w:val="en-GB" w:eastAsia="zh-CN"/>
    </w:rPr>
  </w:style>
  <w:style w:type="paragraph" w:styleId="List3">
    <w:name w:val="List 3"/>
    <w:basedOn w:val="Normal"/>
    <w:semiHidden/>
    <w:rsid w:val="00A1204B"/>
    <w:pPr>
      <w:suppressAutoHyphens/>
      <w:bidi w:val="0"/>
      <w:ind w:left="849" w:hanging="283"/>
      <w:jc w:val="left"/>
    </w:pPr>
    <w:rPr>
      <w:rFonts w:eastAsia="Times New Roman" w:cs="Traditional Arabic" w:hint="cs"/>
      <w:szCs w:val="30"/>
      <w:lang w:val="en-GB" w:eastAsia="zh-CN"/>
    </w:rPr>
  </w:style>
  <w:style w:type="paragraph" w:styleId="List4">
    <w:name w:val="List 4"/>
    <w:basedOn w:val="Normal"/>
    <w:semiHidden/>
    <w:rsid w:val="00A1204B"/>
    <w:pPr>
      <w:suppressAutoHyphens/>
      <w:bidi w:val="0"/>
      <w:ind w:left="1132" w:hanging="283"/>
      <w:jc w:val="left"/>
    </w:pPr>
    <w:rPr>
      <w:rFonts w:eastAsia="Times New Roman" w:cs="Traditional Arabic" w:hint="cs"/>
      <w:szCs w:val="30"/>
      <w:lang w:val="en-GB" w:eastAsia="zh-CN"/>
    </w:rPr>
  </w:style>
  <w:style w:type="paragraph" w:styleId="List5">
    <w:name w:val="List 5"/>
    <w:basedOn w:val="Normal"/>
    <w:semiHidden/>
    <w:rsid w:val="00A1204B"/>
    <w:pPr>
      <w:suppressAutoHyphens/>
      <w:bidi w:val="0"/>
      <w:ind w:left="1415" w:hanging="283"/>
      <w:jc w:val="left"/>
    </w:pPr>
    <w:rPr>
      <w:rFonts w:eastAsia="Times New Roman" w:cs="Traditional Arabic" w:hint="cs"/>
      <w:szCs w:val="30"/>
      <w:lang w:val="en-GB" w:eastAsia="zh-CN"/>
    </w:rPr>
  </w:style>
  <w:style w:type="paragraph" w:styleId="ListBullet">
    <w:name w:val="List Bullet"/>
    <w:basedOn w:val="Normal"/>
    <w:semiHidden/>
    <w:rsid w:val="00A1204B"/>
    <w:pPr>
      <w:tabs>
        <w:tab w:val="num" w:pos="360"/>
      </w:tabs>
      <w:suppressAutoHyphens/>
      <w:bidi w:val="0"/>
      <w:ind w:left="360" w:hanging="360"/>
      <w:jc w:val="left"/>
    </w:pPr>
    <w:rPr>
      <w:rFonts w:eastAsia="Times New Roman" w:cs="Traditional Arabic" w:hint="cs"/>
      <w:szCs w:val="30"/>
      <w:lang w:val="en-GB" w:eastAsia="zh-CN"/>
    </w:rPr>
  </w:style>
  <w:style w:type="paragraph" w:styleId="ListBullet2">
    <w:name w:val="List Bullet 2"/>
    <w:basedOn w:val="Normal"/>
    <w:semiHidden/>
    <w:rsid w:val="00A1204B"/>
    <w:pPr>
      <w:tabs>
        <w:tab w:val="num" w:pos="643"/>
      </w:tabs>
      <w:suppressAutoHyphens/>
      <w:bidi w:val="0"/>
      <w:ind w:left="643" w:hanging="360"/>
      <w:jc w:val="left"/>
    </w:pPr>
    <w:rPr>
      <w:rFonts w:eastAsia="Times New Roman" w:cs="Traditional Arabic" w:hint="cs"/>
      <w:szCs w:val="30"/>
      <w:lang w:val="en-GB" w:eastAsia="zh-CN"/>
    </w:rPr>
  </w:style>
  <w:style w:type="paragraph" w:styleId="ListBullet3">
    <w:name w:val="List Bullet 3"/>
    <w:basedOn w:val="Normal"/>
    <w:semiHidden/>
    <w:rsid w:val="00A1204B"/>
    <w:pPr>
      <w:tabs>
        <w:tab w:val="num" w:pos="926"/>
      </w:tabs>
      <w:suppressAutoHyphens/>
      <w:bidi w:val="0"/>
      <w:ind w:left="926" w:hanging="360"/>
      <w:jc w:val="left"/>
    </w:pPr>
    <w:rPr>
      <w:rFonts w:eastAsia="Times New Roman" w:cs="Traditional Arabic" w:hint="cs"/>
      <w:szCs w:val="30"/>
      <w:lang w:val="en-GB" w:eastAsia="zh-CN"/>
    </w:rPr>
  </w:style>
  <w:style w:type="paragraph" w:styleId="ListBullet4">
    <w:name w:val="List Bullet 4"/>
    <w:basedOn w:val="Normal"/>
    <w:semiHidden/>
    <w:rsid w:val="00A1204B"/>
    <w:pPr>
      <w:tabs>
        <w:tab w:val="num" w:pos="1209"/>
      </w:tabs>
      <w:suppressAutoHyphens/>
      <w:bidi w:val="0"/>
      <w:ind w:left="1209" w:hanging="360"/>
      <w:jc w:val="left"/>
    </w:pPr>
    <w:rPr>
      <w:rFonts w:eastAsia="Times New Roman" w:cs="Traditional Arabic" w:hint="cs"/>
      <w:szCs w:val="30"/>
      <w:lang w:val="en-GB" w:eastAsia="zh-CN"/>
    </w:rPr>
  </w:style>
  <w:style w:type="paragraph" w:styleId="ListBullet5">
    <w:name w:val="List Bullet 5"/>
    <w:basedOn w:val="Normal"/>
    <w:semiHidden/>
    <w:rsid w:val="00A1204B"/>
    <w:pPr>
      <w:tabs>
        <w:tab w:val="num" w:pos="1492"/>
      </w:tabs>
      <w:suppressAutoHyphens/>
      <w:bidi w:val="0"/>
      <w:ind w:left="1492" w:hanging="360"/>
      <w:jc w:val="left"/>
    </w:pPr>
    <w:rPr>
      <w:rFonts w:eastAsia="Times New Roman" w:cs="Traditional Arabic" w:hint="cs"/>
      <w:szCs w:val="30"/>
      <w:lang w:val="en-GB" w:eastAsia="zh-CN"/>
    </w:rPr>
  </w:style>
  <w:style w:type="paragraph" w:styleId="ListContinue">
    <w:name w:val="List Continue"/>
    <w:basedOn w:val="Normal"/>
    <w:semiHidden/>
    <w:rsid w:val="00A1204B"/>
    <w:pPr>
      <w:suppressAutoHyphens/>
      <w:bidi w:val="0"/>
      <w:spacing w:after="120"/>
      <w:ind w:left="283"/>
      <w:jc w:val="left"/>
    </w:pPr>
    <w:rPr>
      <w:rFonts w:eastAsia="Times New Roman" w:cs="Traditional Arabic" w:hint="cs"/>
      <w:szCs w:val="30"/>
      <w:lang w:val="en-GB" w:eastAsia="zh-CN"/>
    </w:rPr>
  </w:style>
  <w:style w:type="paragraph" w:styleId="ListContinue2">
    <w:name w:val="List Continue 2"/>
    <w:basedOn w:val="Normal"/>
    <w:semiHidden/>
    <w:rsid w:val="00A1204B"/>
    <w:pPr>
      <w:suppressAutoHyphens/>
      <w:bidi w:val="0"/>
      <w:spacing w:after="120"/>
      <w:ind w:left="566"/>
      <w:jc w:val="left"/>
    </w:pPr>
    <w:rPr>
      <w:rFonts w:eastAsia="Times New Roman" w:cs="Traditional Arabic" w:hint="cs"/>
      <w:szCs w:val="30"/>
      <w:lang w:val="en-GB" w:eastAsia="zh-CN"/>
    </w:rPr>
  </w:style>
  <w:style w:type="paragraph" w:styleId="ListContinue3">
    <w:name w:val="List Continue 3"/>
    <w:basedOn w:val="Normal"/>
    <w:semiHidden/>
    <w:rsid w:val="00A1204B"/>
    <w:pPr>
      <w:suppressAutoHyphens/>
      <w:bidi w:val="0"/>
      <w:spacing w:after="120"/>
      <w:ind w:left="849"/>
      <w:jc w:val="left"/>
    </w:pPr>
    <w:rPr>
      <w:rFonts w:eastAsia="Times New Roman" w:cs="Traditional Arabic" w:hint="cs"/>
      <w:szCs w:val="30"/>
      <w:lang w:val="en-GB" w:eastAsia="zh-CN"/>
    </w:rPr>
  </w:style>
  <w:style w:type="paragraph" w:styleId="ListContinue4">
    <w:name w:val="List Continue 4"/>
    <w:basedOn w:val="Normal"/>
    <w:semiHidden/>
    <w:rsid w:val="00A1204B"/>
    <w:pPr>
      <w:suppressAutoHyphens/>
      <w:bidi w:val="0"/>
      <w:spacing w:after="120"/>
      <w:ind w:left="1132"/>
      <w:jc w:val="left"/>
    </w:pPr>
    <w:rPr>
      <w:rFonts w:eastAsia="Times New Roman" w:cs="Traditional Arabic" w:hint="cs"/>
      <w:szCs w:val="30"/>
      <w:lang w:val="en-GB" w:eastAsia="zh-CN"/>
    </w:rPr>
  </w:style>
  <w:style w:type="paragraph" w:styleId="ListContinue5">
    <w:name w:val="List Continue 5"/>
    <w:basedOn w:val="Normal"/>
    <w:semiHidden/>
    <w:rsid w:val="00A1204B"/>
    <w:pPr>
      <w:suppressAutoHyphens/>
      <w:bidi w:val="0"/>
      <w:spacing w:after="120"/>
      <w:ind w:left="1415"/>
      <w:jc w:val="left"/>
    </w:pPr>
    <w:rPr>
      <w:rFonts w:eastAsia="Times New Roman" w:cs="Traditional Arabic" w:hint="cs"/>
      <w:szCs w:val="30"/>
      <w:lang w:val="en-GB" w:eastAsia="zh-CN"/>
    </w:rPr>
  </w:style>
  <w:style w:type="paragraph" w:styleId="ListNumber">
    <w:name w:val="List Number"/>
    <w:basedOn w:val="Normal"/>
    <w:semiHidden/>
    <w:rsid w:val="00A1204B"/>
    <w:pPr>
      <w:tabs>
        <w:tab w:val="num" w:pos="360"/>
      </w:tabs>
      <w:suppressAutoHyphens/>
      <w:bidi w:val="0"/>
      <w:ind w:left="360" w:hanging="360"/>
      <w:jc w:val="left"/>
    </w:pPr>
    <w:rPr>
      <w:rFonts w:eastAsia="Times New Roman" w:cs="Traditional Arabic" w:hint="cs"/>
      <w:szCs w:val="30"/>
      <w:lang w:val="en-GB" w:eastAsia="zh-CN"/>
    </w:rPr>
  </w:style>
  <w:style w:type="paragraph" w:styleId="ListNumber2">
    <w:name w:val="List Number 2"/>
    <w:basedOn w:val="Normal"/>
    <w:semiHidden/>
    <w:rsid w:val="00A1204B"/>
    <w:pPr>
      <w:tabs>
        <w:tab w:val="num" w:pos="643"/>
      </w:tabs>
      <w:suppressAutoHyphens/>
      <w:bidi w:val="0"/>
      <w:ind w:left="643" w:hanging="360"/>
      <w:jc w:val="left"/>
    </w:pPr>
    <w:rPr>
      <w:rFonts w:eastAsia="Times New Roman" w:cs="Traditional Arabic" w:hint="cs"/>
      <w:szCs w:val="30"/>
      <w:lang w:val="en-GB" w:eastAsia="zh-CN"/>
    </w:rPr>
  </w:style>
  <w:style w:type="paragraph" w:styleId="ListNumber3">
    <w:name w:val="List Number 3"/>
    <w:basedOn w:val="Normal"/>
    <w:semiHidden/>
    <w:rsid w:val="00A1204B"/>
    <w:pPr>
      <w:tabs>
        <w:tab w:val="num" w:pos="926"/>
      </w:tabs>
      <w:suppressAutoHyphens/>
      <w:bidi w:val="0"/>
      <w:ind w:left="926" w:hanging="360"/>
      <w:jc w:val="left"/>
    </w:pPr>
    <w:rPr>
      <w:rFonts w:eastAsia="Times New Roman" w:cs="Traditional Arabic" w:hint="cs"/>
      <w:szCs w:val="30"/>
      <w:lang w:val="en-GB" w:eastAsia="zh-CN"/>
    </w:rPr>
  </w:style>
  <w:style w:type="paragraph" w:styleId="ListNumber4">
    <w:name w:val="List Number 4"/>
    <w:basedOn w:val="Normal"/>
    <w:semiHidden/>
    <w:rsid w:val="00A1204B"/>
    <w:pPr>
      <w:tabs>
        <w:tab w:val="num" w:pos="1209"/>
      </w:tabs>
      <w:suppressAutoHyphens/>
      <w:bidi w:val="0"/>
      <w:ind w:left="1209" w:hanging="360"/>
      <w:jc w:val="left"/>
    </w:pPr>
    <w:rPr>
      <w:rFonts w:eastAsia="Times New Roman" w:cs="Traditional Arabic" w:hint="cs"/>
      <w:szCs w:val="30"/>
      <w:lang w:val="en-GB" w:eastAsia="zh-CN"/>
    </w:rPr>
  </w:style>
  <w:style w:type="paragraph" w:styleId="ListNumber5">
    <w:name w:val="List Number 5"/>
    <w:basedOn w:val="Normal"/>
    <w:semiHidden/>
    <w:rsid w:val="00A1204B"/>
    <w:pPr>
      <w:tabs>
        <w:tab w:val="num" w:pos="1492"/>
      </w:tabs>
      <w:suppressAutoHyphens/>
      <w:bidi w:val="0"/>
      <w:ind w:left="1492" w:hanging="360"/>
      <w:jc w:val="left"/>
    </w:pPr>
    <w:rPr>
      <w:rFonts w:eastAsia="Times New Roman" w:cs="Traditional Arabic" w:hint="cs"/>
      <w:szCs w:val="30"/>
      <w:lang w:val="en-GB" w:eastAsia="zh-CN"/>
    </w:rPr>
  </w:style>
  <w:style w:type="paragraph" w:styleId="MessageHeader">
    <w:name w:val="Message Header"/>
    <w:basedOn w:val="Normal"/>
    <w:link w:val="MessageHeaderChar"/>
    <w:semiHidden/>
    <w:rsid w:val="00A1204B"/>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eastAsia="Times New Roman" w:hAnsi="Arial" w:cs="Arial" w:hint="cs"/>
      <w:sz w:val="24"/>
      <w:szCs w:val="24"/>
      <w:lang w:val="en-GB" w:eastAsia="zh-CN"/>
    </w:rPr>
  </w:style>
  <w:style w:type="character" w:customStyle="1" w:styleId="MessageHeaderChar">
    <w:name w:val="Message Header Char"/>
    <w:basedOn w:val="DefaultParagraphFont"/>
    <w:link w:val="MessageHeader"/>
    <w:semiHidden/>
    <w:rsid w:val="00A1204B"/>
    <w:rPr>
      <w:rFonts w:ascii="Arial" w:hAnsi="Arial" w:cs="Arial"/>
      <w:sz w:val="24"/>
      <w:szCs w:val="24"/>
      <w:shd w:val="pct20" w:color="auto" w:fill="auto"/>
      <w:lang w:val="en-GB" w:eastAsia="zh-CN"/>
    </w:rPr>
  </w:style>
  <w:style w:type="paragraph" w:styleId="NormalWeb">
    <w:name w:val="Normal (Web)"/>
    <w:basedOn w:val="Normal"/>
    <w:semiHidden/>
    <w:rsid w:val="00A1204B"/>
    <w:pPr>
      <w:suppressAutoHyphens/>
      <w:bidi w:val="0"/>
      <w:jc w:val="left"/>
    </w:pPr>
    <w:rPr>
      <w:rFonts w:eastAsia="Times New Roman" w:cs="Traditional Arabic" w:hint="cs"/>
      <w:sz w:val="24"/>
      <w:szCs w:val="24"/>
      <w:lang w:val="en-GB" w:eastAsia="zh-CN"/>
    </w:rPr>
  </w:style>
  <w:style w:type="paragraph" w:styleId="NormalIndent">
    <w:name w:val="Normal Indent"/>
    <w:basedOn w:val="Normal"/>
    <w:semiHidden/>
    <w:rsid w:val="00A1204B"/>
    <w:pPr>
      <w:suppressAutoHyphens/>
      <w:bidi w:val="0"/>
      <w:ind w:left="567"/>
      <w:jc w:val="left"/>
    </w:pPr>
    <w:rPr>
      <w:rFonts w:eastAsia="Times New Roman" w:cs="Traditional Arabic" w:hint="cs"/>
      <w:szCs w:val="30"/>
      <w:lang w:val="en-GB" w:eastAsia="zh-CN"/>
    </w:rPr>
  </w:style>
  <w:style w:type="paragraph" w:styleId="NoteHeading">
    <w:name w:val="Note Heading"/>
    <w:basedOn w:val="Normal"/>
    <w:next w:val="Normal"/>
    <w:link w:val="NoteHeadingChar"/>
    <w:semiHidden/>
    <w:rsid w:val="00A1204B"/>
    <w:pPr>
      <w:suppressAutoHyphens/>
      <w:bidi w:val="0"/>
      <w:jc w:val="left"/>
    </w:pPr>
    <w:rPr>
      <w:rFonts w:eastAsia="Times New Roman" w:cs="Traditional Arabic" w:hint="cs"/>
      <w:szCs w:val="30"/>
      <w:lang w:val="en-GB" w:eastAsia="zh-CN"/>
    </w:rPr>
  </w:style>
  <w:style w:type="character" w:customStyle="1" w:styleId="NoteHeadingChar">
    <w:name w:val="Note Heading Char"/>
    <w:basedOn w:val="DefaultParagraphFont"/>
    <w:link w:val="NoteHeading"/>
    <w:semiHidden/>
    <w:rsid w:val="00A1204B"/>
    <w:rPr>
      <w:rFonts w:ascii="Times New Roman" w:hAnsi="Times New Roman" w:cs="Traditional Arabic"/>
      <w:sz w:val="20"/>
      <w:szCs w:val="30"/>
      <w:lang w:val="en-GB" w:eastAsia="zh-CN"/>
    </w:rPr>
  </w:style>
  <w:style w:type="paragraph" w:styleId="Salutation">
    <w:name w:val="Salutation"/>
    <w:basedOn w:val="Normal"/>
    <w:next w:val="Normal"/>
    <w:link w:val="SalutationChar"/>
    <w:semiHidden/>
    <w:rsid w:val="00A1204B"/>
    <w:pPr>
      <w:suppressAutoHyphens/>
      <w:bidi w:val="0"/>
      <w:jc w:val="left"/>
    </w:pPr>
    <w:rPr>
      <w:rFonts w:eastAsia="Times New Roman" w:cs="Traditional Arabic" w:hint="cs"/>
      <w:szCs w:val="30"/>
      <w:lang w:val="en-GB" w:eastAsia="zh-CN"/>
    </w:rPr>
  </w:style>
  <w:style w:type="character" w:customStyle="1" w:styleId="SalutationChar">
    <w:name w:val="Salutation Char"/>
    <w:basedOn w:val="DefaultParagraphFont"/>
    <w:link w:val="Salutation"/>
    <w:semiHidden/>
    <w:rsid w:val="00A1204B"/>
    <w:rPr>
      <w:rFonts w:ascii="Times New Roman" w:hAnsi="Times New Roman" w:cs="Traditional Arabic"/>
      <w:sz w:val="20"/>
      <w:szCs w:val="30"/>
      <w:lang w:val="en-GB" w:eastAsia="zh-CN"/>
    </w:rPr>
  </w:style>
  <w:style w:type="paragraph" w:styleId="Signature">
    <w:name w:val="Signature"/>
    <w:basedOn w:val="Normal"/>
    <w:link w:val="SignatureChar"/>
    <w:semiHidden/>
    <w:rsid w:val="00A1204B"/>
    <w:pPr>
      <w:suppressAutoHyphens/>
      <w:bidi w:val="0"/>
      <w:ind w:left="4252"/>
      <w:jc w:val="left"/>
    </w:pPr>
    <w:rPr>
      <w:rFonts w:eastAsia="Times New Roman" w:cs="Traditional Arabic" w:hint="cs"/>
      <w:szCs w:val="30"/>
      <w:lang w:val="en-GB" w:eastAsia="zh-CN"/>
    </w:rPr>
  </w:style>
  <w:style w:type="character" w:customStyle="1" w:styleId="SignatureChar">
    <w:name w:val="Signature Char"/>
    <w:basedOn w:val="DefaultParagraphFont"/>
    <w:link w:val="Signature"/>
    <w:semiHidden/>
    <w:rsid w:val="00A1204B"/>
    <w:rPr>
      <w:rFonts w:ascii="Times New Roman" w:hAnsi="Times New Roman" w:cs="Traditional Arabic"/>
      <w:sz w:val="20"/>
      <w:szCs w:val="30"/>
      <w:lang w:val="en-GB" w:eastAsia="zh-CN"/>
    </w:rPr>
  </w:style>
  <w:style w:type="character" w:customStyle="1" w:styleId="UnresolvedMention1">
    <w:name w:val="Unresolved Mention1"/>
    <w:uiPriority w:val="99"/>
    <w:semiHidden/>
    <w:unhideWhenUsed/>
    <w:rsid w:val="00A1204B"/>
    <w:rPr>
      <w:color w:val="605E5C"/>
      <w:shd w:val="clear" w:color="auto" w:fill="E1DFDD"/>
    </w:rPr>
  </w:style>
  <w:style w:type="table" w:styleId="Table3Deffects1">
    <w:name w:val="Table 3D effects 1"/>
    <w:basedOn w:val="TableNormal"/>
    <w:semiHidden/>
    <w:rsid w:val="00A1204B"/>
    <w:pPr>
      <w:suppressAutoHyphens/>
      <w:spacing w:after="0" w:line="240" w:lineRule="atLeast"/>
    </w:pPr>
    <w:rPr>
      <w:rFonts w:ascii="Times New Roman" w:hAnsi="Times New Roman" w:cs="Times New Roman"/>
      <w:sz w:val="20"/>
      <w:szCs w:val="20"/>
      <w:lang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1204B"/>
    <w:pPr>
      <w:suppressAutoHyphens/>
      <w:spacing w:after="0" w:line="240" w:lineRule="atLeast"/>
    </w:pPr>
    <w:rPr>
      <w:rFonts w:ascii="Times New Roman" w:hAnsi="Times New Roman" w:cs="Times New Roman"/>
      <w:sz w:val="20"/>
      <w:szCs w:val="20"/>
      <w:lang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1204B"/>
    <w:pPr>
      <w:suppressAutoHyphens/>
      <w:spacing w:after="0" w:line="240" w:lineRule="atLeast"/>
    </w:pPr>
    <w:rPr>
      <w:rFonts w:ascii="Times New Roman" w:hAnsi="Times New Roman" w:cs="Times New Roman"/>
      <w:sz w:val="20"/>
      <w:szCs w:val="20"/>
      <w:lang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1204B"/>
    <w:pPr>
      <w:suppressAutoHyphens/>
      <w:spacing w:after="0" w:line="240" w:lineRule="atLeast"/>
    </w:pPr>
    <w:rPr>
      <w:rFonts w:ascii="Times New Roman" w:hAnsi="Times New Roman" w:cs="Times New Roman"/>
      <w:color w:val="000080"/>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1204B"/>
    <w:pPr>
      <w:suppressAutoHyphens/>
      <w:spacing w:after="0" w:line="240" w:lineRule="atLeast"/>
    </w:pPr>
    <w:rPr>
      <w:rFonts w:ascii="Times New Roman" w:hAnsi="Times New Roman" w:cs="Times New Roman"/>
      <w:color w:val="FFFFFF"/>
      <w:sz w:val="20"/>
      <w:szCs w:val="20"/>
      <w:lang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1204B"/>
    <w:pPr>
      <w:suppressAutoHyphens/>
      <w:spacing w:after="0" w:line="240" w:lineRule="atLeast"/>
    </w:pPr>
    <w:rPr>
      <w:rFonts w:ascii="Times New Roman" w:hAnsi="Times New Roman" w:cs="Times New Roman"/>
      <w:sz w:val="20"/>
      <w:szCs w:val="20"/>
      <w:lang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1204B"/>
    <w:pPr>
      <w:suppressAutoHyphens/>
      <w:spacing w:after="0" w:line="240" w:lineRule="atLeast"/>
    </w:pPr>
    <w:rPr>
      <w:rFonts w:ascii="Times New Roman" w:hAnsi="Times New Roman" w:cs="Times New Roman"/>
      <w:b/>
      <w:bCs/>
      <w:sz w:val="20"/>
      <w:szCs w:val="20"/>
      <w:lang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1204B"/>
    <w:pPr>
      <w:suppressAutoHyphens/>
      <w:spacing w:after="0" w:line="240" w:lineRule="atLeast"/>
    </w:pPr>
    <w:rPr>
      <w:rFonts w:ascii="Times New Roman" w:hAnsi="Times New Roman" w:cs="Times New Roman"/>
      <w:b/>
      <w:bCs/>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1204B"/>
    <w:pPr>
      <w:suppressAutoHyphens/>
      <w:spacing w:after="0" w:line="240" w:lineRule="atLeast"/>
    </w:pPr>
    <w:rPr>
      <w:rFonts w:ascii="Times New Roman" w:hAnsi="Times New Roman" w:cs="Times New Roman"/>
      <w:b/>
      <w:bCs/>
      <w:sz w:val="20"/>
      <w:szCs w:val="20"/>
      <w:lang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1204B"/>
    <w:pPr>
      <w:suppressAutoHyphens/>
      <w:spacing w:after="0" w:line="240" w:lineRule="atLeast"/>
    </w:pPr>
    <w:rPr>
      <w:rFonts w:ascii="Times New Roman" w:hAnsi="Times New Roman" w:cs="Times New Roman"/>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1204B"/>
    <w:pPr>
      <w:suppressAutoHyphens/>
      <w:spacing w:after="0" w:line="240" w:lineRule="atLeast"/>
    </w:pPr>
    <w:rPr>
      <w:rFonts w:ascii="Times New Roman" w:hAnsi="Times New Roman" w:cs="Times New Roman"/>
      <w:sz w:val="20"/>
      <w:szCs w:val="20"/>
      <w:lang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1204B"/>
    <w:pPr>
      <w:suppressAutoHyphens/>
      <w:spacing w:after="0" w:line="240" w:lineRule="atLeast"/>
    </w:pPr>
    <w:rPr>
      <w:rFonts w:ascii="Times New Roman" w:hAnsi="Times New Roman" w:cs="Times New Roman"/>
      <w:sz w:val="20"/>
      <w:szCs w:val="20"/>
      <w:lang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1204B"/>
    <w:pPr>
      <w:suppressAutoHyphens/>
      <w:spacing w:after="0" w:line="240" w:lineRule="atLeast"/>
    </w:pPr>
    <w:rPr>
      <w:rFonts w:ascii="Times New Roman" w:hAnsi="Times New Roman" w:cs="Times New Roman"/>
      <w:sz w:val="20"/>
      <w:szCs w:val="20"/>
      <w:lang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1204B"/>
    <w:pPr>
      <w:suppressAutoHyphens/>
      <w:spacing w:after="0" w:line="240" w:lineRule="atLeast"/>
    </w:pPr>
    <w:rPr>
      <w:rFonts w:ascii="Times New Roman" w:hAnsi="Times New Roman" w:cs="Times New Roman"/>
      <w:sz w:val="20"/>
      <w:szCs w:val="20"/>
      <w:lang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1204B"/>
    <w:pPr>
      <w:suppressAutoHyphens/>
      <w:spacing w:after="0" w:line="240" w:lineRule="atLeast"/>
    </w:pPr>
    <w:rPr>
      <w:rFonts w:ascii="Times New Roman" w:hAnsi="Times New Roman" w:cs="Times New Roman"/>
      <w:b/>
      <w:b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1204B"/>
    <w:pPr>
      <w:suppressAutoHyphens/>
      <w:spacing w:after="0" w:line="240" w:lineRule="atLeast"/>
    </w:pPr>
    <w:rPr>
      <w:rFonts w:ascii="Times New Roman" w:hAnsi="Times New Roman" w:cs="Traditional Arabic" w:hint="cs"/>
      <w:sz w:val="20"/>
      <w:szCs w:val="20"/>
      <w:lang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1204B"/>
    <w:pPr>
      <w:suppressAutoHyphens/>
      <w:spacing w:after="0" w:line="240" w:lineRule="atLeast"/>
    </w:pPr>
    <w:rPr>
      <w:rFonts w:ascii="Times New Roman" w:hAnsi="Times New Roman" w:cs="Traditional Arabic" w:hint="cs"/>
      <w:sz w:val="20"/>
      <w:szCs w:val="20"/>
      <w:lang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1204B"/>
    <w:pPr>
      <w:suppressAutoHyphens/>
      <w:spacing w:after="0" w:line="240" w:lineRule="atLeast"/>
    </w:pPr>
    <w:rPr>
      <w:rFonts w:ascii="Times New Roman" w:hAnsi="Times New Roman" w:cs="Traditional Arabic" w:hint="cs"/>
      <w:sz w:val="20"/>
      <w:szCs w:val="20"/>
      <w:lang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1204B"/>
    <w:pPr>
      <w:suppressAutoHyphens/>
      <w:spacing w:after="0" w:line="240" w:lineRule="atLeast"/>
    </w:pPr>
    <w:rPr>
      <w:rFonts w:ascii="Times New Roman" w:hAnsi="Times New Roman" w:cs="Traditional Arabic" w:hint="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1204B"/>
    <w:pPr>
      <w:suppressAutoHyphens/>
      <w:spacing w:after="0" w:line="240" w:lineRule="atLeast"/>
    </w:pPr>
    <w:rPr>
      <w:rFonts w:ascii="Times New Roman" w:hAnsi="Times New Roman" w:cs="Traditional Arabic" w:hint="cs"/>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1204B"/>
    <w:pPr>
      <w:suppressAutoHyphens/>
      <w:spacing w:after="0" w:line="240" w:lineRule="atLeast"/>
    </w:pPr>
    <w:rPr>
      <w:rFonts w:ascii="Times New Roman" w:hAnsi="Times New Roman" w:cs="Traditional Arabic" w:hint="cs"/>
      <w:sz w:val="20"/>
      <w:szCs w:val="20"/>
      <w:lang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1204B"/>
    <w:pPr>
      <w:suppressAutoHyphens/>
      <w:spacing w:after="0" w:line="240" w:lineRule="atLeast"/>
    </w:pPr>
    <w:rPr>
      <w:rFonts w:ascii="Times New Roman" w:hAnsi="Times New Roman" w:cs="Traditional Arabic" w:hint="cs"/>
      <w:sz w:val="20"/>
      <w:szCs w:val="20"/>
      <w:lang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1204B"/>
    <w:pPr>
      <w:suppressAutoHyphens/>
      <w:spacing w:after="0" w:line="240" w:lineRule="atLeast"/>
    </w:pPr>
    <w:rPr>
      <w:rFonts w:ascii="Times New Roman" w:hAnsi="Times New Roman" w:cs="Traditional Arabic" w:hint="cs"/>
      <w:sz w:val="20"/>
      <w:szCs w:val="20"/>
      <w:lang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1204B"/>
    <w:pPr>
      <w:suppressAutoHyphens/>
      <w:spacing w:after="0" w:line="240" w:lineRule="atLeast"/>
    </w:pPr>
    <w:rPr>
      <w:rFonts w:ascii="Times New Roman" w:hAnsi="Times New Roman" w:cs="Times New Roman"/>
      <w:sz w:val="20"/>
      <w:szCs w:val="20"/>
      <w:lang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1204B"/>
    <w:pPr>
      <w:suppressAutoHyphens/>
      <w:spacing w:after="0" w:line="240" w:lineRule="atLeast"/>
    </w:pPr>
    <w:rPr>
      <w:rFonts w:ascii="Times New Roman" w:hAnsi="Times New Roman" w:cs="Times New Roman"/>
      <w:sz w:val="20"/>
      <w:szCs w:val="20"/>
      <w:lang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1204B"/>
    <w:pPr>
      <w:suppressAutoHyphens/>
      <w:spacing w:after="0" w:line="240" w:lineRule="atLeast"/>
    </w:pPr>
    <w:rPr>
      <w:rFonts w:ascii="Times New Roman" w:hAnsi="Times New Roman" w:cs="Times New Roman"/>
      <w:sz w:val="20"/>
      <w:szCs w:val="20"/>
      <w:lang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1204B"/>
    <w:pPr>
      <w:suppressAutoHyphens/>
      <w:spacing w:after="0" w:line="240" w:lineRule="atLeast"/>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1204B"/>
    <w:pPr>
      <w:suppressAutoHyphens/>
      <w:spacing w:after="0" w:line="240" w:lineRule="atLeast"/>
    </w:pPr>
    <w:rPr>
      <w:rFonts w:ascii="Times New Roman" w:hAnsi="Times New Roman" w:cs="Times New Roman"/>
      <w:sz w:val="20"/>
      <w:szCs w:val="20"/>
      <w:lang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1204B"/>
    <w:pPr>
      <w:suppressAutoHyphens/>
      <w:spacing w:after="0" w:line="240" w:lineRule="atLeast"/>
    </w:pPr>
    <w:rPr>
      <w:rFonts w:ascii="Times New Roman" w:hAnsi="Times New Roman" w:cs="Times New Roman"/>
      <w:sz w:val="20"/>
      <w:szCs w:val="20"/>
      <w:lang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1204B"/>
    <w:pPr>
      <w:suppressAutoHyphens/>
      <w:spacing w:after="0" w:line="240" w:lineRule="atLeast"/>
    </w:pPr>
    <w:rPr>
      <w:rFonts w:ascii="Times New Roman" w:hAnsi="Times New Roman" w:cs="Times New Roman"/>
      <w:sz w:val="20"/>
      <w:szCs w:val="20"/>
      <w:lang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A1204B"/>
    <w:pPr>
      <w:framePr w:w="7920" w:h="1980" w:hRule="exact" w:hSpace="180" w:wrap="auto" w:hAnchor="page" w:xAlign="center" w:yAlign="bottom"/>
      <w:suppressAutoHyphens/>
      <w:bidi w:val="0"/>
      <w:ind w:left="2880"/>
      <w:jc w:val="left"/>
    </w:pPr>
    <w:rPr>
      <w:rFonts w:ascii="Arial" w:eastAsia="Times New Roman" w:hAnsi="Arial" w:cs="Arial" w:hint="cs"/>
      <w:sz w:val="24"/>
      <w:szCs w:val="24"/>
      <w:lang w:val="en-GB" w:eastAsia="zh-CN"/>
    </w:rPr>
  </w:style>
  <w:style w:type="character" w:customStyle="1" w:styleId="CommentTextChar1">
    <w:name w:val="Comment Text Char1"/>
    <w:basedOn w:val="DefaultParagraphFont"/>
    <w:uiPriority w:val="99"/>
    <w:semiHidden/>
    <w:rsid w:val="00A12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icef.org/" TargetMode="External"/><Relationship Id="rId18" Type="http://schemas.openxmlformats.org/officeDocument/2006/relationships/hyperlink" Target="http://www.cb.is" TargetMode="External"/><Relationship Id="rId26" Type="http://schemas.openxmlformats.org/officeDocument/2006/relationships/hyperlink" Target="https://www.government.is/" TargetMode="External"/><Relationship Id="rId3" Type="http://schemas.openxmlformats.org/officeDocument/2006/relationships/styles" Target="styles.xml"/><Relationship Id="rId21" Type="http://schemas.openxmlformats.org/officeDocument/2006/relationships/hyperlink" Target="https://www.landlaeknir.is/english/"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orldbank.org/" TargetMode="External"/><Relationship Id="rId17" Type="http://schemas.openxmlformats.org/officeDocument/2006/relationships/hyperlink" Target="https://www.althingi.is/english" TargetMode="External"/><Relationship Id="rId25" Type="http://schemas.openxmlformats.org/officeDocument/2006/relationships/hyperlink" Target="https://statice.i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mbodsmadur.is/en" TargetMode="External"/><Relationship Id="rId20" Type="http://schemas.openxmlformats.org/officeDocument/2006/relationships/hyperlink" Target="https://mms.is/directorate-education"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ernment.is/library/01-Ministries/Ministry-for-Foreign-Affairs/Iceida/Publications/Parliamentary%20Resolution%20on%20Iceland%e2%80%99s%20policy%20for%20international%20development%20cooperation.pdf" TargetMode="External"/><Relationship Id="rId24" Type="http://schemas.openxmlformats.org/officeDocument/2006/relationships/hyperlink" Target="http://www.mcc.is"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unfpa.org/" TargetMode="External"/><Relationship Id="rId23" Type="http://schemas.openxmlformats.org/officeDocument/2006/relationships/hyperlink" Target="http://www.humanrights.is/en"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government.is/topics/governance-and-national-symbols/constitution/"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nwomen.org/en" TargetMode="External"/><Relationship Id="rId22" Type="http://schemas.openxmlformats.org/officeDocument/2006/relationships/hyperlink" Target="https://vinnumalastofnun.is/en" TargetMode="External"/><Relationship Id="rId27" Type="http://schemas.openxmlformats.org/officeDocument/2006/relationships/hyperlink" Target="https://www.domstolasyslan.is/en/"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630EA-1765-4356-945B-6DA0A755A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37</Pages>
  <Words>11314</Words>
  <Characters>70716</Characters>
  <Application>Microsoft Office Word</Application>
  <DocSecurity>0</DocSecurity>
  <Lines>7071</Lines>
  <Paragraphs>5468</Paragraphs>
  <ScaleCrop>false</ScaleCrop>
  <HeadingPairs>
    <vt:vector size="2" baseType="variant">
      <vt:variant>
        <vt:lpstr>Title</vt:lpstr>
      </vt:variant>
      <vt:variant>
        <vt:i4>1</vt:i4>
      </vt:variant>
    </vt:vector>
  </HeadingPairs>
  <TitlesOfParts>
    <vt:vector size="1" baseType="lpstr">
      <vt:lpstr>HRI/CORE/ISL/2021</vt:lpstr>
    </vt:vector>
  </TitlesOfParts>
  <Company>DCM</Company>
  <LinksUpToDate>false</LinksUpToDate>
  <CharactersWithSpaces>76562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HRI/CORE/ISL/2021</dc:title>
  <dc:subject>GE.2110479(A)</dc:subject>
  <dc:creator>Jamal ALKAHLOUT - ASE</dc:creator>
  <cp:keywords>GE.2120299(A)</cp:keywords>
  <dc:description>General_x000d_
29 July 2021_x000d_
Arabic_x000d_
English</dc:description>
  <cp:lastModifiedBy>Jamal Alkahlout</cp:lastModifiedBy>
  <cp:revision>4</cp:revision>
  <cp:lastPrinted>2021-10-08T12:24:00Z</cp:lastPrinted>
  <dcterms:created xsi:type="dcterms:W3CDTF">2021-10-08T12:24:00Z</dcterms:created>
  <dcterms:modified xsi:type="dcterms:W3CDTF">2021-10-08T12:25:00Z</dcterms:modified>
</cp:coreProperties>
</file>