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54AE1">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730A3" w:rsidP="00C730A3">
            <w:pPr>
              <w:spacing w:after="20"/>
              <w:jc w:val="right"/>
            </w:pPr>
            <w:r w:rsidRPr="00C730A3">
              <w:rPr>
                <w:sz w:val="40"/>
              </w:rPr>
              <w:t>E</w:t>
            </w:r>
            <w:r>
              <w:t>/C.12/2010/SR.27</w:t>
            </w:r>
          </w:p>
        </w:tc>
      </w:tr>
      <w:tr w:rsidR="002D5AAC" w:rsidTr="00A54AE1">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C730A3" w:rsidRDefault="00C730A3" w:rsidP="00C730A3">
            <w:pPr>
              <w:spacing w:before="240"/>
            </w:pPr>
            <w:r>
              <w:t>Distr. general</w:t>
            </w:r>
          </w:p>
          <w:p w:rsidR="00C730A3" w:rsidRDefault="009A47DD" w:rsidP="00C730A3">
            <w:r>
              <w:t>2</w:t>
            </w:r>
            <w:r w:rsidR="00295CA5">
              <w:t>5</w:t>
            </w:r>
            <w:r>
              <w:t xml:space="preserve"> de marzo de 2011</w:t>
            </w:r>
          </w:p>
          <w:p w:rsidR="00C730A3" w:rsidRDefault="00C730A3" w:rsidP="00C730A3">
            <w:r>
              <w:t>Español</w:t>
            </w:r>
          </w:p>
          <w:p w:rsidR="002D5AAC" w:rsidRDefault="00C730A3" w:rsidP="00C730A3">
            <w:r>
              <w:t>Original: inglés</w:t>
            </w:r>
          </w:p>
        </w:tc>
      </w:tr>
    </w:tbl>
    <w:p w:rsidR="00A54AE1" w:rsidRPr="00A54AE1" w:rsidRDefault="00A54AE1" w:rsidP="00A54AE1">
      <w:pPr>
        <w:spacing w:before="240"/>
        <w:rPr>
          <w:b/>
          <w:sz w:val="24"/>
          <w:szCs w:val="24"/>
        </w:rPr>
      </w:pPr>
      <w:r w:rsidRPr="00A54AE1">
        <w:rPr>
          <w:b/>
          <w:sz w:val="24"/>
          <w:szCs w:val="24"/>
        </w:rPr>
        <w:t>Comité de Derechos Económicos, Sociales y Culturales</w:t>
      </w:r>
    </w:p>
    <w:p w:rsidR="00A54AE1" w:rsidRPr="00A54AE1" w:rsidRDefault="00A54AE1" w:rsidP="005651EC">
      <w:pPr>
        <w:spacing w:after="120"/>
        <w:rPr>
          <w:b/>
        </w:rPr>
      </w:pPr>
      <w:r w:rsidRPr="00A54AE1">
        <w:rPr>
          <w:b/>
        </w:rPr>
        <w:t>44º período de sesiones</w:t>
      </w:r>
    </w:p>
    <w:p w:rsidR="00A54AE1" w:rsidRPr="00A54AE1" w:rsidRDefault="00A54AE1" w:rsidP="009C7D4C">
      <w:pPr>
        <w:outlineLvl w:val="0"/>
        <w:rPr>
          <w:b/>
        </w:rPr>
      </w:pPr>
      <w:r w:rsidRPr="00A54AE1">
        <w:rPr>
          <w:b/>
        </w:rPr>
        <w:t>Acta resumida (parcial)</w:t>
      </w:r>
      <w:r w:rsidR="002D6896" w:rsidRPr="00C23B90">
        <w:rPr>
          <w:rStyle w:val="FootnoteReference"/>
          <w:sz w:val="20"/>
          <w:vertAlign w:val="baseline"/>
        </w:rPr>
        <w:footnoteReference w:customMarkFollows="1" w:id="1"/>
        <w:t>*</w:t>
      </w:r>
      <w:r w:rsidRPr="00A54AE1">
        <w:rPr>
          <w:b/>
        </w:rPr>
        <w:t xml:space="preserve"> de la 27ª sesión </w:t>
      </w:r>
      <w:r w:rsidR="0052720B" w:rsidRPr="00C23B90">
        <w:rPr>
          <w:rStyle w:val="FootnoteReference"/>
          <w:sz w:val="20"/>
          <w:vertAlign w:val="baseline"/>
        </w:rPr>
        <w:footnoteReference w:customMarkFollows="1" w:id="2"/>
        <w:t>**</w:t>
      </w:r>
    </w:p>
    <w:p w:rsidR="00A54AE1" w:rsidRPr="00A54AE1" w:rsidRDefault="00A54AE1" w:rsidP="00E46B0F">
      <w:pPr>
        <w:spacing w:after="120"/>
      </w:pPr>
      <w:r w:rsidRPr="00A54AE1">
        <w:t>Celebrada en el Palais Wilson, Ginebra, el viernes 21 de mayo de 2010, a las 10.00 horas</w:t>
      </w:r>
    </w:p>
    <w:p w:rsidR="00A54AE1" w:rsidRPr="00A54AE1" w:rsidRDefault="00A54AE1" w:rsidP="005651EC">
      <w:pPr>
        <w:spacing w:before="120"/>
      </w:pPr>
      <w:r w:rsidRPr="00A54AE1">
        <w:rPr>
          <w:i/>
        </w:rPr>
        <w:t>Presidente:</w:t>
      </w:r>
      <w:r w:rsidRPr="00A54AE1">
        <w:tab/>
        <w:t>Sr. Marchán Romero</w:t>
      </w:r>
    </w:p>
    <w:p w:rsidR="00A54AE1" w:rsidRPr="005651EC" w:rsidRDefault="00A54AE1" w:rsidP="005651EC">
      <w:pPr>
        <w:pStyle w:val="HChG"/>
        <w:rPr>
          <w:b w:val="0"/>
        </w:rPr>
      </w:pPr>
      <w:r w:rsidRPr="005651EC">
        <w:rPr>
          <w:b w:val="0"/>
        </w:rPr>
        <w:t>Sumario</w:t>
      </w:r>
    </w:p>
    <w:p w:rsidR="00A54AE1" w:rsidRPr="00A54AE1" w:rsidRDefault="00A54AE1" w:rsidP="00C23B90">
      <w:pPr>
        <w:pStyle w:val="SingleTxtG"/>
        <w:suppressAutoHyphens/>
        <w:jc w:val="left"/>
      </w:pPr>
      <w:r w:rsidRPr="00A54AE1">
        <w:t xml:space="preserve">Examen de los </w:t>
      </w:r>
      <w:r w:rsidRPr="00A54AE1">
        <w:rPr>
          <w:lang w:eastAsia="en-US"/>
        </w:rPr>
        <w:t>informes</w:t>
      </w:r>
    </w:p>
    <w:p w:rsidR="00A54AE1" w:rsidRPr="00A54AE1" w:rsidRDefault="00A54AE1" w:rsidP="00C23B90">
      <w:pPr>
        <w:spacing w:after="120"/>
        <w:ind w:left="1701" w:right="1140" w:hanging="601"/>
      </w:pPr>
      <w:r w:rsidRPr="00A54AE1">
        <w:t>a)</w:t>
      </w:r>
      <w:r w:rsidR="005651EC">
        <w:tab/>
      </w:r>
      <w:r w:rsidRPr="00A54AE1">
        <w:t xml:space="preserve">Informes presentados por los Estados partes en virtud de los artículos 16 y 17 del Pacto </w:t>
      </w:r>
      <w:r w:rsidRPr="009A47DD">
        <w:rPr>
          <w:i/>
        </w:rPr>
        <w:t>(continuación)</w:t>
      </w:r>
    </w:p>
    <w:p w:rsidR="00A54AE1" w:rsidRPr="00A54AE1" w:rsidRDefault="00A54AE1" w:rsidP="00C23B90">
      <w:pPr>
        <w:pStyle w:val="SingleTxtG"/>
        <w:suppressAutoHyphens/>
        <w:jc w:val="left"/>
      </w:pPr>
      <w:r w:rsidRPr="00A54AE1">
        <w:t xml:space="preserve">Cuestiones sustantivas que se plantean en la aplicación del Pacto Internacional de Derechos Económicos, Sociales y Culturales </w:t>
      </w:r>
      <w:r w:rsidRPr="009A47DD">
        <w:rPr>
          <w:i/>
        </w:rPr>
        <w:t>(continuación)</w:t>
      </w:r>
    </w:p>
    <w:p w:rsidR="00A54AE1" w:rsidRPr="00A54AE1" w:rsidRDefault="00A54AE1" w:rsidP="00C23B90">
      <w:pPr>
        <w:pStyle w:val="SingleTxtG"/>
        <w:suppressAutoHyphens/>
        <w:jc w:val="left"/>
      </w:pPr>
      <w:r w:rsidRPr="00A54AE1">
        <w:t xml:space="preserve">Homenaje a la memoria de Javier Wimer Zambrano, antiguo miembro del Comité </w:t>
      </w:r>
    </w:p>
    <w:p w:rsidR="00A54AE1" w:rsidRPr="00A54AE1" w:rsidRDefault="00A54AE1" w:rsidP="00C23B90">
      <w:pPr>
        <w:pStyle w:val="SingleTxtG"/>
        <w:suppressAutoHyphens/>
        <w:jc w:val="left"/>
      </w:pPr>
      <w:r w:rsidRPr="00A54AE1">
        <w:t>Clausura del período de sesiones</w:t>
      </w:r>
    </w:p>
    <w:p w:rsidR="00A54AE1" w:rsidRPr="00C23B90" w:rsidRDefault="00A54AE1" w:rsidP="00252C23">
      <w:pPr>
        <w:pStyle w:val="SingleTxtG"/>
        <w:rPr>
          <w:i/>
        </w:rPr>
      </w:pPr>
      <w:r w:rsidRPr="00A54AE1">
        <w:br w:type="page"/>
      </w:r>
      <w:r w:rsidRPr="00C23B90">
        <w:rPr>
          <w:i/>
        </w:rPr>
        <w:t>El debate abarcado por el acta comienza a las 12.50 horas.</w:t>
      </w:r>
    </w:p>
    <w:p w:rsidR="00A54AE1" w:rsidRPr="00A54AE1" w:rsidRDefault="00A54AE1" w:rsidP="00C23B90">
      <w:pPr>
        <w:pStyle w:val="H23G"/>
      </w:pPr>
      <w:r w:rsidRPr="00A54AE1">
        <w:tab/>
      </w:r>
      <w:r w:rsidRPr="00A54AE1">
        <w:tab/>
        <w:t>Examen de los informes</w:t>
      </w:r>
    </w:p>
    <w:p w:rsidR="00A54AE1" w:rsidRPr="00A54AE1" w:rsidRDefault="00A54AE1" w:rsidP="00C23B90">
      <w:pPr>
        <w:pStyle w:val="H23G"/>
        <w:tabs>
          <w:tab w:val="right" w:pos="851"/>
          <w:tab w:val="left" w:pos="1134"/>
        </w:tabs>
        <w:ind w:left="1700" w:hanging="1700"/>
      </w:pPr>
      <w:r w:rsidRPr="00A54AE1">
        <w:tab/>
      </w:r>
      <w:r w:rsidRPr="00A54AE1">
        <w:tab/>
        <w:t>a)</w:t>
      </w:r>
      <w:r w:rsidRPr="00A54AE1">
        <w:tab/>
      </w:r>
      <w:r w:rsidRPr="00A54AE1">
        <w:rPr>
          <w:lang w:eastAsia="en-US"/>
        </w:rPr>
        <w:t>Informes</w:t>
      </w:r>
      <w:r w:rsidRPr="00A54AE1">
        <w:t xml:space="preserve"> presentados por los estados partes en virtud de los</w:t>
      </w:r>
      <w:r w:rsidR="00A64A27">
        <w:br/>
      </w:r>
      <w:r w:rsidRPr="00A54AE1">
        <w:t xml:space="preserve"> artículos 16 y 17 del Pacto </w:t>
      </w:r>
      <w:r w:rsidRPr="00A64A27">
        <w:rPr>
          <w:b w:val="0"/>
          <w:i/>
        </w:rPr>
        <w:t>(continuación)</w:t>
      </w:r>
      <w:r w:rsidRPr="00A64A27">
        <w:rPr>
          <w:b w:val="0"/>
        </w:rPr>
        <w:t xml:space="preserve"> (E/C.12/AFG/CO/2-4; E/C.12/DZA/CO/4; E/C.12/COL/CO/5; E/C.12/KAZ/CO/1;</w:t>
      </w:r>
      <w:r w:rsidR="00A64A27" w:rsidRPr="00A64A27">
        <w:rPr>
          <w:b w:val="0"/>
        </w:rPr>
        <w:br/>
      </w:r>
      <w:r w:rsidRPr="00A64A27">
        <w:rPr>
          <w:b w:val="0"/>
        </w:rPr>
        <w:t>E/C.12/MUS/CO/4)</w:t>
      </w:r>
    </w:p>
    <w:p w:rsidR="00A54AE1" w:rsidRPr="00A54AE1" w:rsidRDefault="00A54AE1" w:rsidP="00252C23">
      <w:pPr>
        <w:pStyle w:val="SingleTxtG"/>
      </w:pPr>
      <w:r w:rsidRPr="00A54AE1">
        <w:t>1.</w:t>
      </w:r>
      <w:r w:rsidRPr="00A54AE1">
        <w:tab/>
      </w:r>
      <w:r w:rsidRPr="00A64A27">
        <w:rPr>
          <w:b/>
        </w:rPr>
        <w:t>El</w:t>
      </w:r>
      <w:r w:rsidRPr="00A54AE1">
        <w:rPr>
          <w:b/>
        </w:rPr>
        <w:t xml:space="preserve"> Presidente </w:t>
      </w:r>
      <w:r w:rsidRPr="00A54AE1">
        <w:t>cree entender que el consenso del Comité es que se aprueben las observaciones finales sobre los informes del Afganistán, Argelia, Colombia, Kazajstán y Mauricio.</w:t>
      </w:r>
    </w:p>
    <w:p w:rsidR="00A54AE1" w:rsidRPr="00A54AE1" w:rsidRDefault="00A54AE1" w:rsidP="00252C23">
      <w:pPr>
        <w:pStyle w:val="SingleTxtG"/>
      </w:pPr>
      <w:r w:rsidRPr="00A54AE1">
        <w:t>2.</w:t>
      </w:r>
      <w:r w:rsidRPr="00A54AE1">
        <w:tab/>
      </w:r>
      <w:r w:rsidRPr="00C23B90">
        <w:rPr>
          <w:i/>
        </w:rPr>
        <w:t>Así queda acordado.</w:t>
      </w:r>
      <w:r w:rsidRPr="00A54AE1">
        <w:t xml:space="preserve"> </w:t>
      </w:r>
    </w:p>
    <w:p w:rsidR="00A54AE1" w:rsidRPr="00A54AE1" w:rsidRDefault="00A54AE1" w:rsidP="00252C23">
      <w:pPr>
        <w:pStyle w:val="SingleTxtG"/>
      </w:pPr>
      <w:r w:rsidRPr="00A54AE1">
        <w:t>3.</w:t>
      </w:r>
      <w:r w:rsidRPr="00A54AE1">
        <w:tab/>
      </w:r>
      <w:r w:rsidRPr="00A64A27">
        <w:rPr>
          <w:b/>
        </w:rPr>
        <w:t>El</w:t>
      </w:r>
      <w:r w:rsidRPr="00A54AE1">
        <w:t xml:space="preserve"> </w:t>
      </w:r>
      <w:r w:rsidRPr="00A54AE1">
        <w:rPr>
          <w:b/>
        </w:rPr>
        <w:t>Presidente</w:t>
      </w:r>
      <w:r w:rsidRPr="00A54AE1">
        <w:t xml:space="preserve"> dice que las observaciones finales que se acaban de aprobar se transmitirán a los correspondientes Estados partes y se publicarán. </w:t>
      </w:r>
    </w:p>
    <w:p w:rsidR="00A54AE1" w:rsidRPr="00A54AE1" w:rsidRDefault="00C23B90" w:rsidP="00C23B90">
      <w:pPr>
        <w:pStyle w:val="H23G"/>
      </w:pPr>
      <w:r>
        <w:tab/>
      </w:r>
      <w:r>
        <w:tab/>
      </w:r>
      <w:r w:rsidR="00A54AE1" w:rsidRPr="00407711">
        <w:t xml:space="preserve">Cuestiones sustantivas que se plantean en la aplicación del Pacto Internacional </w:t>
      </w:r>
      <w:r w:rsidR="00906932">
        <w:br/>
      </w:r>
      <w:r w:rsidR="00A54AE1" w:rsidRPr="00407711">
        <w:t>de Derechos Económicos, Sociales y Culturales</w:t>
      </w:r>
      <w:r w:rsidR="00A54AE1" w:rsidRPr="00A54AE1">
        <w:t xml:space="preserve"> </w:t>
      </w:r>
      <w:r w:rsidR="00A54AE1" w:rsidRPr="00A64A27">
        <w:rPr>
          <w:b w:val="0"/>
          <w:i/>
        </w:rPr>
        <w:t>(continuación)</w:t>
      </w:r>
    </w:p>
    <w:p w:rsidR="00A54AE1" w:rsidRPr="00A54AE1" w:rsidRDefault="00A54AE1" w:rsidP="00252C23">
      <w:pPr>
        <w:pStyle w:val="SingleTxtG"/>
      </w:pPr>
      <w:r w:rsidRPr="00A54AE1">
        <w:t>4.</w:t>
      </w:r>
      <w:r w:rsidRPr="00A54AE1">
        <w:tab/>
      </w:r>
      <w:r w:rsidRPr="00A64A27">
        <w:rPr>
          <w:b/>
        </w:rPr>
        <w:t>El</w:t>
      </w:r>
      <w:r w:rsidRPr="00A54AE1">
        <w:t xml:space="preserve"> </w:t>
      </w:r>
      <w:r w:rsidRPr="00A54AE1">
        <w:rPr>
          <w:b/>
        </w:rPr>
        <w:t>Presidente</w:t>
      </w:r>
      <w:r w:rsidRPr="00A54AE1">
        <w:t xml:space="preserve"> señala a la atención de los presentes las cuestiones sustantivas tratadas por el Comité en el actual período de sesiones. Se celebraron varias sesiones sobre la morbimortalidad materna con el programa de las Naciones Unidas para la familia y el Center for Reproductive Rights (Centro de derechos reproductivos) para establecer las bases de una observación general sobre los derechos sexuales y los derechos en materia de procreación; sobre el medio ambiente, el cambio climático y los derechos humanos, con la Fundación Friedrich Ebert; y sobre los indicadores de derechos económicos, sociales y culturales y la armonización con otros órganos creados en virtud de tratados, con la  Experta independiente encargada de la cuestión de los derechos humanos y la extrema pobreza y el Director de la División de Tratados de Derechos Humanos de la Oficina del Alto Comisionado de las Naciones Unidas para los Derechos Humanos.</w:t>
      </w:r>
    </w:p>
    <w:p w:rsidR="00A54AE1" w:rsidRPr="00A54AE1" w:rsidRDefault="00C23B90" w:rsidP="00C23B90">
      <w:pPr>
        <w:pStyle w:val="H23G"/>
      </w:pPr>
      <w:r>
        <w:tab/>
      </w:r>
      <w:r>
        <w:tab/>
      </w:r>
      <w:r w:rsidR="00A54AE1" w:rsidRPr="00A54AE1">
        <w:t xml:space="preserve">Homenaje a la memoria de Javier Wimer Zambrano, antiguo miembro </w:t>
      </w:r>
      <w:r w:rsidR="00A64A27">
        <w:br/>
      </w:r>
      <w:r w:rsidR="00A54AE1" w:rsidRPr="00A54AE1">
        <w:t xml:space="preserve">del Comité </w:t>
      </w:r>
    </w:p>
    <w:p w:rsidR="00A54AE1" w:rsidRPr="00A54AE1" w:rsidRDefault="00A54AE1" w:rsidP="00252C23">
      <w:pPr>
        <w:pStyle w:val="SingleTxtG"/>
      </w:pPr>
      <w:r w:rsidRPr="00A54AE1">
        <w:t>5.</w:t>
      </w:r>
      <w:r w:rsidRPr="00A54AE1">
        <w:tab/>
      </w:r>
      <w:r w:rsidRPr="00C23B90">
        <w:rPr>
          <w:i/>
        </w:rPr>
        <w:t>Por invitación del Presidente, los miembros del Comité guardan un minuto de silencio.</w:t>
      </w:r>
      <w:r w:rsidRPr="00A54AE1">
        <w:t xml:space="preserve"> </w:t>
      </w:r>
    </w:p>
    <w:p w:rsidR="00A54AE1" w:rsidRPr="00A54AE1" w:rsidRDefault="00C23B90" w:rsidP="00C23B90">
      <w:pPr>
        <w:pStyle w:val="H23G"/>
      </w:pPr>
      <w:r>
        <w:tab/>
      </w:r>
      <w:r>
        <w:tab/>
      </w:r>
      <w:r w:rsidR="00A54AE1" w:rsidRPr="00A54AE1">
        <w:t>Clausura del período de sesiones</w:t>
      </w:r>
    </w:p>
    <w:p w:rsidR="00A54AE1" w:rsidRPr="00A54AE1" w:rsidRDefault="00A54AE1" w:rsidP="00252C23">
      <w:pPr>
        <w:pStyle w:val="SingleTxtG"/>
      </w:pPr>
      <w:r w:rsidRPr="00A54AE1">
        <w:t>6.</w:t>
      </w:r>
      <w:r w:rsidRPr="00A54AE1">
        <w:tab/>
        <w:t xml:space="preserve">Tras el habitual intercambio de cortesías, </w:t>
      </w:r>
      <w:r w:rsidRPr="00A64A27">
        <w:rPr>
          <w:b/>
        </w:rPr>
        <w:t>el</w:t>
      </w:r>
      <w:r w:rsidRPr="00A54AE1">
        <w:t xml:space="preserve"> </w:t>
      </w:r>
      <w:r w:rsidRPr="00A54AE1">
        <w:rPr>
          <w:b/>
        </w:rPr>
        <w:t xml:space="preserve">Presidente </w:t>
      </w:r>
      <w:r w:rsidRPr="00A54AE1">
        <w:t>declara clausurado el 44º período de sesiones del Comité de Derechos Económicos, Sociales y Culturales.</w:t>
      </w:r>
    </w:p>
    <w:p w:rsidR="00C730A3" w:rsidRPr="00C23B90" w:rsidRDefault="00A54AE1" w:rsidP="00252C23">
      <w:pPr>
        <w:pStyle w:val="SingleTxtG"/>
        <w:rPr>
          <w:i/>
        </w:rPr>
      </w:pPr>
      <w:r w:rsidRPr="00C23B90">
        <w:rPr>
          <w:i/>
        </w:rPr>
        <w:t>Se levanta la sesión a las 13.05 horas.</w:t>
      </w:r>
    </w:p>
    <w:p w:rsidR="00381C24" w:rsidRPr="001075E9" w:rsidRDefault="00381C24" w:rsidP="001075E9"/>
    <w:sectPr w:rsidR="00381C24" w:rsidRPr="001075E9" w:rsidSect="00C730A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333" w:rsidRDefault="00785333">
      <w:r>
        <w:separator/>
      </w:r>
    </w:p>
  </w:endnote>
  <w:endnote w:type="continuationSeparator" w:id="0">
    <w:p w:rsidR="00785333" w:rsidRDefault="00785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5EA" w:rsidRPr="00C730A3" w:rsidRDefault="003245EA" w:rsidP="00C730A3">
    <w:pPr>
      <w:pStyle w:val="Footer"/>
      <w:tabs>
        <w:tab w:val="right" w:pos="9598"/>
      </w:tabs>
    </w:pPr>
    <w:r w:rsidRPr="00C730A3">
      <w:rPr>
        <w:b/>
        <w:sz w:val="18"/>
      </w:rPr>
      <w:fldChar w:fldCharType="begin"/>
    </w:r>
    <w:r w:rsidRPr="00C730A3">
      <w:rPr>
        <w:b/>
        <w:sz w:val="18"/>
      </w:rPr>
      <w:instrText xml:space="preserve"> PAGE  \* MERGEFORMAT </w:instrText>
    </w:r>
    <w:r w:rsidRPr="00C730A3">
      <w:rPr>
        <w:b/>
        <w:sz w:val="18"/>
      </w:rPr>
      <w:fldChar w:fldCharType="separate"/>
    </w:r>
    <w:r w:rsidR="006F3A95">
      <w:rPr>
        <w:b/>
        <w:noProof/>
        <w:sz w:val="18"/>
      </w:rPr>
      <w:t>2</w:t>
    </w:r>
    <w:r w:rsidRPr="00C730A3">
      <w:rPr>
        <w:b/>
        <w:sz w:val="18"/>
      </w:rPr>
      <w:fldChar w:fldCharType="end"/>
    </w:r>
    <w:r>
      <w:rPr>
        <w:b/>
        <w:sz w:val="18"/>
      </w:rPr>
      <w:tab/>
    </w:r>
    <w:r>
      <w:t>GE.10-42598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5EA" w:rsidRPr="00C730A3" w:rsidRDefault="003245EA" w:rsidP="00C730A3">
    <w:pPr>
      <w:pStyle w:val="Footer"/>
      <w:tabs>
        <w:tab w:val="right" w:pos="9598"/>
      </w:tabs>
      <w:rPr>
        <w:b/>
        <w:sz w:val="18"/>
      </w:rPr>
    </w:pPr>
    <w:r>
      <w:t>GE.10-42598</w:t>
    </w:r>
    <w:r>
      <w:tab/>
    </w:r>
    <w:r w:rsidRPr="00C730A3">
      <w:rPr>
        <w:b/>
        <w:sz w:val="18"/>
      </w:rPr>
      <w:fldChar w:fldCharType="begin"/>
    </w:r>
    <w:r w:rsidRPr="00C730A3">
      <w:rPr>
        <w:b/>
        <w:sz w:val="18"/>
      </w:rPr>
      <w:instrText xml:space="preserve"> PAGE  \* MERGEFORMAT </w:instrText>
    </w:r>
    <w:r w:rsidRPr="00C730A3">
      <w:rPr>
        <w:b/>
        <w:sz w:val="18"/>
      </w:rPr>
      <w:fldChar w:fldCharType="separate"/>
    </w:r>
    <w:r>
      <w:rPr>
        <w:b/>
        <w:noProof/>
        <w:sz w:val="18"/>
      </w:rPr>
      <w:t>3</w:t>
    </w:r>
    <w:r w:rsidRPr="00C730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5EA" w:rsidRDefault="003245EA" w:rsidP="00C23B90">
    <w:pPr>
      <w:pStyle w:val="Footer"/>
      <w:pBdr>
        <w:bottom w:val="single" w:sz="4" w:space="1" w:color="auto"/>
      </w:pBdr>
      <w:rPr>
        <w:sz w:val="20"/>
      </w:rPr>
    </w:pPr>
  </w:p>
  <w:p w:rsidR="003245EA" w:rsidRDefault="003245EA" w:rsidP="00C23B90">
    <w:pPr>
      <w:pStyle w:val="FootnoteText"/>
      <w:spacing w:after="120"/>
    </w:pPr>
    <w:r>
      <w:tab/>
    </w:r>
    <w:r>
      <w:tab/>
    </w:r>
    <w:r w:rsidRPr="00C23B90">
      <w:t>La presente acta podrá ser objeto de correcciones.</w:t>
    </w:r>
    <w:r>
      <w:t xml:space="preserve"> </w:t>
    </w:r>
  </w:p>
  <w:p w:rsidR="003245EA" w:rsidRDefault="003245EA" w:rsidP="00C23B90">
    <w:pPr>
      <w:pStyle w:val="FootnoteText"/>
      <w:spacing w:after="120"/>
    </w:pPr>
    <w:r>
      <w:tab/>
    </w:r>
    <w:r>
      <w:tab/>
    </w:r>
    <w:r w:rsidRPr="00C23B90">
      <w:t xml:space="preserve">Las correcciones deberán redactarse en uno de los idiomas de trabajo. Deberán presentarse en forma de memorando, incorporarse en un ejemplar del acta  y enviarse, </w:t>
    </w:r>
    <w:r w:rsidRPr="00D21F90">
      <w:rPr>
        <w:i/>
      </w:rPr>
      <w:t>dentro del plazo de una semana a partir de la fecha del presente documento</w:t>
    </w:r>
    <w:r w:rsidRPr="00C23B90">
      <w:t>, a la Dependencia de Edición, oficina E.4108, Palacio de las Naciones, Ginebra</w:t>
    </w:r>
  </w:p>
  <w:p w:rsidR="003245EA" w:rsidRPr="00C23B90" w:rsidRDefault="003245EA" w:rsidP="00C23B90">
    <w:pPr>
      <w:pStyle w:val="FootnoteText"/>
      <w:spacing w:after="600"/>
    </w:pPr>
    <w:r>
      <w:tab/>
    </w:r>
    <w:r>
      <w:tab/>
    </w:r>
    <w:r w:rsidRPr="00C23B90">
      <w:t>Las correcciones que se introduzcan en las actas de las sesiones públicas del Comité se reunirán en un documento único que se publicará poco después del período de sesiones.</w:t>
    </w:r>
  </w:p>
  <w:p w:rsidR="003245EA" w:rsidRDefault="003245EA">
    <w:pPr>
      <w:pStyle w:val="Footer"/>
    </w:pPr>
    <w:r>
      <w:rPr>
        <w:sz w:val="20"/>
      </w:rPr>
      <w:t>GE.10-42598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160311    2</w:t>
    </w:r>
    <w:r w:rsidR="00295CA5">
      <w:rPr>
        <w:sz w:val="20"/>
      </w:rPr>
      <w:t>5</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333" w:rsidRPr="001075E9" w:rsidRDefault="00785333" w:rsidP="001075E9">
      <w:pPr>
        <w:tabs>
          <w:tab w:val="right" w:pos="2155"/>
        </w:tabs>
        <w:spacing w:after="80" w:line="240" w:lineRule="auto"/>
        <w:ind w:left="680"/>
        <w:rPr>
          <w:u w:val="single"/>
        </w:rPr>
      </w:pPr>
      <w:r>
        <w:rPr>
          <w:u w:val="single"/>
        </w:rPr>
        <w:tab/>
      </w:r>
    </w:p>
  </w:footnote>
  <w:footnote w:type="continuationSeparator" w:id="0">
    <w:p w:rsidR="00785333" w:rsidRDefault="00785333">
      <w:r>
        <w:continuationSeparator/>
      </w:r>
    </w:p>
  </w:footnote>
  <w:footnote w:id="1">
    <w:p w:rsidR="003245EA" w:rsidRPr="00C23B90" w:rsidRDefault="003245EA">
      <w:pPr>
        <w:pStyle w:val="FootnoteText"/>
        <w:rPr>
          <w:sz w:val="20"/>
        </w:rPr>
      </w:pPr>
      <w:r>
        <w:tab/>
      </w:r>
      <w:r w:rsidRPr="002D6896">
        <w:rPr>
          <w:rStyle w:val="FootnoteReference"/>
          <w:sz w:val="20"/>
          <w:vertAlign w:val="baseline"/>
        </w:rPr>
        <w:t>*</w:t>
      </w:r>
      <w:r w:rsidRPr="002D6896">
        <w:tab/>
      </w:r>
      <w:r w:rsidRPr="00C23B90">
        <w:t>No se levantó acta resumida del resto de la sesión.</w:t>
      </w:r>
    </w:p>
  </w:footnote>
  <w:footnote w:id="2">
    <w:p w:rsidR="003245EA" w:rsidRPr="00C23B90" w:rsidRDefault="003245EA">
      <w:pPr>
        <w:pStyle w:val="FootnoteText"/>
        <w:rPr>
          <w:sz w:val="20"/>
        </w:rPr>
      </w:pPr>
      <w:r>
        <w:tab/>
      </w:r>
      <w:r w:rsidRPr="0052720B">
        <w:rPr>
          <w:rStyle w:val="FootnoteReference"/>
          <w:sz w:val="20"/>
          <w:vertAlign w:val="baseline"/>
        </w:rPr>
        <w:t>**</w:t>
      </w:r>
      <w:r w:rsidRPr="0052720B">
        <w:tab/>
      </w:r>
      <w:r w:rsidRPr="00C23B90">
        <w:t>No se levantó acta resumida de las sesiones 18ª a 26ª.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5EA" w:rsidRPr="00C730A3" w:rsidRDefault="003245EA" w:rsidP="00C730A3">
    <w:pPr>
      <w:pStyle w:val="Header"/>
    </w:pPr>
    <w:r w:rsidRPr="00C730A3">
      <w:t>E/C.12/2010/SR.27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5EA" w:rsidRPr="00C730A3" w:rsidRDefault="003245EA" w:rsidP="00C730A3">
    <w:pPr>
      <w:pStyle w:val="Header"/>
      <w:jc w:val="right"/>
    </w:pPr>
    <w:r w:rsidRPr="00C730A3">
      <w:t>E/C.12/2010/SR.27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CA5" w:rsidRDefault="00295C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717"/>
    <w:rsid w:val="0008650D"/>
    <w:rsid w:val="000B57E7"/>
    <w:rsid w:val="000F09DF"/>
    <w:rsid w:val="000F61B2"/>
    <w:rsid w:val="001075E9"/>
    <w:rsid w:val="00180183"/>
    <w:rsid w:val="00196389"/>
    <w:rsid w:val="001C7A89"/>
    <w:rsid w:val="00236475"/>
    <w:rsid w:val="00252C23"/>
    <w:rsid w:val="00265154"/>
    <w:rsid w:val="00295CA5"/>
    <w:rsid w:val="002A2EFC"/>
    <w:rsid w:val="002D16F0"/>
    <w:rsid w:val="002D5AAC"/>
    <w:rsid w:val="002D6896"/>
    <w:rsid w:val="00301299"/>
    <w:rsid w:val="00313431"/>
    <w:rsid w:val="00322004"/>
    <w:rsid w:val="003245EA"/>
    <w:rsid w:val="003402C2"/>
    <w:rsid w:val="00381C24"/>
    <w:rsid w:val="003958D0"/>
    <w:rsid w:val="003D064D"/>
    <w:rsid w:val="00407711"/>
    <w:rsid w:val="0041031F"/>
    <w:rsid w:val="00454E07"/>
    <w:rsid w:val="004B19F2"/>
    <w:rsid w:val="0050108D"/>
    <w:rsid w:val="005016AF"/>
    <w:rsid w:val="005060EF"/>
    <w:rsid w:val="005076AF"/>
    <w:rsid w:val="0052159C"/>
    <w:rsid w:val="0052720B"/>
    <w:rsid w:val="005651EC"/>
    <w:rsid w:val="00572E19"/>
    <w:rsid w:val="005F0B42"/>
    <w:rsid w:val="00621ADE"/>
    <w:rsid w:val="0064421C"/>
    <w:rsid w:val="00662717"/>
    <w:rsid w:val="006F35EE"/>
    <w:rsid w:val="006F3A95"/>
    <w:rsid w:val="00710CF8"/>
    <w:rsid w:val="00716C6F"/>
    <w:rsid w:val="00734ADC"/>
    <w:rsid w:val="007464CC"/>
    <w:rsid w:val="00785333"/>
    <w:rsid w:val="007D6339"/>
    <w:rsid w:val="00802199"/>
    <w:rsid w:val="00830923"/>
    <w:rsid w:val="00834B71"/>
    <w:rsid w:val="0086445C"/>
    <w:rsid w:val="008A08D7"/>
    <w:rsid w:val="00906890"/>
    <w:rsid w:val="00906932"/>
    <w:rsid w:val="00951972"/>
    <w:rsid w:val="009A47DD"/>
    <w:rsid w:val="009C7D4C"/>
    <w:rsid w:val="009E3571"/>
    <w:rsid w:val="009E78C4"/>
    <w:rsid w:val="00A00CB2"/>
    <w:rsid w:val="00A500CE"/>
    <w:rsid w:val="00A54AE1"/>
    <w:rsid w:val="00A64A27"/>
    <w:rsid w:val="00A917B3"/>
    <w:rsid w:val="00AB4B51"/>
    <w:rsid w:val="00AB4EB2"/>
    <w:rsid w:val="00B10CC7"/>
    <w:rsid w:val="00B62458"/>
    <w:rsid w:val="00B6350A"/>
    <w:rsid w:val="00BC161C"/>
    <w:rsid w:val="00BD0C73"/>
    <w:rsid w:val="00BD33EE"/>
    <w:rsid w:val="00C23B90"/>
    <w:rsid w:val="00C60F0C"/>
    <w:rsid w:val="00C730A3"/>
    <w:rsid w:val="00C805C9"/>
    <w:rsid w:val="00CA1679"/>
    <w:rsid w:val="00CE34F5"/>
    <w:rsid w:val="00D21F90"/>
    <w:rsid w:val="00D252B9"/>
    <w:rsid w:val="00D6531D"/>
    <w:rsid w:val="00D738F9"/>
    <w:rsid w:val="00D90138"/>
    <w:rsid w:val="00D97076"/>
    <w:rsid w:val="00E46B0F"/>
    <w:rsid w:val="00E73F76"/>
    <w:rsid w:val="00ED07BD"/>
    <w:rsid w:val="00EE31EB"/>
    <w:rsid w:val="00EF1360"/>
    <w:rsid w:val="00EF3220"/>
    <w:rsid w:val="00F33585"/>
    <w:rsid w:val="00F9025E"/>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Pages>
  <Words>443</Words>
  <Characters>2438</Characters>
  <Application>Microsoft Office Word</Application>
  <DocSecurity>4</DocSecurity>
  <Lines>20</Lines>
  <Paragraphs>5</Paragraphs>
  <ScaleCrop>false</ScaleCrop>
  <HeadingPairs>
    <vt:vector size="2" baseType="variant">
      <vt:variant>
        <vt:lpstr>Título</vt:lpstr>
      </vt:variant>
      <vt:variant>
        <vt:i4>1</vt:i4>
      </vt:variant>
    </vt:vector>
  </HeadingPairs>
  <TitlesOfParts>
    <vt:vector size="1" baseType="lpstr">
      <vt:lpstr>E/C.12/2010/SR.27</vt:lpstr>
    </vt:vector>
  </TitlesOfParts>
  <Company/>
  <LinksUpToDate>false</LinksUpToDate>
  <CharactersWithSpaces>2876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E/C.12/2010/SR.27</dc:title>
  <dc:subject>FINAL</dc:subject>
  <dc:creator>Ernesto Castro</dc:creator>
  <cp:keywords/>
  <dc:description/>
  <cp:lastModifiedBy>Traductor</cp:lastModifiedBy>
  <cp:revision>2</cp:revision>
  <cp:lastPrinted>2011-03-23T15:15:00Z</cp:lastPrinted>
  <dcterms:created xsi:type="dcterms:W3CDTF">2011-03-25T12:41:00Z</dcterms:created>
  <dcterms:modified xsi:type="dcterms:W3CDTF">2011-03-25T12:41:00Z</dcterms:modified>
</cp:coreProperties>
</file>