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03F5E64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729174D" w14:textId="77777777" w:rsidR="002D5AAC" w:rsidRDefault="002D5AAC" w:rsidP="00B20CB2"/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E6FC999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195F0B0" w14:textId="06FE44A2" w:rsidR="002D5AAC" w:rsidRDefault="009F13BE" w:rsidP="009F13BE">
            <w:pPr>
              <w:jc w:val="right"/>
            </w:pPr>
            <w:r w:rsidRPr="009F13BE">
              <w:rPr>
                <w:sz w:val="40"/>
              </w:rPr>
              <w:t>CAT</w:t>
            </w:r>
            <w:r>
              <w:t>/C/CHE/CO/8</w:t>
            </w:r>
          </w:p>
        </w:tc>
      </w:tr>
      <w:tr w:rsidR="002D5AAC" w:rsidRPr="00B507E6" w14:paraId="3C88DB13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A14DC9F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C06F534" wp14:editId="71F9976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60A5BD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4F92AF3" w14:textId="77777777" w:rsidR="002D5AAC" w:rsidRPr="009F13BE" w:rsidRDefault="009F13BE" w:rsidP="00F90E40">
            <w:pPr>
              <w:spacing w:before="240"/>
              <w:rPr>
                <w:lang w:val="en-US"/>
              </w:rPr>
            </w:pPr>
            <w:r w:rsidRPr="009F13BE">
              <w:rPr>
                <w:lang w:val="en-US"/>
              </w:rPr>
              <w:t>Distr.: General</w:t>
            </w:r>
          </w:p>
          <w:p w14:paraId="2A63D452" w14:textId="77777777" w:rsidR="009F13BE" w:rsidRPr="009F13BE" w:rsidRDefault="009F13BE" w:rsidP="009F13BE">
            <w:pPr>
              <w:spacing w:line="240" w:lineRule="exact"/>
              <w:rPr>
                <w:lang w:val="en-US"/>
              </w:rPr>
            </w:pPr>
            <w:r w:rsidRPr="009F13BE">
              <w:rPr>
                <w:lang w:val="en-US"/>
              </w:rPr>
              <w:t>11 December 2023</w:t>
            </w:r>
          </w:p>
          <w:p w14:paraId="722717A5" w14:textId="77777777" w:rsidR="009F13BE" w:rsidRPr="009F13BE" w:rsidRDefault="009F13BE" w:rsidP="009F13BE">
            <w:pPr>
              <w:spacing w:line="240" w:lineRule="exact"/>
              <w:rPr>
                <w:lang w:val="en-US"/>
              </w:rPr>
            </w:pPr>
            <w:r w:rsidRPr="009F13BE">
              <w:rPr>
                <w:lang w:val="en-US"/>
              </w:rPr>
              <w:t>Russian</w:t>
            </w:r>
          </w:p>
          <w:p w14:paraId="3FC325AB" w14:textId="35F26AEB" w:rsidR="009F13BE" w:rsidRPr="009F13BE" w:rsidRDefault="009F13BE" w:rsidP="009F13BE">
            <w:pPr>
              <w:spacing w:line="240" w:lineRule="exact"/>
              <w:rPr>
                <w:lang w:val="en-US"/>
              </w:rPr>
            </w:pPr>
            <w:r w:rsidRPr="009F13BE">
              <w:rPr>
                <w:lang w:val="en-US"/>
              </w:rPr>
              <w:t>Original: English</w:t>
            </w:r>
          </w:p>
        </w:tc>
      </w:tr>
    </w:tbl>
    <w:p w14:paraId="6643113F" w14:textId="77777777" w:rsidR="009F13BE" w:rsidRPr="00686D01" w:rsidRDefault="009F13BE" w:rsidP="009F13BE">
      <w:pPr>
        <w:spacing w:before="120"/>
        <w:rPr>
          <w:b/>
          <w:bCs/>
          <w:color w:val="000000" w:themeColor="text1"/>
          <w:sz w:val="24"/>
          <w:szCs w:val="24"/>
        </w:rPr>
      </w:pPr>
      <w:r w:rsidRPr="00686D01">
        <w:rPr>
          <w:b/>
          <w:bCs/>
          <w:sz w:val="24"/>
          <w:szCs w:val="24"/>
        </w:rPr>
        <w:t>Комитет против пыток</w:t>
      </w:r>
    </w:p>
    <w:p w14:paraId="35F99A58" w14:textId="5E50EA1E" w:rsidR="009F13BE" w:rsidRPr="005C61E3" w:rsidRDefault="009F13BE" w:rsidP="009F13BE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восьмому периодическому докладу Швейцарии</w:t>
      </w:r>
      <w:r w:rsidRPr="009A0F57">
        <w:rPr>
          <w:b w:val="0"/>
          <w:bCs/>
          <w:sz w:val="20"/>
          <w:szCs w:val="14"/>
        </w:rPr>
        <w:footnoteReference w:customMarkFollows="1" w:id="1"/>
        <w:t>*</w:t>
      </w:r>
    </w:p>
    <w:p w14:paraId="43A2F07E" w14:textId="6847E2DC" w:rsidR="009F13BE" w:rsidRPr="005C61E3" w:rsidRDefault="009F13BE" w:rsidP="009F13BE">
      <w:pPr>
        <w:pStyle w:val="SingleTxtG"/>
      </w:pPr>
      <w:r>
        <w:t>1.</w:t>
      </w:r>
      <w:r>
        <w:tab/>
        <w:t>Комитет рассмотрел восьмой периодический доклад Швейцарии</w:t>
      </w:r>
      <w:r w:rsidRPr="009A0F57">
        <w:rPr>
          <w:rStyle w:val="aa"/>
        </w:rPr>
        <w:footnoteReference w:id="2"/>
      </w:r>
      <w:r>
        <w:t xml:space="preserve"> на своих 2015-м и 2018-м заседаниях, состоявшихся 12 и 13 июля 2023 года, и принял настоящие заключительные замечания на своем 2030-м заседании, состоявшемся 24 июля 2023 года</w:t>
      </w:r>
      <w:r w:rsidRPr="009A0F57">
        <w:rPr>
          <w:rStyle w:val="aa"/>
        </w:rPr>
        <w:footnoteReference w:id="3"/>
      </w:r>
      <w:r>
        <w:t>.</w:t>
      </w:r>
    </w:p>
    <w:p w14:paraId="5CF0F966" w14:textId="77777777" w:rsidR="009F13BE" w:rsidRPr="005C61E3" w:rsidRDefault="009F13BE" w:rsidP="009F13BE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239C9FEA" w14:textId="77777777" w:rsidR="009F13BE" w:rsidRPr="005C61E3" w:rsidRDefault="009F13BE" w:rsidP="009F13BE">
      <w:pPr>
        <w:pStyle w:val="SingleTxtG"/>
      </w:pPr>
      <w:r>
        <w:t>2.</w:t>
      </w:r>
      <w:r>
        <w:tab/>
        <w:t>Комитет выражает признательность государству-участнику за принятие упрощенной процедуры представления докладов и представление своего периодического доклада в соответствии с ней, так как это улучшает сотрудничество между государством-участником и Комитетом и делает рассмотрение доклада и диалог с делегацией более целенаправленными.</w:t>
      </w:r>
    </w:p>
    <w:p w14:paraId="4AAF9006" w14:textId="77777777" w:rsidR="009F13BE" w:rsidRPr="005C61E3" w:rsidRDefault="009F13BE" w:rsidP="009F13BE">
      <w:pPr>
        <w:pStyle w:val="SingleTxtG"/>
      </w:pPr>
      <w:r>
        <w:t>3.</w:t>
      </w:r>
      <w:r>
        <w:tab/>
        <w:t>Комитет также выражает признательность за качественный диалог с делегацией государства-участника и за устные и письменные ответы на вопросы и проблемы, поднятые в ходе рассмотрения доклада.</w:t>
      </w:r>
    </w:p>
    <w:p w14:paraId="4C3522FA" w14:textId="77777777" w:rsidR="009F13BE" w:rsidRPr="005C61E3" w:rsidRDefault="009F13BE" w:rsidP="009F13BE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2D8BA0C5" w14:textId="77777777" w:rsidR="009F13BE" w:rsidRPr="005C61E3" w:rsidRDefault="009F13BE" w:rsidP="009F13BE">
      <w:pPr>
        <w:pStyle w:val="SingleTxtG"/>
      </w:pPr>
      <w:r>
        <w:t>4.</w:t>
      </w:r>
      <w:r>
        <w:tab/>
        <w:t>Комитет приветствует присоединение государства-участника к следующим международным договорам или их ратификацию:</w:t>
      </w:r>
    </w:p>
    <w:p w14:paraId="60A37823" w14:textId="77777777" w:rsidR="009F13BE" w:rsidRPr="005C61E3" w:rsidRDefault="009F13BE" w:rsidP="009F13BE">
      <w:pPr>
        <w:pStyle w:val="SingleTxtG"/>
      </w:pPr>
      <w:r>
        <w:tab/>
        <w:t>a)</w:t>
      </w:r>
      <w:r>
        <w:tab/>
        <w:t>Международной конвенции для защиты всех лиц от насильственных исчезновений, в декабре 2016 года;</w:t>
      </w:r>
    </w:p>
    <w:p w14:paraId="7A44B6FF" w14:textId="77777777" w:rsidR="009F13BE" w:rsidRPr="005C61E3" w:rsidRDefault="009F13BE" w:rsidP="009F13BE">
      <w:pPr>
        <w:pStyle w:val="SingleTxtG"/>
      </w:pPr>
      <w:r>
        <w:tab/>
        <w:t>b)</w:t>
      </w:r>
      <w:r>
        <w:tab/>
        <w:t>Факультативному протоколу к Конвенции о правах ребенка, касающемуся процедуры сообщений, в апреле 2017 года;</w:t>
      </w:r>
    </w:p>
    <w:p w14:paraId="392D3E23" w14:textId="77777777" w:rsidR="009F13BE" w:rsidRPr="005C61E3" w:rsidRDefault="009F13BE" w:rsidP="009F13BE">
      <w:pPr>
        <w:pStyle w:val="SingleTxtG"/>
      </w:pPr>
      <w:r>
        <w:tab/>
        <w:t>c)</w:t>
      </w:r>
      <w:r>
        <w:tab/>
        <w:t>Протоколу 2014 года к Конвенции о принудительном труде 1930 года (№ 29) Международной организации труда, в сентябре 2017 года;</w:t>
      </w:r>
    </w:p>
    <w:p w14:paraId="17B594F7" w14:textId="77777777" w:rsidR="009F13BE" w:rsidRPr="005C61E3" w:rsidRDefault="009F13BE" w:rsidP="009F13BE">
      <w:pPr>
        <w:pStyle w:val="SingleTxtG"/>
      </w:pPr>
      <w:r>
        <w:tab/>
        <w:t>d)</w:t>
      </w:r>
      <w:r>
        <w:tab/>
        <w:t>Конвенции Совета Европы о предотвращении и пресечении насилия в отношении женщин и домашнего насилия, в декабре 2017 года.</w:t>
      </w:r>
    </w:p>
    <w:p w14:paraId="2C208FD0" w14:textId="77777777" w:rsidR="009F13BE" w:rsidRPr="005C61E3" w:rsidRDefault="009F13BE" w:rsidP="009F13BE">
      <w:pPr>
        <w:pStyle w:val="SingleTxtG"/>
      </w:pPr>
      <w:r>
        <w:t>5.</w:t>
      </w:r>
      <w:r>
        <w:tab/>
        <w:t>Комитет также приветствует инициативы государства-участника по пересмотру своего законодательства в областях, имеющих отношение к Конвенции, включая:</w:t>
      </w:r>
    </w:p>
    <w:p w14:paraId="7839EE5C" w14:textId="77777777" w:rsidR="009F13BE" w:rsidRPr="005C61E3" w:rsidRDefault="009F13BE" w:rsidP="009F13BE">
      <w:pPr>
        <w:pStyle w:val="SingleTxtG"/>
      </w:pPr>
      <w:r>
        <w:tab/>
        <w:t>a)</w:t>
      </w:r>
      <w:r>
        <w:tab/>
        <w:t>изменения, внесенные в процедуру натурализации иностранных граждан третьего поколения в 2018 году;</w:t>
      </w:r>
    </w:p>
    <w:p w14:paraId="617A2A6B" w14:textId="77777777" w:rsidR="009F13BE" w:rsidRPr="005C61E3" w:rsidRDefault="009F13BE" w:rsidP="009F13BE">
      <w:pPr>
        <w:pStyle w:val="SingleTxtG"/>
      </w:pPr>
      <w:r>
        <w:lastRenderedPageBreak/>
        <w:tab/>
        <w:t>b)</w:t>
      </w:r>
      <w:r>
        <w:tab/>
        <w:t xml:space="preserve">поправки, внесенные в марте 2019 года в Закон о предоставлении убежища в отношении процедуры предоставления убежища, а также цель государства-участника в отношении введения ускоренной процедуры; </w:t>
      </w:r>
    </w:p>
    <w:p w14:paraId="26BA3366" w14:textId="77777777" w:rsidR="009F13BE" w:rsidRPr="005C61E3" w:rsidRDefault="009F13BE" w:rsidP="009F13BE">
      <w:pPr>
        <w:pStyle w:val="SingleTxtG"/>
      </w:pPr>
      <w:r>
        <w:tab/>
        <w:t>c)</w:t>
      </w:r>
      <w:r>
        <w:tab/>
        <w:t>поправки, внесенные в Федеральный закон об иностранных гражданах и интеграции в июне 2019 года;</w:t>
      </w:r>
    </w:p>
    <w:p w14:paraId="50529271" w14:textId="77777777" w:rsidR="009F13BE" w:rsidRPr="005C61E3" w:rsidRDefault="009F13BE" w:rsidP="009F13BE">
      <w:pPr>
        <w:pStyle w:val="SingleTxtG"/>
      </w:pPr>
      <w:r>
        <w:tab/>
        <w:t>d)</w:t>
      </w:r>
      <w:r>
        <w:tab/>
        <w:t>принятие в октябре 2021 года закона о создании национального правозащитного учреждения;</w:t>
      </w:r>
    </w:p>
    <w:p w14:paraId="0AC8D059" w14:textId="77777777" w:rsidR="009F13BE" w:rsidRPr="005C61E3" w:rsidRDefault="009F13BE" w:rsidP="009F13BE">
      <w:pPr>
        <w:pStyle w:val="SingleTxtG"/>
      </w:pPr>
      <w:r>
        <w:tab/>
        <w:t>e)</w:t>
      </w:r>
      <w:r>
        <w:tab/>
        <w:t>поправки, внесенные в июле 2022 года в Гражданский кодекс в отношении признания однополых браков.</w:t>
      </w:r>
    </w:p>
    <w:p w14:paraId="54ED8AE5" w14:textId="77777777" w:rsidR="009F13BE" w:rsidRPr="005C61E3" w:rsidRDefault="009F13BE" w:rsidP="009F13BE">
      <w:pPr>
        <w:pStyle w:val="SingleTxtG"/>
      </w:pPr>
      <w:r>
        <w:t>6.</w:t>
      </w:r>
      <w:r>
        <w:tab/>
        <w:t>Комитет также приветствует инициативы государства-участника по внесению изменений в свои стратегии, программы и административные меры для осуществления Конвенции, включая:</w:t>
      </w:r>
    </w:p>
    <w:p w14:paraId="37F6659C" w14:textId="77777777" w:rsidR="009F13BE" w:rsidRPr="005C61E3" w:rsidRDefault="009F13BE" w:rsidP="009F13BE">
      <w:pPr>
        <w:pStyle w:val="SingleTxtG"/>
      </w:pPr>
      <w:r>
        <w:tab/>
        <w:t>a)</w:t>
      </w:r>
      <w:r>
        <w:tab/>
        <w:t>принятие в ноябре 2016 года национального плана действий по предотвращению самоубийств;</w:t>
      </w:r>
    </w:p>
    <w:p w14:paraId="02A4D32A" w14:textId="77777777" w:rsidR="009F13BE" w:rsidRPr="005C61E3" w:rsidRDefault="009F13BE" w:rsidP="009F13BE">
      <w:pPr>
        <w:pStyle w:val="SingleTxtG"/>
      </w:pPr>
      <w:r>
        <w:tab/>
        <w:t>b)</w:t>
      </w:r>
      <w:r>
        <w:tab/>
        <w:t>начало деятельности Центра компетенций по исполнению уголовных наказаний Швейцарии в 2018 году;</w:t>
      </w:r>
    </w:p>
    <w:p w14:paraId="08459C4C" w14:textId="77777777" w:rsidR="009F13BE" w:rsidRPr="005C61E3" w:rsidRDefault="009F13BE" w:rsidP="009F13BE">
      <w:pPr>
        <w:pStyle w:val="SingleTxtG"/>
      </w:pPr>
      <w:r>
        <w:tab/>
        <w:t>c)</w:t>
      </w:r>
      <w:r>
        <w:tab/>
        <w:t>принятие Плана по предотвращению насилия в федеральных центрах для просителей убежища и создание внутреннего механизма рассмотрения жалоб в апреле 2021 года;</w:t>
      </w:r>
    </w:p>
    <w:p w14:paraId="7189BF43" w14:textId="77777777" w:rsidR="009F13BE" w:rsidRPr="005C61E3" w:rsidRDefault="009F13BE" w:rsidP="009F13BE">
      <w:pPr>
        <w:pStyle w:val="SingleTxtG"/>
      </w:pPr>
      <w:r>
        <w:tab/>
        <w:t>d)</w:t>
      </w:r>
      <w:r>
        <w:tab/>
        <w:t>принятие в апреле 2021 года Стратегии по обеспечению гендерного равенства на период до 2030 года;</w:t>
      </w:r>
    </w:p>
    <w:p w14:paraId="4C7B7241" w14:textId="77777777" w:rsidR="009F13BE" w:rsidRPr="005C61E3" w:rsidRDefault="009F13BE" w:rsidP="009F13BE">
      <w:pPr>
        <w:pStyle w:val="SingleTxtG"/>
      </w:pPr>
      <w:r>
        <w:tab/>
        <w:t>e)</w:t>
      </w:r>
      <w:r>
        <w:tab/>
        <w:t>принятие в июне 2022 года национального плана действий по реализации Конвенции Совета Европы о предотвращении и пресечении насилия в отношении женщин и домашнего насилия на период 2022–2026 годов;</w:t>
      </w:r>
    </w:p>
    <w:p w14:paraId="36DAFB29" w14:textId="77777777" w:rsidR="009F13BE" w:rsidRPr="005C61E3" w:rsidRDefault="009F13BE" w:rsidP="009F13BE">
      <w:pPr>
        <w:pStyle w:val="SingleTxtG"/>
      </w:pPr>
      <w:r>
        <w:tab/>
        <w:t>f)</w:t>
      </w:r>
      <w:r>
        <w:tab/>
        <w:t>принятие в декабре 2022 года третьего Национального плана действий по борьбе с торговлей людьми на период 2023–2027 годов;</w:t>
      </w:r>
    </w:p>
    <w:p w14:paraId="09E21BAE" w14:textId="28D6F4C1" w:rsidR="009F13BE" w:rsidRPr="005C61E3" w:rsidRDefault="009F13BE" w:rsidP="009F13BE">
      <w:pPr>
        <w:pStyle w:val="SingleTxtG"/>
      </w:pPr>
      <w:r>
        <w:tab/>
        <w:t>g)</w:t>
      </w:r>
      <w:r>
        <w:tab/>
        <w:t xml:space="preserve">принятие Национальных планов действий по противодействию радикализации и насильственному экстремизму на периоды 2018–2022 и </w:t>
      </w:r>
      <w:r w:rsidR="00B9059F">
        <w:br/>
      </w:r>
      <w:r>
        <w:t>2023–2027 годов;</w:t>
      </w:r>
    </w:p>
    <w:p w14:paraId="424C9623" w14:textId="77777777" w:rsidR="009F13BE" w:rsidRPr="005C61E3" w:rsidRDefault="009F13BE" w:rsidP="009F13BE">
      <w:pPr>
        <w:pStyle w:val="SingleTxtG"/>
      </w:pPr>
      <w:r>
        <w:tab/>
        <w:t>h)</w:t>
      </w:r>
      <w:r>
        <w:tab/>
        <w:t>создание Швейцарского учреждения по правам человека в мае 2023 года.</w:t>
      </w:r>
    </w:p>
    <w:p w14:paraId="0F2891D6" w14:textId="77777777" w:rsidR="009F13BE" w:rsidRPr="005C61E3" w:rsidRDefault="009F13BE" w:rsidP="009F13BE">
      <w:pPr>
        <w:pStyle w:val="SingleTxtG"/>
      </w:pPr>
      <w:r>
        <w:t>7.</w:t>
      </w:r>
      <w:r>
        <w:tab/>
        <w:t>Комитет высоко оценивает приверженность государства-участника Фонду добровольных взносов Организации Объединенных Наций для жертв пыток и призывает его продолжать вносить взносы в Фонд и рассмотреть возможность их увеличения.</w:t>
      </w:r>
    </w:p>
    <w:p w14:paraId="226F7F68" w14:textId="792142DB" w:rsidR="009F13BE" w:rsidRPr="005C61E3" w:rsidRDefault="009F13BE" w:rsidP="009F13BE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B9059F">
        <w:rPr>
          <w:bCs/>
          <w:lang w:val="en-US"/>
        </w:rPr>
        <w:t> </w:t>
      </w:r>
      <w:r>
        <w:rPr>
          <w:bCs/>
        </w:rPr>
        <w:t>рекомендации</w:t>
      </w:r>
    </w:p>
    <w:p w14:paraId="2A778942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Вопросы последующих действий, оставшиеся нерассмотренными со времени предыдущего отчетного периода</w:t>
      </w:r>
    </w:p>
    <w:p w14:paraId="46D95F99" w14:textId="5A6790D2" w:rsidR="009F13BE" w:rsidRPr="005C61E3" w:rsidRDefault="009F13BE" w:rsidP="009F13BE">
      <w:pPr>
        <w:pStyle w:val="SingleTxtG"/>
      </w:pPr>
      <w:r>
        <w:t>8.</w:t>
      </w:r>
      <w:r>
        <w:tab/>
        <w:t>В своих предыдущих заключительных замечаниях</w:t>
      </w:r>
      <w:r w:rsidRPr="009A0F57">
        <w:rPr>
          <w:rStyle w:val="aa"/>
        </w:rPr>
        <w:footnoteReference w:id="4"/>
      </w:r>
      <w:r>
        <w:t xml:space="preserve"> Комитет просил государство-участник предоставить информацию о выполнении рекомендаций Комитета по следующим вопросам: в отношении насилия со стороны полиции, в частности необходимости направлять медицинские заключения о травмах, свидетельствующих о жестоком обращении, в независимый механизм, ответственный за их изучение; принципа невыдворения; несопровождаемых несовершеннолетних лиц, ищущих убежища; и условий содержания в тюрьмах, в частности необходимость проведения расследований всех актов насилия, совершенных в пенитенциарных учреждениях. С учетом информации, полученной от государства-участника в рамках </w:t>
      </w:r>
      <w:r>
        <w:lastRenderedPageBreak/>
        <w:t>последующих мер в связи с этими заключительными замечаниями</w:t>
      </w:r>
      <w:r w:rsidRPr="009A0F57">
        <w:rPr>
          <w:rStyle w:val="aa"/>
        </w:rPr>
        <w:footnoteReference w:id="5"/>
      </w:r>
      <w:r>
        <w:t>, восьмого периодического доклада государства-участника и дополнительной информации, предоставленной делегацией в ходе диалога, Комитет считает, что рекомендации, изложенные в пунктах 10, 13, 16 и 19 его предыдущих заключительных замечаний, были частично выполнены. Вопросы, затронутые в этих рекомендациях, рассматриваются в пунктах 19, 25, 31 и 33 настоящих заключительных замечаний.</w:t>
      </w:r>
    </w:p>
    <w:p w14:paraId="1C355A62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Определение пытки</w:t>
      </w:r>
    </w:p>
    <w:p w14:paraId="45D9275C" w14:textId="522BC02C" w:rsidR="009F13BE" w:rsidRPr="005C61E3" w:rsidRDefault="009F13BE" w:rsidP="009F13BE">
      <w:pPr>
        <w:pStyle w:val="SingleTxtG"/>
      </w:pPr>
      <w:r>
        <w:t>9.</w:t>
      </w:r>
      <w:r>
        <w:tab/>
        <w:t xml:space="preserve">Комитет вновь выражает свою давнюю обеспокоенность тем, что пытки до сих пор не включены в национальное законодательство в качестве отдельного состава преступления с общеприменимым определением, соответствующим определению пытки, закрепленному в статье 1 Конвенции. Поэтому Комитет приветствует законодательную инициативу, направленную на восполнение этого пробела в рамках двухлетнего процесса, который должен завершиться 29 марта 2024 года, с целью устранения отсутствия в Уголовном кодексе определения и отдельного состава преступления, связанного с пытками. Комитет подчеркивает важность расследования и преследования любого деяния, подпадающего под определение этого преступления, содержащееся в Конвенции, в качестве пытки, а не как, например, злоупотребление властью или иное более общее преступление, как это требовалось бы по действующему законодательству, по крайней мере в отношении актов пытки, которые не квалифицируются как военные преступления или преступления против человечности, тем самым подчеркивая кардинальное значение запрещения пытки, особое осуждение, которое она вызывает, и твердую приверженность рассмотрению пытки в качестве преступления, безнаказанность за которое недопустима (статьи 1 </w:t>
      </w:r>
      <w:r w:rsidR="00B9059F">
        <w:br/>
      </w:r>
      <w:r>
        <w:t>и 4).</w:t>
      </w:r>
    </w:p>
    <w:p w14:paraId="36C7D262" w14:textId="77777777" w:rsidR="009F13BE" w:rsidRPr="005C61E3" w:rsidRDefault="009F13BE" w:rsidP="009F13BE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настоятельно призывает государство-участник принять все необходимые меры для обеспечения принятия не позднее 29 марта 2024 года законодательства, предусматривающего определение пытки, которое было бы применимо во всех ситуациях, и обеспечить, чтобы принятое в конечном счете законодательство охватывало все формы пытки, описанные в Конвенции.</w:t>
      </w:r>
    </w:p>
    <w:p w14:paraId="2ADECAE6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Включение других обязательств по Конвенции во внутреннее законодательство</w:t>
      </w:r>
    </w:p>
    <w:p w14:paraId="401AB677" w14:textId="77777777" w:rsidR="009F13BE" w:rsidRPr="005C61E3" w:rsidRDefault="009F13BE" w:rsidP="009F13BE">
      <w:pPr>
        <w:pStyle w:val="SingleTxtG"/>
      </w:pPr>
      <w:r>
        <w:t>11.</w:t>
      </w:r>
      <w:r>
        <w:tab/>
        <w:t>Комитет подчеркивает, что Конвенция предусматривает ряд других элементов, которые государства-участники должны учитывать в связи с любым поведением, квалифицируемым как пытка, чтобы соответствовать Конвенции.</w:t>
      </w:r>
    </w:p>
    <w:p w14:paraId="5BD6D60F" w14:textId="77777777" w:rsidR="009F13BE" w:rsidRPr="005C61E3" w:rsidRDefault="009F13BE" w:rsidP="009F13BE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 обеспечить, чтобы законодательство, упомянутое в пункте 10, выше, соответствовало всем соответствующим положениям Конвенции, в том числе путем обеспечения:</w:t>
      </w:r>
    </w:p>
    <w:p w14:paraId="5BDEEDB1" w14:textId="77777777" w:rsidR="009F13BE" w:rsidRPr="009F405C" w:rsidRDefault="009F13BE" w:rsidP="009F13BE">
      <w:pPr>
        <w:pStyle w:val="SingleTxtG"/>
        <w:rPr>
          <w:b/>
          <w:bCs/>
        </w:rPr>
      </w:pPr>
      <w:r>
        <w:rPr>
          <w:b/>
          <w:bCs/>
        </w:rPr>
        <w:tab/>
      </w:r>
      <w:r w:rsidRPr="009F405C">
        <w:rPr>
          <w:b/>
          <w:bCs/>
        </w:rPr>
        <w:t>a)</w:t>
      </w:r>
      <w:r w:rsidRPr="009F405C">
        <w:rPr>
          <w:b/>
          <w:bCs/>
        </w:rPr>
        <w:tab/>
        <w:t xml:space="preserve">того, чтобы запрет пытки был абсолютным и не допускал отступлений в национальном законодательстве и чтобы никакие исключительные обстоятельства, включая чрезвычайное положение или угрозу войны, не могли использоваться для оправдания применения пытки; </w:t>
      </w:r>
    </w:p>
    <w:p w14:paraId="12517CE4" w14:textId="77777777" w:rsidR="009F13BE" w:rsidRPr="009F405C" w:rsidRDefault="009F13BE" w:rsidP="009F13BE">
      <w:pPr>
        <w:pStyle w:val="SingleTxtG"/>
        <w:rPr>
          <w:b/>
          <w:bCs/>
        </w:rPr>
      </w:pPr>
      <w:r w:rsidRPr="009F405C">
        <w:rPr>
          <w:b/>
          <w:bCs/>
        </w:rPr>
        <w:tab/>
        <w:t>b)</w:t>
      </w:r>
      <w:r w:rsidRPr="009F405C">
        <w:rPr>
          <w:b/>
          <w:bCs/>
        </w:rPr>
        <w:tab/>
        <w:t>того, чтобы приказ вышестоящего начальника или государственного органа не мог служить оправданием пытки и чтобы не существовало исключения из правила, согласно которому обвиняемое лицо не может утверждать, что оно не знало о том, что акт пытки является преступлением;</w:t>
      </w:r>
    </w:p>
    <w:p w14:paraId="5B30E548" w14:textId="77777777" w:rsidR="009F13BE" w:rsidRPr="005C61E3" w:rsidRDefault="009F13BE" w:rsidP="009F13BE">
      <w:pPr>
        <w:pStyle w:val="SingleTxtG"/>
        <w:rPr>
          <w:b/>
          <w:bCs/>
        </w:rPr>
      </w:pPr>
      <w:r w:rsidRPr="009F405C">
        <w:rPr>
          <w:b/>
          <w:bCs/>
        </w:rPr>
        <w:tab/>
        <w:t>c)</w:t>
      </w:r>
      <w:r w:rsidRPr="009F405C">
        <w:rPr>
          <w:b/>
          <w:bCs/>
        </w:rPr>
        <w:tab/>
        <w:t>минимальных мер наказания для лиц, ответственных за преступление</w:t>
      </w:r>
      <w:r>
        <w:rPr>
          <w:b/>
          <w:bCs/>
        </w:rPr>
        <w:t xml:space="preserve"> пытки, соразмерных тяжести преступления, как указано в статье 4 (пункт 2) Конвенции, в том числе путем ужесточения наказаний для начальников, которые знают, что их подчиненный совершает или может совершить акт пытки, но не принимают надлежащих мер для предотвращения </w:t>
      </w:r>
      <w:r>
        <w:rPr>
          <w:b/>
          <w:bCs/>
        </w:rPr>
        <w:lastRenderedPageBreak/>
        <w:t>этого акта, а также за акты пытки, квалифицируемые как военные преступления или преступления против человечности;</w:t>
      </w:r>
    </w:p>
    <w:p w14:paraId="7DD8ECAB" w14:textId="77777777" w:rsidR="009F13BE" w:rsidRPr="009F405C" w:rsidRDefault="009F13BE" w:rsidP="009F13BE">
      <w:pPr>
        <w:pStyle w:val="SingleTxtG"/>
        <w:rPr>
          <w:b/>
          <w:bCs/>
        </w:rPr>
      </w:pPr>
      <w:r>
        <w:rPr>
          <w:b/>
          <w:bCs/>
        </w:rPr>
        <w:tab/>
      </w:r>
      <w:r w:rsidRPr="009F405C">
        <w:rPr>
          <w:b/>
          <w:bCs/>
        </w:rPr>
        <w:t>d)</w:t>
      </w:r>
      <w:r w:rsidRPr="009F405C">
        <w:rPr>
          <w:b/>
          <w:bCs/>
        </w:rPr>
        <w:tab/>
        <w:t>того, чтобы в силу абсолютного характера запрещения пытки никакого срока давности в отношении актов пытки предусмотрено не было, что позволило бы эффективным образом проводить расследования, преследовать и наказывать лиц, совершающих такие преступления или причастных к ним;</w:t>
      </w:r>
    </w:p>
    <w:p w14:paraId="05FC6372" w14:textId="77777777" w:rsidR="009F13BE" w:rsidRPr="009F405C" w:rsidRDefault="009F13BE" w:rsidP="009F13BE">
      <w:pPr>
        <w:pStyle w:val="SingleTxtG"/>
        <w:rPr>
          <w:b/>
          <w:bCs/>
        </w:rPr>
      </w:pPr>
      <w:r w:rsidRPr="009F405C">
        <w:rPr>
          <w:b/>
          <w:bCs/>
        </w:rPr>
        <w:tab/>
        <w:t>e)</w:t>
      </w:r>
      <w:r w:rsidRPr="009F405C">
        <w:rPr>
          <w:b/>
          <w:bCs/>
        </w:rPr>
        <w:tab/>
        <w:t>применения уголовных наказаний не только к должностным лицам, непосредственно совершающим пытку, но и к тем, кто действует с согласия или попустительства государственного должностного лица или другого лица, выступающего в официальном качестве, и применения таких наказаний не только в отношении непосредственного совершения пытки, но и в отношении любых действий, которые представляют собой соучастие или участие в пытке;</w:t>
      </w:r>
    </w:p>
    <w:p w14:paraId="3E7FC1B0" w14:textId="77777777" w:rsidR="009F13BE" w:rsidRPr="005C61E3" w:rsidRDefault="009F13BE" w:rsidP="009F13BE">
      <w:pPr>
        <w:pStyle w:val="SingleTxtG"/>
        <w:rPr>
          <w:b/>
          <w:bCs/>
        </w:rPr>
      </w:pPr>
      <w:r w:rsidRPr="009F405C">
        <w:rPr>
          <w:b/>
          <w:bCs/>
        </w:rPr>
        <w:tab/>
        <w:t>f)</w:t>
      </w:r>
      <w:r w:rsidRPr="009F405C">
        <w:rPr>
          <w:b/>
          <w:bCs/>
        </w:rPr>
        <w:tab/>
        <w:t>установления юрисдикции в отношении преступления пытки в любой ситуации</w:t>
      </w:r>
      <w:r>
        <w:rPr>
          <w:b/>
          <w:bCs/>
        </w:rPr>
        <w:t>, когда предполагаемый преступник находится на его территории, даже если соответствующие действия были совершены за пределами территории государства-участника и ни преступник, ни кто-либо из жертв не являются гражданами государства-участника, и принятия положений, обеспечивающих, чтобы в любом случае, когда лицо, предположительно совершившее пытку, находится под его юрисдикцией, государство-участник, если оно не выдает это лицо, передавало дело своим компетентным органам для целей уголовного преследования;</w:t>
      </w:r>
    </w:p>
    <w:p w14:paraId="46365C65" w14:textId="77777777" w:rsidR="009F13BE" w:rsidRPr="005C61E3" w:rsidRDefault="009F13BE" w:rsidP="009F13BE">
      <w:pPr>
        <w:pStyle w:val="SingleTxtG"/>
        <w:rPr>
          <w:b/>
          <w:bCs/>
        </w:rPr>
      </w:pPr>
      <w:r>
        <w:rPr>
          <w:b/>
          <w:bCs/>
        </w:rPr>
        <w:tab/>
      </w:r>
      <w:r w:rsidRPr="009F405C">
        <w:rPr>
          <w:b/>
          <w:bCs/>
        </w:rPr>
        <w:t>g)</w:t>
      </w:r>
      <w:r w:rsidRPr="009F405C">
        <w:rPr>
          <w:b/>
          <w:bCs/>
        </w:rPr>
        <w:tab/>
      </w:r>
      <w:r>
        <w:rPr>
          <w:b/>
          <w:bCs/>
        </w:rPr>
        <w:t>того, чтобы жертвы актов пытки могли получить возмещение и имели подкрепляемое правовой санкцией право на справедливую и адекватную компенсацию, включая средства для возможно более полной реабилитации.</w:t>
      </w:r>
    </w:p>
    <w:p w14:paraId="2E837844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04A99FEC" w14:textId="77777777" w:rsidR="009F13BE" w:rsidRPr="005C61E3" w:rsidRDefault="009F13BE" w:rsidP="009F13BE">
      <w:pPr>
        <w:pStyle w:val="SingleTxtG"/>
      </w:pPr>
      <w:r>
        <w:t>13.</w:t>
      </w:r>
      <w:r>
        <w:tab/>
        <w:t>Комитет по-прежнему обеспокоен сообщениями о том, что право на доступ к адвокату с самого начала лишения свободы не соблюдается на кантональном уровне и что это право недостаточно защищено статьей 215 Уголовно-процессуального кодекса (статья 2).</w:t>
      </w:r>
    </w:p>
    <w:p w14:paraId="7A68E4B1" w14:textId="76A1AE78" w:rsidR="009F13BE" w:rsidRPr="005C61E3" w:rsidRDefault="009F13BE" w:rsidP="009F13BE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рекомендацию, содержащуюся в его предыдущих заключительных замечаниях</w:t>
      </w:r>
      <w:r w:rsidRPr="009A0F57">
        <w:rPr>
          <w:rStyle w:val="aa"/>
        </w:rPr>
        <w:footnoteReference w:id="6"/>
      </w:r>
      <w:r>
        <w:rPr>
          <w:b/>
          <w:bCs/>
        </w:rPr>
        <w:t>, Комитет призывает государство-участник принять соответствующие меры для обеспечения того, чтобы лица, лишенные свободы, пользовались всеми основными правовыми гарантиями с самого начала лишения свободы, включая право на помощь независимого адвоката по их выбору и право на доступ к квалифицированной, независимой и бесплатной юридической помощи.</w:t>
      </w:r>
    </w:p>
    <w:p w14:paraId="251A50D7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7D9C095D" w14:textId="77777777" w:rsidR="009F13BE" w:rsidRPr="005C61E3" w:rsidRDefault="009F13BE" w:rsidP="009F13BE">
      <w:pPr>
        <w:pStyle w:val="SingleTxtG"/>
      </w:pPr>
      <w:r>
        <w:t>15.</w:t>
      </w:r>
      <w:r>
        <w:tab/>
        <w:t>Комитет приветствует создание в мае 2023 года Швейцарского учреждения по правам человека в качестве национального правозащитного учреждения государства-участника. Однако Комитет обеспокоен тем, что Учреждение не располагает достаточными людскими и финансовыми ресурсами для выполнения своего мандата в соответствии с принципами, касающимися статуса национальных учреждений, занимающихся поощрением и защитой прав человека (Парижские принципы). Комитет принимает к сведению предоставленную государством-участником информацию о способности Учреждения получить доступ к дополнительному финансированию путем заключения договоренностей с оплатой за услуги, однако любое такое финансирование обязательно будет направлено на конкретный проект, а не на деятельность, которую само Учреждение определяет как свои высшие приоритеты. Комитет обеспокоен тем, что Учреждение не имеет мандата на получение, рассмотрение и/или урегулирование индивидуальных жалоб на нарушения прав человека, включая акты пытки или жестокого обращения (статья 2).</w:t>
      </w:r>
      <w:bookmarkStart w:id="0" w:name="_Hlk140560387"/>
      <w:bookmarkEnd w:id="0"/>
    </w:p>
    <w:p w14:paraId="66203D01" w14:textId="77777777" w:rsidR="009F13BE" w:rsidRPr="005C61E3" w:rsidRDefault="009F13BE" w:rsidP="009F13BE">
      <w:pPr>
        <w:pStyle w:val="SingleTxtG"/>
        <w:rPr>
          <w:b/>
          <w:bCs/>
        </w:rPr>
      </w:pPr>
      <w:r>
        <w:lastRenderedPageBreak/>
        <w:t>16.</w:t>
      </w:r>
      <w:r>
        <w:tab/>
      </w:r>
      <w:r>
        <w:rPr>
          <w:b/>
          <w:bCs/>
        </w:rPr>
        <w:t>Государству-участнику следует предоставить Швейцарскому учреждению по правам человека людские, технические и финансовые ресурсы, необходимые для эффективного и полностью независимого выполнения его мандата в соответствии с Парижскими принципами, а также укрепить мандат Учреждения, чтобы оно могло получать и рассматривать индивидуальные жалобы, включая утверждения о пытке или жестоком обращении.</w:t>
      </w:r>
    </w:p>
    <w:p w14:paraId="7DD131E4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Национальный превентивный механизм</w:t>
      </w:r>
    </w:p>
    <w:p w14:paraId="5D73F28F" w14:textId="6BB03F83" w:rsidR="009F13BE" w:rsidRPr="005C61E3" w:rsidRDefault="009F13BE" w:rsidP="009F13BE">
      <w:pPr>
        <w:pStyle w:val="SingleTxtG"/>
      </w:pPr>
      <w:r>
        <w:t>17.</w:t>
      </w:r>
      <w:r>
        <w:tab/>
        <w:t>Комитет обеспокоен сообщениями о том, что Национальная комиссия по предупреждению пыток не обладает достаточной независимостью для выполнения своих обязанностей в качестве национального превентивного механизма в соответствии с Факультативным протоколом к Конвенции, а именно для посещения всех мест на территории государства-участника, в которых лица лишены или могут быть лишены свободы, включая психиатрические учреждения и учреждения опеки, а также сообщениями о том, что Комиссия не обладает независимой правосубъектностью и бюджетной автономией</w:t>
      </w:r>
      <w:r w:rsidRPr="009A0F57">
        <w:rPr>
          <w:rStyle w:val="aa"/>
        </w:rPr>
        <w:footnoteReference w:id="7"/>
      </w:r>
      <w:r>
        <w:t>. Комитет также обеспокоен ограниченным бюджетом, выделенным Комиссии, и отсутствием планов по увеличению ее бюджета в ближайшем будущем. Согласно Подкомитету по предупреждению пыток и других жестоких, бесчеловечных или унижающих достоинство видов обращения и наказания отсутствие у Комиссии финансовых ресурсов представляет собой серьезное препятствие для ее эффективной и действенной работы, о чем свидетельствует небольшое количество проведенных посещений по сравнению с числом мест лишения свободы</w:t>
      </w:r>
      <w:r w:rsidRPr="009A0F57">
        <w:rPr>
          <w:rStyle w:val="aa"/>
        </w:rPr>
        <w:footnoteReference w:id="8"/>
      </w:r>
      <w:r>
        <w:t>. Комитет также обеспокоен недостаточностью имеющейся информации о конкретных мерах, принятых государством-участником для обеспечения надлежащего выполнения рекомендаций, вынесенных Комиссией</w:t>
      </w:r>
      <w:r w:rsidRPr="009A0F57">
        <w:rPr>
          <w:rStyle w:val="aa"/>
        </w:rPr>
        <w:footnoteReference w:id="9"/>
      </w:r>
      <w:r>
        <w:t>. Наконец, Комитет выражает особую тревогу в связи с сообщениями о том, что документы Комиссии, потенциально включающие записи частных бесед с лицами, лишенными свободы, многие из которых могут не захотеть откровенно предоставлять информацию Комиссии в отсутствие гарантий того, что их беседы останутся конфиденциальными, подлежат публичному раскрытию по запросу журналистов или других представителей общественности в соответствии с Федеральным законом о свободе информации (статья 2).</w:t>
      </w:r>
    </w:p>
    <w:p w14:paraId="442D462B" w14:textId="77777777" w:rsidR="009F13BE" w:rsidRPr="005C61E3" w:rsidRDefault="009F13BE" w:rsidP="009F13BE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Государству-участнику следует:</w:t>
      </w:r>
    </w:p>
    <w:p w14:paraId="17E9C0E1" w14:textId="77777777" w:rsidR="009F13BE" w:rsidRPr="005B33AF" w:rsidRDefault="009F13BE" w:rsidP="009F13BE">
      <w:pPr>
        <w:pStyle w:val="SingleTxtG"/>
        <w:rPr>
          <w:b/>
          <w:bCs/>
        </w:rPr>
      </w:pPr>
      <w:r>
        <w:rPr>
          <w:b/>
          <w:bCs/>
        </w:rPr>
        <w:tab/>
      </w:r>
      <w:r w:rsidRPr="005B33AF">
        <w:rPr>
          <w:b/>
          <w:bCs/>
        </w:rPr>
        <w:t>a)</w:t>
      </w:r>
      <w:r w:rsidRPr="005B33AF">
        <w:rPr>
          <w:b/>
          <w:bCs/>
        </w:rPr>
        <w:tab/>
        <w:t xml:space="preserve">принять все необходимые меры для обеспечения выделения Национальной комиссии по предупреждению пыток достаточного финансирования и других ресурсов для эффективного и независимого выполнения ее мандата в соответствии с пунктами 1 и 3 статьи 18 Факультативного протокола; </w:t>
      </w:r>
      <w:bookmarkStart w:id="1" w:name="_Hlk140439882"/>
      <w:bookmarkEnd w:id="1"/>
    </w:p>
    <w:p w14:paraId="7D9948BB" w14:textId="77777777" w:rsidR="009F13BE" w:rsidRPr="005C61E3" w:rsidRDefault="009F13BE" w:rsidP="009F13BE">
      <w:pPr>
        <w:pStyle w:val="SingleTxtG"/>
        <w:rPr>
          <w:b/>
          <w:bCs/>
        </w:rPr>
      </w:pPr>
      <w:r w:rsidRPr="005B33AF">
        <w:rPr>
          <w:b/>
          <w:bCs/>
        </w:rPr>
        <w:tab/>
        <w:t>b)</w:t>
      </w:r>
      <w:r w:rsidRPr="005B33AF">
        <w:rPr>
          <w:b/>
          <w:bCs/>
        </w:rPr>
        <w:tab/>
      </w:r>
      <w:r>
        <w:rPr>
          <w:b/>
          <w:bCs/>
        </w:rPr>
        <w:t>обеспечить создание эффективных механизмов, гарантирующих, что рекомендации Комиссии будут полностью и должным образом учтены всеми получателями, и внести в законодательство и политику любые изменения, необходимые для обеспечения надлежащего уровня конфиденциальности документов Комиссии.</w:t>
      </w:r>
    </w:p>
    <w:p w14:paraId="7C883BB2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Недопустимость принудительного возвращения</w:t>
      </w:r>
      <w:r>
        <w:t xml:space="preserve"> </w:t>
      </w:r>
    </w:p>
    <w:p w14:paraId="11670EFB" w14:textId="29DCB35B" w:rsidR="009F13BE" w:rsidRPr="005C61E3" w:rsidRDefault="009F13BE" w:rsidP="009F13BE">
      <w:pPr>
        <w:pStyle w:val="SingleTxtG"/>
      </w:pPr>
      <w:r>
        <w:t>19.</w:t>
      </w:r>
      <w:r>
        <w:tab/>
        <w:t xml:space="preserve">Принимая к сведению информацию, предоставленную государством-участником в ходе диалога по вопросу о реструктуризации его системы предоставления убежища, Комитет по-прежнему обеспокоен тем, что </w:t>
      </w:r>
      <w:r w:rsidR="005B33AF">
        <w:br/>
      </w:r>
      <w:r>
        <w:t xml:space="preserve">вместо проведения индивидуальных оценок, ориентированных на учет </w:t>
      </w:r>
      <w:r w:rsidR="005B33AF">
        <w:br/>
      </w:r>
      <w:r>
        <w:t xml:space="preserve">положения соответствующих лиц, государство-участник, как сообщается, полагается на то, что государства, высылке в которые они подлежат, как это определено Регламентом (ЕС) № 604/2013 Европейского парламента и Совета от 26 июня </w:t>
      </w:r>
      <w:r>
        <w:lastRenderedPageBreak/>
        <w:t>2013</w:t>
      </w:r>
      <w:r w:rsidR="005B33AF">
        <w:rPr>
          <w:lang w:val="en-US"/>
        </w:rPr>
        <w:t> </w:t>
      </w:r>
      <w:r>
        <w:t>года (Регламент «Дублин III»), имеют формальные юридические обязательства по обеспечению надлежащего обращения. В этой связи Комитет отмечает, что, согласно полученным им сообщениям, власти государства-участника в ходе рассмотрения ходатайств о предоставлении убежища редко, если вообще когда-либо, предлагают или соглашаются покрыть расходы на экспертизы, проводимые в соответствии со стандартами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и не придают достаточного значения таким экспертизам даже в тех случаях, когда они предоставляются (статья 3).</w:t>
      </w:r>
    </w:p>
    <w:p w14:paraId="39B67BA4" w14:textId="77777777" w:rsidR="009F13BE" w:rsidRPr="005C61E3" w:rsidRDefault="009F13BE" w:rsidP="009F13BE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Государству-участнику следует:</w:t>
      </w:r>
    </w:p>
    <w:p w14:paraId="28B20EDB" w14:textId="77777777" w:rsidR="009F13BE" w:rsidRPr="00B507E6" w:rsidRDefault="009F13BE" w:rsidP="009F13BE">
      <w:pPr>
        <w:pStyle w:val="SingleTxtG"/>
        <w:rPr>
          <w:b/>
          <w:bCs/>
        </w:rPr>
      </w:pPr>
      <w:r>
        <w:rPr>
          <w:b/>
          <w:bCs/>
        </w:rPr>
        <w:tab/>
      </w:r>
      <w:r w:rsidRPr="00B507E6">
        <w:rPr>
          <w:b/>
          <w:bCs/>
        </w:rPr>
        <w:t>a)</w:t>
      </w:r>
      <w:r w:rsidRPr="00B507E6">
        <w:rPr>
          <w:b/>
          <w:bCs/>
        </w:rPr>
        <w:tab/>
        <w:t>обеспечить, чтобы ни одно лицо не могло быть выслано, возвращено или выдано другому государству, если имеются серьезные основания полагать, что данному лицу будет угрожать личная и предсказуемая опасность подвергнуться пытке;</w:t>
      </w:r>
    </w:p>
    <w:p w14:paraId="51F0BDF3" w14:textId="77777777" w:rsidR="009F13BE" w:rsidRPr="00B507E6" w:rsidRDefault="009F13BE" w:rsidP="009F13BE">
      <w:pPr>
        <w:pStyle w:val="SingleTxtG"/>
        <w:rPr>
          <w:b/>
          <w:bCs/>
        </w:rPr>
      </w:pPr>
      <w:r w:rsidRPr="00B507E6">
        <w:rPr>
          <w:b/>
          <w:bCs/>
        </w:rPr>
        <w:tab/>
        <w:t>b)</w:t>
      </w:r>
      <w:r w:rsidRPr="00B507E6">
        <w:rPr>
          <w:b/>
          <w:bCs/>
        </w:rPr>
        <w:tab/>
        <w:t>гарантировать всем просителям убежища возможность индивидуального рассмотрения и эффективную защиту от любой такой высылки, возвращения или выдачи;</w:t>
      </w:r>
    </w:p>
    <w:p w14:paraId="1BB3FDAE" w14:textId="77777777" w:rsidR="009F13BE" w:rsidRPr="005C61E3" w:rsidRDefault="009F13BE" w:rsidP="009F13BE">
      <w:pPr>
        <w:pStyle w:val="SingleTxtG"/>
        <w:rPr>
          <w:b/>
          <w:bCs/>
        </w:rPr>
      </w:pPr>
      <w:r w:rsidRPr="00B507E6">
        <w:rPr>
          <w:b/>
          <w:bCs/>
        </w:rPr>
        <w:tab/>
        <w:t>c)</w:t>
      </w:r>
      <w:r>
        <w:tab/>
      </w:r>
      <w:r>
        <w:rPr>
          <w:b/>
          <w:bCs/>
        </w:rPr>
        <w:t>обеспечить последовательное и полное использование Стамбульского протокола при оценке ситуаций, касающихся убежища.</w:t>
      </w:r>
    </w:p>
    <w:p w14:paraId="6317ACFD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Применение силы при высылке</w:t>
      </w:r>
    </w:p>
    <w:p w14:paraId="1E544944" w14:textId="77777777" w:rsidR="009F13BE" w:rsidRPr="005C61E3" w:rsidRDefault="009F13BE" w:rsidP="009F13BE">
      <w:pPr>
        <w:pStyle w:val="SingleTxtG"/>
      </w:pPr>
      <w:r>
        <w:t>21.</w:t>
      </w:r>
      <w:r>
        <w:tab/>
        <w:t>Отмечая, что, согласно информации, предоставленной делегацией государства-участника, Национальная комиссия по предупреждению пыток контролирует все «специальные рейсы» и некоторые рейсы, зафрахтованные для репатриации, Комитет по-прежнему обеспокоен сообщениями о том, что отдельные лица были закованы в кандалы или привязаны к креслам-коляскам с помощью многочисленных удерживающих устройств и что одна мать была вынуждена кормить грудью своего ребенка, будучи закованной в наручники. Комитет отмечает важность рекомендаций Комиссии, касающихся сохраняющейся практики заковывания родителей в кандалы в присутствии их несовершеннолетних детей, использования несовершеннолетних детей в качестве переводчиков для их родителей, того факта, что полицейские конвоиры, вступающие в контакт с насильственно возвращаемыми лицами, носят оружие, надевания наручников на лиц, проявляющих готовность к сотрудничеству, и надевания наручников на лиц, находящихся в камерах (статья 3).</w:t>
      </w:r>
      <w:bookmarkStart w:id="2" w:name="_Hlk140423370"/>
      <w:bookmarkEnd w:id="2"/>
    </w:p>
    <w:p w14:paraId="228B8A00" w14:textId="77777777" w:rsidR="009F13BE" w:rsidRPr="005C61E3" w:rsidRDefault="009F13BE" w:rsidP="009F13BE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Государству-участнику следует в соответствии с рекомендациями Национальной комиссии по предупреждению пыток отказаться от практики применения силы, которая не является строго необходимой и соразмерной, включая надевание наручников на родителей в присутствии их несовершеннолетних детей; предоставить переводчиков, чтобы несовершеннолетние дети не оказывались в ситуации, когда им приходится переводить для их родителей; ограничить применение силы и средств сдерживания случаями, когда существует непосредственная угроза безопасности сотрудников или других лиц; ограничить применение полного обездвиживания минимально возможным временем и отказаться от практики надевания наручников на беременных женщин и кормящих матерей.</w:t>
      </w:r>
    </w:p>
    <w:p w14:paraId="5E39E2BD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Юридическая помощь лицам, ищущим убежища</w:t>
      </w:r>
      <w:r>
        <w:t xml:space="preserve"> </w:t>
      </w:r>
    </w:p>
    <w:p w14:paraId="6DBC4419" w14:textId="77777777" w:rsidR="009F13BE" w:rsidRPr="005C61E3" w:rsidRDefault="009F13BE" w:rsidP="009F13BE">
      <w:pPr>
        <w:pStyle w:val="SingleTxtG"/>
      </w:pPr>
      <w:r>
        <w:t>23.</w:t>
      </w:r>
      <w:r>
        <w:tab/>
        <w:t xml:space="preserve">Комитет обеспокоен тем, что положения законодательства страны, согласно которым бесплатное юридическое представительство просителей убежища прекращается, если назначенный адвокат приходит к выводу, что апелляция не имеет перспектив на успех, в сочетании с положениями, согласно которым адвокатам выплачивается одинаковый гонорар независимо от того, подают ли они апелляцию, не стимулируют адвокатов к подаче апелляций. В этой связи Комитет отмечает, что, согласно полученной им информации, почти треть апелляций, поданных без помощи адвоката, назначенного в рамках программы бесплатной юридической помощи, в </w:t>
      </w:r>
      <w:r>
        <w:lastRenderedPageBreak/>
        <w:t xml:space="preserve">конечном счете оказываются успешными, что ставит под сомнение объективность оценки того, что апелляции не имеют перспектив на успех. Комитет с обеспокоенностью отмечает, что в соответствии со статьей 102k Закона о предоставлении убежища цели представления просителя убежища адвокатом, назначенным в рамках программы бесплатной юридической помощи, строго ограничены и не включают в себя подачу судебного иска в связи с такими серьезными, но часто встречающимися случаями, как применение насилия в отношении просителя убежища со стороны должностных лиц, домашнее насилие и расовое профилирование (статьи 2, 3 и 13). </w:t>
      </w:r>
    </w:p>
    <w:p w14:paraId="6A8D724F" w14:textId="77777777" w:rsidR="009F13BE" w:rsidRPr="005C61E3" w:rsidRDefault="009F13BE" w:rsidP="009F13BE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Государству-участнику следует обеспечить бесплатное юридическое представительство для просителей убежища, которым необходимо обжаловать принятые в отношении них решения, а также обеспечить такое представительство в целях подачи судебных исков в связи с такими серьезными, но часто встречающимися случаями, как применение насилия в отношении них со стороны должностных лиц, домашнее насилие и расовое профилирование.</w:t>
      </w:r>
    </w:p>
    <w:p w14:paraId="4F672B06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43EA555A" w14:textId="52EA1B1F" w:rsidR="009F13BE" w:rsidRPr="005C61E3" w:rsidRDefault="009F13BE" w:rsidP="009F13BE">
      <w:pPr>
        <w:pStyle w:val="SingleTxtG"/>
      </w:pPr>
      <w:r>
        <w:t>25.</w:t>
      </w:r>
      <w:r>
        <w:tab/>
        <w:t>Комитет принимает к сведению усилия, предпринятые государством-участником для улучшения условий содержания под стражей, включая ремонт и увеличение мест содержания под стражей. Тем не менее он по-прежнему обеспокоен хронической переполненностью тюрем, в частности в кантонах Женева и Во. Комитет принимает к сведению заявление делегации государства-участника о том, что тюрьма Шан-Доллон будет закрыта к 2030 году, но с обеспокоенностью отмечает, что, несмотря на призывы закрыть ее до этой даты, она продолжает использоваться. Кроме того, серьезными проблемами остаются отсутствие доступа к психиатрической помощи в местах лишения свободы и недостаточное число психиатров в пенитенциарной системе, несмотря на широкое распространение нарушений психического здоровья. Комитет с обеспокоенностью отмечает сообщения, указывающие на пробелы в стратегиях предотвращения самоубийств в местах лишения свободы. Он обеспокоен тем, что доступ к социальным, образовательным и развлекательным мероприятиям, а также к местам для прогулок, как сообщается, ограничен. Комитет получил сообщения о том, что из-за нехватки мест в психиатрических клиниках задержанные по несколько дней содержатся в камерах строгого режима и что на практике не всегда четко проводится различие между дисциплинарными мерами и мерами безопасности. Согласно имеющейся у Комитета информации</w:t>
      </w:r>
      <w:r w:rsidR="00B507E6" w:rsidRPr="00B507E6">
        <w:t>,</w:t>
      </w:r>
      <w:r>
        <w:t xml:space="preserve"> кантоны Берн и Цюрих помещают несовершеннолетних в возрасте до 15</w:t>
      </w:r>
      <w:r w:rsidR="00B507E6">
        <w:rPr>
          <w:lang w:val="en-US"/>
        </w:rPr>
        <w:t> </w:t>
      </w:r>
      <w:r>
        <w:t>лет в центры содержания под стражей вместе с членами их семей, несмотря на то, что в соответствии со статьей 80 (пункт 4) Федерального закона об иностранных гражданах и интеграции кантоны не имеют права содержать под стражей несовершеннолетних в возрасте до 15 лет. Наконец, Комитет выражает обеспокоенность тем, что в кантонах Во и Невшатель максимальная продолжительность одиночного заключения составляет более 20 дней, что не соответствует международным стандартам (статьи 2, 11 и 16).</w:t>
      </w:r>
    </w:p>
    <w:p w14:paraId="0FD9452D" w14:textId="77777777" w:rsidR="009F13BE" w:rsidRPr="005C61E3" w:rsidRDefault="009F13BE" w:rsidP="009F13BE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Государству-участнику следует:</w:t>
      </w:r>
    </w:p>
    <w:p w14:paraId="1D3F7CE8" w14:textId="77777777" w:rsidR="009F13BE" w:rsidRPr="005C61E3" w:rsidRDefault="009F13BE" w:rsidP="009F13BE">
      <w:pPr>
        <w:pStyle w:val="SingleTxtG"/>
        <w:rPr>
          <w:b/>
          <w:bCs/>
        </w:rPr>
      </w:pPr>
      <w:r>
        <w:rPr>
          <w:b/>
          <w:bCs/>
        </w:rPr>
        <w:tab/>
      </w:r>
      <w:r w:rsidRPr="00B507E6">
        <w:rPr>
          <w:b/>
          <w:bCs/>
        </w:rPr>
        <w:t>a)</w:t>
      </w:r>
      <w:r>
        <w:tab/>
      </w:r>
      <w:r>
        <w:rPr>
          <w:b/>
          <w:bCs/>
        </w:rPr>
        <w:t>продолжать обеспечивать полное соответствие условий содержания под стражей Минимальным стандартным правилам Организации Объединенных Наций в отношении обращения с заключенными (Правила Нельсона Манделы) и стремиться к ликвидации переполненности пенитенциарных учреждений и других мест содержания под стражей, в частности в кантонах Женева и Во, в том числе путем применения мер наказания, не связанных с лишением свободы.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Минимальные стандартные правила Организации Объединенных Наций в отношении мер, не связанных с тюремным заключением (Токийские правила),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правила);</w:t>
      </w:r>
    </w:p>
    <w:p w14:paraId="27A7948B" w14:textId="77777777" w:rsidR="009F13BE" w:rsidRPr="00B507E6" w:rsidRDefault="009F13BE" w:rsidP="009F13B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B507E6">
        <w:rPr>
          <w:b/>
          <w:bCs/>
        </w:rPr>
        <w:t>b)</w:t>
      </w:r>
      <w:r w:rsidRPr="00B507E6">
        <w:rPr>
          <w:b/>
          <w:bCs/>
        </w:rPr>
        <w:tab/>
        <w:t>обеспечить наличие во всех кантонах достаточного числа психиатров в системе тюремного здравоохранения и гарантировать заключенным регулярный, быстрый и низкопороговый доступ к базовой психиатрической помощи, предоставляемой квалифицированным персоналом, имеющим опыт ухода за лицами, лишенными свободы;</w:t>
      </w:r>
    </w:p>
    <w:p w14:paraId="62FA5E2D" w14:textId="77777777" w:rsidR="009F13BE" w:rsidRPr="005C61E3" w:rsidRDefault="009F13BE" w:rsidP="009F13BE">
      <w:pPr>
        <w:pStyle w:val="SingleTxtG"/>
        <w:rPr>
          <w:b/>
          <w:bCs/>
        </w:rPr>
      </w:pPr>
      <w:r w:rsidRPr="00B507E6">
        <w:rPr>
          <w:b/>
          <w:bCs/>
        </w:rPr>
        <w:tab/>
        <w:t>c)</w:t>
      </w:r>
      <w:r w:rsidRPr="00B507E6">
        <w:rPr>
          <w:b/>
          <w:bCs/>
        </w:rPr>
        <w:tab/>
      </w:r>
      <w:r>
        <w:rPr>
          <w:b/>
          <w:bCs/>
        </w:rPr>
        <w:t>привести свое законодательство и практику в отношении одиночного заключения в соответствие с международными стандартами, в частности с правилами 43–46 Правил Нельсона Манделы.</w:t>
      </w:r>
    </w:p>
    <w:p w14:paraId="39FBE1B4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Административное задержание недокументированных мигрантов</w:t>
      </w:r>
      <w:r>
        <w:t xml:space="preserve"> </w:t>
      </w:r>
    </w:p>
    <w:p w14:paraId="0F0E8BD0" w14:textId="14F8A4B1" w:rsidR="009F13BE" w:rsidRPr="005C61E3" w:rsidRDefault="009F13BE" w:rsidP="009F13BE">
      <w:pPr>
        <w:pStyle w:val="SingleTxtG"/>
      </w:pPr>
      <w:r>
        <w:t>27.</w:t>
      </w:r>
      <w:r>
        <w:tab/>
        <w:t>Комитет обеспокоен тем, что стандарты и процедуры государства-участника для принятия решений о задержании мигрантов не соответствуют принципу соразмерности. Мигранты, подвергнутые административному задержанию, обычно помещаются в тюрьмы или следственные изоляторы, и, по имеющимся данным, между кантонами существуют значительные различия в отношении практики и условий административного задержания. Комитет обеспокоен сообщениями о том, что лишь некоторые лица, подвергнутые административному задержанию, имеют доступ к бесплатному юридическому представительству, что максимальная продолжительность административного задержания составляет 18 месяцев для взрослых и 12 месяцев для несовершеннолетних, что условия содержания в таких учреждениях являются суровыми и что дети в возрасте от 15 до 18 лет по-прежнему помещаются под стражу для целей, связанных с иммиграцией. Комитет с обеспокоенностью отмечает условия содержания под стражей в центре административного задержания «</w:t>
      </w:r>
      <w:proofErr w:type="spellStart"/>
      <w:r>
        <w:t>Фавра</w:t>
      </w:r>
      <w:proofErr w:type="spellEnd"/>
      <w:r>
        <w:t xml:space="preserve">» в кантоне Женева, которые были оценены как не соответствующие национальным и международным нормам (статьи 2, 11–13 </w:t>
      </w:r>
      <w:r w:rsidR="000519FC">
        <w:br/>
      </w:r>
      <w:r>
        <w:t>и 16).</w:t>
      </w:r>
    </w:p>
    <w:p w14:paraId="3C1660BC" w14:textId="77777777" w:rsidR="009F13BE" w:rsidRPr="005C61E3" w:rsidRDefault="009F13BE" w:rsidP="009F13BE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Государству-участнику следует:</w:t>
      </w:r>
    </w:p>
    <w:p w14:paraId="4189F2A6" w14:textId="77777777" w:rsidR="009F13BE" w:rsidRPr="000519FC" w:rsidRDefault="009F13BE" w:rsidP="009F13BE">
      <w:pPr>
        <w:pStyle w:val="SingleTxtG"/>
        <w:rPr>
          <w:b/>
          <w:bCs/>
        </w:rPr>
      </w:pPr>
      <w:r>
        <w:rPr>
          <w:b/>
          <w:bCs/>
        </w:rPr>
        <w:tab/>
      </w:r>
      <w:r w:rsidRPr="000519FC">
        <w:rPr>
          <w:b/>
          <w:bCs/>
        </w:rPr>
        <w:t>a)</w:t>
      </w:r>
      <w:r w:rsidRPr="000519FC">
        <w:rPr>
          <w:b/>
          <w:bCs/>
        </w:rPr>
        <w:tab/>
        <w:t>строго ограничить административное задержание его необходимым и соразмерным применением, в том числе путем сокращения максимальной продолжительности административного задержания просителей убежища в соответствии с Законом о предоставлении убежища до как можно более короткого срока, принять все необходимые меры, чтобы избежать содержания под стражей детей, помещенных в центры содержания мигрантов, в том числе путем использования альтернатив задержанию, и ни в коем случае не применять меры или условия, призванные побудить лиц, находящихся в таких центрах, предпринять какие-либо шаги, которые могут поставить под угрозу их права или интересы;</w:t>
      </w:r>
    </w:p>
    <w:p w14:paraId="642EA8CA" w14:textId="77777777" w:rsidR="009F13BE" w:rsidRPr="000519FC" w:rsidRDefault="009F13BE" w:rsidP="009F13BE">
      <w:pPr>
        <w:pStyle w:val="SingleTxtG"/>
        <w:rPr>
          <w:b/>
          <w:bCs/>
        </w:rPr>
      </w:pPr>
      <w:r w:rsidRPr="000519FC">
        <w:rPr>
          <w:b/>
          <w:bCs/>
        </w:rPr>
        <w:tab/>
        <w:t>b)</w:t>
      </w:r>
      <w:r w:rsidRPr="000519FC">
        <w:rPr>
          <w:b/>
          <w:bCs/>
        </w:rPr>
        <w:tab/>
        <w:t>обеспечить в центрах административного задержания реформирование обстановки, которая напоминает, по сообщениям, тюремные условия и предусматривает ограничение права на свидание и конфискацию личных вещей;</w:t>
      </w:r>
    </w:p>
    <w:p w14:paraId="6D0E2918" w14:textId="77777777" w:rsidR="009F13BE" w:rsidRPr="000519FC" w:rsidRDefault="009F13BE" w:rsidP="009F13BE">
      <w:pPr>
        <w:pStyle w:val="SingleTxtG"/>
        <w:rPr>
          <w:b/>
          <w:bCs/>
        </w:rPr>
      </w:pPr>
      <w:r w:rsidRPr="000519FC">
        <w:rPr>
          <w:b/>
          <w:bCs/>
        </w:rPr>
        <w:tab/>
        <w:t>c)</w:t>
      </w:r>
      <w:r w:rsidRPr="000519FC">
        <w:rPr>
          <w:b/>
          <w:bCs/>
        </w:rPr>
        <w:tab/>
        <w:t>гарантировать административно задержанным лицам доступ к юридическим представителям во время содержания под стражей;</w:t>
      </w:r>
    </w:p>
    <w:p w14:paraId="534B6425" w14:textId="77777777" w:rsidR="009F13BE" w:rsidRPr="005C61E3" w:rsidRDefault="009F13BE" w:rsidP="009F13BE">
      <w:pPr>
        <w:pStyle w:val="SingleTxtG"/>
        <w:rPr>
          <w:b/>
          <w:bCs/>
        </w:rPr>
      </w:pPr>
      <w:r w:rsidRPr="000519FC">
        <w:rPr>
          <w:b/>
          <w:bCs/>
        </w:rPr>
        <w:tab/>
        <w:t>d)</w:t>
      </w:r>
      <w:r w:rsidRPr="000519FC">
        <w:rPr>
          <w:b/>
          <w:bCs/>
        </w:rPr>
        <w:tab/>
      </w:r>
      <w:r>
        <w:rPr>
          <w:b/>
          <w:bCs/>
        </w:rPr>
        <w:t>обеспечить последовательность в применении административного задержания всеми кантонами.</w:t>
      </w:r>
    </w:p>
    <w:p w14:paraId="0E4DC4F9" w14:textId="77777777" w:rsidR="009F13BE" w:rsidRPr="005C61E3" w:rsidRDefault="009F13BE" w:rsidP="009F13BE">
      <w:pPr>
        <w:pStyle w:val="H23G"/>
      </w:pPr>
      <w:r>
        <w:tab/>
      </w:r>
      <w:r>
        <w:tab/>
      </w:r>
      <w:r>
        <w:tab/>
      </w:r>
      <w:r>
        <w:rPr>
          <w:bCs/>
        </w:rPr>
        <w:t>Федеральные центры для просителей убежища</w:t>
      </w:r>
      <w:r>
        <w:t xml:space="preserve"> </w:t>
      </w:r>
    </w:p>
    <w:p w14:paraId="588A3CA7" w14:textId="77777777" w:rsidR="009F13BE" w:rsidRPr="005C61E3" w:rsidRDefault="009F13BE" w:rsidP="009F13BE">
      <w:pPr>
        <w:pStyle w:val="SingleTxtG"/>
      </w:pPr>
      <w:r>
        <w:t>29.</w:t>
      </w:r>
      <w:r>
        <w:tab/>
        <w:t xml:space="preserve">Комитет принимает к сведению предоставленную государством-участником информацию о расследовании, проведенном после сообщений о чрезмерном применении силы и жестоком обращении в федеральных центрах для просителей убежища, и о различных мерах, которые были приняты или рассматриваются властями в ответ на это. В то же время Комитет по-прежнему обеспокоен сообщениями о том, что лица в федеральных центрах для просителей убежища продолжают подвергаться неправомерному обращению, включая избиения охранниками, содержание в небольших смирительных комнатах («комнатах для размышлений»), в том числе в </w:t>
      </w:r>
      <w:r>
        <w:lastRenderedPageBreak/>
        <w:t>случае несовершеннолетних, безудержное применение охранниками дисциплинарных мер, регулярное использование расистских терминов, регулярное искажение или сокрытие информации о событиях, отсутствие ясности относительно возможностей подачи жалоб или отсутствие таких возможностей и препятствия в доступе жертв к правосудию. Комитет обеспокоен сообщениями о сексуальном насилии, включая изнасилования. Наконец, еще одним поводом для беспокойства является использование частных подрядчиков в качестве поставщиков услуг безопасности, особенно не прошедших надлежащей подготовки (статьи 2, 10, 11 и 16).</w:t>
      </w:r>
    </w:p>
    <w:p w14:paraId="4A45B559" w14:textId="77777777" w:rsidR="009F13BE" w:rsidRPr="005C61E3" w:rsidRDefault="009F13BE" w:rsidP="009F13BE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6F4AF9A3" w14:textId="77777777" w:rsidR="009F13BE" w:rsidRPr="000519FC" w:rsidRDefault="009F13BE" w:rsidP="009F13BE">
      <w:pPr>
        <w:pStyle w:val="SingleTxtG"/>
        <w:rPr>
          <w:b/>
          <w:bCs/>
        </w:rPr>
      </w:pPr>
      <w:r>
        <w:rPr>
          <w:b/>
          <w:bCs/>
        </w:rPr>
        <w:tab/>
      </w:r>
      <w:r w:rsidRPr="000519FC">
        <w:rPr>
          <w:b/>
          <w:bCs/>
        </w:rPr>
        <w:t>a)</w:t>
      </w:r>
      <w:r w:rsidRPr="000519FC">
        <w:rPr>
          <w:b/>
          <w:bCs/>
        </w:rPr>
        <w:tab/>
        <w:t xml:space="preserve">обеспечить, чтобы все случаи предполагаемого неправомерного обращения в федеральных центрах для просителей убежища незамедлительно расследовались независимым и беспристрастным образом, чтобы подозреваемые в совершении преступлений были должным образом судимы и, в случае признания их вины, наказаны соразмерно тяжести их деяний, а жертвы получили адекватное возмещение и компенсацию; </w:t>
      </w:r>
    </w:p>
    <w:p w14:paraId="2A57C80B" w14:textId="77777777" w:rsidR="009F13BE" w:rsidRPr="000519FC" w:rsidRDefault="009F13BE" w:rsidP="009F13BE">
      <w:pPr>
        <w:pStyle w:val="SingleTxtG"/>
        <w:rPr>
          <w:b/>
          <w:bCs/>
        </w:rPr>
      </w:pPr>
      <w:r w:rsidRPr="000519FC">
        <w:rPr>
          <w:b/>
          <w:bCs/>
        </w:rPr>
        <w:tab/>
        <w:t>b)</w:t>
      </w:r>
      <w:r w:rsidRPr="000519FC">
        <w:rPr>
          <w:b/>
          <w:bCs/>
        </w:rPr>
        <w:tab/>
        <w:t>усилить и укрепить независимую охрану и упреждающий мониторинг в федеральных центрах для просителей убежища;</w:t>
      </w:r>
    </w:p>
    <w:p w14:paraId="04A22225" w14:textId="77777777" w:rsidR="009F13BE" w:rsidRPr="000519FC" w:rsidRDefault="009F13BE" w:rsidP="009F13BE">
      <w:pPr>
        <w:pStyle w:val="SingleTxtG"/>
        <w:rPr>
          <w:b/>
          <w:bCs/>
        </w:rPr>
      </w:pPr>
      <w:r w:rsidRPr="000519FC">
        <w:rPr>
          <w:b/>
          <w:bCs/>
        </w:rPr>
        <w:tab/>
        <w:t>c)</w:t>
      </w:r>
      <w:r w:rsidRPr="000519FC">
        <w:rPr>
          <w:b/>
          <w:bCs/>
        </w:rPr>
        <w:tab/>
        <w:t>создать независимые, конфиденциальные и эффективные механизмы рассмотрения жалоб во всех федеральных центрах для просителей убежища;</w:t>
      </w:r>
    </w:p>
    <w:p w14:paraId="5B04983E" w14:textId="41946D45" w:rsidR="009F13BE" w:rsidRPr="000519FC" w:rsidRDefault="009F13BE" w:rsidP="009F13BE">
      <w:pPr>
        <w:pStyle w:val="SingleTxtG"/>
        <w:rPr>
          <w:b/>
          <w:bCs/>
        </w:rPr>
      </w:pPr>
      <w:r w:rsidRPr="000519FC">
        <w:rPr>
          <w:b/>
          <w:bCs/>
        </w:rPr>
        <w:tab/>
        <w:t>d)</w:t>
      </w:r>
      <w:r w:rsidRPr="000519FC">
        <w:rPr>
          <w:b/>
          <w:bCs/>
        </w:rPr>
        <w:tab/>
        <w:t xml:space="preserve">пересмотреть практику запирания лиц, содержащихся в федеральных центрах для просителей убежища, в </w:t>
      </w:r>
      <w:r w:rsidR="000519FC">
        <w:rPr>
          <w:b/>
          <w:bCs/>
        </w:rPr>
        <w:t>«</w:t>
      </w:r>
      <w:r w:rsidRPr="000519FC">
        <w:rPr>
          <w:b/>
          <w:bCs/>
        </w:rPr>
        <w:t>комнатах для размышлений</w:t>
      </w:r>
      <w:r w:rsidR="000519FC">
        <w:rPr>
          <w:b/>
          <w:bCs/>
        </w:rPr>
        <w:t>»</w:t>
      </w:r>
      <w:r w:rsidRPr="000519FC">
        <w:rPr>
          <w:b/>
          <w:bCs/>
        </w:rPr>
        <w:t>, в том числе запретить изоляцию несовершеннолетних;</w:t>
      </w:r>
    </w:p>
    <w:p w14:paraId="5A516235" w14:textId="77777777" w:rsidR="009F13BE" w:rsidRPr="005C61E3" w:rsidRDefault="009F13BE" w:rsidP="009F13BE">
      <w:pPr>
        <w:pStyle w:val="SingleTxtG"/>
        <w:rPr>
          <w:b/>
          <w:bCs/>
        </w:rPr>
      </w:pPr>
      <w:r w:rsidRPr="000519FC">
        <w:rPr>
          <w:b/>
          <w:bCs/>
        </w:rPr>
        <w:tab/>
        <w:t>e)</w:t>
      </w:r>
      <w:r w:rsidRPr="000519FC">
        <w:rPr>
          <w:b/>
          <w:bCs/>
        </w:rPr>
        <w:tab/>
        <w:t>обеспечить</w:t>
      </w:r>
      <w:r>
        <w:rPr>
          <w:b/>
          <w:bCs/>
        </w:rPr>
        <w:t>, чтобы в случае, если предполагается, что частные охранные подрядчики будут продолжать играть роль в федеральных центрах для просителей убежища, они не выполняли деликатные задачи по обеспечению безопасности, включить в контракты более строгие требования в отношении стандартов качества и обучения, а также обеспечить, чтобы охранные подрядчики нанимали опытных и квалифицированных сотрудников безопасности и проводили их специальную подготовку для работы в федеральных центрах для просителей убежища.</w:t>
      </w:r>
    </w:p>
    <w:p w14:paraId="7F31635E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Несопровождаемые дети, ищущие убежища</w:t>
      </w:r>
    </w:p>
    <w:p w14:paraId="24BDFE5E" w14:textId="1AA08055" w:rsidR="009F13BE" w:rsidRPr="005C61E3" w:rsidRDefault="009F13BE" w:rsidP="009F13BE">
      <w:pPr>
        <w:pStyle w:val="SingleTxtG"/>
      </w:pPr>
      <w:r>
        <w:t>31.</w:t>
      </w:r>
      <w:r>
        <w:tab/>
        <w:t xml:space="preserve">Комитет обеспокоен сообщениями о положении несопровождаемых детей, включая сообщения о неадекватных условиях приема и мерах защиты. В частности, он обеспокоен сообщениями о том, что в федеральных центрах для просителей убежища соотношение персонала и детей является недостаточным, в результате чего несопровождаемые дети, особенно девочки, не получают достаточного ухода и защиты. По некоторым данным, из-за нехватки персонала и увеличения числа несопровождаемых детей один сотрудник осуществляет надзор за </w:t>
      </w:r>
      <w:r w:rsidR="001C5B9B">
        <w:br/>
      </w:r>
      <w:r>
        <w:t>70–100 несовершеннолетними. Согласно информации, имеющейся в распоряжении Комитета, защита и уход, предоставляемые несопровождаемым детям, ищущим убежища, дифференцированы в зависимости от возраста, поскольку считается, что дети в возрасте 16 лет и старше требуют меньшего ухода и, как сообщается, с ними обращаются как со взрослыми. Комитет также обеспокоен сообщениями о побегах детей из учреждений для временного размещения беженцев и из других центров. Другие вопросы, вызывающие беспокойство, включают акты насилия, неадекватные условия проживания, препятствия в доступе к образованию и низкое качество предоставляемого питания. Наконец, Комитет обеспокоен сообщениями о том, что на практике не проводится никакого различия между несовершеннолетними и взрослыми в контексте пограничных процедур, что является нарушением национального законодательства (статьи 3, 11 и 16).</w:t>
      </w:r>
    </w:p>
    <w:p w14:paraId="27D4214F" w14:textId="77777777" w:rsidR="009F13BE" w:rsidRPr="005C61E3" w:rsidRDefault="009F13BE" w:rsidP="009F13BE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 xml:space="preserve">Государству-участнику следует придерживаться принципа наилучшего обеспечения интересов ребенка в процедурах репатриации и обеспечить, чтобы все несопровождаемые несовершеннолетние, в частности девочки, получали </w:t>
      </w:r>
      <w:r>
        <w:rPr>
          <w:b/>
          <w:bCs/>
        </w:rPr>
        <w:lastRenderedPageBreak/>
        <w:t>постоянный уход и защиту, а также расследовать сообщения об исчезновении детей во время процедуры предоставления убежища.</w:t>
      </w:r>
    </w:p>
    <w:p w14:paraId="100EA047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Чрезмерное применение силы, включая насилие на расовой почве</w:t>
      </w:r>
    </w:p>
    <w:p w14:paraId="1C278FB3" w14:textId="21B5F6A3" w:rsidR="009F13BE" w:rsidRPr="005C61E3" w:rsidRDefault="009F13BE" w:rsidP="009F13BE">
      <w:pPr>
        <w:pStyle w:val="SingleTxtG"/>
      </w:pPr>
      <w:r>
        <w:t>33.</w:t>
      </w:r>
      <w:r>
        <w:tab/>
        <w:t>Приветствуя усилия государства-участника по борьбе с насилием со стороны полиции, Комитет вместе с тем обеспокоен утверждениями о чрезмерном применении силы и других злоупотреблениях со стороны полиции, в частности в отношении лиц, принадлежащих к определенным расовым и этническим группам, а также утверждениями о смертельных случаях, произошедших в результате действий полиции</w:t>
      </w:r>
      <w:r w:rsidRPr="009A0F57">
        <w:rPr>
          <w:rStyle w:val="aa"/>
        </w:rPr>
        <w:footnoteReference w:id="10"/>
      </w:r>
      <w:r>
        <w:t>. Комитет также обеспокоен утверждениями о расовом профилировании и использовании расовых эпитетов (статьи 2, 12, 13 и 16)</w:t>
      </w:r>
      <w:r w:rsidRPr="009A0F57">
        <w:rPr>
          <w:rStyle w:val="aa"/>
        </w:rPr>
        <w:footnoteReference w:id="11"/>
      </w:r>
      <w:r>
        <w:t>.</w:t>
      </w:r>
    </w:p>
    <w:p w14:paraId="34C07994" w14:textId="77777777" w:rsidR="009F13BE" w:rsidRPr="005C61E3" w:rsidRDefault="009F13BE" w:rsidP="009F13BE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следует:</w:t>
      </w:r>
    </w:p>
    <w:p w14:paraId="5704FB68" w14:textId="77777777" w:rsidR="009F13BE" w:rsidRPr="001C5B9B" w:rsidRDefault="009F13BE" w:rsidP="009F13BE">
      <w:pPr>
        <w:pStyle w:val="SingleTxtG"/>
        <w:rPr>
          <w:b/>
          <w:bCs/>
        </w:rPr>
      </w:pPr>
      <w:r>
        <w:rPr>
          <w:b/>
          <w:bCs/>
        </w:rPr>
        <w:tab/>
      </w:r>
      <w:r w:rsidRPr="001C5B9B">
        <w:rPr>
          <w:b/>
          <w:bCs/>
        </w:rPr>
        <w:t>a)</w:t>
      </w:r>
      <w:r w:rsidRPr="001C5B9B">
        <w:rPr>
          <w:b/>
          <w:bCs/>
        </w:rPr>
        <w:tab/>
        <w:t>обеспечить оперативное, тщательное и беспристрастное расследование всех заявлений о чрезмерном применении силы и неправомерных действиях со стороны полиции на расовой почве, а также должное разбирательство в отношении виновных и, в случае признания их вины, назначение им наказания, соразмерного тяжести совершенных ими деяний;</w:t>
      </w:r>
    </w:p>
    <w:p w14:paraId="752D9A0C" w14:textId="77777777" w:rsidR="009F13BE" w:rsidRPr="005C61E3" w:rsidRDefault="009F13BE" w:rsidP="009F13BE">
      <w:pPr>
        <w:pStyle w:val="SingleTxtG"/>
        <w:rPr>
          <w:b/>
          <w:bCs/>
        </w:rPr>
      </w:pPr>
      <w:r w:rsidRPr="001C5B9B">
        <w:rPr>
          <w:b/>
          <w:bCs/>
        </w:rPr>
        <w:tab/>
        <w:t>b)</w:t>
      </w:r>
      <w:r w:rsidRPr="001C5B9B">
        <w:rPr>
          <w:b/>
          <w:bCs/>
        </w:rPr>
        <w:tab/>
      </w:r>
      <w:r>
        <w:rPr>
          <w:b/>
          <w:bCs/>
        </w:rPr>
        <w:t>прилагать больше усилий для обеспечения того, чтобы все сотрудники правоохранительных органов проходили систематическую подготовку по вопросам применения силы с учетом Основных принципов применения силы и огнестрельного оружия должностными лицами по поддержанию правопорядка.</w:t>
      </w:r>
    </w:p>
    <w:p w14:paraId="717BB352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Независимый механизм рассмотрения жалоб</w:t>
      </w:r>
    </w:p>
    <w:p w14:paraId="319B3F76" w14:textId="77777777" w:rsidR="009F13BE" w:rsidRPr="005C61E3" w:rsidRDefault="009F13BE" w:rsidP="009F13BE">
      <w:pPr>
        <w:pStyle w:val="SingleTxtG"/>
      </w:pPr>
      <w:r>
        <w:t>35.</w:t>
      </w:r>
      <w:r>
        <w:tab/>
        <w:t>Комитет обеспокоен отсутствием независимого и общедоступного механизма подачи жалоб на сотрудников полиции и других должностных лиц, причастных к обращению с лицами, лишенными свободы. Комитет приветствует создание Генеральной инспекции служб в кантоне Женева, но выражает сожаление в связи с тем, что это учреждение административно прикреплено к кантональной полиции Женевы, а также в связи с отсутствием аналогичных учреждений в других кантонах (статьи 12 и 13).</w:t>
      </w:r>
    </w:p>
    <w:p w14:paraId="2BDE5049" w14:textId="77777777" w:rsidR="009F13BE" w:rsidRPr="005C61E3" w:rsidRDefault="009F13BE" w:rsidP="009F13BE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 рассмотреть вопрос о создании во всех кантонах следственных механизмов, которые проводят независимые и эффективные уголовные расследования и преследования по заявлениям о насилии со стороны полиции и насилии в отношении лиц, лишенных свободы, и которые действуют независимо, без каких-либо институциональных или иерархических отношений между их следователями и лицами, подозреваемыми в совершении таких деяний.</w:t>
      </w:r>
      <w:r>
        <w:t xml:space="preserve"> </w:t>
      </w:r>
      <w:r>
        <w:rPr>
          <w:b/>
          <w:bCs/>
        </w:rPr>
        <w:t>Комитет рекомендует государству-участнику обеспечить сбор обновленных, централизованных и дезагрегированных статистических данных по всем жалобам, судебным разбирательствам и обвинительным приговорам, связанным с насилием со стороны полиции и насилием в отношении лиц, лишенных свободы.</w:t>
      </w:r>
      <w:bookmarkStart w:id="3" w:name="_Hlk140667024"/>
      <w:bookmarkEnd w:id="3"/>
    </w:p>
    <w:p w14:paraId="0ABABFC3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Интерсексы</w:t>
      </w:r>
    </w:p>
    <w:p w14:paraId="395B5B01" w14:textId="77777777" w:rsidR="009F13BE" w:rsidRPr="005C61E3" w:rsidRDefault="009F13BE" w:rsidP="009F13BE">
      <w:pPr>
        <w:pStyle w:val="SingleTxtG"/>
      </w:pPr>
      <w:r>
        <w:t>37.</w:t>
      </w:r>
      <w:r>
        <w:tab/>
        <w:t xml:space="preserve">Комитет по-прежнему обеспокоен сообщениями о ненужных и необратимых операциях и других видах лечения, которым подвергаются интерсекс-дети без их информированного согласия и беспристрастного консультирования. Комитет обеспокоен тем, что такие процедуры, которые могут причинять длительные физические и психологические страдания, не стали объектом расследования, санкций или возмещения ущерба, а также тем, что не существует конкретных правовых положений, обеспечивающих возмещение ущерба жертвам. Комитет принимает к </w:t>
      </w:r>
      <w:r>
        <w:lastRenderedPageBreak/>
        <w:t>сведению предложение № 22.3355 об уголовном запрете вмешательства с целью изменения биологического пола интерсекс-детей (статьи 2, 12, 14 и 16).</w:t>
      </w:r>
    </w:p>
    <w:p w14:paraId="00BF13ED" w14:textId="77777777" w:rsidR="009F13BE" w:rsidRPr="005C61E3" w:rsidRDefault="009F13BE" w:rsidP="009F13BE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Государству-участнику следует обеспечить, чтобы:</w:t>
      </w:r>
      <w:r>
        <w:t xml:space="preserve"> </w:t>
      </w:r>
    </w:p>
    <w:p w14:paraId="3D6C276A" w14:textId="77777777" w:rsidR="009F13BE" w:rsidRPr="001C5B9B" w:rsidRDefault="009F13BE" w:rsidP="009F13BE">
      <w:pPr>
        <w:pStyle w:val="SingleTxtG"/>
        <w:rPr>
          <w:b/>
          <w:bCs/>
        </w:rPr>
      </w:pPr>
      <w:r>
        <w:rPr>
          <w:b/>
          <w:bCs/>
        </w:rPr>
        <w:tab/>
      </w:r>
      <w:r w:rsidRPr="001C5B9B">
        <w:rPr>
          <w:b/>
          <w:bCs/>
        </w:rPr>
        <w:t>a)</w:t>
      </w:r>
      <w:r w:rsidRPr="001C5B9B">
        <w:rPr>
          <w:b/>
          <w:bCs/>
        </w:rPr>
        <w:tab/>
        <w:t>дети не подвергались без их согласия в младенческом или детском возрасте ненужным медицинским или хирургическим процедурам с целью выбора их пола;</w:t>
      </w:r>
    </w:p>
    <w:p w14:paraId="7930EFD0" w14:textId="77777777" w:rsidR="009F13BE" w:rsidRPr="001C5B9B" w:rsidRDefault="009F13BE" w:rsidP="009F13BE">
      <w:pPr>
        <w:pStyle w:val="SingleTxtG"/>
        <w:rPr>
          <w:b/>
          <w:bCs/>
        </w:rPr>
      </w:pPr>
      <w:r w:rsidRPr="001C5B9B">
        <w:rPr>
          <w:b/>
          <w:bCs/>
        </w:rPr>
        <w:tab/>
        <w:t>b)</w:t>
      </w:r>
      <w:r w:rsidRPr="001C5B9B">
        <w:rPr>
          <w:b/>
          <w:bCs/>
        </w:rPr>
        <w:tab/>
        <w:t>родители или законные опекуны интерсекс-детей получали профессиональные консультации, психологическую и социальную поддержку, включая информацию о возможности отложить принятие решения о ненужном медицинском или хирургическом лечении до тех пор, пока такое лечение не будет проведено с полного, свободного и информированного согласия заинтересованного лица;</w:t>
      </w:r>
    </w:p>
    <w:p w14:paraId="656CEFDA" w14:textId="77777777" w:rsidR="009F13BE" w:rsidRPr="001C5B9B" w:rsidRDefault="009F13BE" w:rsidP="009F13BE">
      <w:pPr>
        <w:pStyle w:val="SingleTxtG"/>
        <w:rPr>
          <w:b/>
          <w:bCs/>
        </w:rPr>
      </w:pPr>
      <w:r w:rsidRPr="001C5B9B">
        <w:rPr>
          <w:b/>
          <w:bCs/>
        </w:rPr>
        <w:tab/>
        <w:t>c)</w:t>
      </w:r>
      <w:r w:rsidRPr="001C5B9B">
        <w:rPr>
          <w:b/>
          <w:bCs/>
        </w:rPr>
        <w:tab/>
        <w:t>можно было ознакомиться с медицинскими картами пациентов и начать расследование во всех случаях, когда интерсекс-людей лечили или оперировали без их фактического согласия;</w:t>
      </w:r>
    </w:p>
    <w:p w14:paraId="1F3A709D" w14:textId="77777777" w:rsidR="009F13BE" w:rsidRPr="001C5B9B" w:rsidRDefault="009F13BE" w:rsidP="009F13BE">
      <w:pPr>
        <w:pStyle w:val="SingleTxtG"/>
        <w:rPr>
          <w:b/>
          <w:bCs/>
        </w:rPr>
      </w:pPr>
      <w:r w:rsidRPr="001C5B9B">
        <w:rPr>
          <w:b/>
          <w:bCs/>
        </w:rPr>
        <w:tab/>
        <w:t>d)</w:t>
      </w:r>
      <w:r w:rsidRPr="001C5B9B">
        <w:rPr>
          <w:b/>
          <w:bCs/>
        </w:rPr>
        <w:tab/>
        <w:t>обеспечивалось адекватное возмещение физических и психологических страданий, причиненных интерсекс-людям такой практикой;</w:t>
      </w:r>
    </w:p>
    <w:p w14:paraId="1FFEF886" w14:textId="77777777" w:rsidR="009F13BE" w:rsidRPr="001C5B9B" w:rsidRDefault="009F13BE" w:rsidP="009F13BE">
      <w:pPr>
        <w:pStyle w:val="SingleTxtG"/>
        <w:rPr>
          <w:b/>
          <w:bCs/>
        </w:rPr>
      </w:pPr>
      <w:r w:rsidRPr="001C5B9B">
        <w:rPr>
          <w:b/>
          <w:bCs/>
        </w:rPr>
        <w:tab/>
        <w:t>e)</w:t>
      </w:r>
      <w:r w:rsidRPr="001C5B9B">
        <w:rPr>
          <w:b/>
          <w:bCs/>
        </w:rPr>
        <w:tab/>
        <w:t>принимались законодательные и политические меры по защите прав интерсексов, в частности детей;</w:t>
      </w:r>
    </w:p>
    <w:p w14:paraId="1390FD15" w14:textId="77777777" w:rsidR="009F13BE" w:rsidRPr="005C61E3" w:rsidRDefault="009F13BE" w:rsidP="009F13BE">
      <w:pPr>
        <w:pStyle w:val="SingleTxtG"/>
        <w:rPr>
          <w:b/>
          <w:bCs/>
        </w:rPr>
      </w:pPr>
      <w:r w:rsidRPr="001C5B9B">
        <w:rPr>
          <w:b/>
          <w:bCs/>
        </w:rPr>
        <w:tab/>
        <w:t>f)</w:t>
      </w:r>
      <w:r>
        <w:tab/>
      </w:r>
      <w:r>
        <w:rPr>
          <w:b/>
          <w:bCs/>
        </w:rPr>
        <w:t>проводилось обучение лиц, работающих с интерсексами, в частности детьми, или в их интересах.</w:t>
      </w:r>
    </w:p>
    <w:p w14:paraId="3C49BE49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7415BE13" w14:textId="77777777" w:rsidR="009F13BE" w:rsidRPr="005C61E3" w:rsidRDefault="009F13BE" w:rsidP="009F13BE">
      <w:pPr>
        <w:pStyle w:val="SingleTxtG"/>
      </w:pPr>
      <w:r>
        <w:t>39.</w:t>
      </w:r>
      <w:r>
        <w:tab/>
        <w:t>Отмечая усилия государства-участника по искоренению торговли людьми, Комитет выражает обеспокоенность тем, что определение торговли людьми, содержащееся в Протоколе о предупреждении и пресечении торговли людьми, особенно женщинами и детьми, и наказании за нее, дополняющем Конвенцию Организации Объединенных Наций против транснациональной организованной преступности, не было полностью инкорпорировано во внутреннее законодательство. Кроме того, нерелевантность согласия в контексте эксплуатации жертв торговли людьми прямо не упоминается в статье 182 Уголовного кодекса. Комитет обеспокоен низким уровнем уголовных дел и обвинительных приговоров за торговлю людьми, особенно в случаях трудовой эксплуатации, а также недостаточными мерами, принимаемыми для выявления жертв торговли людьми (статьи 2, 12–14 и 16).</w:t>
      </w:r>
    </w:p>
    <w:p w14:paraId="0129CAA7" w14:textId="77777777" w:rsidR="009F13BE" w:rsidRPr="005C61E3" w:rsidRDefault="009F13BE" w:rsidP="009F13BE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борьбе с торговлей людьми путем принятия законодательных мер для обеспечения того, чтобы определение торговли людьми полностью соответствовало международным стандартам, а также путем судебного преследования и наказания виновных и предоставления адекватной защиты и возмещения, включая компенсацию и реабилитацию, жертвам.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 постоянное наращивание потенциала в области предупреждения торговли людьми и выявления жертв, в том числе для сотрудников судебных и правоохранительных органов, иммиграционной службы и пограничного контроля.</w:t>
      </w:r>
      <w:r>
        <w:t xml:space="preserve"> </w:t>
      </w:r>
      <w:r>
        <w:rPr>
          <w:b/>
          <w:bCs/>
        </w:rPr>
        <w:t>Наконец, государству-участнику следует поощрять и проводить общенациональные информационно-просветительские кампании, уделяя особое внимание выявлению жертв.</w:t>
      </w:r>
    </w:p>
    <w:p w14:paraId="3B5023F0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Подготовка кадров</w:t>
      </w:r>
      <w:r>
        <w:t xml:space="preserve"> </w:t>
      </w:r>
    </w:p>
    <w:p w14:paraId="0C7F7BAB" w14:textId="77777777" w:rsidR="009F13BE" w:rsidRPr="005C61E3" w:rsidRDefault="009F13BE" w:rsidP="009F13BE">
      <w:pPr>
        <w:pStyle w:val="SingleTxtG"/>
      </w:pPr>
      <w:r>
        <w:t>41.</w:t>
      </w:r>
      <w:r>
        <w:tab/>
        <w:t xml:space="preserve">Комитет признает усилия, предпринимаемые государством-участником с целью разработки и осуществления программ подготовки сотрудников правоохранительных органов и персонала, работающего в федеральных центрах для просителей убежища, а также для выделения на них соответствующих ресурсов. Тем не менее Комитет выражает сожаление по поводу ограниченности полученной информации о подготовке других государственных служащих, контактирующих с просителями убежища и </w:t>
      </w:r>
      <w:r>
        <w:lastRenderedPageBreak/>
        <w:t>лицами, лишенными свободы, включая сотрудников иммиграционной службы и пограничного контроля, охранников, работающих по контракту в федеральных центрах для просителей убежища, и медицинских работников, работающих в тюрьмах и центрах для просителей убежища. Комитет по-прежнему обеспокоен отсутствием информации об оценках воздействия этих программ (статья 10).</w:t>
      </w:r>
      <w:bookmarkStart w:id="4" w:name="_Hlk140660194"/>
      <w:bookmarkEnd w:id="4"/>
    </w:p>
    <w:p w14:paraId="11B80705" w14:textId="5CC38967" w:rsidR="009F13BE" w:rsidRPr="005C61E3" w:rsidRDefault="009F13BE" w:rsidP="009F13BE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9A0F57">
        <w:rPr>
          <w:rStyle w:val="aa"/>
        </w:rPr>
        <w:footnoteReference w:id="12"/>
      </w:r>
      <w:r>
        <w:rPr>
          <w:b/>
          <w:bCs/>
        </w:rPr>
        <w:t>, а именно: государству-участнику следует активизировать усилия для обеспечения подготовки всех соответствующих должностных лиц по вопросам его обязательств по Конвенции и систематической подготовки и практики применения Стамбульского протокола, а также разработать конкретные методики оценки учебных программ по вопросам абсолютного запрещения пыток и неправомерного обращения для сотрудников полиции и тюрем.</w:t>
      </w:r>
    </w:p>
    <w:p w14:paraId="5BF2119F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Возмещение ущерба</w:t>
      </w:r>
    </w:p>
    <w:p w14:paraId="709AF38D" w14:textId="77777777" w:rsidR="009F13BE" w:rsidRPr="005C61E3" w:rsidRDefault="009F13BE" w:rsidP="009F13BE">
      <w:pPr>
        <w:pStyle w:val="SingleTxtG"/>
      </w:pPr>
      <w:r>
        <w:t>43.</w:t>
      </w:r>
      <w:r>
        <w:tab/>
        <w:t>Комитет сожалеет, что делегация не смогла предоставить обновленную информацию о возмещении ущерба, включая компенсационные меры, назначенные судами или другими государственными органами и фактически предоставленные жертвам пыток или их семьям, со времени рассмотрения предыдущего периодического доклада государства-участника. Он с озабоченностью отмечает, что государство-участник не представило информации о программах возмещения ущерба или мерах, принятых для поддержки и облегчения работы неправительственных организаций, деятельность которых направлена на обеспечение реабилитации жертв пыток и жестокого обращения. Комитет обращает внимание государства-участника на свое замечание общего порядка № 3 (2012) об осуществлении статьи 14, в котором Комитет разъясняет содержание и объем обязательств государств-участников по предоставлению полного возмещения ущерба жертвам пыток (статья 14).</w:t>
      </w:r>
    </w:p>
    <w:p w14:paraId="037E4C8E" w14:textId="77777777" w:rsidR="009F13BE" w:rsidRPr="005C61E3" w:rsidRDefault="009F13BE" w:rsidP="009F13BE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 обеспечить осуществление мер по защите права всех жертв пыток и жестокого обращения на получение возмещения, включая подкрепляемое правовой санкцией право на справедливую и адекватную компенсацию и средства для возможно более полной реабилитации.</w:t>
      </w:r>
      <w:r>
        <w:t xml:space="preserve"> </w:t>
      </w:r>
      <w:r>
        <w:rPr>
          <w:b/>
          <w:bCs/>
        </w:rPr>
        <w:t>Государству-участнику следует поощрять, поддерживать и облегчать участие неправительственных организаций в реабилитации жертв и их вклад в это дело.</w:t>
      </w:r>
      <w:r>
        <w:t xml:space="preserve"> </w:t>
      </w:r>
      <w:r>
        <w:rPr>
          <w:b/>
          <w:bCs/>
        </w:rPr>
        <w:t>Государству-участнику следует собрать и представить Комитету информацию о возмещении и компенсации, включая средства реабилитации, которые были назначены судами или другими государственными органами и фактически предоставлены жертвам пыток или жестокого обращения.</w:t>
      </w:r>
    </w:p>
    <w:p w14:paraId="1F4B9F75" w14:textId="77777777" w:rsidR="009F13BE" w:rsidRPr="005C61E3" w:rsidRDefault="009F13BE" w:rsidP="009F13BE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33310400" w14:textId="77777777" w:rsidR="009F13BE" w:rsidRPr="005C61E3" w:rsidRDefault="009F13BE" w:rsidP="009F13BE">
      <w:pPr>
        <w:pStyle w:val="SingleTxtG"/>
      </w:pPr>
      <w:r>
        <w:t>45.</w:t>
      </w:r>
      <w:r>
        <w:tab/>
        <w:t>Комитет по-прежнему обеспокоен разрозненностью и непоследовательностью сбора данных о пытках и жестоком обращении в различных кантонах, отсутствием центральной системы сбора соответствующих статистических данных и отсутствием дезагрегированных данных о жертвах, включая данные в разбивке по возрасту, полу, гражданству и расовому и этническому происхождению (статьи 2, 12–14 и 16).</w:t>
      </w:r>
    </w:p>
    <w:p w14:paraId="7A734C30" w14:textId="77777777" w:rsidR="009F13BE" w:rsidRPr="005C61E3" w:rsidRDefault="009F13BE" w:rsidP="009F13BE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Государству-участнику следует активизировать усилия по укреплению своего потенциала в области сбора, дезагрегирования и анализа, более целенаправленным и скоординированным образом, статистических данных, имеющих отношение к контролю за выполнением Конвенции, в том числе данных о поданных жалобах, проведенных расследованиях, возбужденных уголовных делах и вынесенных обвинительных приговорах по делам о пытках и жестоком обращении, торговле людьми и гендерном насилии, о средствах правовой защиты, включая компенсацию и реабилитацию, предоставленных жертвам, и по другим вопросам, как об этом просил Комитет в своем перечне вопросов до представления доклада.</w:t>
      </w:r>
    </w:p>
    <w:p w14:paraId="343EC5A0" w14:textId="77777777" w:rsidR="009F13BE" w:rsidRPr="005C61E3" w:rsidRDefault="009F13BE" w:rsidP="009F13BE">
      <w:pPr>
        <w:pStyle w:val="H23G"/>
      </w:pPr>
      <w:r>
        <w:lastRenderedPageBreak/>
        <w:tab/>
      </w:r>
      <w:r>
        <w:tab/>
      </w:r>
      <w:r>
        <w:rPr>
          <w:bCs/>
        </w:rPr>
        <w:t>Процедура последующих действий</w:t>
      </w:r>
    </w:p>
    <w:p w14:paraId="67304C16" w14:textId="707CCA0D" w:rsidR="009F13BE" w:rsidRPr="005C61E3" w:rsidRDefault="009F13BE" w:rsidP="009F13BE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 xml:space="preserve">Комитет просит государство-участник представить к 28 июля </w:t>
      </w:r>
      <w:r w:rsidR="001C5B9B">
        <w:rPr>
          <w:b/>
          <w:bCs/>
        </w:rPr>
        <w:br/>
      </w:r>
      <w:r>
        <w:rPr>
          <w:b/>
          <w:bCs/>
        </w:rPr>
        <w:t xml:space="preserve">2024 года информацию о последующих мерах по выполнению рекомендаций Комитета, касающихся определения пытки, национального превентивного механизма, независимого механизма рассмотрения жалоб и сбора данных </w:t>
      </w:r>
      <w:r w:rsidR="001C5B9B">
        <w:rPr>
          <w:b/>
          <w:bCs/>
        </w:rPr>
        <w:br/>
      </w:r>
      <w:r>
        <w:rPr>
          <w:b/>
          <w:bCs/>
        </w:rPr>
        <w:t>(см. пункты 10, 18, 36 и 46 выше).</w:t>
      </w:r>
      <w:r>
        <w:t xml:space="preserve"> </w:t>
      </w:r>
      <w:r>
        <w:rPr>
          <w:b/>
          <w:bCs/>
        </w:rPr>
        <w:t>В этой связи государству-участнику предлагается проинформировать Комитет о своих планах по выполнению в течение предстоящего отчетного периода некоторых или всех оставшихся рекомендаций, содержащихся в настоящих заключительных замечаниях.</w:t>
      </w:r>
    </w:p>
    <w:p w14:paraId="42E3D457" w14:textId="77777777" w:rsidR="009F13BE" w:rsidRPr="005C61E3" w:rsidRDefault="009F13BE" w:rsidP="009F13BE">
      <w:pPr>
        <w:pStyle w:val="H1G"/>
        <w:rPr>
          <w:rFonts w:eastAsia="SimSun"/>
        </w:rPr>
      </w:pPr>
      <w:r>
        <w:tab/>
      </w:r>
      <w:r>
        <w:tab/>
      </w:r>
      <w:r>
        <w:rPr>
          <w:bCs/>
        </w:rPr>
        <w:t>Прочие вопросы</w:t>
      </w:r>
    </w:p>
    <w:p w14:paraId="3955DA1C" w14:textId="77777777" w:rsidR="009F13BE" w:rsidRPr="005C61E3" w:rsidRDefault="009F13BE" w:rsidP="009F13BE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 и проинформировать Комитет о своей деятельности по распространению информации.</w:t>
      </w:r>
    </w:p>
    <w:p w14:paraId="2D9D291B" w14:textId="77777777" w:rsidR="009F13BE" w:rsidRPr="005C61E3" w:rsidRDefault="009F13BE" w:rsidP="009F13BE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просит государство-участник представить свой следующий, девятый по счету, периодический доклад к 28 июля 2027 года.</w:t>
      </w:r>
      <w:r>
        <w:t xml:space="preserve"> </w:t>
      </w:r>
      <w:r>
        <w:rPr>
          <w:b/>
          <w:bCs/>
        </w:rPr>
        <w:t>С этой целью, а также с учетом того, что государство-участник согласилось представлять Комитету доклады в соответствии с упрощенной процедурой представления докладов, Комитет в установленном порядке препроводит государству-участнику перечень вопросов до представления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составят его девятый периодический доклад в соответствии со статьей 19 Конвенции.</w:t>
      </w:r>
    </w:p>
    <w:p w14:paraId="013ECED9" w14:textId="77777777" w:rsidR="009F13BE" w:rsidRPr="005C61E3" w:rsidRDefault="009F13BE" w:rsidP="009F13BE">
      <w:pPr>
        <w:spacing w:before="240"/>
        <w:jc w:val="center"/>
        <w:rPr>
          <w:u w:val="single"/>
        </w:rPr>
      </w:pPr>
      <w:r w:rsidRPr="005C61E3">
        <w:rPr>
          <w:u w:val="single"/>
        </w:rPr>
        <w:tab/>
      </w:r>
      <w:r w:rsidRPr="005C61E3">
        <w:rPr>
          <w:u w:val="single"/>
        </w:rPr>
        <w:tab/>
      </w:r>
      <w:r w:rsidRPr="005C61E3">
        <w:rPr>
          <w:u w:val="single"/>
        </w:rPr>
        <w:tab/>
      </w:r>
    </w:p>
    <w:p w14:paraId="69494C74" w14:textId="3C4FA5FE" w:rsidR="009F13BE" w:rsidRPr="009F13BE" w:rsidRDefault="009F13BE" w:rsidP="00041407"/>
    <w:sectPr w:rsidR="009F13BE" w:rsidRPr="009F13BE" w:rsidSect="009F13B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A1C33" w14:textId="77777777" w:rsidR="00910D77" w:rsidRPr="00A312BC" w:rsidRDefault="00910D77" w:rsidP="00A312BC"/>
  </w:endnote>
  <w:endnote w:type="continuationSeparator" w:id="0">
    <w:p w14:paraId="577B858D" w14:textId="77777777" w:rsidR="00910D77" w:rsidRPr="00A312BC" w:rsidRDefault="00910D7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975D0" w14:textId="1A1A0C3E" w:rsidR="009F13BE" w:rsidRPr="009F13BE" w:rsidRDefault="009F13BE">
    <w:pPr>
      <w:pStyle w:val="a8"/>
    </w:pPr>
    <w:r w:rsidRPr="009F13BE">
      <w:rPr>
        <w:b/>
        <w:sz w:val="18"/>
      </w:rPr>
      <w:fldChar w:fldCharType="begin"/>
    </w:r>
    <w:r w:rsidRPr="009F13BE">
      <w:rPr>
        <w:b/>
        <w:sz w:val="18"/>
      </w:rPr>
      <w:instrText xml:space="preserve"> PAGE  \* MERGEFORMAT </w:instrText>
    </w:r>
    <w:r w:rsidRPr="009F13BE">
      <w:rPr>
        <w:b/>
        <w:sz w:val="18"/>
      </w:rPr>
      <w:fldChar w:fldCharType="separate"/>
    </w:r>
    <w:r w:rsidRPr="009F13BE">
      <w:rPr>
        <w:b/>
        <w:noProof/>
        <w:sz w:val="18"/>
      </w:rPr>
      <w:t>2</w:t>
    </w:r>
    <w:r w:rsidRPr="009F13BE">
      <w:rPr>
        <w:b/>
        <w:sz w:val="18"/>
      </w:rPr>
      <w:fldChar w:fldCharType="end"/>
    </w:r>
    <w:r>
      <w:rPr>
        <w:b/>
        <w:sz w:val="18"/>
      </w:rPr>
      <w:tab/>
    </w:r>
    <w:r>
      <w:t>GE.23-14850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43E8A" w14:textId="6C6CB514" w:rsidR="009F13BE" w:rsidRPr="009F13BE" w:rsidRDefault="009F13BE" w:rsidP="009F13BE">
    <w:pPr>
      <w:pStyle w:val="a8"/>
      <w:tabs>
        <w:tab w:val="clear" w:pos="9639"/>
        <w:tab w:val="right" w:pos="9638"/>
      </w:tabs>
      <w:rPr>
        <w:b/>
        <w:sz w:val="18"/>
      </w:rPr>
    </w:pPr>
    <w:r>
      <w:t>GE.23-14850</w:t>
    </w:r>
    <w:r>
      <w:tab/>
    </w:r>
    <w:r w:rsidRPr="009F13BE">
      <w:rPr>
        <w:b/>
        <w:sz w:val="18"/>
      </w:rPr>
      <w:fldChar w:fldCharType="begin"/>
    </w:r>
    <w:r w:rsidRPr="009F13BE">
      <w:rPr>
        <w:b/>
        <w:sz w:val="18"/>
      </w:rPr>
      <w:instrText xml:space="preserve"> PAGE  \* MERGEFORMAT </w:instrText>
    </w:r>
    <w:r w:rsidRPr="009F13BE">
      <w:rPr>
        <w:b/>
        <w:sz w:val="18"/>
      </w:rPr>
      <w:fldChar w:fldCharType="separate"/>
    </w:r>
    <w:r w:rsidRPr="009F13BE">
      <w:rPr>
        <w:b/>
        <w:noProof/>
        <w:sz w:val="18"/>
      </w:rPr>
      <w:t>3</w:t>
    </w:r>
    <w:r w:rsidRPr="009F13B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53600" w14:textId="2A5299CD" w:rsidR="00042B72" w:rsidRPr="009F13BE" w:rsidRDefault="009F13BE" w:rsidP="009F13B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D5BA7E4" wp14:editId="39BB8B4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23-14850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5002FAC" wp14:editId="707DFFA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170124  120224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2C14F" w14:textId="77777777" w:rsidR="00910D77" w:rsidRPr="001075E9" w:rsidRDefault="00910D7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0BB9966" w14:textId="77777777" w:rsidR="00910D77" w:rsidRDefault="00910D7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1920CBC" w14:textId="77777777" w:rsidR="009F13BE" w:rsidRPr="005C61E3" w:rsidRDefault="009F13BE" w:rsidP="009F13BE">
      <w:pPr>
        <w:pStyle w:val="ad"/>
      </w:pPr>
      <w:r>
        <w:tab/>
      </w:r>
      <w:r w:rsidRPr="00B9059F">
        <w:rPr>
          <w:sz w:val="20"/>
        </w:rPr>
        <w:t>*</w:t>
      </w:r>
      <w:r>
        <w:tab/>
        <w:t>Принято Комитетом на его семьдесят седьмой сессии (10–28 июля 2023 года).</w:t>
      </w:r>
    </w:p>
  </w:footnote>
  <w:footnote w:id="2">
    <w:p w14:paraId="3AFF6117" w14:textId="6FA85B4E" w:rsidR="009F13BE" w:rsidRPr="009F13BE" w:rsidRDefault="009F13BE" w:rsidP="009F13BE">
      <w:pPr>
        <w:pStyle w:val="ad"/>
        <w:rPr>
          <w:lang w:val="en-US"/>
        </w:rPr>
      </w:pPr>
      <w:r w:rsidRPr="00425D5B">
        <w:tab/>
      </w:r>
      <w:r w:rsidRPr="00E80485">
        <w:rPr>
          <w:rStyle w:val="aa"/>
        </w:rPr>
        <w:footnoteRef/>
      </w:r>
      <w:r w:rsidRPr="005C61E3">
        <w:rPr>
          <w:lang w:val="en-US"/>
        </w:rPr>
        <w:tab/>
      </w:r>
      <w:hyperlink r:id="rId1" w:history="1">
        <w:r w:rsidRPr="007B64CB">
          <w:rPr>
            <w:rStyle w:val="af1"/>
            <w:lang w:val="en-US"/>
          </w:rPr>
          <w:t>CAT/C/CHE/8</w:t>
        </w:r>
      </w:hyperlink>
      <w:r w:rsidRPr="005C61E3">
        <w:rPr>
          <w:lang w:val="en-US"/>
        </w:rPr>
        <w:t>.</w:t>
      </w:r>
    </w:p>
  </w:footnote>
  <w:footnote w:id="3">
    <w:p w14:paraId="723C77A9" w14:textId="276C28FA" w:rsidR="009F13BE" w:rsidRPr="009F13BE" w:rsidRDefault="009F13BE" w:rsidP="009F13BE">
      <w:pPr>
        <w:pStyle w:val="ad"/>
        <w:rPr>
          <w:lang w:val="en-US"/>
        </w:rPr>
      </w:pPr>
      <w:r w:rsidRPr="005C61E3">
        <w:rPr>
          <w:lang w:val="en-US"/>
        </w:rPr>
        <w:tab/>
      </w:r>
      <w:r w:rsidRPr="00E80485">
        <w:rPr>
          <w:rStyle w:val="aa"/>
        </w:rPr>
        <w:footnoteRef/>
      </w:r>
      <w:r w:rsidRPr="005C61E3">
        <w:rPr>
          <w:lang w:val="en-US"/>
        </w:rPr>
        <w:tab/>
      </w:r>
      <w:r>
        <w:t>См</w:t>
      </w:r>
      <w:r w:rsidRPr="005C61E3">
        <w:rPr>
          <w:lang w:val="en-US"/>
        </w:rPr>
        <w:t xml:space="preserve">. </w:t>
      </w:r>
      <w:hyperlink r:id="rId2" w:history="1">
        <w:r w:rsidRPr="007B64CB">
          <w:rPr>
            <w:rStyle w:val="af1"/>
            <w:lang w:val="en-US"/>
          </w:rPr>
          <w:t>CAT/C/SR.2015</w:t>
        </w:r>
      </w:hyperlink>
      <w:r w:rsidRPr="005C61E3">
        <w:rPr>
          <w:lang w:val="en-US"/>
        </w:rPr>
        <w:t xml:space="preserve"> </w:t>
      </w:r>
      <w:r>
        <w:t>и</w:t>
      </w:r>
      <w:r w:rsidRPr="005C61E3">
        <w:rPr>
          <w:lang w:val="en-US"/>
        </w:rPr>
        <w:t xml:space="preserve"> </w:t>
      </w:r>
      <w:hyperlink r:id="rId3" w:history="1">
        <w:r w:rsidRPr="007B64CB">
          <w:rPr>
            <w:rStyle w:val="af1"/>
            <w:lang w:val="en-US"/>
          </w:rPr>
          <w:t>CAT/C/SR.2018</w:t>
        </w:r>
      </w:hyperlink>
      <w:r w:rsidRPr="005C61E3">
        <w:rPr>
          <w:lang w:val="en-US"/>
        </w:rPr>
        <w:t>.</w:t>
      </w:r>
    </w:p>
  </w:footnote>
  <w:footnote w:id="4">
    <w:p w14:paraId="14C7731A" w14:textId="76D9EFFC" w:rsidR="009F13BE" w:rsidRPr="009F13BE" w:rsidRDefault="009F13BE" w:rsidP="009F13BE">
      <w:pPr>
        <w:pStyle w:val="ad"/>
        <w:rPr>
          <w:lang w:val="en-US"/>
        </w:rPr>
      </w:pPr>
      <w:r w:rsidRPr="005C61E3">
        <w:rPr>
          <w:lang w:val="en-US"/>
        </w:rPr>
        <w:tab/>
      </w:r>
      <w:r w:rsidRPr="00E80485">
        <w:rPr>
          <w:rStyle w:val="aa"/>
        </w:rPr>
        <w:footnoteRef/>
      </w:r>
      <w:r w:rsidRPr="005C61E3">
        <w:rPr>
          <w:lang w:val="en-US"/>
        </w:rPr>
        <w:tab/>
      </w:r>
      <w:hyperlink r:id="rId4" w:history="1">
        <w:r w:rsidRPr="007B64CB">
          <w:rPr>
            <w:rStyle w:val="af1"/>
            <w:lang w:val="en-US"/>
          </w:rPr>
          <w:t>CAT/C/CHE/CO/7</w:t>
        </w:r>
      </w:hyperlink>
      <w:r w:rsidRPr="005C61E3">
        <w:rPr>
          <w:lang w:val="en-US"/>
        </w:rPr>
        <w:t xml:space="preserve">, </w:t>
      </w:r>
      <w:r>
        <w:t>п</w:t>
      </w:r>
      <w:r w:rsidRPr="009A75F8">
        <w:rPr>
          <w:lang w:val="en-US"/>
        </w:rPr>
        <w:t>.</w:t>
      </w:r>
      <w:r w:rsidRPr="005C61E3">
        <w:rPr>
          <w:lang w:val="en-US"/>
        </w:rPr>
        <w:t xml:space="preserve"> 22.</w:t>
      </w:r>
    </w:p>
  </w:footnote>
  <w:footnote w:id="5">
    <w:p w14:paraId="429764B7" w14:textId="66631EC5" w:rsidR="009F13BE" w:rsidRPr="009F13BE" w:rsidRDefault="009F13BE" w:rsidP="009F13BE">
      <w:pPr>
        <w:pStyle w:val="ad"/>
        <w:rPr>
          <w:lang w:val="en-US"/>
        </w:rPr>
      </w:pPr>
      <w:r w:rsidRPr="005C61E3">
        <w:rPr>
          <w:lang w:val="en-US"/>
        </w:rPr>
        <w:tab/>
      </w:r>
      <w:r w:rsidRPr="00E80485">
        <w:rPr>
          <w:rStyle w:val="aa"/>
        </w:rPr>
        <w:footnoteRef/>
      </w:r>
      <w:r w:rsidRPr="005C61E3">
        <w:rPr>
          <w:lang w:val="en-US"/>
        </w:rPr>
        <w:tab/>
      </w:r>
      <w:hyperlink r:id="rId5" w:history="1">
        <w:r w:rsidRPr="007B64CB">
          <w:rPr>
            <w:rStyle w:val="af1"/>
            <w:lang w:val="en-US"/>
          </w:rPr>
          <w:t>CAT/C/CHE/CO/7/Add.1</w:t>
        </w:r>
      </w:hyperlink>
      <w:r w:rsidRPr="005C61E3">
        <w:rPr>
          <w:lang w:val="en-US"/>
        </w:rPr>
        <w:t>.</w:t>
      </w:r>
    </w:p>
  </w:footnote>
  <w:footnote w:id="6">
    <w:p w14:paraId="44FFAA21" w14:textId="6030553C" w:rsidR="009F13BE" w:rsidRPr="009F13BE" w:rsidRDefault="009F13BE" w:rsidP="009F13BE">
      <w:pPr>
        <w:pStyle w:val="ad"/>
        <w:rPr>
          <w:lang w:val="en-US"/>
        </w:rPr>
      </w:pPr>
      <w:r w:rsidRPr="005C61E3">
        <w:rPr>
          <w:lang w:val="en-US"/>
        </w:rPr>
        <w:tab/>
      </w:r>
      <w:r w:rsidRPr="00E80485">
        <w:rPr>
          <w:rStyle w:val="aa"/>
        </w:rPr>
        <w:footnoteRef/>
      </w:r>
      <w:r w:rsidRPr="005C61E3">
        <w:rPr>
          <w:lang w:val="en-US"/>
        </w:rPr>
        <w:tab/>
      </w:r>
      <w:hyperlink r:id="rId6" w:history="1">
        <w:r w:rsidRPr="007B64CB">
          <w:rPr>
            <w:rStyle w:val="af1"/>
            <w:lang w:val="en-US"/>
          </w:rPr>
          <w:t>CAT/C/CHE/CO/7</w:t>
        </w:r>
      </w:hyperlink>
      <w:r w:rsidRPr="005C61E3">
        <w:rPr>
          <w:lang w:val="en-US"/>
        </w:rPr>
        <w:t xml:space="preserve">, </w:t>
      </w:r>
      <w:r>
        <w:t>п</w:t>
      </w:r>
      <w:r w:rsidRPr="005C61E3">
        <w:rPr>
          <w:lang w:val="en-US"/>
        </w:rPr>
        <w:t>. 8.</w:t>
      </w:r>
    </w:p>
  </w:footnote>
  <w:footnote w:id="7">
    <w:p w14:paraId="1F2E922D" w14:textId="7BF57ED9" w:rsidR="009F13BE" w:rsidRPr="005C61E3" w:rsidRDefault="009F13BE" w:rsidP="009F13BE">
      <w:pPr>
        <w:pStyle w:val="ad"/>
        <w:rPr>
          <w:lang w:val="fr-FR"/>
        </w:rPr>
      </w:pPr>
      <w:r w:rsidRPr="005C61E3">
        <w:rPr>
          <w:lang w:val="en-US"/>
        </w:rPr>
        <w:tab/>
      </w:r>
      <w:r w:rsidRPr="00E80485">
        <w:rPr>
          <w:rStyle w:val="aa"/>
        </w:rPr>
        <w:footnoteRef/>
      </w:r>
      <w:r w:rsidRPr="005C61E3">
        <w:rPr>
          <w:lang w:val="fr-FR"/>
        </w:rPr>
        <w:tab/>
      </w:r>
      <w:hyperlink r:id="rId7" w:history="1">
        <w:r w:rsidRPr="007B64CB">
          <w:rPr>
            <w:rStyle w:val="af1"/>
            <w:lang w:val="fr-FR"/>
          </w:rPr>
          <w:t>CAT/OP/CHE/ROSP/1</w:t>
        </w:r>
      </w:hyperlink>
      <w:r w:rsidRPr="005C61E3">
        <w:rPr>
          <w:lang w:val="fr-FR"/>
        </w:rPr>
        <w:t xml:space="preserve">, </w:t>
      </w:r>
      <w:r>
        <w:t>пп</w:t>
      </w:r>
      <w:r w:rsidRPr="005C61E3">
        <w:rPr>
          <w:lang w:val="fr-FR"/>
        </w:rPr>
        <w:t>. 17–27.</w:t>
      </w:r>
    </w:p>
  </w:footnote>
  <w:footnote w:id="8">
    <w:p w14:paraId="58AA882F" w14:textId="77777777" w:rsidR="009F13BE" w:rsidRPr="005C61E3" w:rsidRDefault="009F13BE" w:rsidP="009F13BE">
      <w:pPr>
        <w:pStyle w:val="ad"/>
        <w:rPr>
          <w:lang w:val="fr-FR"/>
        </w:rPr>
      </w:pPr>
      <w:r w:rsidRPr="005C61E3">
        <w:rPr>
          <w:lang w:val="fr-FR"/>
        </w:rPr>
        <w:tab/>
      </w:r>
      <w:r w:rsidRPr="00E80485">
        <w:rPr>
          <w:rStyle w:val="aa"/>
        </w:rPr>
        <w:footnoteRef/>
      </w:r>
      <w:r w:rsidRPr="005C61E3">
        <w:rPr>
          <w:lang w:val="fr-FR"/>
        </w:rPr>
        <w:tab/>
      </w:r>
      <w:r>
        <w:t>Там</w:t>
      </w:r>
      <w:r w:rsidRPr="005C61E3">
        <w:rPr>
          <w:lang w:val="fr-FR"/>
        </w:rPr>
        <w:t xml:space="preserve"> </w:t>
      </w:r>
      <w:r>
        <w:t>же</w:t>
      </w:r>
      <w:r w:rsidRPr="005C61E3">
        <w:rPr>
          <w:lang w:val="fr-FR"/>
        </w:rPr>
        <w:t xml:space="preserve">, </w:t>
      </w:r>
      <w:r>
        <w:t>п</w:t>
      </w:r>
      <w:r w:rsidRPr="005C61E3">
        <w:rPr>
          <w:lang w:val="fr-FR"/>
        </w:rPr>
        <w:t>. 31.</w:t>
      </w:r>
    </w:p>
  </w:footnote>
  <w:footnote w:id="9">
    <w:p w14:paraId="213769FD" w14:textId="1A6122D3" w:rsidR="009F13BE" w:rsidRPr="005C61E3" w:rsidRDefault="009F13BE" w:rsidP="009F13BE">
      <w:pPr>
        <w:pStyle w:val="ad"/>
        <w:rPr>
          <w:lang w:val="fr-FR"/>
        </w:rPr>
      </w:pPr>
      <w:r w:rsidRPr="005C61E3">
        <w:rPr>
          <w:lang w:val="fr-FR"/>
        </w:rPr>
        <w:tab/>
      </w:r>
      <w:r w:rsidRPr="00E80485">
        <w:rPr>
          <w:rStyle w:val="aa"/>
        </w:rPr>
        <w:footnoteRef/>
      </w:r>
      <w:r w:rsidRPr="005C61E3">
        <w:rPr>
          <w:lang w:val="fr-FR"/>
        </w:rPr>
        <w:tab/>
      </w:r>
      <w:hyperlink r:id="rId8" w:history="1">
        <w:r w:rsidRPr="007B64CB">
          <w:rPr>
            <w:rStyle w:val="af1"/>
            <w:lang w:val="fr-FR"/>
          </w:rPr>
          <w:t>CAT/C/CHE/QPR/8</w:t>
        </w:r>
      </w:hyperlink>
      <w:r w:rsidRPr="005C61E3">
        <w:rPr>
          <w:lang w:val="fr-FR"/>
        </w:rPr>
        <w:t xml:space="preserve">, </w:t>
      </w:r>
      <w:r>
        <w:t>п</w:t>
      </w:r>
      <w:r w:rsidRPr="005C61E3">
        <w:rPr>
          <w:lang w:val="fr-FR"/>
        </w:rPr>
        <w:t>. 5.</w:t>
      </w:r>
    </w:p>
  </w:footnote>
  <w:footnote w:id="10">
    <w:p w14:paraId="65E9CC80" w14:textId="01E1DD02" w:rsidR="009F13BE" w:rsidRPr="009F13BE" w:rsidRDefault="009F13BE" w:rsidP="009F13BE">
      <w:pPr>
        <w:pStyle w:val="ad"/>
        <w:rPr>
          <w:lang w:val="en-US"/>
        </w:rPr>
      </w:pPr>
      <w:r w:rsidRPr="005C61E3">
        <w:rPr>
          <w:lang w:val="fr-FR"/>
        </w:rPr>
        <w:tab/>
      </w:r>
      <w:r w:rsidRPr="00E80485">
        <w:rPr>
          <w:rStyle w:val="aa"/>
        </w:rPr>
        <w:footnoteRef/>
      </w:r>
      <w:r w:rsidRPr="005C61E3">
        <w:rPr>
          <w:lang w:val="en-US"/>
        </w:rPr>
        <w:tab/>
      </w:r>
      <w:hyperlink r:id="rId9" w:history="1">
        <w:r w:rsidRPr="007B64CB">
          <w:rPr>
            <w:rStyle w:val="af1"/>
            <w:lang w:val="en-US"/>
          </w:rPr>
          <w:t>CERD/C/CHE/CO/10-12</w:t>
        </w:r>
      </w:hyperlink>
      <w:r w:rsidRPr="005C61E3">
        <w:rPr>
          <w:lang w:val="en-US"/>
        </w:rPr>
        <w:t xml:space="preserve">, </w:t>
      </w:r>
      <w:r>
        <w:t>п</w:t>
      </w:r>
      <w:r w:rsidRPr="005C61E3">
        <w:rPr>
          <w:lang w:val="en-US"/>
        </w:rPr>
        <w:t>. 17.</w:t>
      </w:r>
    </w:p>
  </w:footnote>
  <w:footnote w:id="11">
    <w:p w14:paraId="5557302D" w14:textId="2E11EA03" w:rsidR="009F13BE" w:rsidRPr="009F13BE" w:rsidRDefault="009F13BE" w:rsidP="009F13BE">
      <w:pPr>
        <w:pStyle w:val="ad"/>
        <w:rPr>
          <w:lang w:val="en-US"/>
        </w:rPr>
      </w:pPr>
      <w:r w:rsidRPr="005C61E3">
        <w:rPr>
          <w:lang w:val="en-US"/>
        </w:rPr>
        <w:tab/>
      </w:r>
      <w:r w:rsidRPr="00E80485">
        <w:rPr>
          <w:rStyle w:val="aa"/>
        </w:rPr>
        <w:footnoteRef/>
      </w:r>
      <w:r w:rsidRPr="005C61E3">
        <w:rPr>
          <w:lang w:val="en-US"/>
        </w:rPr>
        <w:tab/>
      </w:r>
      <w:hyperlink r:id="rId10" w:history="1">
        <w:r w:rsidRPr="007B64CB">
          <w:rPr>
            <w:rStyle w:val="af1"/>
            <w:lang w:val="en-US"/>
          </w:rPr>
          <w:t>A/HRC/51/54/Add.1</w:t>
        </w:r>
      </w:hyperlink>
      <w:r w:rsidRPr="005C61E3">
        <w:rPr>
          <w:lang w:val="en-US"/>
        </w:rPr>
        <w:t xml:space="preserve">, </w:t>
      </w:r>
      <w:r>
        <w:t>пп</w:t>
      </w:r>
      <w:r w:rsidRPr="005C61E3">
        <w:rPr>
          <w:lang w:val="en-US"/>
        </w:rPr>
        <w:t>. 35–43.</w:t>
      </w:r>
    </w:p>
  </w:footnote>
  <w:footnote w:id="12">
    <w:p w14:paraId="0CE01AD9" w14:textId="5363CF29" w:rsidR="009F13BE" w:rsidRPr="009F13BE" w:rsidRDefault="009F13BE" w:rsidP="009F13BE">
      <w:pPr>
        <w:pStyle w:val="ad"/>
        <w:rPr>
          <w:lang w:val="en-US"/>
        </w:rPr>
      </w:pPr>
      <w:r w:rsidRPr="005C61E3">
        <w:rPr>
          <w:lang w:val="en-US"/>
        </w:rPr>
        <w:tab/>
      </w:r>
      <w:r w:rsidRPr="00E80485">
        <w:rPr>
          <w:rStyle w:val="aa"/>
        </w:rPr>
        <w:footnoteRef/>
      </w:r>
      <w:r w:rsidRPr="005C61E3">
        <w:rPr>
          <w:lang w:val="en-US"/>
        </w:rPr>
        <w:tab/>
      </w:r>
      <w:hyperlink r:id="rId11" w:history="1">
        <w:r w:rsidRPr="007B64CB">
          <w:rPr>
            <w:rStyle w:val="af1"/>
            <w:lang w:val="en-US"/>
          </w:rPr>
          <w:t>CAT/C/CHE/CO/7</w:t>
        </w:r>
      </w:hyperlink>
      <w:r w:rsidRPr="005C61E3">
        <w:rPr>
          <w:lang w:val="en-US"/>
        </w:rPr>
        <w:t xml:space="preserve">, </w:t>
      </w:r>
      <w:r>
        <w:t>п</w:t>
      </w:r>
      <w:r w:rsidRPr="005C61E3">
        <w:rPr>
          <w:lang w:val="en-US"/>
        </w:rPr>
        <w:t>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7F8AD" w14:textId="67B0A573" w:rsidR="009F13BE" w:rsidRPr="009F13BE" w:rsidRDefault="0030014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D23B8D">
      <w:t>CAT/C/CHE/CO/8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B189F" w14:textId="5B08E930" w:rsidR="009F13BE" w:rsidRPr="009F13BE" w:rsidRDefault="00300146" w:rsidP="009F13B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D23B8D">
      <w:t>CAT/C/CHE/CO/8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77"/>
    <w:rsid w:val="00030741"/>
    <w:rsid w:val="00033EE1"/>
    <w:rsid w:val="00041407"/>
    <w:rsid w:val="00042B72"/>
    <w:rsid w:val="000519FC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5B9B"/>
    <w:rsid w:val="001C7A89"/>
    <w:rsid w:val="002A2EFC"/>
    <w:rsid w:val="002C0E18"/>
    <w:rsid w:val="002D525E"/>
    <w:rsid w:val="002D5AAC"/>
    <w:rsid w:val="002E5067"/>
    <w:rsid w:val="002F405F"/>
    <w:rsid w:val="002F7EEC"/>
    <w:rsid w:val="00300146"/>
    <w:rsid w:val="00301299"/>
    <w:rsid w:val="00307FB6"/>
    <w:rsid w:val="00315ED6"/>
    <w:rsid w:val="00317339"/>
    <w:rsid w:val="00322004"/>
    <w:rsid w:val="003269FF"/>
    <w:rsid w:val="003402C2"/>
    <w:rsid w:val="00341384"/>
    <w:rsid w:val="00374EC6"/>
    <w:rsid w:val="00381C24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61C8"/>
    <w:rsid w:val="005B33AF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66FB5"/>
    <w:rsid w:val="007B64CB"/>
    <w:rsid w:val="007D1E8E"/>
    <w:rsid w:val="00825F8D"/>
    <w:rsid w:val="00834B71"/>
    <w:rsid w:val="00834CC0"/>
    <w:rsid w:val="0086445C"/>
    <w:rsid w:val="00894693"/>
    <w:rsid w:val="008A08D7"/>
    <w:rsid w:val="008B6909"/>
    <w:rsid w:val="00906890"/>
    <w:rsid w:val="00910D77"/>
    <w:rsid w:val="00911BE4"/>
    <w:rsid w:val="00951972"/>
    <w:rsid w:val="00953B7A"/>
    <w:rsid w:val="009569AF"/>
    <w:rsid w:val="009608F3"/>
    <w:rsid w:val="009A24AC"/>
    <w:rsid w:val="009F13BE"/>
    <w:rsid w:val="009F405C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07E6"/>
    <w:rsid w:val="00B539E7"/>
    <w:rsid w:val="00B62458"/>
    <w:rsid w:val="00B9059F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D4928"/>
    <w:rsid w:val="00CE5A1A"/>
    <w:rsid w:val="00CF55F6"/>
    <w:rsid w:val="00D23B8D"/>
    <w:rsid w:val="00D33D63"/>
    <w:rsid w:val="00D6392D"/>
    <w:rsid w:val="00D7263B"/>
    <w:rsid w:val="00D90028"/>
    <w:rsid w:val="00D90138"/>
    <w:rsid w:val="00DF71B9"/>
    <w:rsid w:val="00E21169"/>
    <w:rsid w:val="00E528D1"/>
    <w:rsid w:val="00E73F76"/>
    <w:rsid w:val="00EA2C9F"/>
    <w:rsid w:val="00EA3B49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105D2F"/>
  <w15:docId w15:val="{FD0CE583-E1FF-4251-AC8A-5C130728D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/>
      <w:u w:val="none"/>
    </w:rPr>
  </w:style>
  <w:style w:type="character" w:styleId="af2">
    <w:name w:val="FollowedHyperlink"/>
    <w:basedOn w:val="a0"/>
    <w:rsid w:val="00570A37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locked/>
    <w:rsid w:val="009F13BE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7B6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AT/C/CHE/QPR/8" TargetMode="External"/><Relationship Id="rId3" Type="http://schemas.openxmlformats.org/officeDocument/2006/relationships/hyperlink" Target="http://undocs.org/en/CAT/C/SR.2018" TargetMode="External"/><Relationship Id="rId7" Type="http://schemas.openxmlformats.org/officeDocument/2006/relationships/hyperlink" Target="http://undocs.org/en/CAT/OP/CHE/ROSP/1" TargetMode="External"/><Relationship Id="rId2" Type="http://schemas.openxmlformats.org/officeDocument/2006/relationships/hyperlink" Target="http://undocs.org/en/CAT/C/SR.2015" TargetMode="External"/><Relationship Id="rId1" Type="http://schemas.openxmlformats.org/officeDocument/2006/relationships/hyperlink" Target="http://undocs.org/en/CAT/C/CHE/8" TargetMode="External"/><Relationship Id="rId6" Type="http://schemas.openxmlformats.org/officeDocument/2006/relationships/hyperlink" Target="http://undocs.org/ru/CAT/C/CHE/CO/7" TargetMode="External"/><Relationship Id="rId11" Type="http://schemas.openxmlformats.org/officeDocument/2006/relationships/hyperlink" Target="http://undocs.org/ru/CAT/C/CHE/CO/7" TargetMode="External"/><Relationship Id="rId5" Type="http://schemas.openxmlformats.org/officeDocument/2006/relationships/hyperlink" Target="http://undocs.org/en/CAT/C/CHE/CO/7/Add.1" TargetMode="External"/><Relationship Id="rId10" Type="http://schemas.openxmlformats.org/officeDocument/2006/relationships/hyperlink" Target="http://undocs.org/ru/A/HRC/51/54/Add.1" TargetMode="External"/><Relationship Id="rId4" Type="http://schemas.openxmlformats.org/officeDocument/2006/relationships/hyperlink" Target="http://undocs.org/ru/CAT/C/CHE/CO/7" TargetMode="External"/><Relationship Id="rId9" Type="http://schemas.openxmlformats.org/officeDocument/2006/relationships/hyperlink" Target="http://undocs.org/ru/CERD/C/CHE/CO/10-1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3</TotalTime>
  <Pages>13</Pages>
  <Words>5031</Words>
  <Characters>35560</Characters>
  <Application>Microsoft Office Word</Application>
  <DocSecurity>0</DocSecurity>
  <Lines>634</Lines>
  <Paragraphs>132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CAT/C/CHE/CO/8</vt:lpstr>
      <vt:lpstr>A/</vt:lpstr>
      <vt:lpstr>A/</vt:lpstr>
      <vt:lpstr>A/</vt:lpstr>
    </vt:vector>
  </TitlesOfParts>
  <Company>DCM</Company>
  <LinksUpToDate>false</LinksUpToDate>
  <CharactersWithSpaces>40565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CAT/C/CHE/CO/8</dc:title>
  <dc:subject/>
  <dc:creator>Sharkina</dc:creator>
  <cp:keywords/>
  <cp:lastModifiedBy>Sharkina</cp:lastModifiedBy>
  <cp:revision>3</cp:revision>
  <cp:lastPrinted>2024-02-12T09:33:00Z</cp:lastPrinted>
  <dcterms:created xsi:type="dcterms:W3CDTF">2024-02-12T09:33:00Z</dcterms:created>
  <dcterms:modified xsi:type="dcterms:W3CDTF">2024-02-12T09:35:00Z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