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napToGrid/>
        </w:rPr>
      </w:pPr>
      <w:r>
        <w:rPr>
          <w:rFonts w:hint="eastAsia"/>
          <w:snapToGrid/>
        </w:rPr>
        <w:t>经济、社会、文化权利委员会</w:t>
      </w:r>
    </w:p>
    <w:p w:rsidR="00000000" w:rsidRDefault="00000000">
      <w:pPr>
        <w:rPr>
          <w:snapToGrid/>
        </w:rPr>
      </w:pPr>
      <w:r>
        <w:rPr>
          <w:rFonts w:hint="eastAsia"/>
          <w:snapToGrid/>
        </w:rPr>
        <w:t>第三十六届会议</w:t>
      </w:r>
    </w:p>
    <w:p w:rsidR="00000000" w:rsidRDefault="00000000">
      <w:pPr>
        <w:spacing w:after="160"/>
        <w:rPr>
          <w:rFonts w:hint="eastAsia"/>
          <w:snapToGrid/>
        </w:rPr>
      </w:pPr>
      <w:r>
        <w:rPr>
          <w:rFonts w:hint="eastAsia"/>
          <w:snapToGrid/>
        </w:rPr>
        <w:t>200</w:t>
      </w:r>
      <w:r>
        <w:rPr>
          <w:snapToGrid/>
        </w:rPr>
        <w:t>6</w:t>
      </w:r>
      <w:r>
        <w:rPr>
          <w:rFonts w:hint="eastAsia"/>
          <w:snapToGrid/>
        </w:rPr>
        <w:t>年</w:t>
      </w:r>
      <w:r>
        <w:rPr>
          <w:rFonts w:hint="eastAsia"/>
          <w:snapToGrid/>
        </w:rPr>
        <w:t>5</w:t>
      </w:r>
      <w:r>
        <w:rPr>
          <w:rFonts w:hint="eastAsia"/>
          <w:snapToGrid/>
        </w:rPr>
        <w:t>月</w:t>
      </w:r>
      <w:r>
        <w:rPr>
          <w:rFonts w:hint="eastAsia"/>
          <w:snapToGrid/>
        </w:rPr>
        <w:t>1</w:t>
      </w:r>
      <w:r>
        <w:rPr>
          <w:rFonts w:hint="eastAsia"/>
          <w:snapToGrid/>
        </w:rPr>
        <w:t>日至</w:t>
      </w:r>
      <w:r>
        <w:rPr>
          <w:rFonts w:hint="eastAsia"/>
          <w:snapToGrid/>
        </w:rPr>
        <w:t>19</w:t>
      </w:r>
      <w:r>
        <w:rPr>
          <w:rFonts w:hint="eastAsia"/>
          <w:snapToGrid/>
        </w:rPr>
        <w:t>日，日内瓦</w:t>
      </w:r>
    </w:p>
    <w:p w:rsidR="00000000" w:rsidRDefault="00000000">
      <w:pPr>
        <w:spacing w:after="160"/>
        <w:rPr>
          <w:snapToGrid/>
        </w:rPr>
      </w:pPr>
    </w:p>
    <w:p w:rsidR="00000000" w:rsidRDefault="00000000">
      <w:pPr>
        <w:pStyle w:val="Heading2"/>
        <w:rPr>
          <w:rFonts w:ascii="Time New Roman" w:eastAsia="SimHei" w:hAnsi="Time New Roman"/>
        </w:rPr>
      </w:pPr>
      <w:r>
        <w:rPr>
          <w:rFonts w:ascii="Time New Roman" w:eastAsia="SimHei" w:hAnsi="Time New Roman" w:hint="eastAsia"/>
          <w:kern w:val="0"/>
        </w:rPr>
        <w:t>审议缔约国根据《公约》第十六和十七条提交的报告</w:t>
      </w:r>
    </w:p>
    <w:p w:rsidR="00000000" w:rsidRDefault="00000000">
      <w:pPr>
        <w:pStyle w:val="Heading3"/>
        <w:rPr>
          <w:rFonts w:ascii="Time New Roman" w:eastAsia="SimHei" w:hAnsi="Time New Roman"/>
          <w:u w:val="none"/>
        </w:rPr>
      </w:pPr>
      <w:r>
        <w:rPr>
          <w:rFonts w:ascii="Time New Roman" w:eastAsia="SimHei" w:hAnsi="Time New Roman" w:hint="eastAsia"/>
          <w:u w:val="none"/>
        </w:rPr>
        <w:t>经济、社会、文化权利委员会的结论性意见</w:t>
      </w:r>
    </w:p>
    <w:p w:rsidR="00000000" w:rsidRDefault="00000000">
      <w:pPr>
        <w:pStyle w:val="Heading3"/>
        <w:rPr>
          <w:rFonts w:ascii="Time New Roman" w:eastAsia="SimHei" w:hAnsi="Time New Roman" w:hint="eastAsia"/>
          <w:u w:val="none"/>
        </w:rPr>
      </w:pPr>
      <w:r>
        <w:rPr>
          <w:rFonts w:ascii="Time New Roman" w:eastAsia="SimHei" w:hAnsi="Time New Roman" w:hint="eastAsia"/>
          <w:u w:val="none"/>
        </w:rPr>
        <w:t>摩</w:t>
      </w:r>
      <w:r>
        <w:rPr>
          <w:rFonts w:ascii="Time New Roman" w:eastAsia="SimHei" w:hAnsi="Time New Roman" w:hint="eastAsia"/>
          <w:u w:val="none"/>
        </w:rPr>
        <w:t xml:space="preserve"> </w:t>
      </w:r>
      <w:r>
        <w:rPr>
          <w:rFonts w:ascii="Time New Roman" w:eastAsia="SimHei" w:hAnsi="Time New Roman" w:hint="eastAsia"/>
          <w:u w:val="none"/>
        </w:rPr>
        <w:t>洛</w:t>
      </w:r>
      <w:r>
        <w:rPr>
          <w:rFonts w:ascii="Time New Roman" w:eastAsia="SimHei" w:hAnsi="Time New Roman" w:hint="eastAsia"/>
          <w:u w:val="none"/>
        </w:rPr>
        <w:t xml:space="preserve"> </w:t>
      </w:r>
      <w:r>
        <w:rPr>
          <w:rFonts w:ascii="Time New Roman" w:eastAsia="SimHei" w:hAnsi="Time New Roman" w:hint="eastAsia"/>
          <w:u w:val="none"/>
        </w:rPr>
        <w:t>哥</w:t>
      </w:r>
    </w:p>
    <w:p w:rsidR="00000000" w:rsidRDefault="00000000">
      <w:pPr>
        <w:spacing w:after="320"/>
        <w:ind w:firstLine="510"/>
        <w:rPr>
          <w:snapToGrid/>
        </w:rPr>
      </w:pPr>
      <w:r>
        <w:rPr>
          <w:rFonts w:hint="eastAsia"/>
          <w:snapToGrid/>
        </w:rPr>
        <w:t>1.</w:t>
      </w:r>
      <w:r>
        <w:rPr>
          <w:snapToGrid/>
        </w:rPr>
        <w:t xml:space="preserve">  </w:t>
      </w:r>
      <w:r>
        <w:rPr>
          <w:rFonts w:hint="eastAsia"/>
          <w:snapToGrid/>
        </w:rPr>
        <w:t>经济、社会、文化权利委员会在</w:t>
      </w:r>
      <w:r>
        <w:rPr>
          <w:rFonts w:hint="eastAsia"/>
          <w:snapToGrid/>
        </w:rPr>
        <w:t>200</w:t>
      </w:r>
      <w:r>
        <w:rPr>
          <w:snapToGrid/>
        </w:rPr>
        <w:t>6</w:t>
      </w:r>
      <w:r>
        <w:rPr>
          <w:rFonts w:hint="eastAsia"/>
          <w:snapToGrid/>
        </w:rPr>
        <w:t>年</w:t>
      </w:r>
      <w:r>
        <w:rPr>
          <w:rFonts w:hint="eastAsia"/>
          <w:snapToGrid/>
        </w:rPr>
        <w:t>5</w:t>
      </w:r>
      <w:r>
        <w:rPr>
          <w:rFonts w:hint="eastAsia"/>
          <w:snapToGrid/>
        </w:rPr>
        <w:t>月</w:t>
      </w:r>
      <w:r>
        <w:rPr>
          <w:rFonts w:hint="eastAsia"/>
          <w:snapToGrid/>
        </w:rPr>
        <w:t>10</w:t>
      </w:r>
      <w:r>
        <w:rPr>
          <w:rFonts w:hint="eastAsia"/>
          <w:snapToGrid/>
        </w:rPr>
        <w:t>日和</w:t>
      </w:r>
      <w:r>
        <w:rPr>
          <w:snapToGrid/>
        </w:rPr>
        <w:t>1</w:t>
      </w:r>
      <w:r>
        <w:rPr>
          <w:rFonts w:hint="eastAsia"/>
          <w:snapToGrid/>
        </w:rPr>
        <w:t>1</w:t>
      </w:r>
      <w:r>
        <w:rPr>
          <w:rFonts w:hint="eastAsia"/>
          <w:snapToGrid/>
        </w:rPr>
        <w:t>日举行的第</w:t>
      </w:r>
      <w:r>
        <w:rPr>
          <w:rFonts w:hint="eastAsia"/>
          <w:snapToGrid/>
        </w:rPr>
        <w:t>16</w:t>
      </w:r>
      <w:r>
        <w:rPr>
          <w:rFonts w:hint="eastAsia"/>
          <w:snapToGrid/>
        </w:rPr>
        <w:t>、</w:t>
      </w:r>
      <w:r>
        <w:rPr>
          <w:snapToGrid/>
        </w:rPr>
        <w:t>1</w:t>
      </w:r>
      <w:r>
        <w:rPr>
          <w:rFonts w:hint="eastAsia"/>
          <w:snapToGrid/>
        </w:rPr>
        <w:t>7</w:t>
      </w:r>
      <w:r>
        <w:rPr>
          <w:rFonts w:hint="eastAsia"/>
          <w:snapToGrid/>
        </w:rPr>
        <w:t>和</w:t>
      </w:r>
      <w:r>
        <w:rPr>
          <w:snapToGrid/>
        </w:rPr>
        <w:t>1</w:t>
      </w:r>
      <w:r>
        <w:rPr>
          <w:rFonts w:hint="eastAsia"/>
          <w:snapToGrid/>
        </w:rPr>
        <w:t>8</w:t>
      </w:r>
      <w:r>
        <w:rPr>
          <w:rFonts w:hint="eastAsia"/>
          <w:snapToGrid/>
        </w:rPr>
        <w:t>次会议</w:t>
      </w:r>
      <w:r>
        <w:rPr>
          <w:rFonts w:hint="eastAsia"/>
          <w:snapToGrid/>
        </w:rPr>
        <w:t>(</w:t>
      </w:r>
      <w:r>
        <w:rPr>
          <w:snapToGrid/>
        </w:rPr>
        <w:t>E/C.12/2006/SR</w:t>
      </w:r>
      <w:r>
        <w:rPr>
          <w:rFonts w:hint="eastAsia"/>
          <w:snapToGrid/>
        </w:rPr>
        <w:t>.16</w:t>
      </w:r>
      <w:r>
        <w:rPr>
          <w:rFonts w:hint="eastAsia"/>
          <w:snapToGrid/>
        </w:rPr>
        <w:t>至</w:t>
      </w:r>
      <w:r>
        <w:rPr>
          <w:rFonts w:hint="eastAsia"/>
          <w:snapToGrid/>
        </w:rPr>
        <w:t>18)</w:t>
      </w:r>
      <w:r>
        <w:rPr>
          <w:rFonts w:hint="eastAsia"/>
          <w:snapToGrid/>
        </w:rPr>
        <w:t>上，审议了摩洛哥提交的关于《经济、社会、文化权利国际公约》执行情况的第三次定期报告</w:t>
      </w:r>
      <w:r>
        <w:rPr>
          <w:snapToGrid/>
        </w:rPr>
        <w:t>(E/</w:t>
      </w:r>
      <w:r>
        <w:rPr>
          <w:rFonts w:hint="eastAsia"/>
          <w:snapToGrid/>
        </w:rPr>
        <w:t>1994/104</w:t>
      </w:r>
      <w:r>
        <w:rPr>
          <w:snapToGrid/>
        </w:rPr>
        <w:t>/Add.</w:t>
      </w:r>
      <w:r>
        <w:rPr>
          <w:rFonts w:hint="eastAsia"/>
          <w:snapToGrid/>
        </w:rPr>
        <w:t>29</w:t>
      </w:r>
      <w:r>
        <w:rPr>
          <w:snapToGrid/>
        </w:rPr>
        <w:t>)</w:t>
      </w:r>
      <w:r>
        <w:rPr>
          <w:rFonts w:hint="eastAsia"/>
          <w:snapToGrid/>
        </w:rPr>
        <w:t>，并在</w:t>
      </w:r>
      <w:r>
        <w:rPr>
          <w:rFonts w:hint="eastAsia"/>
          <w:snapToGrid/>
        </w:rPr>
        <w:t>200</w:t>
      </w:r>
      <w:r>
        <w:rPr>
          <w:snapToGrid/>
        </w:rPr>
        <w:t>6</w:t>
      </w:r>
      <w:r>
        <w:rPr>
          <w:rFonts w:hint="eastAsia"/>
          <w:snapToGrid/>
        </w:rPr>
        <w:t>年</w:t>
      </w:r>
      <w:r>
        <w:rPr>
          <w:rFonts w:hint="eastAsia"/>
          <w:snapToGrid/>
        </w:rPr>
        <w:t>5</w:t>
      </w:r>
      <w:r>
        <w:rPr>
          <w:rFonts w:hint="eastAsia"/>
          <w:snapToGrid/>
        </w:rPr>
        <w:t>月</w:t>
      </w:r>
      <w:r>
        <w:rPr>
          <w:rFonts w:hint="eastAsia"/>
          <w:snapToGrid/>
        </w:rPr>
        <w:t>19</w:t>
      </w:r>
      <w:r>
        <w:rPr>
          <w:rFonts w:hint="eastAsia"/>
          <w:snapToGrid/>
        </w:rPr>
        <w:t>日举行的第</w:t>
      </w:r>
      <w:r>
        <w:rPr>
          <w:rFonts w:hint="eastAsia"/>
          <w:snapToGrid/>
        </w:rPr>
        <w:t>29</w:t>
      </w:r>
      <w:r>
        <w:rPr>
          <w:rFonts w:hint="eastAsia"/>
          <w:snapToGrid/>
        </w:rPr>
        <w:t>次会议上公布了下列结论性意见。</w:t>
      </w:r>
    </w:p>
    <w:p w:rsidR="00000000" w:rsidRDefault="00000000">
      <w:pPr>
        <w:pStyle w:val="Heading3"/>
        <w:rPr>
          <w:rFonts w:ascii="Time New Roman" w:eastAsia="SimHei" w:hAnsi="Time New Roman"/>
          <w:u w:val="none"/>
        </w:rPr>
      </w:pPr>
      <w:r>
        <w:rPr>
          <w:rFonts w:ascii="Time New Roman" w:eastAsia="SimHei" w:hAnsi="Time New Roman"/>
          <w:b/>
          <w:u w:val="none"/>
        </w:rPr>
        <w:t>A</w:t>
      </w:r>
      <w:r>
        <w:rPr>
          <w:rFonts w:ascii="Time New Roman" w:eastAsia="SimHei" w:hAnsi="Time New Roman"/>
          <w:u w:val="none"/>
        </w:rPr>
        <w:t>.</w:t>
      </w:r>
      <w:r>
        <w:rPr>
          <w:rFonts w:ascii="Time New Roman" w:eastAsia="SimHei" w:hAnsi="Time New Roman"/>
          <w:u w:val="none"/>
        </w:rPr>
        <w:tab/>
      </w:r>
      <w:r>
        <w:rPr>
          <w:rFonts w:ascii="Time New Roman" w:eastAsia="SimHei" w:hAnsi="Time New Roman" w:hint="eastAsia"/>
          <w:u w:val="none"/>
        </w:rPr>
        <w:t>导</w:t>
      </w:r>
      <w:r>
        <w:rPr>
          <w:rFonts w:ascii="Time New Roman" w:eastAsia="SimHei" w:hAnsi="Time New Roman"/>
          <w:u w:val="none"/>
        </w:rPr>
        <w:t xml:space="preserve">  </w:t>
      </w:r>
      <w:r>
        <w:rPr>
          <w:rFonts w:ascii="Time New Roman" w:eastAsia="SimHei" w:hAnsi="Time New Roman" w:hint="eastAsia"/>
          <w:u w:val="none"/>
        </w:rPr>
        <w:t>言</w:t>
      </w:r>
    </w:p>
    <w:p w:rsidR="00000000" w:rsidRDefault="00000000">
      <w:pPr>
        <w:ind w:firstLine="510"/>
        <w:rPr>
          <w:snapToGrid/>
        </w:rPr>
      </w:pPr>
      <w:r>
        <w:rPr>
          <w:snapToGrid/>
        </w:rPr>
        <w:t xml:space="preserve">2.  </w:t>
      </w:r>
      <w:r>
        <w:rPr>
          <w:rFonts w:hint="eastAsia"/>
          <w:snapToGrid/>
        </w:rPr>
        <w:t>委员会欢迎摩洛哥提交第三次定期报告，该报告的编写符合委员会的准则，满意地注意到对问题单的书面答复</w:t>
      </w:r>
      <w:r>
        <w:rPr>
          <w:snapToGrid/>
        </w:rPr>
        <w:t>(E/C.12/</w:t>
      </w:r>
      <w:r>
        <w:rPr>
          <w:rFonts w:hint="eastAsia"/>
          <w:snapToGrid/>
        </w:rPr>
        <w:t>Q</w:t>
      </w:r>
      <w:r>
        <w:rPr>
          <w:snapToGrid/>
        </w:rPr>
        <w:t>/</w:t>
      </w:r>
      <w:r>
        <w:rPr>
          <w:rFonts w:hint="eastAsia"/>
          <w:snapToGrid/>
        </w:rPr>
        <w:t>MAR/2)</w:t>
      </w:r>
      <w:r>
        <w:rPr>
          <w:rFonts w:hint="eastAsia"/>
          <w:snapToGrid/>
        </w:rPr>
        <w:t>。不过，很遗憾书面答复中的一节未及时转交以致不能译成委员会其他工作语文本。</w:t>
      </w:r>
    </w:p>
    <w:p w:rsidR="00000000" w:rsidRDefault="00000000">
      <w:pPr>
        <w:spacing w:after="320"/>
        <w:ind w:firstLine="510"/>
        <w:rPr>
          <w:rFonts w:hint="eastAsia"/>
          <w:snapToGrid/>
        </w:rPr>
      </w:pPr>
      <w:r>
        <w:rPr>
          <w:snapToGrid/>
        </w:rPr>
        <w:t xml:space="preserve">3.  </w:t>
      </w:r>
      <w:r>
        <w:rPr>
          <w:rFonts w:hint="eastAsia"/>
          <w:snapToGrid/>
        </w:rPr>
        <w:t>委员会欢迎同缔约国代表团进行的建设性对话。</w:t>
      </w:r>
    </w:p>
    <w:p w:rsidR="00000000" w:rsidRDefault="00000000">
      <w:pPr>
        <w:pStyle w:val="Heading3"/>
        <w:rPr>
          <w:rFonts w:ascii="Time New Roman" w:eastAsia="SimHei" w:hAnsi="Time New Roman" w:hint="eastAsia"/>
          <w:bCs/>
          <w:u w:val="none"/>
        </w:rPr>
      </w:pPr>
      <w:r>
        <w:rPr>
          <w:u w:val="none"/>
        </w:rPr>
        <w:br w:type="page"/>
      </w:r>
      <w:r>
        <w:rPr>
          <w:rFonts w:ascii="Time New Roman" w:eastAsia="SimHei" w:hAnsi="Time New Roman"/>
          <w:b/>
          <w:bCs/>
          <w:u w:val="none"/>
        </w:rPr>
        <w:t>B</w:t>
      </w:r>
      <w:r>
        <w:rPr>
          <w:rFonts w:ascii="Time New Roman" w:eastAsia="SimHei" w:hAnsi="Time New Roman"/>
          <w:bCs/>
          <w:u w:val="none"/>
        </w:rPr>
        <w:t>.</w:t>
      </w:r>
      <w:r>
        <w:rPr>
          <w:rFonts w:ascii="Time New Roman" w:eastAsia="SimHei" w:hAnsi="Time New Roman" w:hint="eastAsia"/>
          <w:bCs/>
          <w:u w:val="none"/>
        </w:rPr>
        <w:tab/>
      </w:r>
      <w:r>
        <w:rPr>
          <w:rFonts w:ascii="Time New Roman" w:eastAsia="SimHei" w:hAnsi="Time New Roman" w:hint="eastAsia"/>
          <w:bCs/>
          <w:u w:val="none"/>
        </w:rPr>
        <w:t>积极方面</w:t>
      </w:r>
    </w:p>
    <w:p w:rsidR="00000000" w:rsidRDefault="00000000">
      <w:pPr>
        <w:rPr>
          <w:rFonts w:hint="eastAsia"/>
        </w:rPr>
      </w:pPr>
      <w:r>
        <w:rPr>
          <w:rFonts w:hint="eastAsia"/>
        </w:rPr>
        <w:tab/>
        <w:t xml:space="preserve">4.  </w:t>
      </w:r>
      <w:r>
        <w:rPr>
          <w:rFonts w:hint="eastAsia"/>
        </w:rPr>
        <w:t>委员会确认摩洛哥为保护人权作出的努力，并欢迎为提高妇女地位作出的立法改革，特别是</w:t>
      </w:r>
      <w:r>
        <w:rPr>
          <w:rFonts w:hint="eastAsia"/>
        </w:rPr>
        <w:t>2004</w:t>
      </w:r>
      <w:r>
        <w:rPr>
          <w:rFonts w:hint="eastAsia"/>
        </w:rPr>
        <w:t>年新《家庭法》的某些规定。</w:t>
      </w:r>
    </w:p>
    <w:p w:rsidR="00000000" w:rsidRDefault="00000000">
      <w:pPr>
        <w:rPr>
          <w:rFonts w:hint="eastAsia"/>
        </w:rPr>
      </w:pPr>
      <w:r>
        <w:rPr>
          <w:rFonts w:hint="eastAsia"/>
        </w:rPr>
        <w:tab/>
        <w:t xml:space="preserve">5.  </w:t>
      </w:r>
      <w:r>
        <w:rPr>
          <w:rFonts w:hint="eastAsia"/>
        </w:rPr>
        <w:t>委员会满意地注意到对人权协商理事会进行的改组以及设立摩洛哥调解机构、皇家阿马齐格文化研究所和公正与和解委员会。</w:t>
      </w:r>
    </w:p>
    <w:p w:rsidR="00000000" w:rsidRDefault="00000000">
      <w:pPr>
        <w:rPr>
          <w:rFonts w:hint="eastAsia"/>
        </w:rPr>
      </w:pPr>
      <w:r>
        <w:rPr>
          <w:rFonts w:hint="eastAsia"/>
        </w:rPr>
        <w:tab/>
        <w:t xml:space="preserve">6.  </w:t>
      </w:r>
      <w:r>
        <w:rPr>
          <w:rFonts w:hint="eastAsia"/>
        </w:rPr>
        <w:t>委员会赞赏地注意到缔约国在</w:t>
      </w:r>
      <w:r>
        <w:rPr>
          <w:rFonts w:hint="eastAsia"/>
        </w:rPr>
        <w:t>2004</w:t>
      </w:r>
      <w:r>
        <w:rPr>
          <w:rFonts w:hint="eastAsia"/>
        </w:rPr>
        <w:t>年进行的国家残疾人调查，这项调查得到欧洲联盟以及为帮助残疾人在联合国开发计划署</w:t>
      </w:r>
      <w:r>
        <w:rPr>
          <w:rFonts w:hint="eastAsia"/>
        </w:rPr>
        <w:t>(</w:t>
      </w:r>
      <w:r>
        <w:rPr>
          <w:rFonts w:hint="eastAsia"/>
        </w:rPr>
        <w:t>开发署</w:t>
      </w:r>
      <w:r>
        <w:rPr>
          <w:rFonts w:hint="eastAsia"/>
        </w:rPr>
        <w:t>)</w:t>
      </w:r>
      <w:r>
        <w:rPr>
          <w:rFonts w:hint="eastAsia"/>
        </w:rPr>
        <w:t>协助下拟订的</w:t>
      </w:r>
      <w:r>
        <w:rPr>
          <w:rFonts w:hint="eastAsia"/>
        </w:rPr>
        <w:t>2006-2008</w:t>
      </w:r>
      <w:r>
        <w:rPr>
          <w:rFonts w:hint="eastAsia"/>
        </w:rPr>
        <w:t>年社区复原全国方案的支持。</w:t>
      </w:r>
    </w:p>
    <w:p w:rsidR="00000000" w:rsidRDefault="00000000">
      <w:pPr>
        <w:rPr>
          <w:rFonts w:hint="eastAsia"/>
        </w:rPr>
      </w:pPr>
      <w:r>
        <w:rPr>
          <w:rFonts w:hint="eastAsia"/>
        </w:rPr>
        <w:tab/>
        <w:t xml:space="preserve">7.  </w:t>
      </w:r>
      <w:r>
        <w:rPr>
          <w:rFonts w:hint="eastAsia"/>
        </w:rPr>
        <w:t>委员会满意地注意到法定结婚承诺年龄男女都定为</w:t>
      </w:r>
      <w:r>
        <w:rPr>
          <w:rFonts w:hint="eastAsia"/>
        </w:rPr>
        <w:t>18</w:t>
      </w:r>
      <w:r>
        <w:rPr>
          <w:rFonts w:hint="eastAsia"/>
        </w:rPr>
        <w:t>岁，并感兴趣地注意到缔约国拟订了</w:t>
      </w:r>
      <w:r>
        <w:rPr>
          <w:rFonts w:hint="eastAsia"/>
        </w:rPr>
        <w:t>2005-2015</w:t>
      </w:r>
      <w:r>
        <w:rPr>
          <w:rFonts w:hint="eastAsia"/>
        </w:rPr>
        <w:t>十年国家儿童行动计划。</w:t>
      </w:r>
    </w:p>
    <w:p w:rsidR="00000000" w:rsidRDefault="00000000">
      <w:pPr>
        <w:rPr>
          <w:rFonts w:hint="eastAsia"/>
        </w:rPr>
      </w:pPr>
      <w:r>
        <w:rPr>
          <w:rFonts w:hint="eastAsia"/>
        </w:rPr>
        <w:tab/>
        <w:t xml:space="preserve">8.  </w:t>
      </w:r>
      <w:r>
        <w:rPr>
          <w:rFonts w:hint="eastAsia"/>
        </w:rPr>
        <w:t>委员会满意地注意到</w:t>
      </w:r>
      <w:r>
        <w:rPr>
          <w:rFonts w:hint="eastAsia"/>
        </w:rPr>
        <w:t>2003</w:t>
      </w:r>
      <w:r>
        <w:rPr>
          <w:rFonts w:hint="eastAsia"/>
        </w:rPr>
        <w:t>年通过新《劳动法》。</w:t>
      </w:r>
    </w:p>
    <w:p w:rsidR="00000000" w:rsidRDefault="00000000">
      <w:pPr>
        <w:spacing w:after="320"/>
        <w:rPr>
          <w:rFonts w:hint="eastAsia"/>
        </w:rPr>
      </w:pPr>
      <w:r>
        <w:rPr>
          <w:rFonts w:hint="eastAsia"/>
        </w:rPr>
        <w:tab/>
        <w:t xml:space="preserve">9.  </w:t>
      </w:r>
      <w:r>
        <w:rPr>
          <w:rFonts w:hint="eastAsia"/>
        </w:rPr>
        <w:t>委员会很高兴各级学校学生都学习人权，并且司法人员和政府工作人员，包括执法人员都接受人权培训。</w:t>
      </w:r>
    </w:p>
    <w:p w:rsidR="00000000" w:rsidRDefault="00000000">
      <w:pPr>
        <w:pStyle w:val="Heading3"/>
        <w:rPr>
          <w:rFonts w:ascii="Time New Roman" w:eastAsia="SimHei" w:hAnsi="Time New Roman" w:hint="eastAsia"/>
          <w:b/>
          <w:u w:val="none"/>
        </w:rPr>
      </w:pPr>
      <w:r>
        <w:rPr>
          <w:rFonts w:ascii="Time New Roman" w:eastAsia="SimHei" w:hAnsi="Time New Roman" w:hint="eastAsia"/>
          <w:b/>
          <w:u w:val="none"/>
        </w:rPr>
        <w:t xml:space="preserve">C.  </w:t>
      </w:r>
      <w:r>
        <w:rPr>
          <w:rFonts w:ascii="Time New Roman" w:eastAsia="SimHei" w:hAnsi="Time New Roman" w:hint="eastAsia"/>
          <w:b/>
          <w:u w:val="none"/>
        </w:rPr>
        <w:t>妨碍执行《公约》的因素和困难</w:t>
      </w:r>
    </w:p>
    <w:p w:rsidR="00000000" w:rsidRDefault="00000000">
      <w:pPr>
        <w:rPr>
          <w:rFonts w:hint="eastAsia"/>
        </w:rPr>
      </w:pPr>
      <w:r>
        <w:rPr>
          <w:rFonts w:hint="eastAsia"/>
        </w:rPr>
        <w:tab/>
        <w:t xml:space="preserve">10.  </w:t>
      </w:r>
      <w:r>
        <w:rPr>
          <w:rFonts w:hint="eastAsia"/>
        </w:rPr>
        <w:t>委员会注意到摩洛哥的某些传统、习惯和文化习俗继续妨碍妇女充分行使《公约》规定的权利。</w:t>
      </w:r>
    </w:p>
    <w:p w:rsidR="00000000" w:rsidRDefault="00000000">
      <w:pPr>
        <w:rPr>
          <w:rFonts w:hint="eastAsia"/>
        </w:rPr>
      </w:pPr>
      <w:r>
        <w:rPr>
          <w:rFonts w:hint="eastAsia"/>
        </w:rPr>
        <w:tab/>
        <w:t xml:space="preserve">11.  </w:t>
      </w:r>
      <w:r>
        <w:rPr>
          <w:rFonts w:hint="eastAsia"/>
        </w:rPr>
        <w:t>委员会注意到缔约国某些地区，例如</w:t>
      </w:r>
      <w:r>
        <w:rPr>
          <w:rFonts w:hint="eastAsia"/>
        </w:rPr>
        <w:t>A</w:t>
      </w:r>
      <w:r>
        <w:t>l-Hoceima</w:t>
      </w:r>
      <w:r>
        <w:rPr>
          <w:rFonts w:hint="eastAsia"/>
        </w:rPr>
        <w:t>的地震对《公约》所载的权利，特别是住房权利有灾难性的影响，这一问题特别影响到妇女和儿童。</w:t>
      </w:r>
    </w:p>
    <w:p w:rsidR="00000000" w:rsidRDefault="00000000">
      <w:pPr>
        <w:spacing w:after="320"/>
        <w:rPr>
          <w:rFonts w:hint="eastAsia"/>
          <w:spacing w:val="6"/>
        </w:rPr>
      </w:pPr>
      <w:r>
        <w:rPr>
          <w:rFonts w:hint="eastAsia"/>
          <w:spacing w:val="6"/>
        </w:rPr>
        <w:tab/>
        <w:t xml:space="preserve">12.  </w:t>
      </w:r>
      <w:r>
        <w:rPr>
          <w:rFonts w:hint="eastAsia"/>
          <w:spacing w:val="6"/>
        </w:rPr>
        <w:t>委员会注意到摩洛哥国家人权机构附属于司法部，这可能阻碍其独立性。</w:t>
      </w:r>
    </w:p>
    <w:p w:rsidR="00000000" w:rsidRDefault="00000000">
      <w:pPr>
        <w:pStyle w:val="Heading3"/>
        <w:rPr>
          <w:rFonts w:ascii="Time New Roman" w:eastAsia="SimHei" w:hAnsi="Time New Roman" w:hint="eastAsia"/>
          <w:u w:val="none"/>
        </w:rPr>
      </w:pPr>
      <w:r>
        <w:rPr>
          <w:rFonts w:ascii="Time New Roman" w:eastAsia="SimHei" w:hAnsi="Time New Roman" w:hint="eastAsia"/>
          <w:b/>
          <w:u w:val="none"/>
        </w:rPr>
        <w:t>D</w:t>
      </w:r>
      <w:r>
        <w:rPr>
          <w:rFonts w:ascii="Time New Roman" w:eastAsia="SimHei" w:hAnsi="Time New Roman" w:hint="eastAsia"/>
          <w:u w:val="none"/>
        </w:rPr>
        <w:t xml:space="preserve">.  </w:t>
      </w:r>
      <w:r>
        <w:rPr>
          <w:rFonts w:ascii="Time New Roman" w:eastAsia="SimHei" w:hAnsi="Time New Roman" w:hint="eastAsia"/>
          <w:u w:val="none"/>
        </w:rPr>
        <w:t>关注的主要问题</w:t>
      </w:r>
    </w:p>
    <w:p w:rsidR="00000000" w:rsidRDefault="00000000">
      <w:pPr>
        <w:rPr>
          <w:rFonts w:hint="eastAsia"/>
        </w:rPr>
      </w:pPr>
      <w:r>
        <w:rPr>
          <w:rFonts w:hint="eastAsia"/>
        </w:rPr>
        <w:tab/>
        <w:t xml:space="preserve">13.  </w:t>
      </w:r>
      <w:r>
        <w:rPr>
          <w:rFonts w:hint="eastAsia"/>
        </w:rPr>
        <w:t>委员会遗憾地注意到其</w:t>
      </w:r>
      <w:r>
        <w:rPr>
          <w:rFonts w:hint="eastAsia"/>
        </w:rPr>
        <w:t>1994</w:t>
      </w:r>
      <w:r>
        <w:rPr>
          <w:rFonts w:hint="eastAsia"/>
        </w:rPr>
        <w:t>年结论性意见</w:t>
      </w:r>
      <w:r>
        <w:rPr>
          <w:rFonts w:hint="eastAsia"/>
        </w:rPr>
        <w:t>(E/C.12/1994/5)</w:t>
      </w:r>
      <w:r>
        <w:rPr>
          <w:rFonts w:hint="eastAsia"/>
        </w:rPr>
        <w:t>和</w:t>
      </w:r>
      <w:r>
        <w:rPr>
          <w:rFonts w:hint="eastAsia"/>
        </w:rPr>
        <w:t>2000</w:t>
      </w:r>
      <w:r>
        <w:rPr>
          <w:rFonts w:hint="eastAsia"/>
        </w:rPr>
        <w:t>年结论性意见</w:t>
      </w:r>
      <w:r>
        <w:rPr>
          <w:rFonts w:hint="eastAsia"/>
        </w:rPr>
        <w:t>(E/C.12/1/</w:t>
      </w:r>
      <w:r>
        <w:t>Add.55)</w:t>
      </w:r>
      <w:r>
        <w:rPr>
          <w:rFonts w:hint="eastAsia"/>
        </w:rPr>
        <w:t>中提出的重要意见没有被考虑，并且缔约国并未有效地处理在审议其首次报告和第二次定期报告时提出的主要关注问题，这些问题仍然需要处理，即：</w:t>
      </w:r>
    </w:p>
    <w:p w:rsidR="00000000" w:rsidRDefault="00000000">
      <w:pPr>
        <w:numPr>
          <w:ilvl w:val="0"/>
          <w:numId w:val="107"/>
        </w:numPr>
        <w:tabs>
          <w:tab w:val="clear" w:pos="1531"/>
        </w:tabs>
        <w:rPr>
          <w:rFonts w:hint="eastAsia"/>
        </w:rPr>
      </w:pPr>
      <w:r>
        <w:rPr>
          <w:rFonts w:hint="eastAsia"/>
        </w:rPr>
        <w:t>缺少有关无家可归者、驱逐住客、获得饮用水和电力、妇女就业情况和</w:t>
      </w:r>
      <w:r>
        <w:t>Amazigh</w:t>
      </w:r>
      <w:r>
        <w:rPr>
          <w:rFonts w:hint="eastAsia"/>
        </w:rPr>
        <w:t>人境况的数据和统计数字；</w:t>
      </w:r>
    </w:p>
    <w:p w:rsidR="00000000" w:rsidRDefault="00000000">
      <w:pPr>
        <w:numPr>
          <w:ilvl w:val="0"/>
          <w:numId w:val="107"/>
        </w:numPr>
        <w:tabs>
          <w:tab w:val="clear" w:pos="1531"/>
        </w:tabs>
        <w:rPr>
          <w:rFonts w:hint="eastAsia"/>
        </w:rPr>
      </w:pPr>
      <w:r>
        <w:rPr>
          <w:rFonts w:hint="eastAsia"/>
        </w:rPr>
        <w:t>西撒哈拉人民自决问题还没有找到明确的解决办法。委员会关切地注意到有关因西撒哈拉冲突而流离失所的人处境窘困的报导，特别是妇女和儿童，他们根据《公约》享有的权利显然受到多重侵犯；</w:t>
      </w:r>
    </w:p>
    <w:p w:rsidR="00000000" w:rsidRDefault="00000000">
      <w:pPr>
        <w:numPr>
          <w:ilvl w:val="0"/>
          <w:numId w:val="107"/>
        </w:numPr>
        <w:tabs>
          <w:tab w:val="clear" w:pos="1531"/>
        </w:tabs>
        <w:rPr>
          <w:rFonts w:hint="eastAsia"/>
        </w:rPr>
      </w:pPr>
      <w:r>
        <w:rPr>
          <w:rFonts w:hint="eastAsia"/>
        </w:rPr>
        <w:t>享受《公约》第八条规定的权利受到的阻碍，例如成立工会的繁琐行政手续；</w:t>
      </w:r>
    </w:p>
    <w:p w:rsidR="00000000" w:rsidRDefault="00000000">
      <w:pPr>
        <w:numPr>
          <w:ilvl w:val="0"/>
          <w:numId w:val="107"/>
        </w:numPr>
        <w:tabs>
          <w:tab w:val="clear" w:pos="1531"/>
        </w:tabs>
        <w:rPr>
          <w:rFonts w:hint="eastAsia"/>
        </w:rPr>
      </w:pPr>
      <w:r>
        <w:rPr>
          <w:rFonts w:hint="eastAsia"/>
        </w:rPr>
        <w:t>《刑法》第</w:t>
      </w:r>
      <w:r>
        <w:rPr>
          <w:rFonts w:hint="eastAsia"/>
        </w:rPr>
        <w:t>288</w:t>
      </w:r>
      <w:r>
        <w:rPr>
          <w:rFonts w:hint="eastAsia"/>
        </w:rPr>
        <w:t>条继续对罢工权利施加限制，这是违反《公约》第八条的；</w:t>
      </w:r>
    </w:p>
    <w:p w:rsidR="00000000" w:rsidRDefault="00000000">
      <w:pPr>
        <w:numPr>
          <w:ilvl w:val="0"/>
          <w:numId w:val="107"/>
        </w:numPr>
        <w:tabs>
          <w:tab w:val="clear" w:pos="1531"/>
        </w:tabs>
        <w:rPr>
          <w:rFonts w:hint="eastAsia"/>
        </w:rPr>
      </w:pPr>
      <w:r>
        <w:rPr>
          <w:rFonts w:hint="eastAsia"/>
        </w:rPr>
        <w:t>街头儿童很多；</w:t>
      </w:r>
    </w:p>
    <w:p w:rsidR="00000000" w:rsidRDefault="00000000">
      <w:pPr>
        <w:numPr>
          <w:ilvl w:val="0"/>
          <w:numId w:val="107"/>
        </w:numPr>
        <w:tabs>
          <w:tab w:val="clear" w:pos="1531"/>
        </w:tabs>
        <w:rPr>
          <w:rFonts w:hint="eastAsia"/>
        </w:rPr>
      </w:pPr>
      <w:r>
        <w:rPr>
          <w:rFonts w:hint="eastAsia"/>
        </w:rPr>
        <w:t>尽管缔约国作出了努力，产妇死亡率持续很高。</w:t>
      </w:r>
    </w:p>
    <w:p w:rsidR="00000000" w:rsidRDefault="00000000">
      <w:pPr>
        <w:rPr>
          <w:rFonts w:hint="eastAsia"/>
        </w:rPr>
      </w:pPr>
      <w:r>
        <w:rPr>
          <w:rFonts w:hint="eastAsia"/>
        </w:rPr>
        <w:tab/>
        <w:t xml:space="preserve">14.  </w:t>
      </w:r>
      <w:r>
        <w:rPr>
          <w:rFonts w:hint="eastAsia"/>
        </w:rPr>
        <w:t>委员会关注缺少为《公约》所规定权利被侵犯的受害者提供的法律补救办法。</w:t>
      </w:r>
    </w:p>
    <w:p w:rsidR="00000000" w:rsidRDefault="00000000">
      <w:pPr>
        <w:rPr>
          <w:rFonts w:hint="eastAsia"/>
        </w:rPr>
      </w:pPr>
      <w:r>
        <w:rPr>
          <w:rFonts w:hint="eastAsia"/>
        </w:rPr>
        <w:tab/>
        <w:t xml:space="preserve">15.  </w:t>
      </w:r>
      <w:r>
        <w:rPr>
          <w:rFonts w:hint="eastAsia"/>
        </w:rPr>
        <w:t>委员会遗憾地注意到，一夫多妻制尽管受到新《家庭法》的限制，仍然在摩洛哥继续实行。委员会忆及一夫多妻制是侵犯妇女尊严的做法，也是对妇女的歧视。</w:t>
      </w:r>
    </w:p>
    <w:p w:rsidR="00000000" w:rsidRDefault="00000000">
      <w:pPr>
        <w:rPr>
          <w:rFonts w:hint="eastAsia"/>
        </w:rPr>
      </w:pPr>
      <w:r>
        <w:rPr>
          <w:rFonts w:hint="eastAsia"/>
        </w:rPr>
        <w:tab/>
        <w:t xml:space="preserve">16.  </w:t>
      </w:r>
      <w:r>
        <w:rPr>
          <w:rFonts w:hint="eastAsia"/>
        </w:rPr>
        <w:t>委员会继续关注的是，尽管新《家庭法》方面取得了进展，特别是在双方同意的离婚程序、取消对妇女的强制性夫妻监护和对单方面离婚的限制等方面，但摩洛哥法规仍然包含一些歧视性规定，特别是在继续和刑事问题方面。</w:t>
      </w:r>
    </w:p>
    <w:p w:rsidR="00000000" w:rsidRDefault="00000000">
      <w:pPr>
        <w:rPr>
          <w:rFonts w:hint="eastAsia"/>
        </w:rPr>
      </w:pPr>
      <w:r>
        <w:rPr>
          <w:rFonts w:hint="eastAsia"/>
        </w:rPr>
        <w:tab/>
        <w:t xml:space="preserve">17.  </w:t>
      </w:r>
      <w:r>
        <w:rPr>
          <w:rFonts w:hint="eastAsia"/>
        </w:rPr>
        <w:t>委员会关切地注意到，家庭佣人和农业工人不受</w:t>
      </w:r>
      <w:r>
        <w:rPr>
          <w:rFonts w:hint="eastAsia"/>
        </w:rPr>
        <w:t>2003</w:t>
      </w:r>
      <w:r>
        <w:rPr>
          <w:rFonts w:hint="eastAsia"/>
        </w:rPr>
        <w:t>年《劳动法》的保护，因此可能受到剥削。</w:t>
      </w:r>
    </w:p>
    <w:p w:rsidR="00000000" w:rsidRDefault="00000000">
      <w:pPr>
        <w:rPr>
          <w:rFonts w:hint="eastAsia"/>
        </w:rPr>
      </w:pPr>
      <w:r>
        <w:rPr>
          <w:rFonts w:hint="eastAsia"/>
        </w:rPr>
        <w:tab/>
        <w:t xml:space="preserve">18.  </w:t>
      </w:r>
      <w:r>
        <w:rPr>
          <w:rFonts w:hint="eastAsia"/>
        </w:rPr>
        <w:t>委员会虽然认识到缔约国为促进就业采取了措施，但仍然关注摩洛哥令人担忧的高失业率，特别是年青人。在这方面，委员会关切地注意到，就业机会少和工资低导致工龄人口的移民出境。</w:t>
      </w:r>
    </w:p>
    <w:p w:rsidR="00000000" w:rsidRDefault="00000000">
      <w:pPr>
        <w:rPr>
          <w:rFonts w:hint="eastAsia"/>
        </w:rPr>
      </w:pPr>
      <w:r>
        <w:rPr>
          <w:rFonts w:hint="eastAsia"/>
        </w:rPr>
        <w:tab/>
        <w:t xml:space="preserve">19.  </w:t>
      </w:r>
      <w:r>
        <w:rPr>
          <w:rFonts w:hint="eastAsia"/>
        </w:rPr>
        <w:t>委员会对被不公平解雇的工人缺少有效的补救办法和雇主拒绝支付解雇补偿金表示关注。</w:t>
      </w:r>
    </w:p>
    <w:p w:rsidR="00000000" w:rsidRDefault="00000000">
      <w:pPr>
        <w:rPr>
          <w:rFonts w:hint="eastAsia"/>
        </w:rPr>
      </w:pPr>
      <w:r>
        <w:rPr>
          <w:rFonts w:hint="eastAsia"/>
        </w:rPr>
        <w:tab/>
        <w:t xml:space="preserve">20.  </w:t>
      </w:r>
      <w:r>
        <w:rPr>
          <w:rFonts w:hint="eastAsia"/>
        </w:rPr>
        <w:t>委员会对摩洛哥私人公司未适当提供职业医疗保健以及缺少有关这些公司的就业条件和职业卫生与安全的统计数字表示关切。</w:t>
      </w:r>
    </w:p>
    <w:p w:rsidR="00000000" w:rsidRDefault="00000000">
      <w:pPr>
        <w:rPr>
          <w:rFonts w:hint="eastAsia"/>
        </w:rPr>
      </w:pPr>
      <w:r>
        <w:rPr>
          <w:rFonts w:hint="eastAsia"/>
        </w:rPr>
        <w:tab/>
        <w:t xml:space="preserve">21.  </w:t>
      </w:r>
      <w:r>
        <w:rPr>
          <w:rFonts w:hint="eastAsia"/>
        </w:rPr>
        <w:t>委员会关切地注意到，摩洛哥社会保障制度覆盖面仍然不充分，并且在城乡之间和各地区之间的分配不平等。</w:t>
      </w:r>
    </w:p>
    <w:p w:rsidR="00000000" w:rsidRDefault="00000000">
      <w:pPr>
        <w:rPr>
          <w:rFonts w:hint="eastAsia"/>
        </w:rPr>
      </w:pPr>
      <w:r>
        <w:rPr>
          <w:rFonts w:hint="eastAsia"/>
        </w:rPr>
        <w:tab/>
        <w:t xml:space="preserve">22.  </w:t>
      </w:r>
      <w:r>
        <w:rPr>
          <w:rFonts w:hint="eastAsia"/>
        </w:rPr>
        <w:t>委员会关切地注意到，全国社会保障基金付给的最低退休金额</w:t>
      </w:r>
      <w:r>
        <w:rPr>
          <w:rFonts w:hint="eastAsia"/>
        </w:rPr>
        <w:t>500</w:t>
      </w:r>
      <w:r>
        <w:rPr>
          <w:rFonts w:hint="eastAsia"/>
        </w:rPr>
        <w:t>迪拉姆不能保证退休人员及其家属能享有适足的生活水平。</w:t>
      </w:r>
    </w:p>
    <w:p w:rsidR="00000000" w:rsidRDefault="00000000">
      <w:pPr>
        <w:rPr>
          <w:rFonts w:hint="eastAsia"/>
        </w:rPr>
      </w:pPr>
      <w:r>
        <w:rPr>
          <w:rFonts w:hint="eastAsia"/>
        </w:rPr>
        <w:tab/>
        <w:t xml:space="preserve">23.  </w:t>
      </w:r>
      <w:r>
        <w:rPr>
          <w:rFonts w:hint="eastAsia"/>
        </w:rPr>
        <w:t>委员会认识到缔约国为打击家庭暴力问题作出了努力，但仍关切地注意到缔约国《刑法》没有具体规定家庭暴力是应加以惩罚的罪行。</w:t>
      </w:r>
    </w:p>
    <w:p w:rsidR="00000000" w:rsidRDefault="00000000">
      <w:pPr>
        <w:rPr>
          <w:rFonts w:hint="eastAsia"/>
        </w:rPr>
      </w:pPr>
      <w:r>
        <w:rPr>
          <w:rFonts w:hint="eastAsia"/>
        </w:rPr>
        <w:tab/>
        <w:t xml:space="preserve">24.  </w:t>
      </w:r>
      <w:r>
        <w:rPr>
          <w:rFonts w:hint="eastAsia"/>
        </w:rPr>
        <w:t>委员会注意到根据缔约国《劳动法》，工作场所的性骚扰是严重的不当行为，但仍然关切这种行为根据《刑法》不是犯罪。</w:t>
      </w:r>
    </w:p>
    <w:p w:rsidR="00000000" w:rsidRDefault="00000000">
      <w:pPr>
        <w:rPr>
          <w:rFonts w:hint="eastAsia"/>
        </w:rPr>
      </w:pPr>
      <w:r>
        <w:rPr>
          <w:rFonts w:hint="eastAsia"/>
        </w:rPr>
        <w:tab/>
        <w:t xml:space="preserve">25.  </w:t>
      </w:r>
      <w:r>
        <w:rPr>
          <w:rFonts w:hint="eastAsia"/>
        </w:rPr>
        <w:t>委员会关切地注意到被遣返的孤身移民儿童的处境。</w:t>
      </w:r>
    </w:p>
    <w:p w:rsidR="00000000" w:rsidRDefault="00000000">
      <w:pPr>
        <w:rPr>
          <w:rFonts w:hint="eastAsia"/>
        </w:rPr>
      </w:pPr>
      <w:r>
        <w:rPr>
          <w:rFonts w:hint="eastAsia"/>
        </w:rPr>
        <w:tab/>
        <w:t xml:space="preserve">26.  </w:t>
      </w:r>
      <w:r>
        <w:rPr>
          <w:rFonts w:hint="eastAsia"/>
        </w:rPr>
        <w:t>委员会关切地注意到摩洛哥城市水电等公用事业的私有化，这将使住在贫民区的家庭经济负担更重，因而使他们更加贫穷。</w:t>
      </w:r>
    </w:p>
    <w:p w:rsidR="00000000" w:rsidRDefault="00000000">
      <w:pPr>
        <w:rPr>
          <w:rFonts w:hint="eastAsia"/>
        </w:rPr>
      </w:pPr>
      <w:r>
        <w:rPr>
          <w:rFonts w:hint="eastAsia"/>
        </w:rPr>
        <w:tab/>
        <w:t xml:space="preserve">27.  </w:t>
      </w:r>
      <w:r>
        <w:rPr>
          <w:rFonts w:hint="eastAsia"/>
        </w:rPr>
        <w:t>委员会特别关注以下报导：摩洛哥流离失所者、少数群体和特别是贫民区居民的住房条件很差，据说贫民区的人口密度妨碍了经济、社会和文化权利的有效享受。委员会关切地注意到，缔约国没有作出足够的努力抵销</w:t>
      </w:r>
      <w:r>
        <w:rPr>
          <w:rFonts w:hint="eastAsia"/>
        </w:rPr>
        <w:t>A</w:t>
      </w:r>
      <w:r>
        <w:t>l-Hoceima</w:t>
      </w:r>
      <w:r>
        <w:rPr>
          <w:rFonts w:hint="eastAsia"/>
        </w:rPr>
        <w:t>等地区地震对住房权利的不利影响。</w:t>
      </w:r>
    </w:p>
    <w:p w:rsidR="00000000" w:rsidRDefault="00000000">
      <w:pPr>
        <w:rPr>
          <w:rFonts w:hint="eastAsia"/>
        </w:rPr>
      </w:pPr>
      <w:r>
        <w:rPr>
          <w:rFonts w:hint="eastAsia"/>
        </w:rPr>
        <w:tab/>
        <w:t xml:space="preserve">28.  </w:t>
      </w:r>
      <w:r>
        <w:rPr>
          <w:rFonts w:hint="eastAsia"/>
        </w:rPr>
        <w:t>委员会重申它对以下事实的关注：尽管缔约国作出努力减贫，</w:t>
      </w:r>
      <w:r>
        <w:rPr>
          <w:rFonts w:hint="eastAsia"/>
        </w:rPr>
        <w:t>17%</w:t>
      </w:r>
      <w:r>
        <w:rPr>
          <w:rFonts w:hint="eastAsia"/>
        </w:rPr>
        <w:t>的人口仍然生活在贫困中，</w:t>
      </w:r>
      <w:r>
        <w:rPr>
          <w:rFonts w:hint="eastAsia"/>
        </w:rPr>
        <w:t>70%</w:t>
      </w:r>
      <w:r>
        <w:rPr>
          <w:rFonts w:hint="eastAsia"/>
        </w:rPr>
        <w:t>的穷人住在农村。</w:t>
      </w:r>
    </w:p>
    <w:p w:rsidR="00000000" w:rsidRDefault="00000000">
      <w:pPr>
        <w:rPr>
          <w:rFonts w:hint="eastAsia"/>
        </w:rPr>
      </w:pPr>
      <w:r>
        <w:rPr>
          <w:rFonts w:hint="eastAsia"/>
        </w:rPr>
        <w:tab/>
        <w:t xml:space="preserve">29.  </w:t>
      </w:r>
      <w:r>
        <w:rPr>
          <w:rFonts w:hint="eastAsia"/>
        </w:rPr>
        <w:t>委员会关注</w:t>
      </w:r>
      <w:r>
        <w:rPr>
          <w:rFonts w:hint="eastAsia"/>
        </w:rPr>
        <w:t>2006</w:t>
      </w:r>
      <w:r>
        <w:rPr>
          <w:rFonts w:hint="eastAsia"/>
        </w:rPr>
        <w:t>年生效的自由贸易协定可能产生的不利影响。这些协定会使医疗用品和药物的费用提高，因此可能影响到《公约》规定的权利，特别是健康权。</w:t>
      </w:r>
    </w:p>
    <w:p w:rsidR="00000000" w:rsidRDefault="00000000">
      <w:pPr>
        <w:rPr>
          <w:rFonts w:hint="eastAsia"/>
        </w:rPr>
      </w:pPr>
      <w:r>
        <w:rPr>
          <w:rFonts w:hint="eastAsia"/>
        </w:rPr>
        <w:tab/>
        <w:t xml:space="preserve">30.  </w:t>
      </w:r>
      <w:r>
        <w:rPr>
          <w:rFonts w:hint="eastAsia"/>
        </w:rPr>
        <w:t>委员会关切地注意到，缔约国有两个档速的教育系统，公立学校和私立学校的水平很不一样，这剥夺了低收入社会阶层的平等机会。委员会还关注女孩和男孩之间以及城市和农村之间在入学率方面的差距。委员会也关注：小学和中学用阿拉伯文授课，而高等科技学校只用法文，这使公立学校的学生很难入学。</w:t>
      </w:r>
    </w:p>
    <w:p w:rsidR="00000000" w:rsidRDefault="00000000">
      <w:r>
        <w:rPr>
          <w:rFonts w:hint="eastAsia"/>
        </w:rPr>
        <w:tab/>
        <w:t xml:space="preserve">31.  </w:t>
      </w:r>
      <w:r>
        <w:rPr>
          <w:rFonts w:hint="eastAsia"/>
        </w:rPr>
        <w:t>委员会注意到缔约国努力实施扫盲方案。不过，委员会很遗憾该方案只用阿拉伯语进行，因此使不讲阿拉伯语的阿马齐格族成年人不能够用他们的母语读写。</w:t>
      </w:r>
    </w:p>
    <w:p w:rsidR="00000000" w:rsidRDefault="00000000">
      <w:pPr>
        <w:spacing w:after="320"/>
        <w:ind w:firstLine="510"/>
        <w:rPr>
          <w:rFonts w:hint="eastAsia"/>
        </w:rPr>
      </w:pPr>
      <w:r>
        <w:rPr>
          <w:rFonts w:hint="eastAsia"/>
        </w:rPr>
        <w:t xml:space="preserve">32.  </w:t>
      </w:r>
      <w:r>
        <w:rPr>
          <w:rFonts w:hint="eastAsia"/>
        </w:rPr>
        <w:t>委员会注意到缔约国采取行动促进阿马齐格文化。不过仍关注阿马齐格名字不被市政府登记处官员接受。它还注意到，由于阿拉伯文是缔约国唯一的正式语文，在摩洛哥人口中占很大一部分的阿马齐格人被剥夺了在公事中使用自己母语的权利，并且阿马齐格人认同自己文化的权利没有得到充分尊重。</w:t>
      </w:r>
    </w:p>
    <w:p w:rsidR="00000000" w:rsidRDefault="00000000">
      <w:pPr>
        <w:pStyle w:val="Heading3"/>
        <w:rPr>
          <w:rFonts w:ascii="Time New Roman" w:eastAsia="SimHei" w:hAnsi="Time New Roman" w:hint="eastAsia"/>
          <w:u w:val="none"/>
        </w:rPr>
      </w:pPr>
      <w:r>
        <w:rPr>
          <w:rFonts w:ascii="Time New Roman" w:eastAsia="SimHei" w:hAnsi="Time New Roman" w:hint="eastAsia"/>
          <w:b/>
          <w:u w:val="none"/>
        </w:rPr>
        <w:t>E</w:t>
      </w:r>
      <w:r>
        <w:rPr>
          <w:rFonts w:ascii="Time New Roman" w:eastAsia="SimHei" w:hAnsi="Time New Roman" w:hint="eastAsia"/>
          <w:u w:val="none"/>
        </w:rPr>
        <w:t xml:space="preserve">. </w:t>
      </w:r>
      <w:r>
        <w:rPr>
          <w:rFonts w:ascii="Time New Roman" w:eastAsia="SimHei" w:hAnsi="Time New Roman"/>
          <w:u w:val="none"/>
        </w:rPr>
        <w:t xml:space="preserve"> </w:t>
      </w:r>
      <w:r>
        <w:rPr>
          <w:rFonts w:ascii="Time New Roman" w:eastAsia="SimHei" w:hAnsi="Time New Roman" w:hint="eastAsia"/>
          <w:u w:val="none"/>
        </w:rPr>
        <w:t>提议和建议</w:t>
      </w:r>
    </w:p>
    <w:p w:rsidR="00000000" w:rsidRDefault="00000000">
      <w:pPr>
        <w:ind w:firstLine="510"/>
        <w:rPr>
          <w:rFonts w:hint="eastAsia"/>
          <w:spacing w:val="8"/>
        </w:rPr>
      </w:pPr>
      <w:r>
        <w:rPr>
          <w:rFonts w:hint="eastAsia"/>
          <w:spacing w:val="8"/>
        </w:rPr>
        <w:t xml:space="preserve">33.  </w:t>
      </w:r>
      <w:r>
        <w:rPr>
          <w:rFonts w:hint="eastAsia"/>
          <w:spacing w:val="8"/>
        </w:rPr>
        <w:t>委员会建议缔约国就委员会在审议其首次报告和第二次定期报告时提出的具体关注问题采取后续行动，并敦促它就委员会在这方面的提议和建议采取行动。</w:t>
      </w:r>
    </w:p>
    <w:p w:rsidR="00000000" w:rsidRDefault="00000000">
      <w:pPr>
        <w:ind w:firstLine="510"/>
        <w:rPr>
          <w:rFonts w:hint="eastAsia"/>
        </w:rPr>
      </w:pPr>
      <w:r>
        <w:rPr>
          <w:rFonts w:hint="eastAsia"/>
        </w:rPr>
        <w:t xml:space="preserve">34.  </w:t>
      </w:r>
      <w:r>
        <w:rPr>
          <w:rFonts w:hint="eastAsia"/>
        </w:rPr>
        <w:t>委员会建议缔约国建立可靠的数据库，以便能够随时监测《公约》规定的每项权利的落实情况，并提取有关这些权利行使情况的信息供委员会使用。</w:t>
      </w:r>
    </w:p>
    <w:p w:rsidR="00000000" w:rsidRDefault="00000000">
      <w:pPr>
        <w:ind w:firstLine="510"/>
        <w:rPr>
          <w:rFonts w:hint="eastAsia"/>
        </w:rPr>
      </w:pPr>
      <w:r>
        <w:rPr>
          <w:rFonts w:hint="eastAsia"/>
        </w:rPr>
        <w:t xml:space="preserve">35.  </w:t>
      </w:r>
      <w:r>
        <w:rPr>
          <w:rFonts w:hint="eastAsia"/>
        </w:rPr>
        <w:t>委员会再次鼓励缔约国作出一切努力找出明确的解决西撒哈拉人民自决问题的办法。委员会呼吁缔约国采取步骤保护因西撒哈拉冲突而流离失所的人的权利并确保他们的安全。</w:t>
      </w:r>
    </w:p>
    <w:p w:rsidR="00000000" w:rsidRDefault="00000000">
      <w:pPr>
        <w:ind w:firstLine="510"/>
        <w:rPr>
          <w:rFonts w:hint="eastAsia"/>
        </w:rPr>
      </w:pPr>
      <w:r>
        <w:rPr>
          <w:rFonts w:hint="eastAsia"/>
        </w:rPr>
        <w:t xml:space="preserve">36.  </w:t>
      </w:r>
      <w:r>
        <w:rPr>
          <w:rFonts w:hint="eastAsia"/>
        </w:rPr>
        <w:t>委员会再次建议缔约国采取立法和其他措施落实《公约》的所有规定。</w:t>
      </w:r>
    </w:p>
    <w:p w:rsidR="00000000" w:rsidRDefault="00000000">
      <w:pPr>
        <w:ind w:firstLine="510"/>
        <w:rPr>
          <w:rFonts w:hint="eastAsia"/>
        </w:rPr>
      </w:pPr>
      <w:r>
        <w:rPr>
          <w:rFonts w:hint="eastAsia"/>
        </w:rPr>
        <w:t xml:space="preserve">37.  </w:t>
      </w:r>
      <w:r>
        <w:rPr>
          <w:rFonts w:hint="eastAsia"/>
        </w:rPr>
        <w:t>委员会敦促缔约国在第四次定期报告中提供有关《公约》规定的权利被侵犯的受害者可利用的法律补救办法的准确详细资料和实际例子。</w:t>
      </w:r>
    </w:p>
    <w:p w:rsidR="00000000" w:rsidRDefault="00000000">
      <w:pPr>
        <w:ind w:firstLine="510"/>
        <w:rPr>
          <w:rFonts w:hint="eastAsia"/>
        </w:rPr>
      </w:pPr>
      <w:r>
        <w:rPr>
          <w:rFonts w:hint="eastAsia"/>
        </w:rPr>
        <w:t xml:space="preserve">38.  </w:t>
      </w:r>
      <w:r>
        <w:rPr>
          <w:rFonts w:hint="eastAsia"/>
        </w:rPr>
        <w:t>委员会鼓励缔约国加强努力尊重和保护妇女的权利，并建议永远废除一夫多妻制。</w:t>
      </w:r>
    </w:p>
    <w:p w:rsidR="00000000" w:rsidRDefault="00000000">
      <w:pPr>
        <w:ind w:firstLine="510"/>
        <w:rPr>
          <w:rFonts w:hint="eastAsia"/>
        </w:rPr>
      </w:pPr>
      <w:r>
        <w:rPr>
          <w:rFonts w:hint="eastAsia"/>
        </w:rPr>
        <w:t xml:space="preserve">39.  </w:t>
      </w:r>
      <w:r>
        <w:rPr>
          <w:rFonts w:hint="eastAsia"/>
        </w:rPr>
        <w:t>委员会鼓励缔约国使其国内立法完全符合《公约》，取消任何歧视性规定并保证男女在有效享受经济、社会和文化权利方面得到平等待遇。</w:t>
      </w:r>
    </w:p>
    <w:p w:rsidR="00000000" w:rsidRDefault="00000000">
      <w:pPr>
        <w:ind w:firstLine="510"/>
        <w:rPr>
          <w:rFonts w:hint="eastAsia"/>
        </w:rPr>
      </w:pPr>
      <w:r>
        <w:rPr>
          <w:rFonts w:hint="eastAsia"/>
        </w:rPr>
        <w:t xml:space="preserve">40.  </w:t>
      </w:r>
      <w:r>
        <w:rPr>
          <w:rFonts w:hint="eastAsia"/>
        </w:rPr>
        <w:t>委员会再次建议缔约国采取立法和其他措施规定家庭佣人的工作和就业条件，以便保证他们享有各项权利和社会保护。</w:t>
      </w:r>
    </w:p>
    <w:p w:rsidR="00000000" w:rsidRDefault="00000000">
      <w:pPr>
        <w:ind w:firstLine="510"/>
        <w:rPr>
          <w:rFonts w:hint="eastAsia"/>
        </w:rPr>
      </w:pPr>
      <w:r>
        <w:rPr>
          <w:rFonts w:hint="eastAsia"/>
        </w:rPr>
        <w:t xml:space="preserve">41.  </w:t>
      </w:r>
      <w:r>
        <w:rPr>
          <w:rFonts w:hint="eastAsia"/>
        </w:rPr>
        <w:t>委员会建议缔约国实施专门对付年青人失业问题的行动计划，其中包括职业培训、学徒和任何能帮助年青人获得就业机会的其他措施。</w:t>
      </w:r>
    </w:p>
    <w:p w:rsidR="00000000" w:rsidRDefault="00000000">
      <w:pPr>
        <w:ind w:firstLine="510"/>
        <w:rPr>
          <w:rFonts w:hint="eastAsia"/>
        </w:rPr>
      </w:pPr>
      <w:r>
        <w:rPr>
          <w:rFonts w:hint="eastAsia"/>
        </w:rPr>
        <w:t xml:space="preserve">42. </w:t>
      </w:r>
      <w:r>
        <w:rPr>
          <w:rFonts w:hint="eastAsia"/>
        </w:rPr>
        <w:t>委员会敦促缔约国为被不公平地解雇的工人提供有效补救办法并开展宣传运动使工人了解他们根据《公约》享有的权利。</w:t>
      </w:r>
    </w:p>
    <w:p w:rsidR="00000000" w:rsidRDefault="00000000">
      <w:pPr>
        <w:ind w:firstLine="510"/>
        <w:rPr>
          <w:rFonts w:hint="eastAsia"/>
        </w:rPr>
      </w:pPr>
      <w:r>
        <w:rPr>
          <w:rFonts w:hint="eastAsia"/>
        </w:rPr>
        <w:t xml:space="preserve">43.  </w:t>
      </w:r>
      <w:r>
        <w:rPr>
          <w:rFonts w:hint="eastAsia"/>
        </w:rPr>
        <w:t>委员会请缔约国采取步骤确保私人公司实际上有职业医务人员可得，并提供有关私人公司的雇用条件和职业卫生与安全的资料和统计数字。</w:t>
      </w:r>
    </w:p>
    <w:p w:rsidR="00000000" w:rsidRDefault="00000000">
      <w:pPr>
        <w:ind w:firstLine="510"/>
        <w:rPr>
          <w:rFonts w:hint="eastAsia"/>
        </w:rPr>
      </w:pPr>
      <w:r>
        <w:rPr>
          <w:rFonts w:hint="eastAsia"/>
        </w:rPr>
        <w:t xml:space="preserve">44.  </w:t>
      </w:r>
      <w:r>
        <w:rPr>
          <w:rFonts w:hint="eastAsia"/>
        </w:rPr>
        <w:t>委员会再次敦促缔约国修改《刑法》第</w:t>
      </w:r>
      <w:r>
        <w:rPr>
          <w:rFonts w:hint="eastAsia"/>
        </w:rPr>
        <w:t>288</w:t>
      </w:r>
      <w:r>
        <w:rPr>
          <w:rFonts w:hint="eastAsia"/>
        </w:rPr>
        <w:t>条，以使其劳动立法符合《公约》第八条。</w:t>
      </w:r>
    </w:p>
    <w:p w:rsidR="00000000" w:rsidRDefault="00000000">
      <w:pPr>
        <w:ind w:firstLine="510"/>
        <w:rPr>
          <w:rFonts w:hint="eastAsia"/>
        </w:rPr>
      </w:pPr>
      <w:r>
        <w:rPr>
          <w:rFonts w:hint="eastAsia"/>
        </w:rPr>
        <w:t xml:space="preserve">45.  </w:t>
      </w:r>
      <w:r>
        <w:rPr>
          <w:rFonts w:hint="eastAsia"/>
        </w:rPr>
        <w:t>委员会鼓励缔约国消除行使组织权利的行政障碍，包括通过迅速发出收到组织工会申请书的通知。还请缔约国尽快批准国际劳工组织</w:t>
      </w:r>
      <w:r>
        <w:rPr>
          <w:rFonts w:hint="eastAsia"/>
        </w:rPr>
        <w:t>(</w:t>
      </w:r>
      <w:r>
        <w:rPr>
          <w:rFonts w:hint="eastAsia"/>
        </w:rPr>
        <w:t>劳工组织</w:t>
      </w:r>
      <w:r>
        <w:rPr>
          <w:rFonts w:hint="eastAsia"/>
        </w:rPr>
        <w:t>)</w:t>
      </w:r>
      <w:r>
        <w:rPr>
          <w:rFonts w:hint="eastAsia"/>
        </w:rPr>
        <w:t>《关于结社自由和保护组织权利的公约》</w:t>
      </w:r>
      <w:r>
        <w:rPr>
          <w:rFonts w:hint="eastAsia"/>
        </w:rPr>
        <w:t>(1948</w:t>
      </w:r>
      <w:r>
        <w:rPr>
          <w:rFonts w:hint="eastAsia"/>
        </w:rPr>
        <w:t>年第</w:t>
      </w:r>
      <w:r>
        <w:rPr>
          <w:rFonts w:hint="eastAsia"/>
        </w:rPr>
        <w:t>87</w:t>
      </w:r>
      <w:r>
        <w:rPr>
          <w:rFonts w:hint="eastAsia"/>
        </w:rPr>
        <w:t>号</w:t>
      </w:r>
      <w:r>
        <w:rPr>
          <w:rFonts w:hint="eastAsia"/>
        </w:rPr>
        <w:t>)</w:t>
      </w:r>
      <w:r>
        <w:rPr>
          <w:rFonts w:hint="eastAsia"/>
        </w:rPr>
        <w:t>。</w:t>
      </w:r>
    </w:p>
    <w:p w:rsidR="00000000" w:rsidRDefault="00000000">
      <w:pPr>
        <w:ind w:firstLine="510"/>
        <w:rPr>
          <w:rFonts w:hint="eastAsia"/>
        </w:rPr>
      </w:pPr>
      <w:r>
        <w:rPr>
          <w:rFonts w:hint="eastAsia"/>
        </w:rPr>
        <w:t xml:space="preserve">46.  </w:t>
      </w:r>
      <w:r>
        <w:rPr>
          <w:rFonts w:hint="eastAsia"/>
        </w:rPr>
        <w:t>委员会建议缔约国加倍努力确保社会保障制度的覆盖面，包括失业、疾病和家庭津贴，在农村和城市地区之间平均分配。在这方面，委员会建议缔约国考虑批准劳工组织《社会保障最低标准公约》</w:t>
      </w:r>
      <w:r>
        <w:rPr>
          <w:rFonts w:hint="eastAsia"/>
        </w:rPr>
        <w:t>(1952</w:t>
      </w:r>
      <w:r>
        <w:rPr>
          <w:rFonts w:hint="eastAsia"/>
        </w:rPr>
        <w:t>年第</w:t>
      </w:r>
      <w:r>
        <w:rPr>
          <w:rFonts w:hint="eastAsia"/>
        </w:rPr>
        <w:t>102</w:t>
      </w:r>
      <w:r>
        <w:rPr>
          <w:rFonts w:hint="eastAsia"/>
        </w:rPr>
        <w:t>号</w:t>
      </w:r>
      <w:r>
        <w:rPr>
          <w:rFonts w:hint="eastAsia"/>
        </w:rPr>
        <w:t>)</w:t>
      </w:r>
      <w:r>
        <w:rPr>
          <w:rFonts w:hint="eastAsia"/>
        </w:rPr>
        <w:t>和劳工组织《本国人和外国人社会保障同等待遇公约》</w:t>
      </w:r>
      <w:r>
        <w:rPr>
          <w:rFonts w:hint="eastAsia"/>
        </w:rPr>
        <w:t>(1962</w:t>
      </w:r>
      <w:r>
        <w:rPr>
          <w:rFonts w:hint="eastAsia"/>
        </w:rPr>
        <w:t>年第</w:t>
      </w:r>
      <w:r>
        <w:rPr>
          <w:rFonts w:hint="eastAsia"/>
        </w:rPr>
        <w:t>118</w:t>
      </w:r>
      <w:r>
        <w:rPr>
          <w:rFonts w:hint="eastAsia"/>
        </w:rPr>
        <w:t>号</w:t>
      </w:r>
      <w:r>
        <w:rPr>
          <w:rFonts w:hint="eastAsia"/>
        </w:rPr>
        <w:t>)</w:t>
      </w:r>
      <w:r>
        <w:rPr>
          <w:rFonts w:hint="eastAsia"/>
        </w:rPr>
        <w:t>。</w:t>
      </w:r>
    </w:p>
    <w:p w:rsidR="00000000" w:rsidRDefault="00000000">
      <w:pPr>
        <w:ind w:firstLine="510"/>
        <w:rPr>
          <w:rFonts w:hint="eastAsia"/>
        </w:rPr>
      </w:pPr>
      <w:r>
        <w:rPr>
          <w:rFonts w:hint="eastAsia"/>
        </w:rPr>
        <w:t xml:space="preserve">47.  </w:t>
      </w:r>
      <w:r>
        <w:rPr>
          <w:rFonts w:hint="eastAsia"/>
        </w:rPr>
        <w:t>委员会鼓励缔约国确保</w:t>
      </w:r>
      <w:r>
        <w:rPr>
          <w:rFonts w:hint="eastAsia"/>
        </w:rPr>
        <w:t>2005-2015</w:t>
      </w:r>
      <w:r>
        <w:rPr>
          <w:rFonts w:hint="eastAsia"/>
        </w:rPr>
        <w:t>十年儿童国家行动计划着重于街头儿童重新融入社会问题，采取更严厉的反遗弃儿童措施，并确保被忽视或被遗弃的儿童得到适当的照顾和康复。缔约国应采取有效步骤解决忽视和遗弃儿童的根本原因，特别是向有儿童的家庭提供更多的援助。</w:t>
      </w:r>
    </w:p>
    <w:p w:rsidR="00000000" w:rsidRDefault="00000000">
      <w:pPr>
        <w:ind w:firstLine="510"/>
        <w:rPr>
          <w:rFonts w:hint="eastAsia"/>
        </w:rPr>
      </w:pPr>
      <w:r>
        <w:rPr>
          <w:rFonts w:hint="eastAsia"/>
        </w:rPr>
        <w:t xml:space="preserve">48.  </w:t>
      </w:r>
      <w:r>
        <w:rPr>
          <w:rFonts w:hint="eastAsia"/>
        </w:rPr>
        <w:t>委员会建议缔约国确保被遣返的孤身移民儿童得到适当的援助、康复和保护。</w:t>
      </w:r>
    </w:p>
    <w:p w:rsidR="00000000" w:rsidRDefault="00000000">
      <w:pPr>
        <w:ind w:firstLine="510"/>
        <w:rPr>
          <w:rFonts w:hint="eastAsia"/>
        </w:rPr>
      </w:pPr>
      <w:r>
        <w:rPr>
          <w:rFonts w:hint="eastAsia"/>
        </w:rPr>
        <w:t xml:space="preserve">49.  </w:t>
      </w:r>
      <w:r>
        <w:rPr>
          <w:rFonts w:hint="eastAsia"/>
        </w:rPr>
        <w:t>委员会建议缔约国提高最低退休养恤金额，使退休人员及其家人能够享有适当的生活水平。</w:t>
      </w:r>
    </w:p>
    <w:p w:rsidR="00000000" w:rsidRDefault="00000000">
      <w:pPr>
        <w:ind w:firstLine="510"/>
        <w:rPr>
          <w:rFonts w:hint="eastAsia"/>
        </w:rPr>
      </w:pPr>
      <w:r>
        <w:rPr>
          <w:rFonts w:hint="eastAsia"/>
        </w:rPr>
        <w:t xml:space="preserve">50.  </w:t>
      </w:r>
      <w:r>
        <w:rPr>
          <w:rFonts w:hint="eastAsia"/>
        </w:rPr>
        <w:t>委员会请缔约国加强努力打击家庭暴力，使这种暴力行为成为《刑法》之下的一种罪行，并向执法人员和法官提供培训使其认识家庭暴力的犯罪性质。</w:t>
      </w:r>
    </w:p>
    <w:p w:rsidR="00000000" w:rsidRDefault="00000000">
      <w:pPr>
        <w:ind w:firstLine="510"/>
        <w:rPr>
          <w:rFonts w:hint="eastAsia"/>
        </w:rPr>
      </w:pPr>
      <w:r>
        <w:rPr>
          <w:rFonts w:hint="eastAsia"/>
        </w:rPr>
        <w:t xml:space="preserve">51.  </w:t>
      </w:r>
      <w:r>
        <w:rPr>
          <w:rFonts w:hint="eastAsia"/>
        </w:rPr>
        <w:t>委员会敦促缔约国采取必要行动改善贫民区和其他地方的住房条件。委员会劝缔约国向地震受害者，特别是妇女和儿童提供援助，并采取预防行动确保易发生地震地区的住房按照防震规则建造。缔约国应加倍努力为</w:t>
      </w:r>
      <w:r>
        <w:rPr>
          <w:rFonts w:hint="eastAsia"/>
        </w:rPr>
        <w:t>A</w:t>
      </w:r>
      <w:r>
        <w:t>l</w:t>
      </w:r>
      <w:r>
        <w:rPr>
          <w:rFonts w:hint="eastAsia"/>
          <w:sz w:val="12"/>
        </w:rPr>
        <w:t xml:space="preserve"> </w:t>
      </w:r>
      <w:r>
        <w:t>-</w:t>
      </w:r>
      <w:r>
        <w:rPr>
          <w:sz w:val="12"/>
        </w:rPr>
        <w:t xml:space="preserve"> </w:t>
      </w:r>
      <w:r>
        <w:t>Hoceima</w:t>
      </w:r>
      <w:r>
        <w:rPr>
          <w:rFonts w:hint="eastAsia"/>
        </w:rPr>
        <w:t>的灾民提供住房。</w:t>
      </w:r>
    </w:p>
    <w:p w:rsidR="00000000" w:rsidRDefault="00000000">
      <w:pPr>
        <w:ind w:firstLine="510"/>
        <w:rPr>
          <w:rFonts w:hint="eastAsia"/>
        </w:rPr>
      </w:pPr>
      <w:r>
        <w:rPr>
          <w:rFonts w:hint="eastAsia"/>
        </w:rPr>
        <w:t xml:space="preserve">52.  </w:t>
      </w:r>
      <w:r>
        <w:rPr>
          <w:rFonts w:hint="eastAsia"/>
        </w:rPr>
        <w:t>委员会请缔约国采取必要立法措施把工作场所的性骚扰定为《刑法》之下的罪行。</w:t>
      </w:r>
    </w:p>
    <w:p w:rsidR="00000000" w:rsidRDefault="00000000">
      <w:pPr>
        <w:ind w:firstLine="510"/>
        <w:rPr>
          <w:rFonts w:hint="eastAsia"/>
        </w:rPr>
      </w:pPr>
      <w:r>
        <w:rPr>
          <w:rFonts w:hint="eastAsia"/>
        </w:rPr>
        <w:t xml:space="preserve">53.  </w:t>
      </w:r>
      <w:r>
        <w:rPr>
          <w:rFonts w:hint="eastAsia"/>
        </w:rPr>
        <w:t>委员会敦促缔约国采取一切必要措施，确保住在贫民区的穷苦家庭能够得到公共服务。它建议缔约国适当考虑到委员会第</w:t>
      </w:r>
      <w:r>
        <w:rPr>
          <w:rFonts w:hint="eastAsia"/>
        </w:rPr>
        <w:t>3</w:t>
      </w:r>
      <w:r>
        <w:rPr>
          <w:rFonts w:hint="eastAsia"/>
        </w:rPr>
        <w:t>号一般性意见</w:t>
      </w:r>
      <w:r>
        <w:rPr>
          <w:rFonts w:hint="eastAsia"/>
        </w:rPr>
        <w:t>(1990</w:t>
      </w:r>
      <w:r>
        <w:rPr>
          <w:rFonts w:hint="eastAsia"/>
        </w:rPr>
        <w:t>年</w:t>
      </w:r>
      <w:r>
        <w:rPr>
          <w:rFonts w:hint="eastAsia"/>
        </w:rPr>
        <w:t>)</w:t>
      </w:r>
      <w:r>
        <w:rPr>
          <w:rFonts w:hint="eastAsia"/>
        </w:rPr>
        <w:t>：缔约国义务的性质</w:t>
      </w:r>
      <w:r>
        <w:rPr>
          <w:rFonts w:hint="eastAsia"/>
        </w:rPr>
        <w:t>(</w:t>
      </w:r>
      <w:r>
        <w:rPr>
          <w:rFonts w:hint="eastAsia"/>
        </w:rPr>
        <w:t>《公约》第二条第</w:t>
      </w:r>
      <w:r>
        <w:rPr>
          <w:rFonts w:hint="eastAsia"/>
        </w:rPr>
        <w:t>1</w:t>
      </w:r>
      <w:r>
        <w:rPr>
          <w:rFonts w:hint="eastAsia"/>
        </w:rPr>
        <w:t>款</w:t>
      </w:r>
      <w:r>
        <w:rPr>
          <w:rFonts w:hint="eastAsia"/>
        </w:rPr>
        <w:t>)</w:t>
      </w:r>
      <w:r>
        <w:rPr>
          <w:rFonts w:hint="eastAsia"/>
        </w:rPr>
        <w:t>、第</w:t>
      </w:r>
      <w:r>
        <w:rPr>
          <w:rFonts w:hint="eastAsia"/>
        </w:rPr>
        <w:t>7</w:t>
      </w:r>
      <w:r>
        <w:rPr>
          <w:rFonts w:hint="eastAsia"/>
        </w:rPr>
        <w:t>号一般性意见</w:t>
      </w:r>
      <w:r>
        <w:rPr>
          <w:rFonts w:hint="eastAsia"/>
        </w:rPr>
        <w:t>(1997</w:t>
      </w:r>
      <w:r>
        <w:rPr>
          <w:rFonts w:hint="eastAsia"/>
        </w:rPr>
        <w:t>年</w:t>
      </w:r>
      <w:r>
        <w:rPr>
          <w:rFonts w:hint="eastAsia"/>
        </w:rPr>
        <w:t>)</w:t>
      </w:r>
      <w:r>
        <w:rPr>
          <w:rFonts w:hint="eastAsia"/>
        </w:rPr>
        <w:t>：适足住房权</w:t>
      </w:r>
      <w:r>
        <w:rPr>
          <w:rFonts w:hint="eastAsia"/>
        </w:rPr>
        <w:t>(</w:t>
      </w:r>
      <w:r>
        <w:rPr>
          <w:rFonts w:hint="eastAsia"/>
        </w:rPr>
        <w:t>《公约》第十一条第</w:t>
      </w:r>
      <w:r>
        <w:rPr>
          <w:rFonts w:hint="eastAsia"/>
        </w:rPr>
        <w:t>1</w:t>
      </w:r>
      <w:r>
        <w:rPr>
          <w:rFonts w:hint="eastAsia"/>
        </w:rPr>
        <w:t>款</w:t>
      </w:r>
      <w:r>
        <w:rPr>
          <w:rFonts w:hint="eastAsia"/>
        </w:rPr>
        <w:t>)</w:t>
      </w:r>
      <w:r>
        <w:rPr>
          <w:rFonts w:hint="eastAsia"/>
        </w:rPr>
        <w:t>和强迫驱逐、第</w:t>
      </w:r>
      <w:r>
        <w:rPr>
          <w:rFonts w:hint="eastAsia"/>
        </w:rPr>
        <w:t>15</w:t>
      </w:r>
      <w:r>
        <w:rPr>
          <w:rFonts w:hint="eastAsia"/>
        </w:rPr>
        <w:t>号一般性意见</w:t>
      </w:r>
      <w:r>
        <w:rPr>
          <w:rFonts w:hint="eastAsia"/>
        </w:rPr>
        <w:t>(2002</w:t>
      </w:r>
      <w:r>
        <w:rPr>
          <w:rFonts w:hint="eastAsia"/>
        </w:rPr>
        <w:t>年</w:t>
      </w:r>
      <w:r>
        <w:rPr>
          <w:rFonts w:hint="eastAsia"/>
        </w:rPr>
        <w:t>)</w:t>
      </w:r>
      <w:r>
        <w:rPr>
          <w:rFonts w:hint="eastAsia"/>
        </w:rPr>
        <w:t>：水权</w:t>
      </w:r>
      <w:r>
        <w:rPr>
          <w:rFonts w:hint="eastAsia"/>
        </w:rPr>
        <w:t>(</w:t>
      </w:r>
      <w:r>
        <w:rPr>
          <w:rFonts w:hint="eastAsia"/>
        </w:rPr>
        <w:t>《公约》第十一和第十二条</w:t>
      </w:r>
      <w:r>
        <w:rPr>
          <w:rFonts w:hint="eastAsia"/>
        </w:rPr>
        <w:t>)</w:t>
      </w:r>
      <w:r>
        <w:rPr>
          <w:rFonts w:hint="eastAsia"/>
        </w:rPr>
        <w:t>。</w:t>
      </w:r>
    </w:p>
    <w:p w:rsidR="00000000" w:rsidRDefault="00000000">
      <w:pPr>
        <w:ind w:firstLine="510"/>
        <w:rPr>
          <w:rFonts w:hint="eastAsia"/>
        </w:rPr>
      </w:pPr>
      <w:r>
        <w:rPr>
          <w:rFonts w:hint="eastAsia"/>
        </w:rPr>
        <w:t xml:space="preserve">54.  </w:t>
      </w:r>
      <w:r>
        <w:rPr>
          <w:rFonts w:hint="eastAsia"/>
        </w:rPr>
        <w:t>委员会鼓励缔约国继续努力对付产妇死亡率，并加倍努力提高处理这一问题的方案的效率。</w:t>
      </w:r>
    </w:p>
    <w:p w:rsidR="00000000" w:rsidRDefault="00000000">
      <w:pPr>
        <w:ind w:firstLine="510"/>
        <w:rPr>
          <w:rFonts w:hint="eastAsia"/>
        </w:rPr>
      </w:pPr>
      <w:r>
        <w:rPr>
          <w:rFonts w:hint="eastAsia"/>
        </w:rPr>
        <w:t xml:space="preserve">55.  </w:t>
      </w:r>
      <w:r>
        <w:rPr>
          <w:rFonts w:hint="eastAsia"/>
        </w:rPr>
        <w:t>委员会再次建议缔约国更加努力减贫，包括农村地区的减贫，并改善其社会发展战略，把经济、社会和文化权利包括在内。在这方面，委员会请缔约国参看委员会在</w:t>
      </w:r>
      <w:r>
        <w:rPr>
          <w:rFonts w:hint="eastAsia"/>
        </w:rPr>
        <w:t>2001</w:t>
      </w:r>
      <w:r>
        <w:rPr>
          <w:rFonts w:hint="eastAsia"/>
        </w:rPr>
        <w:t>年</w:t>
      </w:r>
      <w:r>
        <w:rPr>
          <w:rFonts w:hint="eastAsia"/>
        </w:rPr>
        <w:t>5</w:t>
      </w:r>
      <w:r>
        <w:rPr>
          <w:rFonts w:hint="eastAsia"/>
        </w:rPr>
        <w:t>月</w:t>
      </w:r>
      <w:r>
        <w:rPr>
          <w:rFonts w:hint="eastAsia"/>
        </w:rPr>
        <w:t>4</w:t>
      </w:r>
      <w:r>
        <w:rPr>
          <w:rFonts w:hint="eastAsia"/>
        </w:rPr>
        <w:t>日通过的关于贫穷与《经济、社会、文化权利国际公约》的声明</w:t>
      </w:r>
      <w:r>
        <w:rPr>
          <w:rFonts w:hint="eastAsia"/>
        </w:rPr>
        <w:t>(E</w:t>
      </w:r>
      <w:r>
        <w:t>/2002/22</w:t>
      </w:r>
      <w:r>
        <w:rPr>
          <w:sz w:val="16"/>
        </w:rPr>
        <w:t xml:space="preserve"> </w:t>
      </w:r>
      <w:r>
        <w:t>-</w:t>
      </w:r>
      <w:r>
        <w:rPr>
          <w:sz w:val="16"/>
        </w:rPr>
        <w:t xml:space="preserve"> </w:t>
      </w:r>
      <w:r>
        <w:t xml:space="preserve">E/C.12/2001/17, </w:t>
      </w:r>
      <w:r>
        <w:rPr>
          <w:rFonts w:hint="eastAsia"/>
        </w:rPr>
        <w:t>附件七</w:t>
      </w:r>
      <w:r>
        <w:rPr>
          <w:rFonts w:hint="eastAsia"/>
        </w:rPr>
        <w:t>)</w:t>
      </w:r>
      <w:r>
        <w:rPr>
          <w:rFonts w:hint="eastAsia"/>
        </w:rPr>
        <w:t>。委员会请缔约国在下一次定期报告中列入分开的贫民人数和打击贫穷所取得进展的比较数据。</w:t>
      </w:r>
    </w:p>
    <w:p w:rsidR="00000000" w:rsidRDefault="00000000">
      <w:pPr>
        <w:ind w:firstLine="510"/>
        <w:rPr>
          <w:rFonts w:hint="eastAsia"/>
          <w:spacing w:val="8"/>
        </w:rPr>
      </w:pPr>
      <w:r>
        <w:rPr>
          <w:rFonts w:hint="eastAsia"/>
          <w:spacing w:val="8"/>
        </w:rPr>
        <w:t xml:space="preserve">56.  </w:t>
      </w:r>
      <w:r>
        <w:rPr>
          <w:rFonts w:hint="eastAsia"/>
          <w:spacing w:val="8"/>
        </w:rPr>
        <w:t>委员会强烈建议在谈判和双边协定中考虑到它根据《公约》承担的一切义务，以免损害到经济、社会和文化权利。委员会建议缔约国评估</w:t>
      </w:r>
      <w:r>
        <w:rPr>
          <w:rFonts w:hint="eastAsia"/>
          <w:spacing w:val="8"/>
        </w:rPr>
        <w:t>2006</w:t>
      </w:r>
      <w:r>
        <w:rPr>
          <w:rFonts w:hint="eastAsia"/>
          <w:spacing w:val="8"/>
        </w:rPr>
        <w:t>年签订的自由贸易协定对摩洛哥人民，特别是最脆弱群体的经济、社会和文化权利的影响。</w:t>
      </w:r>
    </w:p>
    <w:p w:rsidR="00000000" w:rsidRDefault="00000000">
      <w:pPr>
        <w:ind w:firstLine="510"/>
        <w:rPr>
          <w:rFonts w:hint="eastAsia"/>
        </w:rPr>
      </w:pPr>
      <w:r>
        <w:rPr>
          <w:rFonts w:hint="eastAsia"/>
        </w:rPr>
        <w:t xml:space="preserve">57.  </w:t>
      </w:r>
      <w:r>
        <w:rPr>
          <w:rFonts w:hint="eastAsia"/>
        </w:rPr>
        <w:t>委员会建议缔约国采取必要步骤加强公立学校系统并实现女孩与男孩和农村与城市之间的教育机会平等。委员会鼓励缔约国采取必要步骤确保高等科技教育也用阿拉伯文授课。</w:t>
      </w:r>
    </w:p>
    <w:p w:rsidR="00000000" w:rsidRDefault="00000000">
      <w:pPr>
        <w:ind w:firstLine="510"/>
        <w:rPr>
          <w:rFonts w:hint="eastAsia"/>
        </w:rPr>
      </w:pPr>
      <w:r>
        <w:rPr>
          <w:rFonts w:hint="eastAsia"/>
        </w:rPr>
        <w:t xml:space="preserve">58.  </w:t>
      </w:r>
      <w:r>
        <w:rPr>
          <w:rFonts w:hint="eastAsia"/>
        </w:rPr>
        <w:t>委员会建议缔约国制订阿马齐格语的扫盲方案。还请缔约国提供免费的各级阿马齐格语学校。</w:t>
      </w:r>
    </w:p>
    <w:p w:rsidR="00000000" w:rsidRDefault="00000000">
      <w:pPr>
        <w:ind w:firstLine="510"/>
        <w:rPr>
          <w:rFonts w:hint="eastAsia"/>
        </w:rPr>
      </w:pPr>
      <w:r>
        <w:rPr>
          <w:rFonts w:hint="eastAsia"/>
        </w:rPr>
        <w:t xml:space="preserve">59.  </w:t>
      </w:r>
      <w:r>
        <w:rPr>
          <w:rFonts w:hint="eastAsia"/>
        </w:rPr>
        <w:t>委员会请缔约国考虑将阿马齐格语作为《宪法》规定的正式语文。委员会鼓励缔约国采取必要步骤让父母能够给子女取阿马齐格名子。还敦促缔约国采取必要步骤充分保证阿马齐格社区能按照《公约》规定参与文化生活的权利的第十五条第</w:t>
      </w:r>
      <w:r>
        <w:rPr>
          <w:rFonts w:hint="eastAsia"/>
        </w:rPr>
        <w:t>1 (</w:t>
      </w:r>
      <w:r>
        <w:t>a)</w:t>
      </w:r>
      <w:r>
        <w:rPr>
          <w:rFonts w:hint="eastAsia"/>
        </w:rPr>
        <w:t>款，行使认同自己文化的权利。</w:t>
      </w:r>
    </w:p>
    <w:p w:rsidR="00000000" w:rsidRDefault="00000000">
      <w:pPr>
        <w:ind w:firstLine="510"/>
        <w:rPr>
          <w:rFonts w:hint="eastAsia"/>
        </w:rPr>
      </w:pPr>
      <w:r>
        <w:rPr>
          <w:rFonts w:hint="eastAsia"/>
        </w:rPr>
        <w:t xml:space="preserve">60.  </w:t>
      </w:r>
      <w:r>
        <w:rPr>
          <w:rFonts w:hint="eastAsia"/>
        </w:rPr>
        <w:t>委员会请缔约国向社会各界、尤其是向国家官员和司法机构广为散发本结论性意见，并在第四次定期报告中向委员会通报为落实本结论性意见而采取的一切步骤。委员会请缔约国让非政府组织参与该报告的拟订。</w:t>
      </w:r>
    </w:p>
    <w:p w:rsidR="00000000" w:rsidRDefault="00000000">
      <w:pPr>
        <w:ind w:firstLine="510"/>
        <w:rPr>
          <w:rFonts w:hint="eastAsia"/>
          <w:spacing w:val="6"/>
        </w:rPr>
      </w:pPr>
      <w:r>
        <w:rPr>
          <w:rFonts w:hint="eastAsia"/>
          <w:spacing w:val="6"/>
        </w:rPr>
        <w:t xml:space="preserve">61.  </w:t>
      </w:r>
      <w:r>
        <w:rPr>
          <w:rFonts w:hint="eastAsia"/>
          <w:spacing w:val="6"/>
        </w:rPr>
        <w:t>最后，委员会请缔约国在</w:t>
      </w:r>
      <w:r>
        <w:rPr>
          <w:rFonts w:hint="eastAsia"/>
          <w:spacing w:val="6"/>
        </w:rPr>
        <w:t>2009</w:t>
      </w:r>
      <w:r>
        <w:rPr>
          <w:rFonts w:hint="eastAsia"/>
          <w:spacing w:val="6"/>
        </w:rPr>
        <w:t>年之前提交第四次定期报告，并在报告中提供有关它根据委员会在这些结论性意见中提出的建议采取的一切行动的详细资料。</w:t>
      </w:r>
    </w:p>
    <w:p w:rsidR="00000000" w:rsidRDefault="00000000">
      <w:pPr>
        <w:ind w:firstLine="510"/>
        <w:rPr>
          <w:rFonts w:hint="eastAsia"/>
        </w:rPr>
      </w:pPr>
    </w:p>
    <w:p w:rsidR="00000000" w:rsidRDefault="00000000">
      <w:pPr>
        <w:ind w:firstLine="510"/>
        <w:rPr>
          <w:rFonts w:hint="eastAsia"/>
        </w:rPr>
      </w:pPr>
    </w:p>
    <w:p w:rsidR="00000000" w:rsidRDefault="00000000">
      <w:pPr>
        <w:jc w:val="center"/>
        <w:rPr>
          <w:rFonts w:hint="eastAsia"/>
        </w:rPr>
      </w:pPr>
      <w:r>
        <w:t>--  --  --  --  --</w:t>
      </w:r>
    </w:p>
    <w:p w:rsidR="00000000" w:rsidRDefault="00000000"/>
    <w:sectPr w:rsidR="00000000">
      <w:headerReference w:type="even" r:id="rId7"/>
      <w:headerReference w:type="default" r:id="rId8"/>
      <w:headerReference w:type="first" r:id="rId9"/>
      <w:footerReference w:type="first" r:id="rId10"/>
      <w:pgSz w:w="11906" w:h="16838" w:code="9"/>
      <w:pgMar w:top="1985" w:right="851" w:bottom="1985" w:left="1701" w:header="794" w:footer="1588"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Arial"/>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ime New Roman">
    <w:altName w:val="Times New Roman"/>
    <w:panose1 w:val="00000000000000000000"/>
    <w:charset w:val="00"/>
    <w:family w:val="roman"/>
    <w:notTrueType/>
    <w:pitch w:val="default"/>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06-44076 (C)</w:t>
          </w:r>
        </w:p>
      </w:tc>
      <w:tc>
        <w:tcPr>
          <w:tcW w:w="1050" w:type="dxa"/>
        </w:tcPr>
        <w:p w:rsidR="00000000" w:rsidRDefault="00000000">
          <w:pPr>
            <w:pStyle w:val="Footer"/>
          </w:pPr>
          <w:r>
            <w:t>271106</w:t>
          </w:r>
        </w:p>
      </w:tc>
      <w:tc>
        <w:tcPr>
          <w:tcW w:w="6061" w:type="dxa"/>
        </w:tcPr>
        <w:p w:rsidR="00000000" w:rsidRDefault="00000000">
          <w:pPr>
            <w:pStyle w:val="Footer"/>
          </w:pPr>
          <w:r>
            <w:rPr>
              <w:rFonts w:hint="eastAsia"/>
              <w:lang w:eastAsia="zh-CN"/>
            </w:rPr>
            <w:t>1</w:t>
          </w:r>
          <w:r>
            <w:rPr>
              <w:lang w:eastAsia="zh-CN"/>
            </w:rPr>
            <w:t>5</w:t>
          </w:r>
          <w:r>
            <w:rPr>
              <w:rFonts w:hint="eastAsia"/>
              <w:lang w:eastAsia="zh-CN"/>
            </w:rPr>
            <w:t>12</w:t>
          </w:r>
          <w:r>
            <w:t>06</w:t>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E/C.12/MAR/CO/3</w:t>
    </w:r>
  </w:p>
  <w:p w:rsidR="00000000" w:rsidRDefault="00000000">
    <w:pPr>
      <w:pStyle w:val="Heade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7144"/>
        <w:tab w:val="left" w:pos="7455"/>
      </w:tabs>
    </w:pPr>
    <w:r>
      <w:tab/>
    </w:r>
    <w:r>
      <w:tab/>
    </w:r>
    <w:r>
      <w:tab/>
    </w:r>
    <w:r>
      <w:tab/>
      <w:t>E/C.12/MAR/CO/3</w:t>
    </w:r>
  </w:p>
  <w:p w:rsidR="00000000" w:rsidRDefault="00000000">
    <w:pPr>
      <w:pStyle w:val="Header"/>
      <w:tabs>
        <w:tab w:val="clear" w:pos="7144"/>
        <w:tab w:val="left" w:pos="7455"/>
      </w:tabs>
      <w:rPr>
        <w:lang w:val="en-US"/>
      </w:rPr>
    </w:pPr>
    <w:r>
      <w:rPr>
        <w:lang w:val="en-US"/>
      </w:rPr>
      <w:tab/>
    </w:r>
    <w:r>
      <w:rPr>
        <w:lang w:val="en-US"/>
      </w:rPr>
      <w:tab/>
    </w: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0" w:rightFromText="180" w:vertAnchor="page" w:horzAnchor="margin" w:tblpY="991"/>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68"/>
      <w:gridCol w:w="4536"/>
      <w:gridCol w:w="834"/>
      <w:gridCol w:w="2426"/>
    </w:tblGrid>
    <w:tr w:rsidR="00000000">
      <w:tblPrEx>
        <w:tblCellMar>
          <w:top w:w="0" w:type="dxa"/>
          <w:bottom w:w="0" w:type="dxa"/>
        </w:tblCellMar>
      </w:tblPrEx>
      <w:tc>
        <w:tcPr>
          <w:tcW w:w="1668" w:type="dxa"/>
          <w:tcBorders>
            <w:top w:val="nil"/>
            <w:left w:val="nil"/>
            <w:bottom w:val="single" w:sz="8" w:space="0" w:color="auto"/>
            <w:right w:val="nil"/>
          </w:tcBorders>
          <w:vAlign w:val="center"/>
        </w:tcPr>
        <w:p w:rsidR="00000000" w:rsidRDefault="00000000">
          <w:pPr>
            <w:pStyle w:val="1L"/>
            <w:framePr w:w="0" w:hRule="auto" w:hSpace="0" w:wrap="auto" w:vAnchor="margin" w:hAnchor="text" w:xAlign="left" w:yAlign="inline"/>
            <w:rPr>
              <w:rFonts w:ascii="Time New Roman" w:hAnsi="Time New Roman"/>
              <w:b/>
            </w:rPr>
          </w:pPr>
          <w:r>
            <w:rPr>
              <w:rFonts w:hint="eastAsia"/>
            </w:rPr>
            <w:t>联合国</w:t>
          </w:r>
        </w:p>
      </w:tc>
      <w:tc>
        <w:tcPr>
          <w:tcW w:w="4536" w:type="dxa"/>
          <w:tcBorders>
            <w:top w:val="nil"/>
            <w:left w:val="nil"/>
            <w:bottom w:val="single" w:sz="8" w:space="0" w:color="auto"/>
            <w:right w:val="nil"/>
          </w:tcBorders>
        </w:tcPr>
        <w:p w:rsidR="00000000" w:rsidRDefault="00000000">
          <w:pPr>
            <w:pStyle w:val="1L"/>
            <w:framePr w:w="0" w:hRule="auto" w:hSpace="0" w:wrap="auto" w:vAnchor="margin" w:hAnchor="text" w:xAlign="left" w:yAlign="inline"/>
          </w:pPr>
        </w:p>
      </w:tc>
      <w:tc>
        <w:tcPr>
          <w:tcW w:w="3260" w:type="dxa"/>
          <w:gridSpan w:val="2"/>
          <w:tcBorders>
            <w:top w:val="nil"/>
            <w:left w:val="nil"/>
            <w:bottom w:val="single" w:sz="8" w:space="0" w:color="auto"/>
            <w:right w:val="nil"/>
          </w:tcBorders>
          <w:vAlign w:val="bottom"/>
        </w:tcPr>
        <w:p w:rsidR="00000000" w:rsidRDefault="00000000">
          <w:pPr>
            <w:pStyle w:val="1R1"/>
            <w:jc w:val="right"/>
            <w:rPr>
              <w:rFonts w:ascii="Univers" w:hAnsi="Univers"/>
              <w:b w:val="0"/>
              <w:sz w:val="72"/>
            </w:rPr>
          </w:pPr>
          <w:r>
            <w:t>E</w:t>
          </w:r>
        </w:p>
      </w:tc>
    </w:tr>
    <w:bookmarkStart w:id="0" w:name="_MON_992683020"/>
    <w:bookmarkStart w:id="1" w:name="_MON_1114339969"/>
    <w:bookmarkEnd w:id="0"/>
    <w:bookmarkEnd w:id="1"/>
    <w:tr w:rsidR="00000000">
      <w:tblPrEx>
        <w:tblCellMar>
          <w:top w:w="0" w:type="dxa"/>
          <w:bottom w:w="0" w:type="dxa"/>
        </w:tblCellMar>
      </w:tblPrEx>
      <w:tc>
        <w:tcPr>
          <w:tcW w:w="1668" w:type="dxa"/>
          <w:tcBorders>
            <w:top w:val="single" w:sz="8" w:space="0" w:color="auto"/>
            <w:left w:val="nil"/>
            <w:bottom w:val="single" w:sz="24"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444033117" r:id="rId2"/>
            </w:object>
          </w:r>
        </w:p>
      </w:tc>
      <w:tc>
        <w:tcPr>
          <w:tcW w:w="5370" w:type="dxa"/>
          <w:gridSpan w:val="2"/>
          <w:tcBorders>
            <w:top w:val="single" w:sz="8" w:space="0" w:color="auto"/>
            <w:left w:val="nil"/>
            <w:bottom w:val="single" w:sz="24" w:space="0" w:color="auto"/>
            <w:right w:val="nil"/>
          </w:tcBorders>
        </w:tcPr>
        <w:p w:rsidR="00000000" w:rsidRDefault="00000000">
          <w:pPr>
            <w:pStyle w:val="1m1"/>
            <w:spacing w:before="480"/>
          </w:pPr>
          <w:r>
            <w:rPr>
              <w:rFonts w:hint="eastAsia"/>
            </w:rPr>
            <w:t>经济及社会理事会</w:t>
          </w:r>
        </w:p>
      </w:tc>
      <w:tc>
        <w:tcPr>
          <w:tcW w:w="2426" w:type="dxa"/>
          <w:tcBorders>
            <w:top w:val="single" w:sz="8" w:space="0" w:color="auto"/>
            <w:left w:val="nil"/>
            <w:bottom w:val="single" w:sz="24" w:space="0" w:color="auto"/>
            <w:right w:val="nil"/>
          </w:tcBorders>
        </w:tcPr>
        <w:p w:rsidR="00000000" w:rsidRDefault="00000000">
          <w:pPr>
            <w:pStyle w:val="Header"/>
            <w:rPr>
              <w:lang w:eastAsia="zh-CN"/>
            </w:rPr>
          </w:pPr>
        </w:p>
        <w:p w:rsidR="00000000" w:rsidRDefault="00000000">
          <w:pPr>
            <w:pStyle w:val="Header"/>
          </w:pPr>
          <w:r>
            <w:t>Distr.</w:t>
          </w:r>
        </w:p>
        <w:p w:rsidR="00000000" w:rsidRDefault="00000000">
          <w:pPr>
            <w:pStyle w:val="Header"/>
          </w:pPr>
          <w:r>
            <w:t>GENERAL</w:t>
          </w:r>
        </w:p>
        <w:p w:rsidR="00000000" w:rsidRDefault="00000000">
          <w:pPr>
            <w:pStyle w:val="Header"/>
          </w:pPr>
        </w:p>
        <w:p w:rsidR="00000000" w:rsidRDefault="00000000">
          <w:pPr>
            <w:pStyle w:val="Header"/>
          </w:pPr>
          <w:r>
            <w:t>E/C.12/MAR/CO/3</w:t>
          </w:r>
        </w:p>
        <w:p w:rsidR="00000000" w:rsidRDefault="00000000">
          <w:pPr>
            <w:pStyle w:val="Header"/>
          </w:pPr>
          <w:r>
            <w:t>4 September 2006</w:t>
          </w:r>
        </w:p>
        <w:p w:rsidR="00000000" w:rsidRDefault="00000000">
          <w:pPr>
            <w:pStyle w:val="Header"/>
          </w:pPr>
        </w:p>
        <w:p w:rsidR="00000000" w:rsidRDefault="00000000">
          <w:pPr>
            <w:pStyle w:val="Header"/>
          </w:pPr>
          <w:r>
            <w:t>CHINESE</w:t>
          </w:r>
        </w:p>
        <w:p w:rsidR="00000000" w:rsidRDefault="00000000">
          <w:pPr>
            <w:pStyle w:val="Header"/>
            <w:tabs>
              <w:tab w:val="clear" w:pos="992"/>
              <w:tab w:val="left" w:pos="993"/>
            </w:tabs>
            <w:rPr>
              <w:rFonts w:hint="eastAsia"/>
              <w:lang w:eastAsia="zh-CN"/>
            </w:rPr>
          </w:pPr>
          <w:r>
            <w:t>Original:</w:t>
          </w:r>
          <w:r>
            <w:tab/>
          </w:r>
          <w:r>
            <w:rPr>
              <w:lang w:eastAsia="zh-CN"/>
            </w:rPr>
            <w:t>FRENCH</w:t>
          </w:r>
        </w:p>
        <w:p w:rsidR="00000000" w:rsidRDefault="00000000">
          <w:pPr>
            <w:pStyle w:val="Header"/>
          </w:pPr>
        </w:p>
      </w:tc>
    </w:tr>
    <w:tr w:rsidR="00000000">
      <w:tblPrEx>
        <w:tblCellMar>
          <w:top w:w="0" w:type="dxa"/>
          <w:bottom w:w="0" w:type="dxa"/>
        </w:tblCellMar>
      </w:tblPrEx>
      <w:trPr>
        <w:cantSplit/>
        <w:trHeight w:val="293"/>
      </w:trPr>
      <w:tc>
        <w:tcPr>
          <w:tcW w:w="1668" w:type="dxa"/>
          <w:tcBorders>
            <w:top w:val="single" w:sz="24" w:space="0" w:color="auto"/>
            <w:left w:val="nil"/>
            <w:bottom w:val="nil"/>
            <w:right w:val="nil"/>
          </w:tcBorders>
          <w:noWrap/>
        </w:tcPr>
        <w:p w:rsidR="00000000" w:rsidRDefault="00000000">
          <w:pPr>
            <w:rPr>
              <w:sz w:val="16"/>
            </w:rPr>
          </w:pPr>
        </w:p>
      </w:tc>
      <w:tc>
        <w:tcPr>
          <w:tcW w:w="4536" w:type="dxa"/>
          <w:tcBorders>
            <w:top w:val="single" w:sz="24" w:space="0" w:color="auto"/>
            <w:left w:val="nil"/>
            <w:bottom w:val="nil"/>
            <w:right w:val="nil"/>
          </w:tcBorders>
          <w:noWrap/>
        </w:tcPr>
        <w:p w:rsidR="00000000" w:rsidRDefault="00000000">
          <w:pPr>
            <w:pStyle w:val="1m1"/>
            <w:spacing w:line="240" w:lineRule="auto"/>
            <w:rPr>
              <w:rFonts w:hint="eastAsia"/>
              <w:sz w:val="16"/>
            </w:rPr>
          </w:pPr>
        </w:p>
      </w:tc>
      <w:tc>
        <w:tcPr>
          <w:tcW w:w="3260" w:type="dxa"/>
          <w:gridSpan w:val="2"/>
          <w:tcBorders>
            <w:top w:val="single" w:sz="24" w:space="0" w:color="auto"/>
            <w:left w:val="nil"/>
            <w:bottom w:val="nil"/>
            <w:right w:val="nil"/>
          </w:tcBorders>
          <w:noWrap/>
        </w:tcPr>
        <w:p w:rsidR="00000000" w:rsidRDefault="00000000">
          <w:pPr>
            <w:rPr>
              <w:sz w:val="16"/>
            </w:rPr>
          </w:pPr>
        </w:p>
      </w:tc>
    </w:tr>
  </w:tbl>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A5D2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
    <w:nsid w:val="03103861"/>
    <w:multiLevelType w:val="singleLevel"/>
    <w:tmpl w:val="B4A25A9E"/>
    <w:lvl w:ilvl="0">
      <w:start w:val="1"/>
      <w:numFmt w:val="lowerLetter"/>
      <w:lvlText w:val="(%1)"/>
      <w:legacy w:legacy="1" w:legacySpace="0" w:legacyIndent="425"/>
      <w:lvlJc w:val="left"/>
      <w:pPr>
        <w:ind w:left="1446" w:hanging="425"/>
      </w:pPr>
    </w:lvl>
  </w:abstractNum>
  <w:abstractNum w:abstractNumId="2">
    <w:nsid w:val="03186C5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
    <w:nsid w:val="09140562"/>
    <w:multiLevelType w:val="singleLevel"/>
    <w:tmpl w:val="82686F16"/>
    <w:lvl w:ilvl="0">
      <w:start w:val="1"/>
      <w:numFmt w:val="lowerLetter"/>
      <w:lvlText w:val="(%1)"/>
      <w:lvlJc w:val="left"/>
      <w:pPr>
        <w:tabs>
          <w:tab w:val="num" w:pos="1531"/>
        </w:tabs>
        <w:ind w:left="1531" w:hanging="510"/>
      </w:pPr>
      <w:rPr>
        <w:rFonts w:hint="eastAsia"/>
      </w:rPr>
    </w:lvl>
  </w:abstractNum>
  <w:abstractNum w:abstractNumId="4">
    <w:nsid w:val="095375A4"/>
    <w:multiLevelType w:val="singleLevel"/>
    <w:tmpl w:val="B4A25A9E"/>
    <w:lvl w:ilvl="0">
      <w:start w:val="1"/>
      <w:numFmt w:val="lowerLetter"/>
      <w:lvlText w:val="(%1)"/>
      <w:legacy w:legacy="1" w:legacySpace="0" w:legacyIndent="425"/>
      <w:lvlJc w:val="left"/>
      <w:pPr>
        <w:ind w:left="1446" w:hanging="425"/>
      </w:pPr>
    </w:lvl>
  </w:abstractNum>
  <w:abstractNum w:abstractNumId="5">
    <w:nsid w:val="095F2F2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
    <w:nsid w:val="0A29067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
    <w:nsid w:val="0CD872A0"/>
    <w:multiLevelType w:val="singleLevel"/>
    <w:tmpl w:val="B4A25A9E"/>
    <w:lvl w:ilvl="0">
      <w:start w:val="1"/>
      <w:numFmt w:val="lowerLetter"/>
      <w:lvlText w:val="(%1)"/>
      <w:legacy w:legacy="1" w:legacySpace="0" w:legacyIndent="425"/>
      <w:lvlJc w:val="left"/>
      <w:pPr>
        <w:ind w:left="1446" w:hanging="425"/>
      </w:pPr>
    </w:lvl>
  </w:abstractNum>
  <w:abstractNum w:abstractNumId="8">
    <w:nsid w:val="0DC0252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9">
    <w:nsid w:val="0F8637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0">
    <w:nsid w:val="105C5A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1">
    <w:nsid w:val="11EC2BA0"/>
    <w:multiLevelType w:val="singleLevel"/>
    <w:tmpl w:val="E9F4FBEE"/>
    <w:lvl w:ilvl="0">
      <w:start w:val="1"/>
      <w:numFmt w:val="lowerLetter"/>
      <w:lvlText w:val="(%1)"/>
      <w:legacy w:legacy="1" w:legacySpace="0" w:legacyIndent="425"/>
      <w:lvlJc w:val="left"/>
      <w:pPr>
        <w:ind w:left="1446" w:hanging="425"/>
      </w:pPr>
    </w:lvl>
  </w:abstractNum>
  <w:abstractNum w:abstractNumId="12">
    <w:nsid w:val="127557C9"/>
    <w:multiLevelType w:val="singleLevel"/>
    <w:tmpl w:val="E9F4FBEE"/>
    <w:lvl w:ilvl="0">
      <w:start w:val="1"/>
      <w:numFmt w:val="lowerLetter"/>
      <w:lvlText w:val="(%1)"/>
      <w:legacy w:legacy="1" w:legacySpace="0" w:legacyIndent="425"/>
      <w:lvlJc w:val="left"/>
      <w:pPr>
        <w:ind w:left="1446" w:hanging="425"/>
      </w:pPr>
    </w:lvl>
  </w:abstractNum>
  <w:abstractNum w:abstractNumId="13">
    <w:nsid w:val="168E6F2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4">
    <w:nsid w:val="179B577F"/>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5">
    <w:nsid w:val="184135EC"/>
    <w:multiLevelType w:val="singleLevel"/>
    <w:tmpl w:val="B4A25A9E"/>
    <w:lvl w:ilvl="0">
      <w:start w:val="1"/>
      <w:numFmt w:val="lowerLetter"/>
      <w:lvlText w:val="(%1)"/>
      <w:legacy w:legacy="1" w:legacySpace="0" w:legacyIndent="425"/>
      <w:lvlJc w:val="left"/>
      <w:pPr>
        <w:ind w:left="1446" w:hanging="425"/>
      </w:pPr>
    </w:lvl>
  </w:abstractNum>
  <w:abstractNum w:abstractNumId="16">
    <w:nsid w:val="1D57580F"/>
    <w:multiLevelType w:val="singleLevel"/>
    <w:tmpl w:val="B4A25A9E"/>
    <w:lvl w:ilvl="0">
      <w:start w:val="1"/>
      <w:numFmt w:val="lowerLetter"/>
      <w:lvlText w:val="(%1)"/>
      <w:legacy w:legacy="1" w:legacySpace="0" w:legacyIndent="425"/>
      <w:lvlJc w:val="left"/>
      <w:pPr>
        <w:ind w:left="1446" w:hanging="425"/>
      </w:pPr>
    </w:lvl>
  </w:abstractNum>
  <w:abstractNum w:abstractNumId="17">
    <w:nsid w:val="1D9A55A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8">
    <w:nsid w:val="1FD9126C"/>
    <w:multiLevelType w:val="singleLevel"/>
    <w:tmpl w:val="E7BCB06A"/>
    <w:lvl w:ilvl="0">
      <w:start w:val="1"/>
      <w:numFmt w:val="chineseCountingThousand"/>
      <w:lvlText w:val="(%1)"/>
      <w:legacy w:legacy="1" w:legacySpace="0" w:legacyIndent="510"/>
      <w:lvlJc w:val="left"/>
      <w:pPr>
        <w:ind w:left="1531" w:hanging="510"/>
      </w:pPr>
    </w:lvl>
  </w:abstractNum>
  <w:abstractNum w:abstractNumId="19">
    <w:nsid w:val="22C6376B"/>
    <w:multiLevelType w:val="singleLevel"/>
    <w:tmpl w:val="E7BCB06A"/>
    <w:lvl w:ilvl="0">
      <w:start w:val="1"/>
      <w:numFmt w:val="chineseCountingThousand"/>
      <w:lvlText w:val="(%1)"/>
      <w:legacy w:legacy="1" w:legacySpace="0" w:legacyIndent="510"/>
      <w:lvlJc w:val="left"/>
      <w:pPr>
        <w:ind w:left="1531" w:hanging="510"/>
      </w:pPr>
    </w:lvl>
  </w:abstractNum>
  <w:abstractNum w:abstractNumId="20">
    <w:nsid w:val="22E44274"/>
    <w:multiLevelType w:val="hybridMultilevel"/>
    <w:tmpl w:val="E132C74E"/>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2"/>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25DF17E1"/>
    <w:multiLevelType w:val="singleLevel"/>
    <w:tmpl w:val="E9F4FBEE"/>
    <w:lvl w:ilvl="0">
      <w:start w:val="1"/>
      <w:numFmt w:val="lowerLetter"/>
      <w:lvlText w:val="(%1)"/>
      <w:lvlJc w:val="left"/>
      <w:pPr>
        <w:tabs>
          <w:tab w:val="num" w:pos="1531"/>
        </w:tabs>
        <w:ind w:left="1531" w:hanging="510"/>
      </w:pPr>
      <w:rPr>
        <w:rFonts w:hint="eastAsia"/>
      </w:rPr>
    </w:lvl>
  </w:abstractNum>
  <w:abstractNum w:abstractNumId="22">
    <w:nsid w:val="25F3061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3">
    <w:nsid w:val="26873839"/>
    <w:multiLevelType w:val="hybridMultilevel"/>
    <w:tmpl w:val="52B0AAAE"/>
    <w:lvl w:ilvl="0" w:tplc="517A2B5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nsid w:val="294E42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5">
    <w:nsid w:val="32D95CC5"/>
    <w:multiLevelType w:val="singleLevel"/>
    <w:tmpl w:val="B4A25A9E"/>
    <w:lvl w:ilvl="0">
      <w:start w:val="1"/>
      <w:numFmt w:val="lowerLetter"/>
      <w:lvlText w:val="(%1)"/>
      <w:legacy w:legacy="1" w:legacySpace="0" w:legacyIndent="425"/>
      <w:lvlJc w:val="left"/>
      <w:pPr>
        <w:ind w:left="1446" w:hanging="425"/>
      </w:pPr>
    </w:lvl>
  </w:abstractNum>
  <w:abstractNum w:abstractNumId="26">
    <w:nsid w:val="33BF5892"/>
    <w:multiLevelType w:val="singleLevel"/>
    <w:tmpl w:val="C86ED9F2"/>
    <w:lvl w:ilvl="0">
      <w:start w:val="1"/>
      <w:numFmt w:val="chineseCountingThousand"/>
      <w:lvlText w:val="(%1)"/>
      <w:lvlJc w:val="left"/>
      <w:pPr>
        <w:tabs>
          <w:tab w:val="num" w:pos="1021"/>
        </w:tabs>
        <w:ind w:left="1021" w:hanging="511"/>
      </w:pPr>
      <w:rPr>
        <w:rFonts w:hint="eastAsia"/>
        <w:sz w:val="21"/>
      </w:rPr>
    </w:lvl>
  </w:abstractNum>
  <w:abstractNum w:abstractNumId="27">
    <w:nsid w:val="34364C53"/>
    <w:multiLevelType w:val="singleLevel"/>
    <w:tmpl w:val="E7BCB06A"/>
    <w:lvl w:ilvl="0">
      <w:start w:val="1"/>
      <w:numFmt w:val="chineseCountingThousand"/>
      <w:lvlText w:val="(%1)"/>
      <w:legacy w:legacy="1" w:legacySpace="0" w:legacyIndent="510"/>
      <w:lvlJc w:val="left"/>
      <w:pPr>
        <w:ind w:left="1531" w:hanging="510"/>
      </w:pPr>
    </w:lvl>
  </w:abstractNum>
  <w:abstractNum w:abstractNumId="28">
    <w:nsid w:val="36DE14D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9">
    <w:nsid w:val="39640286"/>
    <w:multiLevelType w:val="singleLevel"/>
    <w:tmpl w:val="E9F4FBEE"/>
    <w:lvl w:ilvl="0">
      <w:start w:val="1"/>
      <w:numFmt w:val="lowerLetter"/>
      <w:lvlText w:val="(%1)"/>
      <w:legacy w:legacy="1" w:legacySpace="0" w:legacyIndent="425"/>
      <w:lvlJc w:val="left"/>
      <w:pPr>
        <w:ind w:left="1446" w:hanging="425"/>
      </w:pPr>
    </w:lvl>
  </w:abstractNum>
  <w:abstractNum w:abstractNumId="30">
    <w:nsid w:val="39D90235"/>
    <w:multiLevelType w:val="singleLevel"/>
    <w:tmpl w:val="54E8C398"/>
    <w:lvl w:ilvl="0">
      <w:start w:val="1"/>
      <w:numFmt w:val="bullet"/>
      <w:pStyle w:val="a"/>
      <w:lvlText w:val=""/>
      <w:lvlJc w:val="left"/>
      <w:pPr>
        <w:tabs>
          <w:tab w:val="num" w:pos="510"/>
        </w:tabs>
        <w:ind w:left="510" w:hanging="510"/>
      </w:pPr>
      <w:rPr>
        <w:rFonts w:ascii="Symbol" w:hAnsi="Symbol" w:hint="default"/>
      </w:rPr>
    </w:lvl>
  </w:abstractNum>
  <w:abstractNum w:abstractNumId="31">
    <w:nsid w:val="3A2144BA"/>
    <w:multiLevelType w:val="singleLevel"/>
    <w:tmpl w:val="E7BCB06A"/>
    <w:lvl w:ilvl="0">
      <w:start w:val="1"/>
      <w:numFmt w:val="chineseCountingThousand"/>
      <w:lvlText w:val="(%1)"/>
      <w:legacy w:legacy="1" w:legacySpace="0" w:legacyIndent="510"/>
      <w:lvlJc w:val="left"/>
      <w:pPr>
        <w:ind w:left="1531" w:hanging="510"/>
      </w:pPr>
    </w:lvl>
  </w:abstractNum>
  <w:abstractNum w:abstractNumId="32">
    <w:nsid w:val="3CB061AB"/>
    <w:multiLevelType w:val="singleLevel"/>
    <w:tmpl w:val="DFF20B84"/>
    <w:lvl w:ilvl="0">
      <w:start w:val="1"/>
      <w:numFmt w:val="decimal"/>
      <w:pStyle w:val="ParaNo"/>
      <w:lvlText w:val="%1."/>
      <w:lvlJc w:val="left"/>
      <w:pPr>
        <w:tabs>
          <w:tab w:val="num" w:pos="360"/>
        </w:tabs>
        <w:ind w:left="-1" w:firstLine="1"/>
      </w:pPr>
      <w:rPr>
        <w:rFonts w:hint="default"/>
      </w:rPr>
    </w:lvl>
  </w:abstractNum>
  <w:abstractNum w:abstractNumId="33">
    <w:nsid w:val="3D3D063F"/>
    <w:multiLevelType w:val="singleLevel"/>
    <w:tmpl w:val="E9F4FBEE"/>
    <w:lvl w:ilvl="0">
      <w:start w:val="1"/>
      <w:numFmt w:val="lowerLetter"/>
      <w:lvlText w:val="(%1)"/>
      <w:legacy w:legacy="1" w:legacySpace="0" w:legacyIndent="425"/>
      <w:lvlJc w:val="left"/>
      <w:pPr>
        <w:ind w:left="1446" w:hanging="425"/>
      </w:pPr>
    </w:lvl>
  </w:abstractNum>
  <w:abstractNum w:abstractNumId="34">
    <w:nsid w:val="3D9135F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5">
    <w:nsid w:val="4058264B"/>
    <w:multiLevelType w:val="singleLevel"/>
    <w:tmpl w:val="E7BCB06A"/>
    <w:lvl w:ilvl="0">
      <w:start w:val="1"/>
      <w:numFmt w:val="chineseCountingThousand"/>
      <w:lvlText w:val="(%1)"/>
      <w:legacy w:legacy="1" w:legacySpace="0" w:legacyIndent="510"/>
      <w:lvlJc w:val="left"/>
      <w:pPr>
        <w:ind w:left="1531" w:hanging="510"/>
      </w:pPr>
    </w:lvl>
  </w:abstractNum>
  <w:abstractNum w:abstractNumId="36">
    <w:nsid w:val="43956758"/>
    <w:multiLevelType w:val="singleLevel"/>
    <w:tmpl w:val="E7BCB06A"/>
    <w:lvl w:ilvl="0">
      <w:start w:val="1"/>
      <w:numFmt w:val="chineseCountingThousand"/>
      <w:lvlText w:val="(%1)"/>
      <w:legacy w:legacy="1" w:legacySpace="0" w:legacyIndent="510"/>
      <w:lvlJc w:val="left"/>
      <w:pPr>
        <w:ind w:left="1531" w:hanging="510"/>
      </w:pPr>
    </w:lvl>
  </w:abstractNum>
  <w:abstractNum w:abstractNumId="37">
    <w:nsid w:val="479A15CD"/>
    <w:multiLevelType w:val="singleLevel"/>
    <w:tmpl w:val="E7BCB06A"/>
    <w:lvl w:ilvl="0">
      <w:start w:val="1"/>
      <w:numFmt w:val="chineseCountingThousand"/>
      <w:lvlText w:val="(%1)"/>
      <w:legacy w:legacy="1" w:legacySpace="0" w:legacyIndent="510"/>
      <w:lvlJc w:val="left"/>
      <w:pPr>
        <w:ind w:left="1531" w:hanging="510"/>
      </w:pPr>
    </w:lvl>
  </w:abstractNum>
  <w:abstractNum w:abstractNumId="38">
    <w:nsid w:val="47B819F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9">
    <w:nsid w:val="48634CBB"/>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0">
    <w:nsid w:val="49DE16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1">
    <w:nsid w:val="4A4B593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2">
    <w:nsid w:val="4D225052"/>
    <w:multiLevelType w:val="singleLevel"/>
    <w:tmpl w:val="E9F4FBEE"/>
    <w:lvl w:ilvl="0">
      <w:start w:val="1"/>
      <w:numFmt w:val="lowerLetter"/>
      <w:lvlText w:val="(%1)"/>
      <w:legacy w:legacy="1" w:legacySpace="0" w:legacyIndent="425"/>
      <w:lvlJc w:val="left"/>
      <w:pPr>
        <w:ind w:left="1446" w:hanging="425"/>
      </w:pPr>
    </w:lvl>
  </w:abstractNum>
  <w:abstractNum w:abstractNumId="43">
    <w:nsid w:val="4DC000A7"/>
    <w:multiLevelType w:val="singleLevel"/>
    <w:tmpl w:val="E7BCB06A"/>
    <w:lvl w:ilvl="0">
      <w:start w:val="1"/>
      <w:numFmt w:val="chineseCountingThousand"/>
      <w:lvlText w:val="(%1)"/>
      <w:legacy w:legacy="1" w:legacySpace="0" w:legacyIndent="510"/>
      <w:lvlJc w:val="left"/>
      <w:pPr>
        <w:ind w:left="1531" w:hanging="510"/>
      </w:pPr>
    </w:lvl>
  </w:abstractNum>
  <w:abstractNum w:abstractNumId="44">
    <w:nsid w:val="4E78043E"/>
    <w:multiLevelType w:val="singleLevel"/>
    <w:tmpl w:val="B4A25A9E"/>
    <w:lvl w:ilvl="0">
      <w:start w:val="1"/>
      <w:numFmt w:val="lowerLetter"/>
      <w:lvlText w:val="(%1)"/>
      <w:legacy w:legacy="1" w:legacySpace="0" w:legacyIndent="425"/>
      <w:lvlJc w:val="left"/>
      <w:pPr>
        <w:ind w:left="1446" w:hanging="425"/>
      </w:pPr>
    </w:lvl>
  </w:abstractNum>
  <w:abstractNum w:abstractNumId="45">
    <w:nsid w:val="4F3265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6">
    <w:nsid w:val="506E43E8"/>
    <w:multiLevelType w:val="singleLevel"/>
    <w:tmpl w:val="E7BCB06A"/>
    <w:lvl w:ilvl="0">
      <w:start w:val="1"/>
      <w:numFmt w:val="chineseCountingThousand"/>
      <w:lvlText w:val="(%1)"/>
      <w:legacy w:legacy="1" w:legacySpace="0" w:legacyIndent="510"/>
      <w:lvlJc w:val="left"/>
      <w:pPr>
        <w:ind w:left="1531" w:hanging="510"/>
      </w:pPr>
    </w:lvl>
  </w:abstractNum>
  <w:abstractNum w:abstractNumId="47">
    <w:nsid w:val="507317FD"/>
    <w:multiLevelType w:val="singleLevel"/>
    <w:tmpl w:val="0E621876"/>
    <w:lvl w:ilvl="0">
      <w:start w:val="1"/>
      <w:numFmt w:val="bullet"/>
      <w:pStyle w:val="a0"/>
      <w:lvlText w:val=""/>
      <w:lvlJc w:val="left"/>
      <w:pPr>
        <w:tabs>
          <w:tab w:val="num" w:pos="510"/>
        </w:tabs>
        <w:ind w:left="510" w:hanging="510"/>
      </w:pPr>
      <w:rPr>
        <w:rFonts w:ascii="Symbol" w:hAnsi="Symbol" w:hint="default"/>
        <w:sz w:val="24"/>
      </w:rPr>
    </w:lvl>
  </w:abstractNum>
  <w:abstractNum w:abstractNumId="48">
    <w:nsid w:val="517B1E4B"/>
    <w:multiLevelType w:val="singleLevel"/>
    <w:tmpl w:val="B4A25A9E"/>
    <w:lvl w:ilvl="0">
      <w:start w:val="1"/>
      <w:numFmt w:val="lowerLetter"/>
      <w:lvlText w:val="(%1)"/>
      <w:legacy w:legacy="1" w:legacySpace="0" w:legacyIndent="425"/>
      <w:lvlJc w:val="left"/>
      <w:pPr>
        <w:ind w:left="1446" w:hanging="425"/>
      </w:pPr>
    </w:lvl>
  </w:abstractNum>
  <w:abstractNum w:abstractNumId="49">
    <w:nsid w:val="518A6E7F"/>
    <w:multiLevelType w:val="singleLevel"/>
    <w:tmpl w:val="E7BCB06A"/>
    <w:lvl w:ilvl="0">
      <w:start w:val="1"/>
      <w:numFmt w:val="chineseCountingThousand"/>
      <w:lvlText w:val="(%1)"/>
      <w:legacy w:legacy="1" w:legacySpace="0" w:legacyIndent="510"/>
      <w:lvlJc w:val="left"/>
      <w:pPr>
        <w:ind w:left="1531" w:hanging="510"/>
      </w:pPr>
    </w:lvl>
  </w:abstractNum>
  <w:abstractNum w:abstractNumId="50">
    <w:nsid w:val="54156E5F"/>
    <w:multiLevelType w:val="singleLevel"/>
    <w:tmpl w:val="E7BCB06A"/>
    <w:lvl w:ilvl="0">
      <w:start w:val="1"/>
      <w:numFmt w:val="chineseCountingThousand"/>
      <w:lvlText w:val="(%1)"/>
      <w:legacy w:legacy="1" w:legacySpace="0" w:legacyIndent="510"/>
      <w:lvlJc w:val="left"/>
      <w:pPr>
        <w:ind w:left="1531" w:hanging="510"/>
      </w:pPr>
    </w:lvl>
  </w:abstractNum>
  <w:abstractNum w:abstractNumId="51">
    <w:nsid w:val="57565379"/>
    <w:multiLevelType w:val="singleLevel"/>
    <w:tmpl w:val="E7BCB06A"/>
    <w:lvl w:ilvl="0">
      <w:start w:val="1"/>
      <w:numFmt w:val="chineseCountingThousand"/>
      <w:lvlText w:val="(%1)"/>
      <w:legacy w:legacy="1" w:legacySpace="0" w:legacyIndent="510"/>
      <w:lvlJc w:val="left"/>
      <w:pPr>
        <w:ind w:left="1531" w:hanging="510"/>
      </w:pPr>
    </w:lvl>
  </w:abstractNum>
  <w:abstractNum w:abstractNumId="52">
    <w:nsid w:val="598B72F5"/>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3">
    <w:nsid w:val="5A4C6217"/>
    <w:multiLevelType w:val="singleLevel"/>
    <w:tmpl w:val="E9F4FBEE"/>
    <w:lvl w:ilvl="0">
      <w:start w:val="1"/>
      <w:numFmt w:val="lowerLetter"/>
      <w:lvlText w:val="(%1)"/>
      <w:legacy w:legacy="1" w:legacySpace="0" w:legacyIndent="425"/>
      <w:lvlJc w:val="left"/>
      <w:pPr>
        <w:ind w:left="1446" w:hanging="425"/>
      </w:pPr>
    </w:lvl>
  </w:abstractNum>
  <w:abstractNum w:abstractNumId="54">
    <w:nsid w:val="5C2F337C"/>
    <w:multiLevelType w:val="singleLevel"/>
    <w:tmpl w:val="B4A25A9E"/>
    <w:lvl w:ilvl="0">
      <w:start w:val="1"/>
      <w:numFmt w:val="lowerLetter"/>
      <w:lvlText w:val="(%1)"/>
      <w:legacy w:legacy="1" w:legacySpace="0" w:legacyIndent="425"/>
      <w:lvlJc w:val="left"/>
      <w:pPr>
        <w:ind w:left="1446" w:hanging="425"/>
      </w:pPr>
    </w:lvl>
  </w:abstractNum>
  <w:abstractNum w:abstractNumId="55">
    <w:nsid w:val="5C4B027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6">
    <w:nsid w:val="5CCA6BE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7">
    <w:nsid w:val="5D6070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8">
    <w:nsid w:val="5DD74E8E"/>
    <w:multiLevelType w:val="singleLevel"/>
    <w:tmpl w:val="E7BCB06A"/>
    <w:lvl w:ilvl="0">
      <w:start w:val="1"/>
      <w:numFmt w:val="chineseCountingThousand"/>
      <w:lvlText w:val="(%1)"/>
      <w:legacy w:legacy="1" w:legacySpace="0" w:legacyIndent="510"/>
      <w:lvlJc w:val="left"/>
      <w:pPr>
        <w:ind w:left="1531" w:hanging="510"/>
      </w:pPr>
    </w:lvl>
  </w:abstractNum>
  <w:abstractNum w:abstractNumId="59">
    <w:nsid w:val="5F1E5E12"/>
    <w:multiLevelType w:val="singleLevel"/>
    <w:tmpl w:val="E9F4FBEE"/>
    <w:lvl w:ilvl="0">
      <w:start w:val="1"/>
      <w:numFmt w:val="lowerLetter"/>
      <w:lvlText w:val="(%1)"/>
      <w:legacy w:legacy="1" w:legacySpace="0" w:legacyIndent="425"/>
      <w:lvlJc w:val="left"/>
      <w:pPr>
        <w:ind w:left="1446" w:hanging="425"/>
      </w:pPr>
    </w:lvl>
  </w:abstractNum>
  <w:abstractNum w:abstractNumId="60">
    <w:nsid w:val="62841E0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1">
    <w:nsid w:val="62895BB0"/>
    <w:multiLevelType w:val="singleLevel"/>
    <w:tmpl w:val="E7BCB06A"/>
    <w:lvl w:ilvl="0">
      <w:start w:val="1"/>
      <w:numFmt w:val="chineseCountingThousand"/>
      <w:lvlText w:val="(%1)"/>
      <w:legacy w:legacy="1" w:legacySpace="0" w:legacyIndent="510"/>
      <w:lvlJc w:val="left"/>
      <w:pPr>
        <w:ind w:left="1531" w:hanging="510"/>
      </w:pPr>
    </w:lvl>
  </w:abstractNum>
  <w:abstractNum w:abstractNumId="62">
    <w:nsid w:val="644F6C68"/>
    <w:multiLevelType w:val="singleLevel"/>
    <w:tmpl w:val="B4A25A9E"/>
    <w:lvl w:ilvl="0">
      <w:start w:val="1"/>
      <w:numFmt w:val="lowerLetter"/>
      <w:lvlText w:val="(%1)"/>
      <w:legacy w:legacy="1" w:legacySpace="0" w:legacyIndent="425"/>
      <w:lvlJc w:val="left"/>
      <w:pPr>
        <w:ind w:left="1446" w:hanging="425"/>
      </w:pPr>
    </w:lvl>
  </w:abstractNum>
  <w:abstractNum w:abstractNumId="63">
    <w:nsid w:val="67A72E09"/>
    <w:multiLevelType w:val="singleLevel"/>
    <w:tmpl w:val="B4A25A9E"/>
    <w:lvl w:ilvl="0">
      <w:start w:val="1"/>
      <w:numFmt w:val="lowerLetter"/>
      <w:lvlText w:val="(%1)"/>
      <w:legacy w:legacy="1" w:legacySpace="0" w:legacyIndent="425"/>
      <w:lvlJc w:val="left"/>
      <w:pPr>
        <w:ind w:left="1446" w:hanging="425"/>
      </w:pPr>
    </w:lvl>
  </w:abstractNum>
  <w:abstractNum w:abstractNumId="64">
    <w:nsid w:val="68264AA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5">
    <w:nsid w:val="688572CE"/>
    <w:multiLevelType w:val="singleLevel"/>
    <w:tmpl w:val="B4A25A9E"/>
    <w:lvl w:ilvl="0">
      <w:start w:val="1"/>
      <w:numFmt w:val="lowerLetter"/>
      <w:lvlText w:val="(%1)"/>
      <w:legacy w:legacy="1" w:legacySpace="0" w:legacyIndent="425"/>
      <w:lvlJc w:val="left"/>
      <w:pPr>
        <w:ind w:left="1446" w:hanging="425"/>
      </w:pPr>
    </w:lvl>
  </w:abstractNum>
  <w:abstractNum w:abstractNumId="66">
    <w:nsid w:val="6A27318B"/>
    <w:multiLevelType w:val="singleLevel"/>
    <w:tmpl w:val="E7BCB06A"/>
    <w:lvl w:ilvl="0">
      <w:start w:val="1"/>
      <w:numFmt w:val="chineseCountingThousand"/>
      <w:lvlText w:val="(%1)"/>
      <w:legacy w:legacy="1" w:legacySpace="0" w:legacyIndent="510"/>
      <w:lvlJc w:val="left"/>
      <w:pPr>
        <w:ind w:left="1531" w:hanging="510"/>
      </w:pPr>
    </w:lvl>
  </w:abstractNum>
  <w:abstractNum w:abstractNumId="67">
    <w:nsid w:val="6C6A76B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8">
    <w:nsid w:val="709D151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9">
    <w:nsid w:val="714A7CB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0">
    <w:nsid w:val="72E2133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1">
    <w:nsid w:val="738B6B3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2">
    <w:nsid w:val="74C879AA"/>
    <w:multiLevelType w:val="singleLevel"/>
    <w:tmpl w:val="B4A25A9E"/>
    <w:lvl w:ilvl="0">
      <w:start w:val="1"/>
      <w:numFmt w:val="lowerLetter"/>
      <w:lvlText w:val="(%1)"/>
      <w:legacy w:legacy="1" w:legacySpace="0" w:legacyIndent="425"/>
      <w:lvlJc w:val="left"/>
      <w:pPr>
        <w:ind w:left="1446" w:hanging="425"/>
      </w:pPr>
    </w:lvl>
  </w:abstractNum>
  <w:abstractNum w:abstractNumId="73">
    <w:nsid w:val="77350EFD"/>
    <w:multiLevelType w:val="hybridMultilevel"/>
    <w:tmpl w:val="67E8A7AC"/>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4">
    <w:nsid w:val="7796048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5">
    <w:nsid w:val="78332066"/>
    <w:multiLevelType w:val="singleLevel"/>
    <w:tmpl w:val="E7BCB06A"/>
    <w:lvl w:ilvl="0">
      <w:start w:val="1"/>
      <w:numFmt w:val="chineseCountingThousand"/>
      <w:lvlText w:val="(%1)"/>
      <w:legacy w:legacy="1" w:legacySpace="0" w:legacyIndent="510"/>
      <w:lvlJc w:val="left"/>
      <w:pPr>
        <w:ind w:left="1531" w:hanging="510"/>
      </w:pPr>
    </w:lvl>
  </w:abstractNum>
  <w:abstractNum w:abstractNumId="76">
    <w:nsid w:val="7AE3359F"/>
    <w:multiLevelType w:val="singleLevel"/>
    <w:tmpl w:val="E7BCB06A"/>
    <w:lvl w:ilvl="0">
      <w:start w:val="1"/>
      <w:numFmt w:val="chineseCountingThousand"/>
      <w:lvlText w:val="(%1)"/>
      <w:legacy w:legacy="1" w:legacySpace="0" w:legacyIndent="510"/>
      <w:lvlJc w:val="left"/>
      <w:pPr>
        <w:ind w:left="1531" w:hanging="510"/>
      </w:pPr>
    </w:lvl>
  </w:abstractNum>
  <w:abstractNum w:abstractNumId="77">
    <w:nsid w:val="7B816060"/>
    <w:multiLevelType w:val="singleLevel"/>
    <w:tmpl w:val="B4A25A9E"/>
    <w:lvl w:ilvl="0">
      <w:start w:val="1"/>
      <w:numFmt w:val="lowerLetter"/>
      <w:lvlText w:val="(%1)"/>
      <w:legacy w:legacy="1" w:legacySpace="0" w:legacyIndent="425"/>
      <w:lvlJc w:val="left"/>
      <w:pPr>
        <w:ind w:left="1446" w:hanging="425"/>
      </w:pPr>
    </w:lvl>
  </w:abstractNum>
  <w:abstractNum w:abstractNumId="78">
    <w:nsid w:val="7DE8756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9">
    <w:nsid w:val="7E8035EA"/>
    <w:multiLevelType w:val="singleLevel"/>
    <w:tmpl w:val="B4A25A9E"/>
    <w:lvl w:ilvl="0">
      <w:start w:val="1"/>
      <w:numFmt w:val="lowerLetter"/>
      <w:lvlText w:val="(%1)"/>
      <w:legacy w:legacy="1" w:legacySpace="0" w:legacyIndent="425"/>
      <w:lvlJc w:val="left"/>
      <w:pPr>
        <w:ind w:left="1446" w:hanging="425"/>
      </w:pPr>
    </w:lvl>
  </w:abstractNum>
  <w:num w:numId="1">
    <w:abstractNumId w:val="25"/>
  </w:num>
  <w:num w:numId="2">
    <w:abstractNumId w:val="26"/>
  </w:num>
  <w:num w:numId="3">
    <w:abstractNumId w:val="47"/>
  </w:num>
  <w:num w:numId="4">
    <w:abstractNumId w:val="30"/>
  </w:num>
  <w:num w:numId="5">
    <w:abstractNumId w:val="74"/>
  </w:num>
  <w:num w:numId="6">
    <w:abstractNumId w:val="0"/>
  </w:num>
  <w:num w:numId="7">
    <w:abstractNumId w:val="40"/>
  </w:num>
  <w:num w:numId="8">
    <w:abstractNumId w:val="22"/>
  </w:num>
  <w:num w:numId="9">
    <w:abstractNumId w:val="8"/>
  </w:num>
  <w:num w:numId="10">
    <w:abstractNumId w:val="13"/>
  </w:num>
  <w:num w:numId="11">
    <w:abstractNumId w:val="68"/>
  </w:num>
  <w:num w:numId="12">
    <w:abstractNumId w:val="16"/>
  </w:num>
  <w:num w:numId="13">
    <w:abstractNumId w:val="72"/>
  </w:num>
  <w:num w:numId="14">
    <w:abstractNumId w:val="44"/>
  </w:num>
  <w:num w:numId="15">
    <w:abstractNumId w:val="48"/>
  </w:num>
  <w:num w:numId="16">
    <w:abstractNumId w:val="4"/>
  </w:num>
  <w:num w:numId="17">
    <w:abstractNumId w:val="78"/>
  </w:num>
  <w:num w:numId="18">
    <w:abstractNumId w:val="67"/>
  </w:num>
  <w:num w:numId="19">
    <w:abstractNumId w:val="64"/>
  </w:num>
  <w:num w:numId="20">
    <w:abstractNumId w:val="6"/>
  </w:num>
  <w:num w:numId="21">
    <w:abstractNumId w:val="46"/>
  </w:num>
  <w:num w:numId="22">
    <w:abstractNumId w:val="50"/>
  </w:num>
  <w:num w:numId="23">
    <w:abstractNumId w:val="76"/>
  </w:num>
  <w:num w:numId="24">
    <w:abstractNumId w:val="58"/>
  </w:num>
  <w:num w:numId="25">
    <w:abstractNumId w:val="56"/>
  </w:num>
  <w:num w:numId="26">
    <w:abstractNumId w:val="39"/>
  </w:num>
  <w:num w:numId="27">
    <w:abstractNumId w:val="10"/>
  </w:num>
  <w:num w:numId="28">
    <w:abstractNumId w:val="7"/>
  </w:num>
  <w:num w:numId="29">
    <w:abstractNumId w:val="79"/>
  </w:num>
  <w:num w:numId="30">
    <w:abstractNumId w:val="1"/>
  </w:num>
  <w:num w:numId="31">
    <w:abstractNumId w:val="15"/>
  </w:num>
  <w:num w:numId="32">
    <w:abstractNumId w:val="47"/>
  </w:num>
  <w:num w:numId="33">
    <w:abstractNumId w:val="30"/>
  </w:num>
  <w:num w:numId="34">
    <w:abstractNumId w:val="71"/>
  </w:num>
  <w:num w:numId="35">
    <w:abstractNumId w:val="24"/>
  </w:num>
  <w:num w:numId="36">
    <w:abstractNumId w:val="63"/>
  </w:num>
  <w:num w:numId="37">
    <w:abstractNumId w:val="62"/>
  </w:num>
  <w:num w:numId="38">
    <w:abstractNumId w:val="31"/>
  </w:num>
  <w:num w:numId="39">
    <w:abstractNumId w:val="51"/>
  </w:num>
  <w:num w:numId="40">
    <w:abstractNumId w:val="55"/>
  </w:num>
  <w:num w:numId="41">
    <w:abstractNumId w:val="69"/>
  </w:num>
  <w:num w:numId="42">
    <w:abstractNumId w:val="5"/>
  </w:num>
  <w:num w:numId="43">
    <w:abstractNumId w:val="28"/>
  </w:num>
  <w:num w:numId="44">
    <w:abstractNumId w:val="30"/>
  </w:num>
  <w:num w:numId="45">
    <w:abstractNumId w:val="47"/>
  </w:num>
  <w:num w:numId="46">
    <w:abstractNumId w:val="30"/>
  </w:num>
  <w:num w:numId="47">
    <w:abstractNumId w:val="30"/>
  </w:num>
  <w:num w:numId="48">
    <w:abstractNumId w:val="47"/>
  </w:num>
  <w:num w:numId="49">
    <w:abstractNumId w:val="47"/>
  </w:num>
  <w:num w:numId="50">
    <w:abstractNumId w:val="30"/>
  </w:num>
  <w:num w:numId="51">
    <w:abstractNumId w:val="47"/>
  </w:num>
  <w:num w:numId="52">
    <w:abstractNumId w:val="30"/>
  </w:num>
  <w:num w:numId="53">
    <w:abstractNumId w:val="30"/>
  </w:num>
  <w:num w:numId="54">
    <w:abstractNumId w:val="47"/>
  </w:num>
  <w:num w:numId="55">
    <w:abstractNumId w:val="30"/>
  </w:num>
  <w:num w:numId="56">
    <w:abstractNumId w:val="47"/>
  </w:num>
  <w:num w:numId="57">
    <w:abstractNumId w:val="30"/>
  </w:num>
  <w:num w:numId="58">
    <w:abstractNumId w:val="47"/>
  </w:num>
  <w:num w:numId="59">
    <w:abstractNumId w:val="77"/>
  </w:num>
  <w:num w:numId="60">
    <w:abstractNumId w:val="54"/>
  </w:num>
  <w:num w:numId="61">
    <w:abstractNumId w:val="65"/>
  </w:num>
  <w:num w:numId="62">
    <w:abstractNumId w:val="21"/>
  </w:num>
  <w:num w:numId="63">
    <w:abstractNumId w:val="29"/>
  </w:num>
  <w:num w:numId="64">
    <w:abstractNumId w:val="12"/>
  </w:num>
  <w:num w:numId="65">
    <w:abstractNumId w:val="59"/>
  </w:num>
  <w:num w:numId="66">
    <w:abstractNumId w:val="52"/>
  </w:num>
  <w:num w:numId="67">
    <w:abstractNumId w:val="34"/>
  </w:num>
  <w:num w:numId="68">
    <w:abstractNumId w:val="14"/>
  </w:num>
  <w:num w:numId="69">
    <w:abstractNumId w:val="53"/>
  </w:num>
  <w:num w:numId="70">
    <w:abstractNumId w:val="11"/>
  </w:num>
  <w:num w:numId="71">
    <w:abstractNumId w:val="33"/>
  </w:num>
  <w:num w:numId="72">
    <w:abstractNumId w:val="42"/>
  </w:num>
  <w:num w:numId="73">
    <w:abstractNumId w:val="75"/>
  </w:num>
  <w:num w:numId="74">
    <w:abstractNumId w:val="49"/>
  </w:num>
  <w:num w:numId="75">
    <w:abstractNumId w:val="35"/>
  </w:num>
  <w:num w:numId="76">
    <w:abstractNumId w:val="27"/>
  </w:num>
  <w:num w:numId="77">
    <w:abstractNumId w:val="3"/>
  </w:num>
  <w:num w:numId="78">
    <w:abstractNumId w:val="3"/>
  </w:num>
  <w:num w:numId="79">
    <w:abstractNumId w:val="30"/>
  </w:num>
  <w:num w:numId="80">
    <w:abstractNumId w:val="3"/>
  </w:num>
  <w:num w:numId="81">
    <w:abstractNumId w:val="47"/>
  </w:num>
  <w:num w:numId="82">
    <w:abstractNumId w:val="30"/>
  </w:num>
  <w:num w:numId="83">
    <w:abstractNumId w:val="43"/>
  </w:num>
  <w:num w:numId="84">
    <w:abstractNumId w:val="18"/>
  </w:num>
  <w:num w:numId="85">
    <w:abstractNumId w:val="61"/>
  </w:num>
  <w:num w:numId="86">
    <w:abstractNumId w:val="60"/>
  </w:num>
  <w:num w:numId="87">
    <w:abstractNumId w:val="2"/>
  </w:num>
  <w:num w:numId="88">
    <w:abstractNumId w:val="45"/>
  </w:num>
  <w:num w:numId="89">
    <w:abstractNumId w:val="17"/>
  </w:num>
  <w:num w:numId="90">
    <w:abstractNumId w:val="41"/>
  </w:num>
  <w:num w:numId="91">
    <w:abstractNumId w:val="9"/>
  </w:num>
  <w:num w:numId="92">
    <w:abstractNumId w:val="57"/>
  </w:num>
  <w:num w:numId="93">
    <w:abstractNumId w:val="38"/>
  </w:num>
  <w:num w:numId="94">
    <w:abstractNumId w:val="70"/>
  </w:num>
  <w:num w:numId="95">
    <w:abstractNumId w:val="66"/>
  </w:num>
  <w:num w:numId="96">
    <w:abstractNumId w:val="19"/>
  </w:num>
  <w:num w:numId="97">
    <w:abstractNumId w:val="36"/>
  </w:num>
  <w:num w:numId="98">
    <w:abstractNumId w:val="37"/>
  </w:num>
  <w:num w:numId="99">
    <w:abstractNumId w:val="20"/>
  </w:num>
  <w:num w:numId="100">
    <w:abstractNumId w:val="73"/>
  </w:num>
  <w:num w:numId="101">
    <w:abstractNumId w:val="73"/>
  </w:num>
  <w:num w:numId="102">
    <w:abstractNumId w:val="20"/>
  </w:num>
  <w:num w:numId="103">
    <w:abstractNumId w:val="20"/>
  </w:num>
  <w:num w:numId="104">
    <w:abstractNumId w:val="73"/>
  </w:num>
  <w:num w:numId="105">
    <w:abstractNumId w:val="20"/>
  </w:num>
  <w:num w:numId="106">
    <w:abstractNumId w:val="32"/>
  </w:num>
  <w:num w:numId="10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bordersDoNotSurroundHeader/>
  <w:bordersDoNotSurroundFooter/>
  <w:attachedTemplate r:id="rId1"/>
  <w:doNotTrackMoves/>
  <w:defaultTabStop w:val="510"/>
  <w:evenAndOddHeaders/>
  <w:drawingGridHorizontalSpacing w:val="105"/>
  <w:drawingGridVerticalSpacing w:val="156"/>
  <w:displayHorizontalDrawingGridEvery w:val="0"/>
  <w:displayVerticalDrawingGridEvery w:val="2"/>
  <w:noPunctuationKerning/>
  <w:characterSpacingControl w:val="doNotCompress"/>
  <w:noLineBreaksAfter w:lang="zh-CN" w:val="([{·‘“〈《「『【〔〖（．［｛￡￥"/>
  <w:noLineBreaksBefore w:lang="zh-CN" w:val="!),.:;?]}¨·ˇˉ―‖’”…∶、。〃々〉》」』】〕〗！＂＇），－．：；？］｀｜｝～￠"/>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snapToGrid w:val="0"/>
      <w:spacing w:val="10"/>
      <w:sz w:val="24"/>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kern w:val="28"/>
      <w:sz w:val="28"/>
    </w:rPr>
  </w:style>
  <w:style w:type="paragraph" w:styleId="Heading3">
    <w:name w:val="heading 3"/>
    <w:basedOn w:val="Normal"/>
    <w:next w:val="Normal"/>
    <w:qFormat/>
    <w:pPr>
      <w:keepNext/>
      <w:keepLines/>
      <w:widowControl w:val="0"/>
      <w:spacing w:after="320"/>
      <w:jc w:val="center"/>
      <w:outlineLvl w:val="2"/>
    </w:pPr>
    <w:rPr>
      <w:snapToGrid/>
      <w:kern w:val="28"/>
      <w:u w:val="single"/>
    </w:rPr>
  </w:style>
  <w:style w:type="paragraph" w:styleId="Heading4">
    <w:name w:val="heading 4"/>
    <w:basedOn w:val="Normal"/>
    <w:next w:val="Normal"/>
    <w:qFormat/>
    <w:pPr>
      <w:keepNext/>
      <w:keepLines/>
      <w:widowControl w:val="0"/>
      <w:spacing w:after="240"/>
      <w:jc w:val="left"/>
      <w:outlineLvl w:val="3"/>
    </w:pPr>
    <w:rPr>
      <w:snapToGrid/>
      <w:u w:val="single"/>
    </w:rPr>
  </w:style>
  <w:style w:type="paragraph" w:styleId="Heading5">
    <w:name w:val="heading 5"/>
    <w:basedOn w:val="Normal"/>
    <w:next w:val="Normal"/>
    <w:qFormat/>
    <w:pPr>
      <w:spacing w:after="240"/>
      <w:outlineLvl w:val="4"/>
    </w:pPr>
    <w:rPr>
      <w:rFonts w:eastAsia="SimHei"/>
      <w:bCs/>
      <w:spacing w:val="0"/>
      <w:szCs w:val="3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semiHidden/>
    <w:pPr>
      <w:overflowPunct/>
      <w:spacing w:line="240" w:lineRule="auto"/>
      <w:jc w:val="left"/>
    </w:pPr>
    <w:rPr>
      <w:rFonts w:eastAsia="KaiTi_GB2312"/>
      <w:spacing w:val="0"/>
      <w:lang w:val="en-GB" w:eastAsia="en-US"/>
    </w:rPr>
  </w:style>
  <w:style w:type="character" w:styleId="PageNumber">
    <w:name w:val="page number"/>
    <w:semiHidden/>
    <w:rPr>
      <w:rFonts w:ascii="Times New Roman" w:hAnsi="Times New Roman"/>
      <w:spacing w:val="0"/>
      <w:kern w:val="0"/>
      <w:sz w:val="24"/>
    </w:rPr>
  </w:style>
  <w:style w:type="paragraph" w:customStyle="1" w:styleId="12cm">
    <w:name w:val="12cm落款"/>
    <w:basedOn w:val="Normal"/>
    <w:pPr>
      <w:keepLines/>
      <w:widowControl w:val="0"/>
      <w:tabs>
        <w:tab w:val="left" w:pos="510"/>
      </w:tabs>
      <w:spacing w:before="160" w:after="280" w:line="288" w:lineRule="auto"/>
      <w:ind w:left="6804"/>
      <w:jc w:val="left"/>
    </w:pPr>
  </w:style>
  <w:style w:type="paragraph" w:customStyle="1" w:styleId="9cm">
    <w:name w:val="9cm落款"/>
    <w:basedOn w:val="Normal"/>
    <w:pPr>
      <w:keepLines/>
      <w:widowControl w:val="0"/>
      <w:tabs>
        <w:tab w:val="left" w:pos="510"/>
      </w:tabs>
      <w:spacing w:before="160" w:after="280" w:line="288" w:lineRule="auto"/>
      <w:ind w:left="5103"/>
      <w:jc w:val="left"/>
    </w:pPr>
  </w:style>
  <w:style w:type="paragraph" w:styleId="NormalIndent">
    <w:name w:val="Normal Indent"/>
    <w:basedOn w:val="Normal"/>
    <w:semiHidden/>
    <w:pPr>
      <w:widowControl w:val="0"/>
      <w:ind w:firstLine="510"/>
    </w:pPr>
  </w:style>
  <w:style w:type="paragraph" w:customStyle="1" w:styleId="a1">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eastAsia="zh-CN"/>
    </w:rPr>
  </w:style>
  <w:style w:type="paragraph" w:customStyle="1" w:styleId="a2">
    <w:name w:val="横眉"/>
    <w:basedOn w:val="Header"/>
    <w:autoRedefine/>
    <w:pPr>
      <w:widowControl w:val="0"/>
      <w:tabs>
        <w:tab w:val="left" w:pos="1202"/>
      </w:tabs>
      <w:snapToGrid/>
      <w:spacing w:line="160" w:lineRule="exact"/>
    </w:pPr>
    <w:rPr>
      <w:rFonts w:ascii="Courier New" w:hAnsi="Courier New"/>
      <w:snapToGrid/>
      <w:sz w:val="2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3">
    <w:name w:val="居中页眉"/>
    <w:basedOn w:val="Header"/>
    <w:pPr>
      <w:widowControl w:val="0"/>
      <w:tabs>
        <w:tab w:val="left" w:pos="1202"/>
      </w:tabs>
      <w:snapToGrid/>
      <w:spacing w:line="288" w:lineRule="auto"/>
    </w:pPr>
    <w:rPr>
      <w:rFonts w:hAnsi="Courier New"/>
      <w:snapToGrid/>
      <w:sz w:val="20"/>
    </w:rPr>
  </w:style>
  <w:style w:type="paragraph" w:customStyle="1" w:styleId="a4">
    <w:name w:val="楷体"/>
    <w:basedOn w:val="Normal"/>
    <w:pPr>
      <w:widowControl w:val="0"/>
    </w:pPr>
    <w:rPr>
      <w:rFonts w:eastAsia="KaiTi_GB2312"/>
      <w:snapToGrid/>
      <w:spacing w:val="0"/>
    </w:rPr>
  </w:style>
  <w:style w:type="paragraph" w:customStyle="1" w:styleId="a5">
    <w:name w:val="目录"/>
    <w:basedOn w:val="Normal"/>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7">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8">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a9">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EndnoteText">
    <w:name w:val="endnote text"/>
    <w:basedOn w:val="FootnoteText"/>
    <w:semiHidden/>
    <w:rPr>
      <w:snapToGrid w:val="0"/>
    </w:r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a">
    <w:name w:val="悬挂"/>
    <w:basedOn w:val="Normal"/>
    <w:pPr>
      <w:ind w:left="1531" w:hanging="510"/>
    </w:pPr>
  </w:style>
  <w:style w:type="paragraph" w:customStyle="1" w:styleId="ab">
    <w:name w:val="表决"/>
    <w:basedOn w:val="Normal"/>
    <w:pPr>
      <w:ind w:left="2042" w:hanging="1021"/>
    </w:p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paragraph" w:customStyle="1" w:styleId="a0">
    <w:name w:val="悬挂符号－"/>
    <w:basedOn w:val="aa"/>
    <w:pPr>
      <w:numPr>
        <w:numId w:val="81"/>
      </w:numPr>
      <w:tabs>
        <w:tab w:val="clear" w:pos="510"/>
      </w:tabs>
    </w:pPr>
  </w:style>
  <w:style w:type="paragraph" w:customStyle="1" w:styleId="a">
    <w:name w:val="悬挂符号●"/>
    <w:basedOn w:val="Normal"/>
    <w:pPr>
      <w:numPr>
        <w:numId w:val="82"/>
      </w:numPr>
      <w:tabs>
        <w:tab w:val="clear" w:pos="510"/>
      </w:tabs>
    </w:pPr>
  </w:style>
  <w:style w:type="paragraph" w:customStyle="1" w:styleId="1L">
    <w:name w:val="页眉1L"/>
    <w:basedOn w:val="Normal"/>
    <w:autoRedefine/>
    <w:pPr>
      <w:framePr w:w="1542" w:h="627" w:hSpace="180" w:wrap="around" w:vAnchor="page" w:hAnchor="page" w:x="1469" w:y="1390"/>
      <w:widowControl w:val="0"/>
      <w:spacing w:line="240" w:lineRule="auto"/>
    </w:pPr>
    <w:rPr>
      <w:rFonts w:ascii="SimHei" w:eastAsia="SimHei"/>
      <w:snapToGrid/>
      <w:spacing w:val="60"/>
      <w:sz w:val="32"/>
    </w:rPr>
  </w:style>
  <w:style w:type="paragraph" w:customStyle="1" w:styleId="1m1">
    <w:name w:val="页眉1m1"/>
    <w:basedOn w:val="Normal"/>
    <w:pPr>
      <w:widowControl w:val="0"/>
      <w:suppressAutoHyphens/>
      <w:spacing w:line="360" w:lineRule="auto"/>
    </w:pPr>
    <w:rPr>
      <w:rFonts w:ascii="SimHei" w:eastAsia="SimHei"/>
      <w:snapToGrid/>
      <w:spacing w:val="40"/>
      <w:sz w:val="40"/>
    </w:rPr>
  </w:style>
  <w:style w:type="paragraph" w:customStyle="1" w:styleId="1m2">
    <w:name w:val="页眉1m2"/>
    <w:basedOn w:val="Normal"/>
    <w:pPr>
      <w:widowControl w:val="0"/>
      <w:suppressAutoHyphens/>
      <w:spacing w:line="360" w:lineRule="auto"/>
    </w:pPr>
    <w:rPr>
      <w:rFonts w:ascii="SimHei" w:eastAsia="SimHei"/>
      <w:snapToGrid/>
      <w:spacing w:val="60"/>
      <w:sz w:val="40"/>
    </w:rPr>
  </w:style>
  <w:style w:type="paragraph" w:customStyle="1" w:styleId="1R1">
    <w:name w:val="页眉1R1"/>
    <w:basedOn w:val="Normal"/>
    <w:pPr>
      <w:widowControl w:val="0"/>
      <w:suppressAutoHyphens/>
      <w:spacing w:line="240" w:lineRule="auto"/>
    </w:pPr>
    <w:rPr>
      <w:rFonts w:ascii="Univers (WN)" w:hAnsi="Univers (WN)"/>
      <w:b/>
      <w:snapToGrid/>
      <w:spacing w:val="0"/>
      <w:sz w:val="60"/>
    </w:rPr>
  </w:style>
  <w:style w:type="paragraph" w:styleId="BodyText">
    <w:name w:val="Body Text"/>
    <w:basedOn w:val="Normal"/>
    <w:semiHidden/>
    <w:pPr>
      <w:widowControl w:val="0"/>
    </w:pPr>
    <w:rPr>
      <w:snapToGrid/>
    </w:rPr>
  </w:style>
  <w:style w:type="paragraph" w:customStyle="1" w:styleId="ac">
    <w:name w:val="表中文字"/>
    <w:basedOn w:val="Normal"/>
    <w:pPr>
      <w:spacing w:line="320" w:lineRule="exact"/>
    </w:pPr>
    <w:rPr>
      <w:spacing w:val="0"/>
      <w:sz w:val="21"/>
    </w:rPr>
  </w:style>
  <w:style w:type="paragraph" w:customStyle="1" w:styleId="ad">
    <w:name w:val="正文缩进"/>
    <w:basedOn w:val="Normal"/>
    <w:pPr>
      <w:ind w:left="1021" w:firstLine="510"/>
    </w:pPr>
  </w:style>
  <w:style w:type="paragraph" w:customStyle="1" w:styleId="ae">
    <w:name w:val="英文本"/>
    <w:basedOn w:val="EndnoteText"/>
    <w:pPr>
      <w:keepLines w:val="0"/>
      <w:widowControl/>
      <w:overflowPunct/>
      <w:spacing w:after="120" w:line="240" w:lineRule="auto"/>
      <w:ind w:firstLine="0"/>
      <w:jc w:val="left"/>
    </w:pPr>
    <w:rPr>
      <w:lang w:val="en-GB" w:eastAsia="en-US"/>
    </w:rPr>
  </w:style>
  <w:style w:type="paragraph" w:customStyle="1" w:styleId="1">
    <w:name w:val="题1"/>
    <w:basedOn w:val="Normal"/>
    <w:next w:val="Normal"/>
    <w:pPr>
      <w:keepNext/>
      <w:keepLines/>
      <w:widowControl w:val="0"/>
      <w:tabs>
        <w:tab w:val="left" w:pos="510"/>
        <w:tab w:val="left" w:pos="1021"/>
        <w:tab w:val="left" w:pos="1531"/>
      </w:tabs>
      <w:overflowPunct/>
      <w:spacing w:after="320" w:line="288" w:lineRule="auto"/>
      <w:jc w:val="center"/>
      <w:outlineLvl w:val="0"/>
    </w:pPr>
    <w:rPr>
      <w:b/>
      <w:sz w:val="30"/>
    </w:rPr>
  </w:style>
  <w:style w:type="paragraph" w:customStyle="1" w:styleId="2">
    <w:name w:val="题2"/>
    <w:basedOn w:val="Normal"/>
    <w:next w:val="Normal"/>
    <w:pPr>
      <w:keepNext/>
      <w:keepLines/>
      <w:widowControl w:val="0"/>
      <w:overflowPunct/>
      <w:spacing w:before="320" w:after="240" w:line="288" w:lineRule="auto"/>
      <w:jc w:val="center"/>
      <w:outlineLvl w:val="1"/>
    </w:pPr>
    <w:rPr>
      <w:sz w:val="28"/>
    </w:rPr>
  </w:style>
  <w:style w:type="paragraph" w:customStyle="1" w:styleId="3">
    <w:name w:val="题3"/>
    <w:basedOn w:val="Normal"/>
    <w:next w:val="Normal"/>
    <w:pPr>
      <w:keepNext/>
      <w:keepLines/>
      <w:widowControl w:val="0"/>
      <w:tabs>
        <w:tab w:val="left" w:pos="510"/>
        <w:tab w:val="left" w:pos="1021"/>
        <w:tab w:val="left" w:pos="1531"/>
      </w:tabs>
      <w:overflowPunct/>
      <w:spacing w:before="320" w:after="320"/>
      <w:jc w:val="center"/>
      <w:outlineLvl w:val="2"/>
    </w:pPr>
    <w:rPr>
      <w:u w:val="single"/>
    </w:rPr>
  </w:style>
  <w:style w:type="paragraph" w:customStyle="1" w:styleId="4">
    <w:name w:val="题4"/>
    <w:basedOn w:val="Normal"/>
    <w:next w:val="Normal"/>
    <w:pPr>
      <w:keepNext/>
      <w:keepLines/>
      <w:widowControl w:val="0"/>
      <w:tabs>
        <w:tab w:val="left" w:pos="510"/>
        <w:tab w:val="left" w:pos="1021"/>
        <w:tab w:val="left" w:pos="1531"/>
      </w:tabs>
      <w:overflowPunct/>
      <w:spacing w:before="320" w:after="320"/>
      <w:jc w:val="left"/>
      <w:outlineLvl w:val="3"/>
    </w:pPr>
    <w:rPr>
      <w:u w:val="single"/>
    </w:rPr>
  </w:style>
  <w:style w:type="paragraph" w:customStyle="1" w:styleId="af">
    <w:name w:val="文"/>
    <w:pPr>
      <w:tabs>
        <w:tab w:val="left" w:pos="510"/>
        <w:tab w:val="left" w:pos="1021"/>
        <w:tab w:val="left" w:pos="1531"/>
      </w:tabs>
      <w:adjustRightInd w:val="0"/>
      <w:snapToGrid w:val="0"/>
      <w:spacing w:line="336" w:lineRule="auto"/>
      <w:jc w:val="both"/>
    </w:pPr>
    <w:rPr>
      <w:spacing w:val="10"/>
      <w:sz w:val="24"/>
      <w:lang w:eastAsia="zh-CN"/>
    </w:rPr>
  </w:style>
  <w:style w:type="paragraph" w:customStyle="1" w:styleId="HMG">
    <w:name w:val="_ H __M_G"/>
    <w:basedOn w:val="Normal"/>
    <w:next w:val="Normal"/>
    <w:pPr>
      <w:keepNext/>
      <w:keepLines/>
      <w:tabs>
        <w:tab w:val="right" w:pos="851"/>
      </w:tabs>
      <w:suppressAutoHyphens/>
      <w:overflowPunct/>
      <w:adjustRightInd/>
      <w:snapToGrid/>
      <w:spacing w:before="240" w:after="240" w:line="360" w:lineRule="exact"/>
      <w:ind w:left="1134" w:right="1134" w:hanging="1134"/>
      <w:jc w:val="left"/>
    </w:pPr>
    <w:rPr>
      <w:rFonts w:eastAsia="PMingLiU"/>
      <w:b/>
      <w:snapToGrid/>
      <w:spacing w:val="0"/>
      <w:sz w:val="34"/>
      <w:lang w:val="en-GB" w:eastAsia="en-US"/>
    </w:rPr>
  </w:style>
  <w:style w:type="paragraph" w:customStyle="1" w:styleId="HChG">
    <w:name w:val="_ H _Ch_G"/>
    <w:basedOn w:val="Normal"/>
    <w:next w:val="Normal"/>
    <w:pPr>
      <w:keepNext/>
      <w:keepLines/>
      <w:tabs>
        <w:tab w:val="right" w:pos="851"/>
      </w:tabs>
      <w:suppressAutoHyphens/>
      <w:overflowPunct/>
      <w:adjustRightInd/>
      <w:snapToGrid/>
      <w:spacing w:before="360" w:after="240" w:line="300" w:lineRule="exact"/>
      <w:ind w:left="1134" w:right="1134" w:hanging="1134"/>
      <w:jc w:val="left"/>
    </w:pPr>
    <w:rPr>
      <w:rFonts w:eastAsia="PMingLiU"/>
      <w:b/>
      <w:snapToGrid/>
      <w:spacing w:val="0"/>
      <w:sz w:val="28"/>
      <w:lang w:val="en-GB" w:eastAsia="en-US"/>
    </w:rPr>
  </w:style>
  <w:style w:type="paragraph" w:customStyle="1" w:styleId="H1G">
    <w:name w:val="_ H_1_G"/>
    <w:basedOn w:val="Normal"/>
    <w:next w:val="Normal"/>
    <w:pPr>
      <w:keepNext/>
      <w:keepLines/>
      <w:tabs>
        <w:tab w:val="right" w:pos="851"/>
      </w:tabs>
      <w:suppressAutoHyphens/>
      <w:overflowPunct/>
      <w:adjustRightInd/>
      <w:snapToGrid/>
      <w:spacing w:before="360" w:after="240" w:line="270" w:lineRule="exact"/>
      <w:ind w:left="1134" w:right="1134" w:hanging="1134"/>
      <w:jc w:val="left"/>
    </w:pPr>
    <w:rPr>
      <w:rFonts w:eastAsia="PMingLiU"/>
      <w:b/>
      <w:snapToGrid/>
      <w:spacing w:val="0"/>
      <w:lang w:val="en-GB" w:eastAsia="en-US"/>
    </w:rPr>
  </w:style>
  <w:style w:type="paragraph" w:customStyle="1" w:styleId="H23G">
    <w:name w:val="_ H_2/3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b/>
      <w:snapToGrid/>
      <w:spacing w:val="0"/>
      <w:sz w:val="20"/>
      <w:lang w:val="en-GB" w:eastAsia="en-US"/>
    </w:rPr>
  </w:style>
  <w:style w:type="paragraph" w:customStyle="1" w:styleId="H4G">
    <w:name w:val="_ H_4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i/>
      <w:snapToGrid/>
      <w:spacing w:val="0"/>
      <w:sz w:val="20"/>
      <w:lang w:val="en-GB" w:eastAsia="en-US"/>
    </w:rPr>
  </w:style>
  <w:style w:type="paragraph" w:customStyle="1" w:styleId="H56G">
    <w:name w:val="_ H_5/6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snapToGrid/>
      <w:spacing w:val="0"/>
      <w:sz w:val="20"/>
      <w:lang w:val="en-GB" w:eastAsia="en-US"/>
    </w:rPr>
  </w:style>
  <w:style w:type="paragraph" w:customStyle="1" w:styleId="NormalGc">
    <w:name w:val="中_ Normal_Gc"/>
    <w:basedOn w:val="Normal"/>
    <w:pPr>
      <w:suppressAutoHyphens/>
      <w:overflowPunct/>
      <w:adjustRightInd/>
      <w:snapToGrid/>
      <w:spacing w:line="240" w:lineRule="auto"/>
      <w:jc w:val="left"/>
    </w:pPr>
    <w:rPr>
      <w:rFonts w:eastAsia="PMingLiU"/>
      <w:snapToGrid/>
      <w:spacing w:val="0"/>
      <w:sz w:val="20"/>
      <w:lang w:val="en-GB" w:eastAsia="en-US"/>
    </w:rPr>
  </w:style>
  <w:style w:type="paragraph" w:customStyle="1" w:styleId="SingleTxtG">
    <w:name w:val="__ Single Txt_G"/>
    <w:basedOn w:val="Normal"/>
    <w:pPr>
      <w:suppressAutoHyphens/>
      <w:overflowPunct/>
      <w:adjustRightInd/>
      <w:snapToGrid/>
      <w:spacing w:after="120" w:line="240" w:lineRule="atLeast"/>
      <w:ind w:left="1134" w:right="1134"/>
    </w:pPr>
    <w:rPr>
      <w:rFonts w:eastAsia="PMingLiU"/>
      <w:snapToGrid/>
      <w:spacing w:val="0"/>
      <w:sz w:val="20"/>
      <w:lang w:val="en-GB" w:eastAsia="en-US"/>
    </w:rPr>
  </w:style>
  <w:style w:type="paragraph" w:customStyle="1" w:styleId="SmallGc">
    <w:name w:val="中__Small_Gc"/>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pPr>
      <w:spacing w:line="180" w:lineRule="exact"/>
      <w:jc w:val="right"/>
    </w:pPr>
    <w:rPr>
      <w:spacing w:val="6"/>
      <w:w w:val="106"/>
      <w:sz w:val="14"/>
    </w:rPr>
  </w:style>
  <w:style w:type="paragraph" w:customStyle="1" w:styleId="XLargeGc">
    <w:name w:val="中__XLarge_Gc"/>
    <w:basedOn w:val="HMG"/>
    <w:pPr>
      <w:tabs>
        <w:tab w:val="right" w:leader="dot" w:pos="360"/>
      </w:tabs>
      <w:spacing w:line="390" w:lineRule="exact"/>
    </w:pPr>
    <w:rPr>
      <w:spacing w:val="-4"/>
      <w:w w:val="98"/>
      <w:sz w:val="40"/>
    </w:rPr>
  </w:style>
  <w:style w:type="paragraph" w:customStyle="1" w:styleId="FootnoteReferenceGc">
    <w:name w:val="中_Footnote Reference_Gc"/>
    <w:basedOn w:val="NormalGc"/>
    <w:rPr>
      <w:b/>
      <w:sz w:val="18"/>
      <w:vertAlign w:val="superscript"/>
    </w:rPr>
  </w:style>
  <w:style w:type="paragraph" w:customStyle="1" w:styleId="EndnoteReferenceGc">
    <w:name w:val="中_Endnote Reference_Gc"/>
    <w:basedOn w:val="FootnoteReferenceGc"/>
  </w:style>
  <w:style w:type="paragraph" w:customStyle="1" w:styleId="EndnoteTextGc">
    <w:name w:val="中_Endnote Text_Gc"/>
    <w:basedOn w:val="FootnoteReferenceGc"/>
  </w:style>
  <w:style w:type="paragraph" w:customStyle="1" w:styleId="FooterGc">
    <w:name w:val="中_Footer_Gc"/>
    <w:basedOn w:val="NormalGc"/>
    <w:pPr>
      <w:widowControl w:val="0"/>
    </w:pPr>
  </w:style>
  <w:style w:type="paragraph" w:customStyle="1" w:styleId="FootnoteTextGc">
    <w:name w:val="中_Footnote Text_Gc"/>
    <w:basedOn w:val="NormalGc"/>
    <w:pPr>
      <w:tabs>
        <w:tab w:val="right" w:pos="1021"/>
        <w:tab w:val="left" w:pos="1134"/>
      </w:tabs>
      <w:spacing w:after="120" w:line="220" w:lineRule="atLeast"/>
      <w:ind w:left="1134" w:right="1134" w:hanging="1134"/>
    </w:pPr>
    <w:rPr>
      <w:sz w:val="18"/>
    </w:rPr>
  </w:style>
  <w:style w:type="paragraph" w:customStyle="1" w:styleId="HeaderGc">
    <w:name w:val="中_Header_Gc"/>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c">
    <w:name w:val="中_ParaNo._Gc"/>
    <w:basedOn w:val="SingleTxtG"/>
  </w:style>
  <w:style w:type="paragraph" w:customStyle="1" w:styleId="SmallG">
    <w:name w:val="__Small_G"/>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pPr>
      <w:spacing w:line="180" w:lineRule="exact"/>
      <w:jc w:val="right"/>
    </w:pPr>
    <w:rPr>
      <w:spacing w:val="6"/>
      <w:w w:val="106"/>
      <w:sz w:val="14"/>
    </w:rPr>
  </w:style>
  <w:style w:type="paragraph" w:customStyle="1" w:styleId="XLargeG">
    <w:name w:val="__XLarge_G"/>
    <w:basedOn w:val="HMG"/>
    <w:pPr>
      <w:tabs>
        <w:tab w:val="right" w:leader="dot" w:pos="360"/>
      </w:tabs>
      <w:spacing w:line="390" w:lineRule="exact"/>
    </w:pPr>
    <w:rPr>
      <w:spacing w:val="-4"/>
      <w:w w:val="98"/>
      <w:sz w:val="40"/>
    </w:rPr>
  </w:style>
  <w:style w:type="paragraph" w:customStyle="1" w:styleId="FootnoteReferenceG">
    <w:name w:val="_Footnote Reference_G"/>
    <w:basedOn w:val="Normal"/>
    <w:pPr>
      <w:suppressAutoHyphens/>
      <w:overflowPunct/>
      <w:adjustRightInd/>
      <w:snapToGrid/>
      <w:spacing w:line="240" w:lineRule="auto"/>
      <w:jc w:val="left"/>
    </w:pPr>
    <w:rPr>
      <w:rFonts w:eastAsia="PMingLiU"/>
      <w:b/>
      <w:snapToGrid/>
      <w:spacing w:val="0"/>
      <w:sz w:val="18"/>
      <w:vertAlign w:val="superscript"/>
      <w:lang w:val="en-GB" w:eastAsia="en-US"/>
    </w:rPr>
  </w:style>
  <w:style w:type="paragraph" w:customStyle="1" w:styleId="EndnoteReferenceG">
    <w:name w:val="_Endnote Reference_G"/>
    <w:basedOn w:val="FootnoteReferenceG"/>
  </w:style>
  <w:style w:type="paragraph" w:customStyle="1" w:styleId="EndnoteTextG">
    <w:name w:val="_Endnote Text_G"/>
    <w:basedOn w:val="FootnoteReferenceG"/>
  </w:style>
  <w:style w:type="paragraph" w:customStyle="1" w:styleId="FooterG">
    <w:name w:val="_Footer_G"/>
    <w:basedOn w:val="Normal"/>
    <w:pPr>
      <w:widowControl w:val="0"/>
      <w:suppressAutoHyphens/>
      <w:overflowPunct/>
      <w:adjustRightInd/>
      <w:snapToGrid/>
      <w:spacing w:line="240" w:lineRule="auto"/>
      <w:jc w:val="left"/>
    </w:pPr>
    <w:rPr>
      <w:rFonts w:eastAsia="PMingLiU"/>
      <w:snapToGrid/>
      <w:spacing w:val="0"/>
      <w:sz w:val="20"/>
      <w:lang w:val="en-GB" w:eastAsia="en-US"/>
    </w:rPr>
  </w:style>
  <w:style w:type="paragraph" w:customStyle="1" w:styleId="FootnoteTextG">
    <w:name w:val="_Footnote Text_G"/>
    <w:basedOn w:val="Normal"/>
    <w:pPr>
      <w:tabs>
        <w:tab w:val="right" w:pos="1021"/>
        <w:tab w:val="left" w:pos="1134"/>
      </w:tabs>
      <w:suppressAutoHyphens/>
      <w:overflowPunct/>
      <w:adjustRightInd/>
      <w:snapToGrid/>
      <w:spacing w:after="120" w:line="220" w:lineRule="atLeast"/>
      <w:ind w:left="1134" w:right="1134" w:hanging="1134"/>
      <w:jc w:val="left"/>
    </w:pPr>
    <w:rPr>
      <w:rFonts w:eastAsia="PMingLiU"/>
      <w:snapToGrid/>
      <w:spacing w:val="0"/>
      <w:sz w:val="18"/>
      <w:lang w:val="en-GB" w:eastAsia="en-US"/>
    </w:rPr>
  </w:style>
  <w:style w:type="paragraph" w:customStyle="1" w:styleId="HeaderG">
    <w:name w:val="_Header_G"/>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
    <w:name w:val="_ParaNo._G"/>
    <w:basedOn w:val="SingleTxtG"/>
  </w:style>
  <w:style w:type="paragraph" w:customStyle="1" w:styleId="ParaNo">
    <w:name w:val="ParaNo."/>
    <w:basedOn w:val="Normal"/>
    <w:pPr>
      <w:numPr>
        <w:numId w:val="106"/>
      </w:numPr>
      <w:tabs>
        <w:tab w:val="clear" w:pos="360"/>
        <w:tab w:val="left" w:pos="737"/>
      </w:tabs>
      <w:overflowPunct/>
      <w:adjustRightInd/>
      <w:snapToGrid/>
      <w:spacing w:after="240" w:line="240" w:lineRule="auto"/>
      <w:jc w:val="left"/>
    </w:pPr>
    <w:rPr>
      <w:rFonts w:eastAsia="PMingLiU"/>
      <w:snapToGrid/>
      <w:spacing w:val="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emplat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7</Pages>
  <Words>749</Words>
  <Characters>4272</Characters>
  <Application>Microsoft Office Word</Application>
  <DocSecurity>4</DocSecurity>
  <Lines>35</Lines>
  <Paragraphs>8</Paragraphs>
  <ScaleCrop>false</ScaleCrop>
  <HeadingPairs>
    <vt:vector size="2" baseType="variant">
      <vt:variant>
        <vt:lpstr>题目</vt:lpstr>
      </vt:variant>
      <vt:variant>
        <vt:i4>1</vt:i4>
      </vt:variant>
    </vt:vector>
  </HeadingPairs>
  <TitlesOfParts>
    <vt:vector size="1" baseType="lpstr">
      <vt:lpstr>E.dot</vt:lpstr>
    </vt:vector>
  </TitlesOfParts>
  <Company>TPS_CHI</Company>
  <LinksUpToDate>false</LinksUpToDate>
  <CharactersWithSpaces>5246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nie</dc:creator>
  <cp:keywords/>
  <dc:description/>
  <cp:lastModifiedBy>TIAN</cp:lastModifiedBy>
  <cp:revision>2</cp:revision>
  <cp:lastPrinted>2006-12-15T13:35:00Z</cp:lastPrinted>
  <dcterms:created xsi:type="dcterms:W3CDTF">2006-12-15T13:36:00Z</dcterms:created>
  <dcterms:modified xsi:type="dcterms:W3CDTF">2006-12-15T13:36:00Z</dcterms:modified>
</cp:coreProperties>
</file>