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9669FD" w14:textId="77777777" w:rsidTr="00DA21FF">
        <w:trPr>
          <w:trHeight w:hRule="exact" w:val="851"/>
        </w:trPr>
        <w:tc>
          <w:tcPr>
            <w:tcW w:w="1280" w:type="dxa"/>
            <w:tcBorders>
              <w:bottom w:val="single" w:sz="4" w:space="0" w:color="auto"/>
            </w:tcBorders>
          </w:tcPr>
          <w:p w14:paraId="26C57602" w14:textId="77777777" w:rsidR="002D5AAC" w:rsidRDefault="002D5AAC" w:rsidP="00C2155F">
            <w:pPr>
              <w:kinsoku w:val="0"/>
              <w:overflowPunct w:val="0"/>
              <w:autoSpaceDE w:val="0"/>
              <w:autoSpaceDN w:val="0"/>
              <w:adjustRightInd w:val="0"/>
              <w:snapToGrid w:val="0"/>
            </w:pPr>
          </w:p>
        </w:tc>
        <w:tc>
          <w:tcPr>
            <w:tcW w:w="2273" w:type="dxa"/>
            <w:tcBorders>
              <w:bottom w:val="single" w:sz="4" w:space="0" w:color="auto"/>
            </w:tcBorders>
            <w:vAlign w:val="bottom"/>
          </w:tcPr>
          <w:p w14:paraId="004CEA5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C6ED9D" w14:textId="35AD0FD4" w:rsidR="002D5AAC" w:rsidRDefault="00C2155F" w:rsidP="00C2155F">
            <w:pPr>
              <w:jc w:val="right"/>
            </w:pPr>
            <w:proofErr w:type="spellStart"/>
            <w:r w:rsidRPr="00C2155F">
              <w:rPr>
                <w:sz w:val="40"/>
              </w:rPr>
              <w:t>HRI</w:t>
            </w:r>
            <w:proofErr w:type="spellEnd"/>
            <w:r>
              <w:t>/CORE/</w:t>
            </w:r>
            <w:proofErr w:type="spellStart"/>
            <w:r>
              <w:t>NOR</w:t>
            </w:r>
            <w:proofErr w:type="spellEnd"/>
            <w:r>
              <w:t>/2024</w:t>
            </w:r>
          </w:p>
        </w:tc>
      </w:tr>
      <w:tr w:rsidR="002D5AAC" w14:paraId="6540BB46" w14:textId="77777777" w:rsidTr="00DA21FF">
        <w:trPr>
          <w:trHeight w:hRule="exact" w:val="2835"/>
        </w:trPr>
        <w:tc>
          <w:tcPr>
            <w:tcW w:w="1280" w:type="dxa"/>
            <w:tcBorders>
              <w:top w:val="single" w:sz="4" w:space="0" w:color="auto"/>
              <w:bottom w:val="single" w:sz="12" w:space="0" w:color="auto"/>
            </w:tcBorders>
          </w:tcPr>
          <w:p w14:paraId="106D01DA" w14:textId="77777777" w:rsidR="002D5AAC" w:rsidRDefault="0095700F" w:rsidP="00C057D5">
            <w:pPr>
              <w:spacing w:before="120"/>
              <w:jc w:val="center"/>
            </w:pPr>
            <w:r>
              <w:rPr>
                <w:noProof/>
              </w:rPr>
              <w:drawing>
                <wp:inline distT="0" distB="0" distL="0" distR="0" wp14:anchorId="3D6DFC6A" wp14:editId="3F7936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ECD419"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13652B2F" w14:textId="77777777" w:rsidR="002D5AAC" w:rsidRDefault="00C2155F" w:rsidP="00C057D5">
            <w:pPr>
              <w:spacing w:before="240"/>
            </w:pPr>
            <w:proofErr w:type="spellStart"/>
            <w:r>
              <w:t>Distr</w:t>
            </w:r>
            <w:proofErr w:type="spellEnd"/>
            <w:r>
              <w:t>. general</w:t>
            </w:r>
          </w:p>
          <w:p w14:paraId="28978497" w14:textId="04E9F6DD" w:rsidR="00C2155F" w:rsidRDefault="005027A7" w:rsidP="00C2155F">
            <w:pPr>
              <w:spacing w:line="240" w:lineRule="exact"/>
            </w:pPr>
            <w:r>
              <w:t xml:space="preserve">14 </w:t>
            </w:r>
            <w:r w:rsidR="00C2155F">
              <w:t xml:space="preserve">de </w:t>
            </w:r>
            <w:r>
              <w:t xml:space="preserve">agosto </w:t>
            </w:r>
            <w:r w:rsidR="00C2155F">
              <w:t>de 2024</w:t>
            </w:r>
          </w:p>
          <w:p w14:paraId="7AEC4A93" w14:textId="77777777" w:rsidR="00C2155F" w:rsidRDefault="00C2155F" w:rsidP="00C2155F">
            <w:pPr>
              <w:spacing w:line="240" w:lineRule="exact"/>
            </w:pPr>
            <w:r>
              <w:t>Español</w:t>
            </w:r>
          </w:p>
          <w:p w14:paraId="58919CFF" w14:textId="538BCE06" w:rsidR="00C2155F" w:rsidRDefault="00C2155F" w:rsidP="00C2155F">
            <w:pPr>
              <w:spacing w:line="240" w:lineRule="exact"/>
            </w:pPr>
            <w:r>
              <w:t>Original: inglés</w:t>
            </w:r>
          </w:p>
        </w:tc>
      </w:tr>
    </w:tbl>
    <w:p w14:paraId="7C74FC5E" w14:textId="1F20342C" w:rsidR="00DA21FF" w:rsidRPr="00DA21FF" w:rsidRDefault="00DA21FF" w:rsidP="005027A7">
      <w:pPr>
        <w:pStyle w:val="HMG"/>
        <w:rPr>
          <w:lang w:val="en-GB"/>
        </w:rPr>
      </w:pPr>
      <w:r w:rsidRPr="00DA21FF">
        <w:tab/>
      </w:r>
      <w:r w:rsidR="005027A7">
        <w:tab/>
      </w:r>
      <w:r w:rsidRPr="00DA21FF">
        <w:t xml:space="preserve">Documento básico común que forma parte integrante de los informes de los Estados </w:t>
      </w:r>
      <w:r w:rsidR="005027A7">
        <w:br/>
      </w:r>
      <w:r w:rsidRPr="00DA21FF">
        <w:t>partes</w:t>
      </w:r>
      <w:bookmarkStart w:id="0" w:name="_Toc174450857"/>
      <w:bookmarkEnd w:id="0"/>
    </w:p>
    <w:p w14:paraId="2F02AF9D" w14:textId="431B1723" w:rsidR="00DA21FF" w:rsidRPr="00DA21FF" w:rsidRDefault="005027A7" w:rsidP="005027A7">
      <w:pPr>
        <w:pStyle w:val="HMG"/>
        <w:rPr>
          <w:lang w:val="en-GB"/>
        </w:rPr>
      </w:pPr>
      <w:r>
        <w:tab/>
      </w:r>
      <w:r w:rsidR="00DA21FF" w:rsidRPr="00DA21FF">
        <w:tab/>
        <w:t>Noruega</w:t>
      </w:r>
      <w:r w:rsidR="00DA21FF" w:rsidRPr="005027A7">
        <w:rPr>
          <w:b w:val="0"/>
          <w:bCs/>
          <w:sz w:val="20"/>
          <w:szCs w:val="10"/>
        </w:rPr>
        <w:footnoteReference w:customMarkFollows="1" w:id="1"/>
        <w:t>*</w:t>
      </w:r>
      <w:bookmarkStart w:id="1" w:name="_Toc174450858"/>
      <w:bookmarkEnd w:id="1"/>
    </w:p>
    <w:p w14:paraId="1517F17B" w14:textId="77777777" w:rsidR="00DA21FF" w:rsidRPr="00DA21FF" w:rsidRDefault="00DA21FF" w:rsidP="005027A7">
      <w:pPr>
        <w:pStyle w:val="SingleTxtG"/>
        <w:jc w:val="right"/>
        <w:rPr>
          <w:lang w:val="en-GB"/>
        </w:rPr>
      </w:pPr>
      <w:r w:rsidRPr="00DA21FF">
        <w:t>[Fecha de recepción: 12 de junio de 2024]</w:t>
      </w:r>
    </w:p>
    <w:p w14:paraId="5297AE2F" w14:textId="77777777" w:rsidR="00DA21FF" w:rsidRPr="00DA21FF" w:rsidRDefault="00DA21FF" w:rsidP="00DA21FF">
      <w:pPr>
        <w:pStyle w:val="SingleTxtG"/>
        <w:rPr>
          <w:lang w:val="en-GB"/>
        </w:rPr>
      </w:pPr>
      <w:r w:rsidRPr="00DA21FF">
        <w:rPr>
          <w:lang w:val="en-GB"/>
        </w:rPr>
        <w:br w:type="page"/>
      </w:r>
    </w:p>
    <w:p w14:paraId="04099E55" w14:textId="77777777" w:rsidR="005027A7" w:rsidRDefault="005027A7" w:rsidP="005027A7">
      <w:pPr>
        <w:pStyle w:val="SingleTxtG"/>
        <w:ind w:left="0" w:right="0"/>
        <w:jc w:val="left"/>
        <w:rPr>
          <w:sz w:val="28"/>
        </w:rPr>
      </w:pPr>
      <w:r>
        <w:rPr>
          <w:sz w:val="28"/>
        </w:rPr>
        <w:lastRenderedPageBreak/>
        <w:t>Índice</w:t>
      </w:r>
    </w:p>
    <w:p w14:paraId="49AA7912" w14:textId="77777777" w:rsidR="005027A7" w:rsidRPr="005027A7" w:rsidRDefault="005027A7" w:rsidP="005027A7">
      <w:pPr>
        <w:pStyle w:val="SingleTxtG"/>
        <w:tabs>
          <w:tab w:val="clear" w:pos="1701"/>
          <w:tab w:val="clear" w:pos="2268"/>
          <w:tab w:val="clear" w:pos="2835"/>
          <w:tab w:val="right" w:pos="9638"/>
        </w:tabs>
        <w:ind w:left="283" w:right="0"/>
        <w:jc w:val="left"/>
        <w:rPr>
          <w:i/>
          <w:sz w:val="18"/>
        </w:rPr>
      </w:pPr>
      <w:r w:rsidRPr="005027A7">
        <w:rPr>
          <w:i/>
          <w:sz w:val="18"/>
        </w:rPr>
        <w:tab/>
        <w:t>Página</w:t>
      </w:r>
    </w:p>
    <w:p w14:paraId="2678E060" w14:textId="57EEDE10" w:rsidR="00E6742F" w:rsidRPr="00E6742F" w:rsidRDefault="005027A7"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E6742F">
        <w:tab/>
        <w:t>Abreviaciones</w:t>
      </w:r>
      <w:r w:rsidR="00E6742F">
        <w:tab/>
      </w:r>
      <w:r w:rsidR="00E6742F">
        <w:tab/>
        <w:t>3</w:t>
      </w:r>
    </w:p>
    <w:p w14:paraId="070A0E4A" w14:textId="01C9EAC0" w:rsidR="00E6742F" w:rsidRPr="00E6742F" w:rsidRDefault="00E6742F"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Información general sobre el Estado</w:t>
      </w:r>
      <w:r>
        <w:tab/>
      </w:r>
      <w:r>
        <w:tab/>
        <w:t>4</w:t>
      </w:r>
    </w:p>
    <w:p w14:paraId="27D2D712" w14:textId="3A3F808C" w:rsidR="00E6742F" w:rsidRPr="00E6742F" w:rsidRDefault="00E6742F"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Características demográficas, económicas, sociales y culturales del Estado</w:t>
      </w:r>
      <w:r>
        <w:tab/>
      </w:r>
      <w:r>
        <w:tab/>
        <w:t>4</w:t>
      </w:r>
    </w:p>
    <w:p w14:paraId="2686FE49" w14:textId="177394A8" w:rsidR="00E6742F" w:rsidRPr="00E6742F" w:rsidRDefault="00E6742F"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Estructura constitucional, política y jurídica del Estado</w:t>
      </w:r>
      <w:r>
        <w:tab/>
      </w:r>
      <w:r>
        <w:tab/>
        <w:t>22</w:t>
      </w:r>
    </w:p>
    <w:p w14:paraId="25D53B46" w14:textId="4208F6AF" w:rsidR="00E6742F" w:rsidRPr="00E6742F" w:rsidRDefault="00E6742F"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Marco general de protección y promoción de los derechos humanos</w:t>
      </w:r>
      <w:r>
        <w:tab/>
      </w:r>
      <w:r>
        <w:tab/>
        <w:t>29</w:t>
      </w:r>
    </w:p>
    <w:p w14:paraId="004FC260" w14:textId="42EAC228" w:rsidR="00E6742F" w:rsidRPr="00E6742F" w:rsidRDefault="00E6742F" w:rsidP="00E674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Aceptación de las normas internacionales de derechos humanos</w:t>
      </w:r>
      <w:r>
        <w:tab/>
      </w:r>
      <w:r>
        <w:tab/>
        <w:t>29</w:t>
      </w:r>
    </w:p>
    <w:p w14:paraId="6B265900" w14:textId="4FC9C861" w:rsidR="003E7D98" w:rsidRDefault="003E7D98" w:rsidP="003E7D98">
      <w:pPr>
        <w:pStyle w:val="SingleTxtG"/>
        <w:tabs>
          <w:tab w:val="right" w:pos="850"/>
          <w:tab w:val="left" w:pos="1134"/>
          <w:tab w:val="left" w:pos="1559"/>
          <w:tab w:val="left" w:pos="1984"/>
          <w:tab w:val="left" w:leader="dot" w:pos="8787"/>
          <w:tab w:val="right" w:pos="9638"/>
        </w:tabs>
      </w:pPr>
      <w:r>
        <w:t>B.</w:t>
      </w:r>
      <w:r>
        <w:tab/>
        <w:t>Marco jurídico de protección de los derechos humanos a nivel nacional</w:t>
      </w:r>
      <w:r>
        <w:tab/>
      </w:r>
      <w:r>
        <w:tab/>
      </w:r>
      <w:r w:rsidR="001650CD">
        <w:t>39</w:t>
      </w:r>
    </w:p>
    <w:p w14:paraId="09D0E75D" w14:textId="5E90A47C" w:rsidR="003E7D98" w:rsidRDefault="003E7D98" w:rsidP="003E7D98">
      <w:pPr>
        <w:pStyle w:val="SingleTxtG"/>
        <w:tabs>
          <w:tab w:val="right" w:pos="850"/>
          <w:tab w:val="left" w:pos="1134"/>
          <w:tab w:val="left" w:pos="1559"/>
          <w:tab w:val="left" w:pos="1984"/>
          <w:tab w:val="left" w:leader="dot" w:pos="8787"/>
          <w:tab w:val="right" w:pos="9638"/>
        </w:tabs>
      </w:pPr>
      <w:r>
        <w:t>C.</w:t>
      </w:r>
      <w:r>
        <w:tab/>
        <w:t>Marco de la promoción de los derechos humanos a nivel nacional</w:t>
      </w:r>
      <w:r w:rsidRPr="003E7D98">
        <w:tab/>
      </w:r>
      <w:r>
        <w:tab/>
      </w:r>
      <w:r w:rsidR="001650CD">
        <w:t>41</w:t>
      </w:r>
    </w:p>
    <w:p w14:paraId="6AE00272" w14:textId="03F75720" w:rsidR="003E7D98" w:rsidRDefault="003E7D98" w:rsidP="003E7D98">
      <w:pPr>
        <w:pStyle w:val="SingleTxtG"/>
        <w:tabs>
          <w:tab w:val="right" w:pos="850"/>
          <w:tab w:val="left" w:pos="1134"/>
          <w:tab w:val="left" w:pos="1559"/>
          <w:tab w:val="left" w:pos="1984"/>
          <w:tab w:val="left" w:leader="dot" w:pos="8787"/>
          <w:tab w:val="right" w:pos="9638"/>
        </w:tabs>
      </w:pPr>
      <w:r w:rsidRPr="003E7D98">
        <w:t>D.</w:t>
      </w:r>
      <w:r w:rsidRPr="003E7D98">
        <w:tab/>
        <w:t>Proceso de presentación de informes a nivel nacional</w:t>
      </w:r>
      <w:r>
        <w:tab/>
      </w:r>
      <w:r>
        <w:tab/>
      </w:r>
      <w:r w:rsidR="001650CD">
        <w:t>49</w:t>
      </w:r>
    </w:p>
    <w:p w14:paraId="7EE6DDA6" w14:textId="297DB716" w:rsidR="003E7D98" w:rsidRPr="003E7D98" w:rsidRDefault="003E7D98" w:rsidP="003E7D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Información sobre no discriminación, igualdad y recursos eficaces</w:t>
      </w:r>
      <w:r>
        <w:tab/>
      </w:r>
      <w:r>
        <w:tab/>
      </w:r>
      <w:r w:rsidR="001650CD">
        <w:t>50</w:t>
      </w:r>
    </w:p>
    <w:p w14:paraId="79D2351E" w14:textId="3FFC3836" w:rsidR="003E7D98" w:rsidRPr="003E7D98" w:rsidRDefault="003E7D98" w:rsidP="003E7D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Marco jurídico</w:t>
      </w:r>
      <w:r>
        <w:tab/>
      </w:r>
      <w:r>
        <w:tab/>
      </w:r>
      <w:r w:rsidR="001650CD">
        <w:t>50</w:t>
      </w:r>
    </w:p>
    <w:p w14:paraId="301F1D5B" w14:textId="4544FD2E" w:rsidR="003E7D98" w:rsidRDefault="003E7D98" w:rsidP="003E7D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E7D98">
        <w:tab/>
        <w:t>B.</w:t>
      </w:r>
      <w:r w:rsidRPr="003E7D98">
        <w:tab/>
        <w:t>Marco institucional y recursos efectivos</w:t>
      </w:r>
      <w:r w:rsidRPr="003E7D98">
        <w:tab/>
      </w:r>
      <w:r>
        <w:tab/>
      </w:r>
      <w:r w:rsidR="001650CD">
        <w:t>52</w:t>
      </w:r>
    </w:p>
    <w:p w14:paraId="11834B3E" w14:textId="73F163D7" w:rsidR="003E7D98" w:rsidRDefault="003E7D98" w:rsidP="003E7D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3E7D98">
        <w:t>C.</w:t>
      </w:r>
      <w:r w:rsidRPr="003E7D98">
        <w:tab/>
        <w:t>Igualdad de género y grupos vulnerables específicos</w:t>
      </w:r>
      <w:r>
        <w:tab/>
      </w:r>
      <w:r>
        <w:tab/>
      </w:r>
      <w:r w:rsidR="001650CD">
        <w:t>53</w:t>
      </w:r>
    </w:p>
    <w:p w14:paraId="0522E278" w14:textId="3DC69547" w:rsidR="003E7D98" w:rsidRDefault="003E7D98" w:rsidP="003E7D9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t>Medidas generales para reducir las disparidades económicas, sociales y geográficas</w:t>
      </w:r>
      <w:r>
        <w:tab/>
      </w:r>
      <w:r>
        <w:tab/>
      </w:r>
      <w:r w:rsidR="001650CD">
        <w:t>58</w:t>
      </w:r>
    </w:p>
    <w:p w14:paraId="5EA4307B" w14:textId="6BA706CB" w:rsidR="003E7D98" w:rsidRPr="003E7D98" w:rsidRDefault="003E7D98" w:rsidP="003E7D98">
      <w:pPr>
        <w:pStyle w:val="H56G"/>
      </w:pPr>
      <w:r>
        <w:tab/>
        <w:t>Anexo</w:t>
      </w:r>
    </w:p>
    <w:p w14:paraId="5F0215C2" w14:textId="36C8A2CB" w:rsidR="00DA21FF" w:rsidRPr="00DA21FF" w:rsidRDefault="00DA21FF" w:rsidP="005027A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DA21FF">
        <w:tab/>
      </w:r>
      <w:r w:rsidR="005027A7">
        <w:tab/>
      </w:r>
      <w:proofErr w:type="spellStart"/>
      <w:r w:rsidRPr="00DA21FF">
        <w:t>Useful</w:t>
      </w:r>
      <w:proofErr w:type="spellEnd"/>
      <w:r w:rsidRPr="00DA21FF">
        <w:t xml:space="preserve"> </w:t>
      </w:r>
      <w:proofErr w:type="spellStart"/>
      <w:r w:rsidRPr="00DA21FF">
        <w:t>websites</w:t>
      </w:r>
      <w:proofErr w:type="spellEnd"/>
      <w:r w:rsidRPr="00DA21FF">
        <w:t xml:space="preserve"> and </w:t>
      </w:r>
      <w:proofErr w:type="spellStart"/>
      <w:r w:rsidRPr="00DA21FF">
        <w:t>legislation</w:t>
      </w:r>
      <w:proofErr w:type="spellEnd"/>
      <w:r w:rsidRPr="00DA21FF">
        <w:tab/>
      </w:r>
      <w:r w:rsidR="005027A7">
        <w:tab/>
      </w:r>
      <w:r w:rsidR="001650CD">
        <w:t>62</w:t>
      </w:r>
    </w:p>
    <w:p w14:paraId="778309DD" w14:textId="77777777" w:rsidR="005027A7" w:rsidRDefault="005027A7">
      <w:pPr>
        <w:spacing w:line="240" w:lineRule="auto"/>
        <w:rPr>
          <w:b/>
        </w:rPr>
      </w:pPr>
      <w:r>
        <w:rPr>
          <w:b/>
        </w:rPr>
        <w:br w:type="page"/>
      </w:r>
    </w:p>
    <w:p w14:paraId="6E098EBD" w14:textId="40E57150" w:rsidR="00DA21FF" w:rsidRPr="00DA21FF" w:rsidRDefault="00DA21FF" w:rsidP="005027A7">
      <w:pPr>
        <w:pStyle w:val="HChG"/>
        <w:rPr>
          <w:lang w:val="en-GB"/>
        </w:rPr>
      </w:pPr>
      <w:r w:rsidRPr="00DA21FF">
        <w:lastRenderedPageBreak/>
        <w:tab/>
      </w:r>
      <w:r w:rsidR="005027A7">
        <w:tab/>
      </w:r>
      <w:r w:rsidRPr="00DA21FF">
        <w:t>Abreviaciones</w:t>
      </w:r>
      <w:bookmarkStart w:id="2" w:name="_Toc498605405"/>
      <w:bookmarkStart w:id="3" w:name="_Toc174450859"/>
      <w:bookmarkStart w:id="4" w:name="_Toc377366269"/>
      <w:bookmarkStart w:id="5" w:name="_Toc377368986"/>
      <w:bookmarkStart w:id="6" w:name="_Toc390761439"/>
      <w:bookmarkEnd w:id="2"/>
      <w:bookmarkEnd w:id="3"/>
    </w:p>
    <w:bookmarkEnd w:id="4"/>
    <w:bookmarkEnd w:id="5"/>
    <w:bookmarkEnd w:id="6"/>
    <w:p w14:paraId="44DA02B5" w14:textId="77777777" w:rsidR="004D3D05" w:rsidRPr="00DA21FF" w:rsidDel="00E93911" w:rsidRDefault="004D3D05" w:rsidP="00680417">
      <w:pPr>
        <w:pStyle w:val="SingleTxtG"/>
        <w:tabs>
          <w:tab w:val="clear" w:pos="1701"/>
          <w:tab w:val="clear" w:pos="2268"/>
          <w:tab w:val="clear" w:pos="2835"/>
          <w:tab w:val="left" w:pos="2127"/>
        </w:tabs>
        <w:rPr>
          <w:lang w:val="en-GB"/>
        </w:rPr>
      </w:pPr>
      <w:r w:rsidRPr="00DA21FF">
        <w:t xml:space="preserve">AELC </w:t>
      </w:r>
      <w:r w:rsidRPr="00DA21FF">
        <w:tab/>
        <w:t>Asociación Europea de Libre Comercio</w:t>
      </w:r>
    </w:p>
    <w:p w14:paraId="7AA6C02D" w14:textId="77777777" w:rsidR="004D3D05" w:rsidRPr="00DA21FF" w:rsidRDefault="004D3D05" w:rsidP="00680417">
      <w:pPr>
        <w:pStyle w:val="SingleTxtG"/>
        <w:tabs>
          <w:tab w:val="clear" w:pos="1701"/>
          <w:tab w:val="clear" w:pos="2268"/>
          <w:tab w:val="clear" w:pos="2835"/>
          <w:tab w:val="left" w:pos="2127"/>
        </w:tabs>
        <w:rPr>
          <w:lang w:val="en-GB"/>
        </w:rPr>
      </w:pPr>
      <w:proofErr w:type="spellStart"/>
      <w:r w:rsidRPr="00DA21FF">
        <w:t>EEE</w:t>
      </w:r>
      <w:proofErr w:type="spellEnd"/>
      <w:r w:rsidRPr="00DA21FF">
        <w:tab/>
        <w:t>Espacio Económico Europeo</w:t>
      </w:r>
    </w:p>
    <w:p w14:paraId="6A278A29" w14:textId="77777777" w:rsidR="004D3D05" w:rsidRPr="00DA21FF" w:rsidRDefault="004D3D05" w:rsidP="00680417">
      <w:pPr>
        <w:pStyle w:val="SingleTxtG"/>
        <w:tabs>
          <w:tab w:val="clear" w:pos="1701"/>
          <w:tab w:val="clear" w:pos="2268"/>
          <w:tab w:val="clear" w:pos="2835"/>
          <w:tab w:val="left" w:pos="2127"/>
        </w:tabs>
        <w:rPr>
          <w:lang w:val="en-GB"/>
        </w:rPr>
      </w:pPr>
      <w:proofErr w:type="spellStart"/>
      <w:r w:rsidRPr="00DA21FF">
        <w:t>INB</w:t>
      </w:r>
      <w:proofErr w:type="spellEnd"/>
      <w:r w:rsidRPr="00DA21FF">
        <w:t xml:space="preserve"> </w:t>
      </w:r>
      <w:r w:rsidRPr="00DA21FF">
        <w:tab/>
        <w:t>Ingreso nacional bruto</w:t>
      </w:r>
    </w:p>
    <w:p w14:paraId="09EC4501" w14:textId="77777777" w:rsidR="004D3D05" w:rsidRPr="00DA21FF" w:rsidRDefault="004D3D05" w:rsidP="00680417">
      <w:pPr>
        <w:pStyle w:val="SingleTxtG"/>
        <w:tabs>
          <w:tab w:val="clear" w:pos="1701"/>
          <w:tab w:val="clear" w:pos="2268"/>
          <w:tab w:val="clear" w:pos="2835"/>
          <w:tab w:val="left" w:pos="2127"/>
        </w:tabs>
        <w:rPr>
          <w:lang w:val="en-GB"/>
        </w:rPr>
      </w:pPr>
      <w:proofErr w:type="spellStart"/>
      <w:r w:rsidRPr="00DA21FF">
        <w:t>NKr</w:t>
      </w:r>
      <w:proofErr w:type="spellEnd"/>
      <w:r w:rsidRPr="00DA21FF">
        <w:tab/>
        <w:t>Corona noruega</w:t>
      </w:r>
    </w:p>
    <w:p w14:paraId="481FDF60" w14:textId="77777777" w:rsidR="004D3D05" w:rsidRPr="00DA21FF" w:rsidRDefault="004D3D05" w:rsidP="00680417">
      <w:pPr>
        <w:pStyle w:val="SingleTxtG"/>
        <w:tabs>
          <w:tab w:val="clear" w:pos="1701"/>
          <w:tab w:val="clear" w:pos="2268"/>
          <w:tab w:val="clear" w:pos="2835"/>
          <w:tab w:val="left" w:pos="2127"/>
        </w:tabs>
        <w:rPr>
          <w:lang w:val="en-GB"/>
        </w:rPr>
      </w:pPr>
      <w:r w:rsidRPr="00DA21FF">
        <w:t>OIT</w:t>
      </w:r>
      <w:r w:rsidRPr="00DA21FF">
        <w:tab/>
        <w:t>Organización Internacional del Trabajo</w:t>
      </w:r>
    </w:p>
    <w:p w14:paraId="09C93F91" w14:textId="77777777" w:rsidR="004D3D05" w:rsidRPr="00DA21FF" w:rsidRDefault="004D3D05" w:rsidP="00680417">
      <w:pPr>
        <w:pStyle w:val="SingleTxtG"/>
        <w:tabs>
          <w:tab w:val="clear" w:pos="1701"/>
          <w:tab w:val="clear" w:pos="2268"/>
          <w:tab w:val="clear" w:pos="2835"/>
          <w:tab w:val="left" w:pos="2127"/>
        </w:tabs>
        <w:rPr>
          <w:lang w:val="en-GB"/>
        </w:rPr>
      </w:pPr>
      <w:r w:rsidRPr="00DA21FF">
        <w:t>ONG</w:t>
      </w:r>
      <w:r w:rsidRPr="00DA21FF">
        <w:tab/>
        <w:t>Organización no gubernamental</w:t>
      </w:r>
    </w:p>
    <w:p w14:paraId="0898616A" w14:textId="77777777" w:rsidR="004D3D05" w:rsidRPr="00DA21FF" w:rsidRDefault="004D3D05" w:rsidP="00680417">
      <w:pPr>
        <w:pStyle w:val="SingleTxtG"/>
        <w:tabs>
          <w:tab w:val="clear" w:pos="1701"/>
          <w:tab w:val="clear" w:pos="2268"/>
          <w:tab w:val="clear" w:pos="2835"/>
          <w:tab w:val="left" w:pos="2127"/>
        </w:tabs>
        <w:rPr>
          <w:lang w:val="en-GB"/>
        </w:rPr>
      </w:pPr>
      <w:r w:rsidRPr="00DA21FF">
        <w:t xml:space="preserve">PIB </w:t>
      </w:r>
      <w:r w:rsidRPr="00DA21FF">
        <w:tab/>
        <w:t>Producto interno bruto</w:t>
      </w:r>
    </w:p>
    <w:p w14:paraId="58DDDAC6" w14:textId="77777777" w:rsidR="004D3D05" w:rsidRPr="00DA21FF" w:rsidRDefault="004D3D05" w:rsidP="00680417">
      <w:pPr>
        <w:pStyle w:val="SingleTxtG"/>
        <w:tabs>
          <w:tab w:val="clear" w:pos="1701"/>
          <w:tab w:val="clear" w:pos="2268"/>
          <w:tab w:val="clear" w:pos="2835"/>
          <w:tab w:val="left" w:pos="2127"/>
        </w:tabs>
        <w:rPr>
          <w:lang w:val="en-GB"/>
        </w:rPr>
      </w:pPr>
      <w:r w:rsidRPr="00DA21FF">
        <w:t>TIC</w:t>
      </w:r>
      <w:r w:rsidRPr="00DA21FF">
        <w:tab/>
        <w:t>Tecnología de la información y las comunicaciones</w:t>
      </w:r>
    </w:p>
    <w:p w14:paraId="521ED1C5" w14:textId="77777777" w:rsidR="004D3D05" w:rsidRPr="00DA21FF" w:rsidRDefault="004D3D05" w:rsidP="00680417">
      <w:pPr>
        <w:pStyle w:val="SingleTxtG"/>
        <w:tabs>
          <w:tab w:val="clear" w:pos="1701"/>
          <w:tab w:val="clear" w:pos="2268"/>
          <w:tab w:val="clear" w:pos="2835"/>
          <w:tab w:val="left" w:pos="2127"/>
        </w:tabs>
        <w:rPr>
          <w:lang w:val="en-GB"/>
        </w:rPr>
      </w:pPr>
      <w:r>
        <w:t>UE</w:t>
      </w:r>
      <w:r w:rsidRPr="00DA21FF">
        <w:tab/>
        <w:t>Unión Europea</w:t>
      </w:r>
    </w:p>
    <w:p w14:paraId="48A05CB4" w14:textId="77777777" w:rsidR="005027A7" w:rsidRDefault="005027A7">
      <w:pPr>
        <w:spacing w:line="240" w:lineRule="auto"/>
        <w:rPr>
          <w:b/>
          <w:bCs/>
        </w:rPr>
      </w:pPr>
      <w:r>
        <w:rPr>
          <w:b/>
          <w:bCs/>
        </w:rPr>
        <w:br w:type="page"/>
      </w:r>
    </w:p>
    <w:p w14:paraId="6E8154F5" w14:textId="0EFBDCDB" w:rsidR="00DA21FF" w:rsidRPr="00DA21FF" w:rsidRDefault="00680417" w:rsidP="00680417">
      <w:pPr>
        <w:pStyle w:val="HChG"/>
        <w:rPr>
          <w:lang w:val="en-GB"/>
        </w:rPr>
      </w:pPr>
      <w:r>
        <w:lastRenderedPageBreak/>
        <w:tab/>
      </w:r>
      <w:r w:rsidR="00DA21FF" w:rsidRPr="00DA21FF">
        <w:t>I.</w:t>
      </w:r>
      <w:r w:rsidR="00DA21FF" w:rsidRPr="00DA21FF">
        <w:tab/>
        <w:t>Información general sobre el Estado</w:t>
      </w:r>
      <w:bookmarkStart w:id="7" w:name="_Toc498605408"/>
      <w:bookmarkStart w:id="8" w:name="_Toc169082432"/>
      <w:bookmarkStart w:id="9" w:name="_Toc174450860"/>
      <w:bookmarkStart w:id="10" w:name="_Hlk163394720"/>
      <w:bookmarkEnd w:id="7"/>
      <w:bookmarkEnd w:id="8"/>
      <w:bookmarkEnd w:id="9"/>
    </w:p>
    <w:p w14:paraId="72A51B6F" w14:textId="1CAA6FF7" w:rsidR="00DA21FF" w:rsidRPr="00DA21FF" w:rsidRDefault="00680417" w:rsidP="00680417">
      <w:pPr>
        <w:pStyle w:val="H1G"/>
        <w:rPr>
          <w:lang w:val="en-GB"/>
        </w:rPr>
      </w:pPr>
      <w:bookmarkStart w:id="11" w:name="_Toc245183232"/>
      <w:r>
        <w:tab/>
      </w:r>
      <w:r w:rsidR="00DA21FF" w:rsidRPr="00DA21FF">
        <w:t>A.</w:t>
      </w:r>
      <w:r w:rsidR="00DA21FF" w:rsidRPr="00DA21FF">
        <w:tab/>
        <w:t xml:space="preserve">Características demográficas, económicas, sociales y culturales </w:t>
      </w:r>
      <w:r>
        <w:br/>
      </w:r>
      <w:r w:rsidR="00DA21FF" w:rsidRPr="00DA21FF">
        <w:t>del Estado</w:t>
      </w:r>
      <w:bookmarkStart w:id="12" w:name="_Toc498605409"/>
      <w:bookmarkStart w:id="13" w:name="_Toc169082433"/>
      <w:bookmarkStart w:id="14" w:name="_Toc174450861"/>
      <w:bookmarkEnd w:id="11"/>
      <w:bookmarkEnd w:id="12"/>
      <w:bookmarkEnd w:id="13"/>
      <w:bookmarkEnd w:id="14"/>
    </w:p>
    <w:p w14:paraId="431A68D6" w14:textId="51962B06" w:rsidR="00DA21FF" w:rsidRPr="00DA21FF" w:rsidRDefault="00680417" w:rsidP="00680417">
      <w:pPr>
        <w:pStyle w:val="H23G"/>
        <w:rPr>
          <w:lang w:val="en-GB"/>
        </w:rPr>
      </w:pPr>
      <w:bookmarkStart w:id="15" w:name="_Toc243126009"/>
      <w:bookmarkStart w:id="16" w:name="_Toc245183234"/>
      <w:bookmarkEnd w:id="10"/>
      <w:r>
        <w:tab/>
      </w:r>
      <w:r w:rsidR="00DA21FF" w:rsidRPr="00DA21FF">
        <w:t>a)</w:t>
      </w:r>
      <w:r w:rsidR="00DA21FF" w:rsidRPr="00DA21FF">
        <w:tab/>
        <w:t>Características demográficas</w:t>
      </w:r>
    </w:p>
    <w:p w14:paraId="6734A8CA" w14:textId="2433E973" w:rsidR="00DA21FF" w:rsidRPr="00DA21FF" w:rsidRDefault="00DA21FF" w:rsidP="00DA21FF">
      <w:pPr>
        <w:pStyle w:val="SingleTxtG"/>
        <w:rPr>
          <w:lang w:val="en-GB"/>
        </w:rPr>
      </w:pPr>
      <w:r w:rsidRPr="00DA21FF">
        <w:t>1.</w:t>
      </w:r>
      <w:r w:rsidRPr="00DA21FF">
        <w:tab/>
        <w:t>El 1 de enero de 2024, la población de Noruega era de 5.550.203 habitantes. La</w:t>
      </w:r>
      <w:r w:rsidR="00321FCC">
        <w:t> </w:t>
      </w:r>
      <w:r w:rsidRPr="00DA21FF">
        <w:t>población de Oslo, capital y ciudad más grande de Noruega, era de 717.710 habitantes.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52"/>
        <w:gridCol w:w="1883"/>
        <w:gridCol w:w="2009"/>
        <w:gridCol w:w="2026"/>
      </w:tblGrid>
      <w:tr w:rsidR="00680417" w:rsidRPr="00680417" w14:paraId="47C7FF6B" w14:textId="77777777" w:rsidTr="00680417">
        <w:trPr>
          <w:trHeight w:val="240"/>
          <w:tblHeader/>
        </w:trPr>
        <w:tc>
          <w:tcPr>
            <w:tcW w:w="1418" w:type="dxa"/>
            <w:tcBorders>
              <w:top w:val="single" w:sz="4" w:space="0" w:color="auto"/>
              <w:bottom w:val="single" w:sz="12" w:space="0" w:color="auto"/>
            </w:tcBorders>
            <w:shd w:val="clear" w:color="auto" w:fill="auto"/>
            <w:noWrap/>
            <w:vAlign w:val="bottom"/>
          </w:tcPr>
          <w:p w14:paraId="6A3C3F6C"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r w:rsidRPr="00DA21FF">
              <w:rPr>
                <w:i/>
                <w:sz w:val="16"/>
              </w:rPr>
              <w:t xml:space="preserve"> </w:t>
            </w:r>
          </w:p>
        </w:tc>
        <w:tc>
          <w:tcPr>
            <w:tcW w:w="1843" w:type="dxa"/>
            <w:tcBorders>
              <w:top w:val="single" w:sz="4" w:space="0" w:color="auto"/>
              <w:bottom w:val="single" w:sz="12" w:space="0" w:color="auto"/>
            </w:tcBorders>
            <w:shd w:val="clear" w:color="auto" w:fill="auto"/>
            <w:noWrap/>
            <w:vAlign w:val="bottom"/>
          </w:tcPr>
          <w:p w14:paraId="2459FD9C"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Tamaño de población</w:t>
            </w:r>
          </w:p>
        </w:tc>
        <w:tc>
          <w:tcPr>
            <w:tcW w:w="1984" w:type="dxa"/>
            <w:tcBorders>
              <w:top w:val="single" w:sz="4" w:space="0" w:color="auto"/>
              <w:bottom w:val="single" w:sz="12" w:space="0" w:color="auto"/>
            </w:tcBorders>
            <w:shd w:val="clear" w:color="auto" w:fill="auto"/>
            <w:vAlign w:val="bottom"/>
          </w:tcPr>
          <w:p w14:paraId="2B630850" w14:textId="562DD939"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Tasa de crecimiento demográfico (</w:t>
            </w:r>
            <w:r w:rsidR="00BF113C">
              <w:rPr>
                <w:i/>
                <w:iCs/>
                <w:sz w:val="16"/>
              </w:rPr>
              <w:t>porcentaje</w:t>
            </w:r>
            <w:r w:rsidRPr="00DA21FF">
              <w:rPr>
                <w:i/>
                <w:iCs/>
                <w:sz w:val="16"/>
              </w:rPr>
              <w:t>)</w:t>
            </w:r>
          </w:p>
        </w:tc>
        <w:tc>
          <w:tcPr>
            <w:tcW w:w="1984" w:type="dxa"/>
            <w:tcBorders>
              <w:top w:val="single" w:sz="4" w:space="0" w:color="auto"/>
              <w:bottom w:val="single" w:sz="12" w:space="0" w:color="auto"/>
            </w:tcBorders>
            <w:shd w:val="clear" w:color="auto" w:fill="auto"/>
            <w:noWrap/>
            <w:vAlign w:val="bottom"/>
          </w:tcPr>
          <w:p w14:paraId="1142B936" w14:textId="6CF2D77B"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 xml:space="preserve">Habitantes por </w:t>
            </w:r>
            <w:r w:rsidR="002F5430">
              <w:rPr>
                <w:i/>
                <w:iCs/>
                <w:sz w:val="16"/>
              </w:rPr>
              <w:t>kilómetro cuadrado</w:t>
            </w:r>
          </w:p>
        </w:tc>
      </w:tr>
      <w:tr w:rsidR="00680417" w:rsidRPr="00DA21FF" w14:paraId="4E4D5111" w14:textId="77777777" w:rsidTr="00680417">
        <w:trPr>
          <w:trHeight w:val="240"/>
        </w:trPr>
        <w:tc>
          <w:tcPr>
            <w:tcW w:w="1418" w:type="dxa"/>
            <w:tcBorders>
              <w:top w:val="single" w:sz="12" w:space="0" w:color="auto"/>
            </w:tcBorders>
            <w:shd w:val="clear" w:color="auto" w:fill="auto"/>
            <w:noWrap/>
          </w:tcPr>
          <w:p w14:paraId="5E9E8B8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1843" w:type="dxa"/>
            <w:tcBorders>
              <w:top w:val="single" w:sz="12" w:space="0" w:color="auto"/>
            </w:tcBorders>
            <w:shd w:val="clear" w:color="auto" w:fill="auto"/>
            <w:noWrap/>
            <w:vAlign w:val="bottom"/>
          </w:tcPr>
          <w:p w14:paraId="035C9EB5" w14:textId="0E99930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258</w:t>
            </w:r>
            <w:r w:rsidR="00A11346">
              <w:rPr>
                <w:sz w:val="18"/>
              </w:rPr>
              <w:t xml:space="preserve"> </w:t>
            </w:r>
            <w:r w:rsidRPr="00DA21FF">
              <w:rPr>
                <w:sz w:val="18"/>
              </w:rPr>
              <w:t>317</w:t>
            </w:r>
          </w:p>
        </w:tc>
        <w:tc>
          <w:tcPr>
            <w:tcW w:w="1984" w:type="dxa"/>
            <w:tcBorders>
              <w:top w:val="single" w:sz="12" w:space="0" w:color="auto"/>
            </w:tcBorders>
            <w:shd w:val="clear" w:color="auto" w:fill="auto"/>
            <w:vAlign w:val="bottom"/>
          </w:tcPr>
          <w:p w14:paraId="13412A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0,71</w:t>
            </w:r>
          </w:p>
        </w:tc>
        <w:tc>
          <w:tcPr>
            <w:tcW w:w="1984" w:type="dxa"/>
            <w:tcBorders>
              <w:top w:val="single" w:sz="12" w:space="0" w:color="auto"/>
            </w:tcBorders>
            <w:shd w:val="clear" w:color="auto" w:fill="auto"/>
            <w:noWrap/>
            <w:vAlign w:val="bottom"/>
          </w:tcPr>
          <w:p w14:paraId="45FE77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r>
      <w:tr w:rsidR="00680417" w:rsidRPr="00DA21FF" w14:paraId="7B33FB9F" w14:textId="77777777" w:rsidTr="00680417">
        <w:trPr>
          <w:trHeight w:val="240"/>
        </w:trPr>
        <w:tc>
          <w:tcPr>
            <w:tcW w:w="1418" w:type="dxa"/>
            <w:shd w:val="clear" w:color="auto" w:fill="auto"/>
            <w:noWrap/>
          </w:tcPr>
          <w:p w14:paraId="072BC93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1843" w:type="dxa"/>
            <w:shd w:val="clear" w:color="auto" w:fill="auto"/>
            <w:noWrap/>
            <w:vAlign w:val="bottom"/>
          </w:tcPr>
          <w:p w14:paraId="35D28311" w14:textId="1425A25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295</w:t>
            </w:r>
            <w:r w:rsidR="00A11346">
              <w:rPr>
                <w:sz w:val="18"/>
              </w:rPr>
              <w:t xml:space="preserve"> </w:t>
            </w:r>
            <w:r w:rsidRPr="00DA21FF">
              <w:rPr>
                <w:sz w:val="18"/>
              </w:rPr>
              <w:t>619</w:t>
            </w:r>
          </w:p>
        </w:tc>
        <w:tc>
          <w:tcPr>
            <w:tcW w:w="1984" w:type="dxa"/>
            <w:shd w:val="clear" w:color="auto" w:fill="auto"/>
            <w:vAlign w:val="bottom"/>
          </w:tcPr>
          <w:p w14:paraId="67FAFF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0,62</w:t>
            </w:r>
          </w:p>
        </w:tc>
        <w:tc>
          <w:tcPr>
            <w:tcW w:w="1984" w:type="dxa"/>
            <w:shd w:val="clear" w:color="auto" w:fill="auto"/>
            <w:noWrap/>
            <w:vAlign w:val="bottom"/>
          </w:tcPr>
          <w:p w14:paraId="2322701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r>
      <w:tr w:rsidR="00680417" w:rsidRPr="00DA21FF" w14:paraId="15CD6B8E" w14:textId="77777777" w:rsidTr="00680417">
        <w:trPr>
          <w:trHeight w:val="240"/>
        </w:trPr>
        <w:tc>
          <w:tcPr>
            <w:tcW w:w="1418" w:type="dxa"/>
            <w:shd w:val="clear" w:color="auto" w:fill="auto"/>
            <w:noWrap/>
          </w:tcPr>
          <w:p w14:paraId="144902F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1843" w:type="dxa"/>
            <w:shd w:val="clear" w:color="auto" w:fill="auto"/>
            <w:noWrap/>
            <w:vAlign w:val="bottom"/>
          </w:tcPr>
          <w:p w14:paraId="50038F7A" w14:textId="6218153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328</w:t>
            </w:r>
            <w:r w:rsidR="00A11346">
              <w:rPr>
                <w:sz w:val="18"/>
              </w:rPr>
              <w:t xml:space="preserve"> </w:t>
            </w:r>
            <w:r w:rsidRPr="00DA21FF">
              <w:rPr>
                <w:sz w:val="18"/>
              </w:rPr>
              <w:t>212</w:t>
            </w:r>
          </w:p>
        </w:tc>
        <w:tc>
          <w:tcPr>
            <w:tcW w:w="1984" w:type="dxa"/>
            <w:shd w:val="clear" w:color="auto" w:fill="auto"/>
            <w:vAlign w:val="bottom"/>
          </w:tcPr>
          <w:p w14:paraId="33A41BA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0,74</w:t>
            </w:r>
          </w:p>
        </w:tc>
        <w:tc>
          <w:tcPr>
            <w:tcW w:w="1984" w:type="dxa"/>
            <w:shd w:val="clear" w:color="auto" w:fill="auto"/>
            <w:noWrap/>
            <w:vAlign w:val="bottom"/>
          </w:tcPr>
          <w:p w14:paraId="39C6AC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60C15514" w14:textId="77777777" w:rsidTr="00680417">
        <w:trPr>
          <w:trHeight w:val="240"/>
        </w:trPr>
        <w:tc>
          <w:tcPr>
            <w:tcW w:w="1418" w:type="dxa"/>
            <w:shd w:val="clear" w:color="auto" w:fill="auto"/>
            <w:noWrap/>
          </w:tcPr>
          <w:p w14:paraId="04A3EF0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1843" w:type="dxa"/>
            <w:shd w:val="clear" w:color="auto" w:fill="auto"/>
            <w:noWrap/>
            <w:vAlign w:val="bottom"/>
          </w:tcPr>
          <w:p w14:paraId="20164546" w14:textId="5C74768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367</w:t>
            </w:r>
            <w:r w:rsidR="00A11346">
              <w:rPr>
                <w:sz w:val="18"/>
              </w:rPr>
              <w:t xml:space="preserve"> </w:t>
            </w:r>
            <w:r w:rsidRPr="00DA21FF">
              <w:rPr>
                <w:sz w:val="18"/>
              </w:rPr>
              <w:t>580</w:t>
            </w:r>
          </w:p>
        </w:tc>
        <w:tc>
          <w:tcPr>
            <w:tcW w:w="1984" w:type="dxa"/>
            <w:shd w:val="clear" w:color="auto" w:fill="auto"/>
            <w:vAlign w:val="bottom"/>
          </w:tcPr>
          <w:p w14:paraId="116C64D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0,44</w:t>
            </w:r>
          </w:p>
        </w:tc>
        <w:tc>
          <w:tcPr>
            <w:tcW w:w="1984" w:type="dxa"/>
            <w:shd w:val="clear" w:color="auto" w:fill="auto"/>
            <w:noWrap/>
            <w:vAlign w:val="bottom"/>
          </w:tcPr>
          <w:p w14:paraId="0664B6B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5CF75D7E" w14:textId="77777777" w:rsidTr="00680417">
        <w:trPr>
          <w:trHeight w:val="240"/>
        </w:trPr>
        <w:tc>
          <w:tcPr>
            <w:tcW w:w="1418" w:type="dxa"/>
            <w:shd w:val="clear" w:color="auto" w:fill="auto"/>
            <w:noWrap/>
          </w:tcPr>
          <w:p w14:paraId="73E9C39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1843" w:type="dxa"/>
            <w:shd w:val="clear" w:color="auto" w:fill="auto"/>
            <w:noWrap/>
            <w:vAlign w:val="bottom"/>
          </w:tcPr>
          <w:p w14:paraId="6A027F0E" w14:textId="025CE20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391</w:t>
            </w:r>
            <w:r w:rsidR="00A11346">
              <w:rPr>
                <w:sz w:val="18"/>
              </w:rPr>
              <w:t xml:space="preserve"> </w:t>
            </w:r>
            <w:r w:rsidRPr="00DA21FF">
              <w:rPr>
                <w:sz w:val="18"/>
              </w:rPr>
              <w:t>369</w:t>
            </w:r>
          </w:p>
        </w:tc>
        <w:tc>
          <w:tcPr>
            <w:tcW w:w="1984" w:type="dxa"/>
            <w:shd w:val="clear" w:color="auto" w:fill="auto"/>
            <w:vAlign w:val="bottom"/>
          </w:tcPr>
          <w:p w14:paraId="7CD1234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0,63</w:t>
            </w:r>
          </w:p>
        </w:tc>
        <w:tc>
          <w:tcPr>
            <w:tcW w:w="1984" w:type="dxa"/>
            <w:shd w:val="clear" w:color="auto" w:fill="auto"/>
            <w:noWrap/>
            <w:vAlign w:val="bottom"/>
          </w:tcPr>
          <w:p w14:paraId="7E429FB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3FE23087" w14:textId="77777777" w:rsidTr="00680417">
        <w:trPr>
          <w:trHeight w:val="240"/>
        </w:trPr>
        <w:tc>
          <w:tcPr>
            <w:tcW w:w="1418" w:type="dxa"/>
            <w:shd w:val="clear" w:color="auto" w:fill="auto"/>
            <w:noWrap/>
          </w:tcPr>
          <w:p w14:paraId="18CA956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1843" w:type="dxa"/>
            <w:shd w:val="clear" w:color="auto" w:fill="auto"/>
            <w:noWrap/>
            <w:vAlign w:val="bottom"/>
          </w:tcPr>
          <w:p w14:paraId="2ED22FBD" w14:textId="566CD4D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425</w:t>
            </w:r>
            <w:r w:rsidR="00A11346">
              <w:rPr>
                <w:sz w:val="18"/>
              </w:rPr>
              <w:t xml:space="preserve"> </w:t>
            </w:r>
            <w:r w:rsidRPr="00DA21FF">
              <w:rPr>
                <w:sz w:val="18"/>
              </w:rPr>
              <w:t>270</w:t>
            </w:r>
          </w:p>
        </w:tc>
        <w:tc>
          <w:tcPr>
            <w:tcW w:w="1984" w:type="dxa"/>
            <w:shd w:val="clear" w:color="auto" w:fill="auto"/>
            <w:vAlign w:val="bottom"/>
          </w:tcPr>
          <w:p w14:paraId="507E3CA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1,17</w:t>
            </w:r>
          </w:p>
        </w:tc>
        <w:tc>
          <w:tcPr>
            <w:tcW w:w="1984" w:type="dxa"/>
            <w:shd w:val="clear" w:color="auto" w:fill="auto"/>
            <w:noWrap/>
            <w:vAlign w:val="bottom"/>
          </w:tcPr>
          <w:p w14:paraId="15E9A81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059037D6" w14:textId="77777777" w:rsidTr="00680417">
        <w:trPr>
          <w:trHeight w:val="240"/>
        </w:trPr>
        <w:tc>
          <w:tcPr>
            <w:tcW w:w="1418" w:type="dxa"/>
            <w:shd w:val="clear" w:color="auto" w:fill="auto"/>
            <w:noWrap/>
          </w:tcPr>
          <w:p w14:paraId="636C916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1843" w:type="dxa"/>
            <w:shd w:val="clear" w:color="auto" w:fill="auto"/>
            <w:noWrap/>
            <w:vAlign w:val="bottom"/>
          </w:tcPr>
          <w:p w14:paraId="5712AE2D" w14:textId="0BEE83F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488</w:t>
            </w:r>
            <w:r w:rsidR="00A11346">
              <w:rPr>
                <w:sz w:val="18"/>
              </w:rPr>
              <w:t xml:space="preserve"> </w:t>
            </w:r>
            <w:r w:rsidRPr="00DA21FF">
              <w:rPr>
                <w:sz w:val="18"/>
              </w:rPr>
              <w:t>984</w:t>
            </w:r>
          </w:p>
        </w:tc>
        <w:tc>
          <w:tcPr>
            <w:tcW w:w="1984" w:type="dxa"/>
            <w:shd w:val="clear" w:color="auto" w:fill="auto"/>
            <w:vAlign w:val="bottom"/>
          </w:tcPr>
          <w:p w14:paraId="02B0D01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1,12</w:t>
            </w:r>
          </w:p>
        </w:tc>
        <w:tc>
          <w:tcPr>
            <w:tcW w:w="1984" w:type="dxa"/>
            <w:shd w:val="clear" w:color="auto" w:fill="auto"/>
            <w:noWrap/>
            <w:vAlign w:val="bottom"/>
          </w:tcPr>
          <w:p w14:paraId="542AB5E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3181D072" w14:textId="77777777" w:rsidTr="00680417">
        <w:trPr>
          <w:trHeight w:val="240"/>
        </w:trPr>
        <w:tc>
          <w:tcPr>
            <w:tcW w:w="1418" w:type="dxa"/>
            <w:tcBorders>
              <w:bottom w:val="single" w:sz="12" w:space="0" w:color="auto"/>
            </w:tcBorders>
            <w:shd w:val="clear" w:color="auto" w:fill="auto"/>
            <w:noWrap/>
          </w:tcPr>
          <w:p w14:paraId="08BAAE9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2024</w:t>
            </w:r>
          </w:p>
        </w:tc>
        <w:tc>
          <w:tcPr>
            <w:tcW w:w="1843" w:type="dxa"/>
            <w:tcBorders>
              <w:bottom w:val="single" w:sz="12" w:space="0" w:color="auto"/>
            </w:tcBorders>
            <w:shd w:val="clear" w:color="auto" w:fill="auto"/>
            <w:noWrap/>
            <w:vAlign w:val="bottom"/>
          </w:tcPr>
          <w:p w14:paraId="7CC97467" w14:textId="2E75DDE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A11346">
              <w:rPr>
                <w:sz w:val="18"/>
              </w:rPr>
              <w:t xml:space="preserve"> </w:t>
            </w:r>
            <w:r w:rsidRPr="00DA21FF">
              <w:rPr>
                <w:sz w:val="18"/>
              </w:rPr>
              <w:t>550</w:t>
            </w:r>
            <w:r w:rsidR="00A11346">
              <w:rPr>
                <w:sz w:val="18"/>
              </w:rPr>
              <w:t xml:space="preserve"> </w:t>
            </w:r>
            <w:r w:rsidRPr="00DA21FF">
              <w:rPr>
                <w:sz w:val="18"/>
              </w:rPr>
              <w:t>203</w:t>
            </w:r>
          </w:p>
        </w:tc>
        <w:tc>
          <w:tcPr>
            <w:tcW w:w="1984" w:type="dxa"/>
            <w:tcBorders>
              <w:bottom w:val="single" w:sz="12" w:space="0" w:color="auto"/>
            </w:tcBorders>
            <w:shd w:val="clear" w:color="auto" w:fill="auto"/>
            <w:vAlign w:val="bottom"/>
          </w:tcPr>
          <w:p w14:paraId="57839C8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0,99</w:t>
            </w:r>
          </w:p>
        </w:tc>
        <w:tc>
          <w:tcPr>
            <w:tcW w:w="1984" w:type="dxa"/>
            <w:tcBorders>
              <w:bottom w:val="single" w:sz="12" w:space="0" w:color="auto"/>
            </w:tcBorders>
            <w:shd w:val="clear" w:color="auto" w:fill="auto"/>
            <w:noWrap/>
            <w:vAlign w:val="bottom"/>
          </w:tcPr>
          <w:p w14:paraId="6F191D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bl>
    <w:p w14:paraId="5C2671C4" w14:textId="77777777" w:rsidR="00DA21FF" w:rsidRPr="00DA21FF" w:rsidRDefault="00DA21FF" w:rsidP="00DA21FF">
      <w:pPr>
        <w:pStyle w:val="SingleTxtG"/>
        <w:rPr>
          <w:lang w:val="en-GB"/>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4"/>
        <w:gridCol w:w="3133"/>
        <w:gridCol w:w="2851"/>
      </w:tblGrid>
      <w:tr w:rsidR="00680417" w:rsidRPr="00680417" w14:paraId="507DEB58" w14:textId="77777777" w:rsidTr="00680417">
        <w:trPr>
          <w:trHeight w:val="240"/>
          <w:tblHeader/>
        </w:trPr>
        <w:tc>
          <w:tcPr>
            <w:tcW w:w="1418" w:type="dxa"/>
            <w:tcBorders>
              <w:top w:val="single" w:sz="4" w:space="0" w:color="auto"/>
              <w:bottom w:val="single" w:sz="12" w:space="0" w:color="auto"/>
            </w:tcBorders>
            <w:shd w:val="clear" w:color="auto" w:fill="auto"/>
            <w:noWrap/>
            <w:vAlign w:val="bottom"/>
          </w:tcPr>
          <w:p w14:paraId="49E74990"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r w:rsidRPr="00DA21FF">
              <w:rPr>
                <w:i/>
                <w:sz w:val="16"/>
              </w:rPr>
              <w:t xml:space="preserve"> </w:t>
            </w:r>
          </w:p>
        </w:tc>
        <w:tc>
          <w:tcPr>
            <w:tcW w:w="3117" w:type="dxa"/>
            <w:tcBorders>
              <w:top w:val="single" w:sz="4" w:space="0" w:color="auto"/>
              <w:bottom w:val="single" w:sz="12" w:space="0" w:color="auto"/>
            </w:tcBorders>
            <w:shd w:val="clear" w:color="auto" w:fill="auto"/>
            <w:noWrap/>
            <w:vAlign w:val="bottom"/>
          </w:tcPr>
          <w:p w14:paraId="48FDFF9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Población en zonas rurales</w:t>
            </w:r>
          </w:p>
        </w:tc>
        <w:tc>
          <w:tcPr>
            <w:tcW w:w="2835" w:type="dxa"/>
            <w:tcBorders>
              <w:top w:val="single" w:sz="4" w:space="0" w:color="auto"/>
              <w:bottom w:val="single" w:sz="12" w:space="0" w:color="auto"/>
            </w:tcBorders>
            <w:shd w:val="clear" w:color="auto" w:fill="auto"/>
            <w:noWrap/>
            <w:vAlign w:val="bottom"/>
          </w:tcPr>
          <w:p w14:paraId="53431B5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Población en zonas urbanas</w:t>
            </w:r>
          </w:p>
        </w:tc>
      </w:tr>
      <w:tr w:rsidR="00680417" w:rsidRPr="00DA21FF" w14:paraId="58E710B1" w14:textId="77777777" w:rsidTr="00680417">
        <w:trPr>
          <w:trHeight w:val="240"/>
        </w:trPr>
        <w:tc>
          <w:tcPr>
            <w:tcW w:w="1418" w:type="dxa"/>
            <w:tcBorders>
              <w:top w:val="single" w:sz="12" w:space="0" w:color="auto"/>
            </w:tcBorders>
            <w:shd w:val="clear" w:color="auto" w:fill="auto"/>
            <w:noWrap/>
          </w:tcPr>
          <w:p w14:paraId="09BA750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3117" w:type="dxa"/>
            <w:tcBorders>
              <w:top w:val="single" w:sz="12" w:space="0" w:color="auto"/>
            </w:tcBorders>
            <w:shd w:val="clear" w:color="auto" w:fill="auto"/>
            <w:noWrap/>
            <w:vAlign w:val="bottom"/>
          </w:tcPr>
          <w:p w14:paraId="512829CA" w14:textId="59DE177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960</w:t>
            </w:r>
            <w:r w:rsidR="002F5430">
              <w:rPr>
                <w:sz w:val="18"/>
              </w:rPr>
              <w:t xml:space="preserve"> </w:t>
            </w:r>
            <w:r w:rsidRPr="00DA21FF">
              <w:rPr>
                <w:sz w:val="18"/>
              </w:rPr>
              <w:t>461</w:t>
            </w:r>
          </w:p>
        </w:tc>
        <w:tc>
          <w:tcPr>
            <w:tcW w:w="2835" w:type="dxa"/>
            <w:tcBorders>
              <w:top w:val="single" w:sz="12" w:space="0" w:color="auto"/>
            </w:tcBorders>
            <w:shd w:val="clear" w:color="auto" w:fill="auto"/>
            <w:noWrap/>
            <w:vAlign w:val="bottom"/>
          </w:tcPr>
          <w:p w14:paraId="0CD81695" w14:textId="461A13A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283</w:t>
            </w:r>
            <w:r w:rsidR="002F5430">
              <w:rPr>
                <w:sz w:val="18"/>
              </w:rPr>
              <w:t xml:space="preserve"> </w:t>
            </w:r>
            <w:r w:rsidRPr="00DA21FF">
              <w:rPr>
                <w:sz w:val="18"/>
              </w:rPr>
              <w:t>184</w:t>
            </w:r>
          </w:p>
        </w:tc>
      </w:tr>
      <w:tr w:rsidR="00680417" w:rsidRPr="00DA21FF" w14:paraId="060DC1DB" w14:textId="77777777" w:rsidTr="00680417">
        <w:trPr>
          <w:trHeight w:val="240"/>
        </w:trPr>
        <w:tc>
          <w:tcPr>
            <w:tcW w:w="1418" w:type="dxa"/>
            <w:shd w:val="clear" w:color="auto" w:fill="auto"/>
            <w:noWrap/>
          </w:tcPr>
          <w:p w14:paraId="337849D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3117" w:type="dxa"/>
            <w:shd w:val="clear" w:color="auto" w:fill="auto"/>
            <w:noWrap/>
            <w:vAlign w:val="bottom"/>
          </w:tcPr>
          <w:p w14:paraId="28B59A65" w14:textId="05F49BD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954</w:t>
            </w:r>
            <w:r w:rsidR="002F5430">
              <w:rPr>
                <w:sz w:val="18"/>
              </w:rPr>
              <w:t xml:space="preserve"> </w:t>
            </w:r>
            <w:r w:rsidRPr="00DA21FF">
              <w:rPr>
                <w:sz w:val="18"/>
              </w:rPr>
              <w:t>612</w:t>
            </w:r>
          </w:p>
        </w:tc>
        <w:tc>
          <w:tcPr>
            <w:tcW w:w="2835" w:type="dxa"/>
            <w:shd w:val="clear" w:color="auto" w:fill="auto"/>
            <w:noWrap/>
            <w:vAlign w:val="bottom"/>
          </w:tcPr>
          <w:p w14:paraId="59F0CDA3" w14:textId="382869E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327</w:t>
            </w:r>
            <w:r w:rsidR="002F5430">
              <w:rPr>
                <w:sz w:val="18"/>
              </w:rPr>
              <w:t xml:space="preserve"> </w:t>
            </w:r>
            <w:r w:rsidRPr="00DA21FF">
              <w:rPr>
                <w:sz w:val="18"/>
              </w:rPr>
              <w:t>951</w:t>
            </w:r>
          </w:p>
        </w:tc>
      </w:tr>
      <w:tr w:rsidR="00680417" w:rsidRPr="00DA21FF" w14:paraId="11A7ECFD" w14:textId="77777777" w:rsidTr="00680417">
        <w:trPr>
          <w:trHeight w:val="240"/>
        </w:trPr>
        <w:tc>
          <w:tcPr>
            <w:tcW w:w="1418" w:type="dxa"/>
            <w:shd w:val="clear" w:color="auto" w:fill="auto"/>
            <w:noWrap/>
          </w:tcPr>
          <w:p w14:paraId="58D2A7A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3117" w:type="dxa"/>
            <w:shd w:val="clear" w:color="auto" w:fill="auto"/>
            <w:noWrap/>
            <w:vAlign w:val="bottom"/>
          </w:tcPr>
          <w:p w14:paraId="24769B3E" w14:textId="2AD2C66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949</w:t>
            </w:r>
            <w:r w:rsidR="002F5430">
              <w:rPr>
                <w:sz w:val="18"/>
              </w:rPr>
              <w:t xml:space="preserve"> </w:t>
            </w:r>
            <w:r w:rsidRPr="00DA21FF">
              <w:rPr>
                <w:sz w:val="18"/>
              </w:rPr>
              <w:t>123</w:t>
            </w:r>
          </w:p>
        </w:tc>
        <w:tc>
          <w:tcPr>
            <w:tcW w:w="2835" w:type="dxa"/>
            <w:shd w:val="clear" w:color="auto" w:fill="auto"/>
            <w:noWrap/>
            <w:vAlign w:val="bottom"/>
          </w:tcPr>
          <w:p w14:paraId="752E70BD" w14:textId="15901F8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368</w:t>
            </w:r>
            <w:r w:rsidR="002F5430">
              <w:rPr>
                <w:sz w:val="18"/>
              </w:rPr>
              <w:t xml:space="preserve"> </w:t>
            </w:r>
            <w:r w:rsidRPr="00DA21FF">
              <w:rPr>
                <w:sz w:val="18"/>
              </w:rPr>
              <w:t>614</w:t>
            </w:r>
          </w:p>
        </w:tc>
      </w:tr>
      <w:tr w:rsidR="00680417" w:rsidRPr="00DA21FF" w14:paraId="19A1F853" w14:textId="77777777" w:rsidTr="00680417">
        <w:trPr>
          <w:trHeight w:val="240"/>
        </w:trPr>
        <w:tc>
          <w:tcPr>
            <w:tcW w:w="1418" w:type="dxa"/>
            <w:shd w:val="clear" w:color="auto" w:fill="auto"/>
            <w:noWrap/>
          </w:tcPr>
          <w:p w14:paraId="723B4FC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3117" w:type="dxa"/>
            <w:shd w:val="clear" w:color="auto" w:fill="auto"/>
            <w:noWrap/>
            <w:vAlign w:val="bottom"/>
          </w:tcPr>
          <w:p w14:paraId="68710D30" w14:textId="48AE5B1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940</w:t>
            </w:r>
            <w:r w:rsidR="002F5430">
              <w:rPr>
                <w:sz w:val="18"/>
              </w:rPr>
              <w:t xml:space="preserve"> </w:t>
            </w:r>
            <w:r w:rsidRPr="00DA21FF">
              <w:rPr>
                <w:sz w:val="18"/>
              </w:rPr>
              <w:t>251</w:t>
            </w:r>
          </w:p>
        </w:tc>
        <w:tc>
          <w:tcPr>
            <w:tcW w:w="2835" w:type="dxa"/>
            <w:shd w:val="clear" w:color="auto" w:fill="auto"/>
            <w:noWrap/>
            <w:vAlign w:val="bottom"/>
          </w:tcPr>
          <w:p w14:paraId="5413E0C0" w14:textId="0B659DA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416</w:t>
            </w:r>
            <w:r w:rsidR="002F5430">
              <w:rPr>
                <w:sz w:val="18"/>
              </w:rPr>
              <w:t xml:space="preserve"> </w:t>
            </w:r>
            <w:r w:rsidRPr="00DA21FF">
              <w:rPr>
                <w:sz w:val="18"/>
              </w:rPr>
              <w:t>981</w:t>
            </w:r>
          </w:p>
        </w:tc>
      </w:tr>
      <w:tr w:rsidR="00680417" w:rsidRPr="00DA21FF" w14:paraId="1EDA1F43" w14:textId="77777777" w:rsidTr="00680417">
        <w:trPr>
          <w:trHeight w:val="240"/>
        </w:trPr>
        <w:tc>
          <w:tcPr>
            <w:tcW w:w="1418" w:type="dxa"/>
            <w:shd w:val="clear" w:color="auto" w:fill="auto"/>
            <w:noWrap/>
          </w:tcPr>
          <w:p w14:paraId="75C0421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3117" w:type="dxa"/>
            <w:shd w:val="clear" w:color="auto" w:fill="auto"/>
            <w:noWrap/>
            <w:vAlign w:val="bottom"/>
          </w:tcPr>
          <w:p w14:paraId="6BB39609" w14:textId="248E4AC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938</w:t>
            </w:r>
            <w:r w:rsidR="002F5430">
              <w:rPr>
                <w:sz w:val="18"/>
              </w:rPr>
              <w:t xml:space="preserve"> </w:t>
            </w:r>
            <w:r w:rsidRPr="00DA21FF">
              <w:rPr>
                <w:sz w:val="18"/>
              </w:rPr>
              <w:t>083</w:t>
            </w:r>
          </w:p>
        </w:tc>
        <w:tc>
          <w:tcPr>
            <w:tcW w:w="2835" w:type="dxa"/>
            <w:shd w:val="clear" w:color="auto" w:fill="auto"/>
            <w:noWrap/>
            <w:vAlign w:val="bottom"/>
          </w:tcPr>
          <w:p w14:paraId="638FCDE1" w14:textId="5FFBC5F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443</w:t>
            </w:r>
            <w:r w:rsidR="002F5430">
              <w:rPr>
                <w:sz w:val="18"/>
              </w:rPr>
              <w:t xml:space="preserve"> </w:t>
            </w:r>
            <w:r w:rsidRPr="00DA21FF">
              <w:rPr>
                <w:sz w:val="18"/>
              </w:rPr>
              <w:t>243</w:t>
            </w:r>
          </w:p>
        </w:tc>
      </w:tr>
      <w:tr w:rsidR="00680417" w:rsidRPr="00DA21FF" w14:paraId="2C80AF5F" w14:textId="77777777" w:rsidTr="00680417">
        <w:trPr>
          <w:trHeight w:val="240"/>
        </w:trPr>
        <w:tc>
          <w:tcPr>
            <w:tcW w:w="1418" w:type="dxa"/>
            <w:shd w:val="clear" w:color="auto" w:fill="auto"/>
            <w:noWrap/>
          </w:tcPr>
          <w:p w14:paraId="30EDFDB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3117" w:type="dxa"/>
            <w:shd w:val="clear" w:color="auto" w:fill="auto"/>
            <w:noWrap/>
            <w:vAlign w:val="bottom"/>
          </w:tcPr>
          <w:p w14:paraId="352C48E7" w14:textId="7FC4046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933</w:t>
            </w:r>
            <w:r w:rsidR="002F5430">
              <w:rPr>
                <w:sz w:val="18"/>
              </w:rPr>
              <w:t xml:space="preserve"> </w:t>
            </w:r>
            <w:r w:rsidRPr="00DA21FF">
              <w:rPr>
                <w:sz w:val="18"/>
              </w:rPr>
              <w:t>164</w:t>
            </w:r>
          </w:p>
        </w:tc>
        <w:tc>
          <w:tcPr>
            <w:tcW w:w="2835" w:type="dxa"/>
            <w:shd w:val="clear" w:color="auto" w:fill="auto"/>
            <w:noWrap/>
            <w:vAlign w:val="bottom"/>
          </w:tcPr>
          <w:p w14:paraId="7EF58873" w14:textId="460B938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485</w:t>
            </w:r>
            <w:r w:rsidR="002F5430">
              <w:rPr>
                <w:sz w:val="18"/>
              </w:rPr>
              <w:t xml:space="preserve"> </w:t>
            </w:r>
            <w:r w:rsidRPr="00DA21FF">
              <w:rPr>
                <w:sz w:val="18"/>
              </w:rPr>
              <w:t>236</w:t>
            </w:r>
          </w:p>
        </w:tc>
      </w:tr>
      <w:tr w:rsidR="00680417" w:rsidRPr="00DA21FF" w14:paraId="2F005BFB" w14:textId="77777777" w:rsidTr="00680417">
        <w:trPr>
          <w:trHeight w:val="240"/>
        </w:trPr>
        <w:tc>
          <w:tcPr>
            <w:tcW w:w="1418" w:type="dxa"/>
            <w:tcBorders>
              <w:bottom w:val="single" w:sz="12" w:space="0" w:color="auto"/>
            </w:tcBorders>
            <w:shd w:val="clear" w:color="auto" w:fill="auto"/>
            <w:noWrap/>
          </w:tcPr>
          <w:p w14:paraId="5FD4924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3117" w:type="dxa"/>
            <w:tcBorders>
              <w:bottom w:val="single" w:sz="12" w:space="0" w:color="auto"/>
            </w:tcBorders>
            <w:shd w:val="clear" w:color="auto" w:fill="auto"/>
            <w:noWrap/>
            <w:vAlign w:val="bottom"/>
          </w:tcPr>
          <w:p w14:paraId="78FC5B32" w14:textId="337E8B1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928</w:t>
            </w:r>
            <w:r w:rsidR="002F5430">
              <w:rPr>
                <w:sz w:val="18"/>
              </w:rPr>
              <w:t xml:space="preserve"> </w:t>
            </w:r>
            <w:r w:rsidRPr="00DA21FF">
              <w:rPr>
                <w:sz w:val="18"/>
              </w:rPr>
              <w:t>566</w:t>
            </w:r>
          </w:p>
        </w:tc>
        <w:tc>
          <w:tcPr>
            <w:tcW w:w="2835" w:type="dxa"/>
            <w:tcBorders>
              <w:bottom w:val="single" w:sz="12" w:space="0" w:color="auto"/>
            </w:tcBorders>
            <w:shd w:val="clear" w:color="auto" w:fill="auto"/>
            <w:noWrap/>
            <w:vAlign w:val="bottom"/>
          </w:tcPr>
          <w:p w14:paraId="04439038" w14:textId="0FCC2B5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2F5430">
              <w:rPr>
                <w:sz w:val="18"/>
              </w:rPr>
              <w:t xml:space="preserve"> </w:t>
            </w:r>
            <w:r w:rsidRPr="00DA21FF">
              <w:rPr>
                <w:sz w:val="18"/>
              </w:rPr>
              <w:t>554</w:t>
            </w:r>
            <w:r w:rsidR="002F5430">
              <w:rPr>
                <w:sz w:val="18"/>
              </w:rPr>
              <w:t xml:space="preserve"> </w:t>
            </w:r>
            <w:r w:rsidRPr="00DA21FF">
              <w:rPr>
                <w:sz w:val="18"/>
              </w:rPr>
              <w:t>562</w:t>
            </w:r>
          </w:p>
        </w:tc>
      </w:tr>
    </w:tbl>
    <w:p w14:paraId="3BD58965" w14:textId="77777777" w:rsidR="00DA21FF" w:rsidRPr="00DA21FF" w:rsidRDefault="00DA21FF" w:rsidP="002F5430">
      <w:pPr>
        <w:pStyle w:val="SingleTxtG"/>
        <w:spacing w:before="240"/>
        <w:rPr>
          <w:lang w:val="en-GB"/>
        </w:rPr>
      </w:pPr>
      <w:r w:rsidRPr="00DA21FF">
        <w:t>2.</w:t>
      </w:r>
      <w:r w:rsidRPr="00DA21FF">
        <w:tab/>
        <w:t xml:space="preserve">En cuanto a la </w:t>
      </w:r>
      <w:r w:rsidRPr="00373B5F">
        <w:rPr>
          <w:u w:val="single"/>
        </w:rPr>
        <w:t>tasa de dependencia</w:t>
      </w:r>
      <w:r w:rsidRPr="00DA21FF">
        <w:t>, aproximadamente el 18 % de la población era menor de 15 años, mientras que aproximadamente el 17 % era mayor de 65 años. El 49,7 % de la población eran mujeres y el 50,3 %, hombres.</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913"/>
        <w:gridCol w:w="874"/>
        <w:gridCol w:w="873"/>
        <w:gridCol w:w="873"/>
        <w:gridCol w:w="873"/>
        <w:gridCol w:w="873"/>
        <w:gridCol w:w="873"/>
        <w:gridCol w:w="873"/>
        <w:gridCol w:w="873"/>
        <w:gridCol w:w="873"/>
        <w:gridCol w:w="867"/>
      </w:tblGrid>
      <w:tr w:rsidR="00680417" w:rsidRPr="00680417" w14:paraId="54DDBBA4" w14:textId="77777777" w:rsidTr="004D3D05">
        <w:trPr>
          <w:trHeight w:val="240"/>
          <w:tblHeader/>
        </w:trPr>
        <w:tc>
          <w:tcPr>
            <w:tcW w:w="473" w:type="pct"/>
            <w:vMerge w:val="restart"/>
            <w:tcBorders>
              <w:top w:val="single" w:sz="4" w:space="0" w:color="auto"/>
              <w:bottom w:val="single" w:sz="12" w:space="0" w:color="auto"/>
            </w:tcBorders>
            <w:shd w:val="clear" w:color="auto" w:fill="auto"/>
            <w:vAlign w:val="bottom"/>
            <w:hideMark/>
          </w:tcPr>
          <w:p w14:paraId="0A04C009"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sz w:val="16"/>
                <w:lang w:val="en-GB"/>
              </w:rPr>
              <w:t> </w:t>
            </w:r>
          </w:p>
        </w:tc>
        <w:tc>
          <w:tcPr>
            <w:tcW w:w="905" w:type="pct"/>
            <w:gridSpan w:val="2"/>
            <w:tcBorders>
              <w:top w:val="single" w:sz="4" w:space="0" w:color="auto"/>
              <w:bottom w:val="single" w:sz="4" w:space="0" w:color="auto"/>
              <w:right w:val="single" w:sz="18" w:space="0" w:color="FFFFFF" w:themeColor="background1"/>
            </w:tcBorders>
            <w:shd w:val="clear" w:color="auto" w:fill="auto"/>
            <w:vAlign w:val="bottom"/>
            <w:hideMark/>
          </w:tcPr>
          <w:p w14:paraId="7347D2A9"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2020</w:t>
            </w:r>
          </w:p>
        </w:tc>
        <w:tc>
          <w:tcPr>
            <w:tcW w:w="9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2569A2D8"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2021</w:t>
            </w:r>
          </w:p>
        </w:tc>
        <w:tc>
          <w:tcPr>
            <w:tcW w:w="9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6098FF46"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2022</w:t>
            </w:r>
          </w:p>
        </w:tc>
        <w:tc>
          <w:tcPr>
            <w:tcW w:w="90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68861338"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2023</w:t>
            </w:r>
          </w:p>
        </w:tc>
        <w:tc>
          <w:tcPr>
            <w:tcW w:w="905" w:type="pct"/>
            <w:gridSpan w:val="2"/>
            <w:tcBorders>
              <w:top w:val="single" w:sz="4" w:space="0" w:color="auto"/>
              <w:left w:val="single" w:sz="18" w:space="0" w:color="FFFFFF" w:themeColor="background1"/>
              <w:bottom w:val="single" w:sz="4" w:space="0" w:color="auto"/>
            </w:tcBorders>
            <w:shd w:val="clear" w:color="auto" w:fill="auto"/>
            <w:vAlign w:val="bottom"/>
            <w:hideMark/>
          </w:tcPr>
          <w:p w14:paraId="7A9C2FAB"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2024</w:t>
            </w:r>
          </w:p>
        </w:tc>
      </w:tr>
      <w:tr w:rsidR="00680417" w:rsidRPr="00680417" w14:paraId="7A01D033" w14:textId="77777777" w:rsidTr="004D3D05">
        <w:trPr>
          <w:trHeight w:val="240"/>
          <w:tblHeader/>
        </w:trPr>
        <w:tc>
          <w:tcPr>
            <w:tcW w:w="473" w:type="pct"/>
            <w:vMerge/>
            <w:tcBorders>
              <w:top w:val="single" w:sz="12" w:space="0" w:color="auto"/>
              <w:bottom w:val="single" w:sz="12" w:space="0" w:color="auto"/>
            </w:tcBorders>
            <w:shd w:val="clear" w:color="auto" w:fill="auto"/>
            <w:vAlign w:val="bottom"/>
            <w:hideMark/>
          </w:tcPr>
          <w:p w14:paraId="59745A9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nb-NO"/>
              </w:rPr>
            </w:pPr>
          </w:p>
        </w:tc>
        <w:tc>
          <w:tcPr>
            <w:tcW w:w="453" w:type="pct"/>
            <w:tcBorders>
              <w:top w:val="single" w:sz="4" w:space="0" w:color="auto"/>
              <w:bottom w:val="single" w:sz="12" w:space="0" w:color="auto"/>
            </w:tcBorders>
            <w:shd w:val="clear" w:color="auto" w:fill="auto"/>
            <w:vAlign w:val="bottom"/>
            <w:hideMark/>
          </w:tcPr>
          <w:p w14:paraId="5FC549A5"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Hombres </w:t>
            </w:r>
          </w:p>
        </w:tc>
        <w:tc>
          <w:tcPr>
            <w:tcW w:w="453" w:type="pct"/>
            <w:tcBorders>
              <w:top w:val="single" w:sz="4" w:space="0" w:color="auto"/>
              <w:bottom w:val="single" w:sz="12" w:space="0" w:color="auto"/>
              <w:right w:val="single" w:sz="18" w:space="0" w:color="FFFFFF" w:themeColor="background1"/>
            </w:tcBorders>
            <w:shd w:val="clear" w:color="auto" w:fill="auto"/>
            <w:vAlign w:val="bottom"/>
            <w:hideMark/>
          </w:tcPr>
          <w:p w14:paraId="2EA72E83"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Mujeres </w:t>
            </w:r>
          </w:p>
        </w:tc>
        <w:tc>
          <w:tcPr>
            <w:tcW w:w="453" w:type="pct"/>
            <w:tcBorders>
              <w:top w:val="single" w:sz="4" w:space="0" w:color="auto"/>
              <w:left w:val="single" w:sz="18" w:space="0" w:color="FFFFFF" w:themeColor="background1"/>
              <w:bottom w:val="single" w:sz="12" w:space="0" w:color="auto"/>
            </w:tcBorders>
            <w:shd w:val="clear" w:color="auto" w:fill="auto"/>
            <w:vAlign w:val="bottom"/>
            <w:hideMark/>
          </w:tcPr>
          <w:p w14:paraId="5EB01CD2"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Hombres </w:t>
            </w:r>
          </w:p>
        </w:tc>
        <w:tc>
          <w:tcPr>
            <w:tcW w:w="453" w:type="pct"/>
            <w:tcBorders>
              <w:top w:val="single" w:sz="4" w:space="0" w:color="auto"/>
              <w:bottom w:val="single" w:sz="12" w:space="0" w:color="auto"/>
              <w:right w:val="single" w:sz="18" w:space="0" w:color="FFFFFF" w:themeColor="background1"/>
            </w:tcBorders>
            <w:shd w:val="clear" w:color="auto" w:fill="auto"/>
            <w:vAlign w:val="bottom"/>
            <w:hideMark/>
          </w:tcPr>
          <w:p w14:paraId="254E9E33"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Mujeres </w:t>
            </w:r>
          </w:p>
        </w:tc>
        <w:tc>
          <w:tcPr>
            <w:tcW w:w="453" w:type="pct"/>
            <w:tcBorders>
              <w:top w:val="single" w:sz="4" w:space="0" w:color="auto"/>
              <w:left w:val="single" w:sz="18" w:space="0" w:color="FFFFFF" w:themeColor="background1"/>
              <w:bottom w:val="single" w:sz="12" w:space="0" w:color="auto"/>
            </w:tcBorders>
            <w:shd w:val="clear" w:color="auto" w:fill="auto"/>
            <w:vAlign w:val="bottom"/>
            <w:hideMark/>
          </w:tcPr>
          <w:p w14:paraId="5417D24F"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Hombres </w:t>
            </w:r>
          </w:p>
        </w:tc>
        <w:tc>
          <w:tcPr>
            <w:tcW w:w="453" w:type="pct"/>
            <w:tcBorders>
              <w:top w:val="single" w:sz="4" w:space="0" w:color="auto"/>
              <w:bottom w:val="single" w:sz="12" w:space="0" w:color="auto"/>
              <w:right w:val="single" w:sz="18" w:space="0" w:color="FFFFFF" w:themeColor="background1"/>
            </w:tcBorders>
            <w:shd w:val="clear" w:color="auto" w:fill="auto"/>
            <w:vAlign w:val="bottom"/>
            <w:hideMark/>
          </w:tcPr>
          <w:p w14:paraId="30EBFAFD"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Mujeres </w:t>
            </w:r>
          </w:p>
        </w:tc>
        <w:tc>
          <w:tcPr>
            <w:tcW w:w="453" w:type="pct"/>
            <w:tcBorders>
              <w:top w:val="single" w:sz="4" w:space="0" w:color="auto"/>
              <w:left w:val="single" w:sz="18" w:space="0" w:color="FFFFFF" w:themeColor="background1"/>
              <w:bottom w:val="single" w:sz="12" w:space="0" w:color="auto"/>
            </w:tcBorders>
            <w:shd w:val="clear" w:color="auto" w:fill="auto"/>
            <w:vAlign w:val="bottom"/>
            <w:hideMark/>
          </w:tcPr>
          <w:p w14:paraId="68089107"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Hombres </w:t>
            </w:r>
          </w:p>
        </w:tc>
        <w:tc>
          <w:tcPr>
            <w:tcW w:w="453" w:type="pct"/>
            <w:tcBorders>
              <w:top w:val="single" w:sz="4" w:space="0" w:color="auto"/>
              <w:bottom w:val="single" w:sz="12" w:space="0" w:color="auto"/>
              <w:right w:val="single" w:sz="18" w:space="0" w:color="FFFFFF" w:themeColor="background1"/>
            </w:tcBorders>
            <w:shd w:val="clear" w:color="auto" w:fill="auto"/>
            <w:vAlign w:val="bottom"/>
            <w:hideMark/>
          </w:tcPr>
          <w:p w14:paraId="2BB0A092"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Mujeres </w:t>
            </w:r>
          </w:p>
        </w:tc>
        <w:tc>
          <w:tcPr>
            <w:tcW w:w="453" w:type="pct"/>
            <w:tcBorders>
              <w:top w:val="single" w:sz="4" w:space="0" w:color="auto"/>
              <w:left w:val="single" w:sz="18" w:space="0" w:color="FFFFFF" w:themeColor="background1"/>
              <w:bottom w:val="single" w:sz="12" w:space="0" w:color="auto"/>
            </w:tcBorders>
            <w:shd w:val="clear" w:color="auto" w:fill="auto"/>
            <w:vAlign w:val="bottom"/>
            <w:hideMark/>
          </w:tcPr>
          <w:p w14:paraId="320CD183"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Hombres </w:t>
            </w:r>
          </w:p>
        </w:tc>
        <w:tc>
          <w:tcPr>
            <w:tcW w:w="453" w:type="pct"/>
            <w:tcBorders>
              <w:top w:val="single" w:sz="4" w:space="0" w:color="auto"/>
              <w:bottom w:val="single" w:sz="12" w:space="0" w:color="auto"/>
            </w:tcBorders>
            <w:shd w:val="clear" w:color="auto" w:fill="auto"/>
            <w:vAlign w:val="bottom"/>
            <w:hideMark/>
          </w:tcPr>
          <w:p w14:paraId="30CE6B94" w14:textId="77777777" w:rsidR="00DA21FF" w:rsidRPr="00DA21FF" w:rsidRDefault="00DA21FF" w:rsidP="002F5430">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 xml:space="preserve">Mujeres </w:t>
            </w:r>
          </w:p>
        </w:tc>
      </w:tr>
      <w:tr w:rsidR="00680417" w:rsidRPr="00BC4122" w14:paraId="4316DB5B" w14:textId="77777777" w:rsidTr="00BC4122">
        <w:trPr>
          <w:trHeight w:val="240"/>
        </w:trPr>
        <w:tc>
          <w:tcPr>
            <w:tcW w:w="473" w:type="pct"/>
            <w:tcBorders>
              <w:top w:val="single" w:sz="12" w:space="0" w:color="auto"/>
              <w:bottom w:val="single" w:sz="4" w:space="0" w:color="auto"/>
            </w:tcBorders>
            <w:shd w:val="clear" w:color="auto" w:fill="auto"/>
            <w:hideMark/>
          </w:tcPr>
          <w:p w14:paraId="329D20A6" w14:textId="77777777" w:rsidR="00DA21FF" w:rsidRPr="00BC4122" w:rsidRDefault="00DA21FF" w:rsidP="00BC4122">
            <w:pPr>
              <w:pStyle w:val="SingleTxtG"/>
              <w:tabs>
                <w:tab w:val="clear" w:pos="1701"/>
                <w:tab w:val="clear" w:pos="2268"/>
                <w:tab w:val="clear" w:pos="2835"/>
              </w:tabs>
              <w:spacing w:before="80" w:after="80" w:line="220" w:lineRule="exact"/>
              <w:ind w:left="284" w:right="0"/>
              <w:jc w:val="left"/>
              <w:rPr>
                <w:b/>
                <w:sz w:val="18"/>
                <w:lang w:val="en-GB"/>
              </w:rPr>
            </w:pPr>
            <w:r w:rsidRPr="00BC4122">
              <w:rPr>
                <w:b/>
                <w:sz w:val="18"/>
              </w:rPr>
              <w:t xml:space="preserve">Total </w:t>
            </w:r>
          </w:p>
        </w:tc>
        <w:tc>
          <w:tcPr>
            <w:tcW w:w="453" w:type="pct"/>
            <w:tcBorders>
              <w:top w:val="single" w:sz="12" w:space="0" w:color="auto"/>
              <w:bottom w:val="single" w:sz="4" w:space="0" w:color="auto"/>
            </w:tcBorders>
            <w:shd w:val="clear" w:color="auto" w:fill="auto"/>
            <w:vAlign w:val="bottom"/>
            <w:hideMark/>
          </w:tcPr>
          <w:p w14:paraId="50FA5E57" w14:textId="6C28914B"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706</w:t>
            </w:r>
            <w:r w:rsidR="002F5430" w:rsidRPr="00BC4122">
              <w:rPr>
                <w:b/>
                <w:sz w:val="18"/>
              </w:rPr>
              <w:t xml:space="preserve"> </w:t>
            </w:r>
            <w:r w:rsidRPr="00BC4122">
              <w:rPr>
                <w:b/>
                <w:sz w:val="18"/>
              </w:rPr>
              <w:t xml:space="preserve">562 </w:t>
            </w:r>
          </w:p>
        </w:tc>
        <w:tc>
          <w:tcPr>
            <w:tcW w:w="453" w:type="pct"/>
            <w:tcBorders>
              <w:top w:val="single" w:sz="12" w:space="0" w:color="auto"/>
              <w:bottom w:val="single" w:sz="4" w:space="0" w:color="auto"/>
            </w:tcBorders>
            <w:shd w:val="clear" w:color="auto" w:fill="auto"/>
            <w:vAlign w:val="bottom"/>
            <w:hideMark/>
          </w:tcPr>
          <w:p w14:paraId="300207DF" w14:textId="4610FE83"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661</w:t>
            </w:r>
            <w:r w:rsidR="002F5430" w:rsidRPr="00BC4122">
              <w:rPr>
                <w:b/>
                <w:sz w:val="18"/>
              </w:rPr>
              <w:t xml:space="preserve"> </w:t>
            </w:r>
            <w:r w:rsidRPr="00BC4122">
              <w:rPr>
                <w:b/>
                <w:sz w:val="18"/>
              </w:rPr>
              <w:t xml:space="preserve">018 </w:t>
            </w:r>
          </w:p>
        </w:tc>
        <w:tc>
          <w:tcPr>
            <w:tcW w:w="453" w:type="pct"/>
            <w:tcBorders>
              <w:top w:val="single" w:sz="12" w:space="0" w:color="auto"/>
              <w:bottom w:val="single" w:sz="4" w:space="0" w:color="auto"/>
            </w:tcBorders>
            <w:shd w:val="clear" w:color="auto" w:fill="auto"/>
            <w:vAlign w:val="bottom"/>
            <w:hideMark/>
          </w:tcPr>
          <w:p w14:paraId="58F4CECD" w14:textId="3B4BB047"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719</w:t>
            </w:r>
            <w:r w:rsidR="002F5430" w:rsidRPr="00BC4122">
              <w:rPr>
                <w:b/>
                <w:sz w:val="18"/>
              </w:rPr>
              <w:t xml:space="preserve"> </w:t>
            </w:r>
            <w:r w:rsidRPr="00BC4122">
              <w:rPr>
                <w:b/>
                <w:sz w:val="18"/>
              </w:rPr>
              <w:t xml:space="preserve">259 </w:t>
            </w:r>
          </w:p>
        </w:tc>
        <w:tc>
          <w:tcPr>
            <w:tcW w:w="453" w:type="pct"/>
            <w:tcBorders>
              <w:top w:val="single" w:sz="12" w:space="0" w:color="auto"/>
              <w:bottom w:val="single" w:sz="4" w:space="0" w:color="auto"/>
            </w:tcBorders>
            <w:shd w:val="clear" w:color="auto" w:fill="auto"/>
            <w:vAlign w:val="bottom"/>
            <w:hideMark/>
          </w:tcPr>
          <w:p w14:paraId="42AE71AE" w14:textId="4B482880"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672</w:t>
            </w:r>
            <w:r w:rsidR="002F5430" w:rsidRPr="00BC4122">
              <w:rPr>
                <w:b/>
                <w:sz w:val="18"/>
              </w:rPr>
              <w:t xml:space="preserve"> </w:t>
            </w:r>
            <w:r w:rsidRPr="00BC4122">
              <w:rPr>
                <w:b/>
                <w:sz w:val="18"/>
              </w:rPr>
              <w:t xml:space="preserve">110 </w:t>
            </w:r>
          </w:p>
        </w:tc>
        <w:tc>
          <w:tcPr>
            <w:tcW w:w="453" w:type="pct"/>
            <w:tcBorders>
              <w:top w:val="single" w:sz="12" w:space="0" w:color="auto"/>
              <w:bottom w:val="single" w:sz="4" w:space="0" w:color="auto"/>
            </w:tcBorders>
            <w:shd w:val="clear" w:color="auto" w:fill="auto"/>
            <w:vAlign w:val="bottom"/>
            <w:hideMark/>
          </w:tcPr>
          <w:p w14:paraId="394BE692" w14:textId="32349264"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737</w:t>
            </w:r>
            <w:r w:rsidR="002F5430" w:rsidRPr="00BC4122">
              <w:rPr>
                <w:b/>
                <w:sz w:val="18"/>
              </w:rPr>
              <w:t xml:space="preserve"> </w:t>
            </w:r>
            <w:r w:rsidRPr="00BC4122">
              <w:rPr>
                <w:b/>
                <w:sz w:val="18"/>
              </w:rPr>
              <w:t xml:space="preserve">332 </w:t>
            </w:r>
          </w:p>
        </w:tc>
        <w:tc>
          <w:tcPr>
            <w:tcW w:w="453" w:type="pct"/>
            <w:tcBorders>
              <w:top w:val="single" w:sz="12" w:space="0" w:color="auto"/>
              <w:bottom w:val="single" w:sz="4" w:space="0" w:color="auto"/>
            </w:tcBorders>
            <w:shd w:val="clear" w:color="auto" w:fill="auto"/>
            <w:vAlign w:val="bottom"/>
            <w:hideMark/>
          </w:tcPr>
          <w:p w14:paraId="2FD93805" w14:textId="50FDA9D7"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687</w:t>
            </w:r>
            <w:r w:rsidR="002F5430" w:rsidRPr="00BC4122">
              <w:rPr>
                <w:b/>
                <w:sz w:val="18"/>
              </w:rPr>
              <w:t xml:space="preserve"> </w:t>
            </w:r>
            <w:r w:rsidRPr="00BC4122">
              <w:rPr>
                <w:b/>
                <w:sz w:val="18"/>
              </w:rPr>
              <w:t xml:space="preserve">938 </w:t>
            </w:r>
          </w:p>
        </w:tc>
        <w:tc>
          <w:tcPr>
            <w:tcW w:w="453" w:type="pct"/>
            <w:tcBorders>
              <w:top w:val="single" w:sz="12" w:space="0" w:color="auto"/>
              <w:bottom w:val="single" w:sz="4" w:space="0" w:color="auto"/>
            </w:tcBorders>
            <w:shd w:val="clear" w:color="auto" w:fill="auto"/>
            <w:vAlign w:val="bottom"/>
            <w:hideMark/>
          </w:tcPr>
          <w:p w14:paraId="3B46EE82" w14:textId="165D9F29"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765</w:t>
            </w:r>
            <w:r w:rsidR="002F5430" w:rsidRPr="00BC4122">
              <w:rPr>
                <w:b/>
                <w:sz w:val="18"/>
              </w:rPr>
              <w:t xml:space="preserve"> </w:t>
            </w:r>
            <w:r w:rsidRPr="00BC4122">
              <w:rPr>
                <w:b/>
                <w:sz w:val="18"/>
              </w:rPr>
              <w:t xml:space="preserve">470 </w:t>
            </w:r>
          </w:p>
        </w:tc>
        <w:tc>
          <w:tcPr>
            <w:tcW w:w="453" w:type="pct"/>
            <w:tcBorders>
              <w:top w:val="single" w:sz="12" w:space="0" w:color="auto"/>
              <w:bottom w:val="single" w:sz="4" w:space="0" w:color="auto"/>
            </w:tcBorders>
            <w:shd w:val="clear" w:color="auto" w:fill="auto"/>
            <w:vAlign w:val="bottom"/>
            <w:hideMark/>
          </w:tcPr>
          <w:p w14:paraId="2B38D123" w14:textId="4560ADE0"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723</w:t>
            </w:r>
            <w:r w:rsidR="002F5430" w:rsidRPr="00BC4122">
              <w:rPr>
                <w:b/>
                <w:sz w:val="18"/>
              </w:rPr>
              <w:t xml:space="preserve"> </w:t>
            </w:r>
            <w:r w:rsidRPr="00BC4122">
              <w:rPr>
                <w:b/>
                <w:sz w:val="18"/>
              </w:rPr>
              <w:t xml:space="preserve">514 </w:t>
            </w:r>
          </w:p>
        </w:tc>
        <w:tc>
          <w:tcPr>
            <w:tcW w:w="453" w:type="pct"/>
            <w:tcBorders>
              <w:top w:val="single" w:sz="12" w:space="0" w:color="auto"/>
              <w:bottom w:val="single" w:sz="4" w:space="0" w:color="auto"/>
            </w:tcBorders>
            <w:shd w:val="clear" w:color="auto" w:fill="auto"/>
            <w:vAlign w:val="bottom"/>
            <w:hideMark/>
          </w:tcPr>
          <w:p w14:paraId="3DBBF25F" w14:textId="308447DD"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795</w:t>
            </w:r>
            <w:r w:rsidR="002F5430" w:rsidRPr="00BC4122">
              <w:rPr>
                <w:b/>
                <w:sz w:val="18"/>
              </w:rPr>
              <w:t xml:space="preserve"> </w:t>
            </w:r>
            <w:r w:rsidRPr="00BC4122">
              <w:rPr>
                <w:b/>
                <w:sz w:val="18"/>
              </w:rPr>
              <w:t xml:space="preserve">718 </w:t>
            </w:r>
          </w:p>
        </w:tc>
        <w:tc>
          <w:tcPr>
            <w:tcW w:w="453" w:type="pct"/>
            <w:tcBorders>
              <w:top w:val="single" w:sz="12" w:space="0" w:color="auto"/>
              <w:bottom w:val="single" w:sz="4" w:space="0" w:color="auto"/>
            </w:tcBorders>
            <w:shd w:val="clear" w:color="auto" w:fill="auto"/>
            <w:vAlign w:val="bottom"/>
            <w:hideMark/>
          </w:tcPr>
          <w:p w14:paraId="6E4E0B5D" w14:textId="7EDB0B39"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2</w:t>
            </w:r>
            <w:r w:rsidR="002F5430" w:rsidRPr="00BC4122">
              <w:rPr>
                <w:b/>
                <w:sz w:val="18"/>
              </w:rPr>
              <w:t xml:space="preserve"> </w:t>
            </w:r>
            <w:r w:rsidRPr="00BC4122">
              <w:rPr>
                <w:b/>
                <w:sz w:val="18"/>
              </w:rPr>
              <w:t>754</w:t>
            </w:r>
            <w:r w:rsidR="002F5430" w:rsidRPr="00BC4122">
              <w:rPr>
                <w:b/>
                <w:sz w:val="18"/>
              </w:rPr>
              <w:t xml:space="preserve"> </w:t>
            </w:r>
            <w:r w:rsidRPr="00BC4122">
              <w:rPr>
                <w:b/>
                <w:sz w:val="18"/>
              </w:rPr>
              <w:t xml:space="preserve">485 </w:t>
            </w:r>
          </w:p>
        </w:tc>
      </w:tr>
      <w:tr w:rsidR="00680417" w:rsidRPr="00680417" w14:paraId="46A020BB" w14:textId="77777777" w:rsidTr="00BC4122">
        <w:trPr>
          <w:trHeight w:val="240"/>
        </w:trPr>
        <w:tc>
          <w:tcPr>
            <w:tcW w:w="473" w:type="pct"/>
            <w:tcBorders>
              <w:top w:val="single" w:sz="4" w:space="0" w:color="auto"/>
            </w:tcBorders>
            <w:shd w:val="clear" w:color="auto" w:fill="auto"/>
            <w:hideMark/>
          </w:tcPr>
          <w:p w14:paraId="5EEA138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&lt;15 </w:t>
            </w:r>
          </w:p>
        </w:tc>
        <w:tc>
          <w:tcPr>
            <w:tcW w:w="453" w:type="pct"/>
            <w:tcBorders>
              <w:top w:val="single" w:sz="4" w:space="0" w:color="auto"/>
            </w:tcBorders>
            <w:shd w:val="clear" w:color="auto" w:fill="auto"/>
            <w:vAlign w:val="bottom"/>
            <w:hideMark/>
          </w:tcPr>
          <w:p w14:paraId="54FC7B0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17,6</w:t>
            </w:r>
          </w:p>
        </w:tc>
        <w:tc>
          <w:tcPr>
            <w:tcW w:w="453" w:type="pct"/>
            <w:tcBorders>
              <w:top w:val="single" w:sz="4" w:space="0" w:color="auto"/>
            </w:tcBorders>
            <w:shd w:val="clear" w:color="auto" w:fill="auto"/>
            <w:vAlign w:val="bottom"/>
            <w:hideMark/>
          </w:tcPr>
          <w:p w14:paraId="7508E3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17,0</w:t>
            </w:r>
          </w:p>
        </w:tc>
        <w:tc>
          <w:tcPr>
            <w:tcW w:w="453" w:type="pct"/>
            <w:tcBorders>
              <w:top w:val="single" w:sz="4" w:space="0" w:color="auto"/>
            </w:tcBorders>
            <w:shd w:val="clear" w:color="auto" w:fill="auto"/>
            <w:vAlign w:val="bottom"/>
            <w:hideMark/>
          </w:tcPr>
          <w:p w14:paraId="71051BC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17,4</w:t>
            </w:r>
          </w:p>
        </w:tc>
        <w:tc>
          <w:tcPr>
            <w:tcW w:w="453" w:type="pct"/>
            <w:tcBorders>
              <w:top w:val="single" w:sz="4" w:space="0" w:color="auto"/>
            </w:tcBorders>
            <w:shd w:val="clear" w:color="auto" w:fill="auto"/>
            <w:vAlign w:val="bottom"/>
            <w:hideMark/>
          </w:tcPr>
          <w:p w14:paraId="6C075F4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16,8</w:t>
            </w:r>
          </w:p>
        </w:tc>
        <w:tc>
          <w:tcPr>
            <w:tcW w:w="453" w:type="pct"/>
            <w:tcBorders>
              <w:top w:val="single" w:sz="4" w:space="0" w:color="auto"/>
            </w:tcBorders>
            <w:shd w:val="clear" w:color="auto" w:fill="auto"/>
            <w:vAlign w:val="bottom"/>
            <w:hideMark/>
          </w:tcPr>
          <w:p w14:paraId="71DE493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17,2</w:t>
            </w:r>
          </w:p>
        </w:tc>
        <w:tc>
          <w:tcPr>
            <w:tcW w:w="453" w:type="pct"/>
            <w:tcBorders>
              <w:top w:val="single" w:sz="4" w:space="0" w:color="auto"/>
            </w:tcBorders>
            <w:shd w:val="clear" w:color="auto" w:fill="auto"/>
            <w:vAlign w:val="bottom"/>
            <w:hideMark/>
          </w:tcPr>
          <w:p w14:paraId="77AB552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16,6</w:t>
            </w:r>
          </w:p>
        </w:tc>
        <w:tc>
          <w:tcPr>
            <w:tcW w:w="453" w:type="pct"/>
            <w:tcBorders>
              <w:top w:val="single" w:sz="4" w:space="0" w:color="auto"/>
            </w:tcBorders>
            <w:shd w:val="clear" w:color="auto" w:fill="auto"/>
            <w:vAlign w:val="bottom"/>
            <w:hideMark/>
          </w:tcPr>
          <w:p w14:paraId="02EFF1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17,0</w:t>
            </w:r>
          </w:p>
        </w:tc>
        <w:tc>
          <w:tcPr>
            <w:tcW w:w="453" w:type="pct"/>
            <w:tcBorders>
              <w:top w:val="single" w:sz="4" w:space="0" w:color="auto"/>
            </w:tcBorders>
            <w:shd w:val="clear" w:color="auto" w:fill="auto"/>
            <w:vAlign w:val="bottom"/>
            <w:hideMark/>
          </w:tcPr>
          <w:p w14:paraId="4A17283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16,4</w:t>
            </w:r>
          </w:p>
        </w:tc>
        <w:tc>
          <w:tcPr>
            <w:tcW w:w="453" w:type="pct"/>
            <w:tcBorders>
              <w:top w:val="single" w:sz="4" w:space="0" w:color="auto"/>
            </w:tcBorders>
            <w:shd w:val="clear" w:color="auto" w:fill="auto"/>
            <w:vAlign w:val="bottom"/>
            <w:hideMark/>
          </w:tcPr>
          <w:p w14:paraId="756F239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16,7</w:t>
            </w:r>
          </w:p>
        </w:tc>
        <w:tc>
          <w:tcPr>
            <w:tcW w:w="453" w:type="pct"/>
            <w:tcBorders>
              <w:top w:val="single" w:sz="4" w:space="0" w:color="auto"/>
            </w:tcBorders>
            <w:shd w:val="clear" w:color="auto" w:fill="auto"/>
            <w:vAlign w:val="bottom"/>
            <w:hideMark/>
          </w:tcPr>
          <w:p w14:paraId="43B6607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16,1</w:t>
            </w:r>
          </w:p>
        </w:tc>
      </w:tr>
      <w:tr w:rsidR="00680417" w:rsidRPr="00680417" w14:paraId="5FE70776" w14:textId="77777777" w:rsidTr="002F5430">
        <w:trPr>
          <w:trHeight w:val="240"/>
        </w:trPr>
        <w:tc>
          <w:tcPr>
            <w:tcW w:w="473" w:type="pct"/>
            <w:tcBorders>
              <w:bottom w:val="single" w:sz="12" w:space="0" w:color="auto"/>
            </w:tcBorders>
            <w:shd w:val="clear" w:color="auto" w:fill="auto"/>
            <w:hideMark/>
          </w:tcPr>
          <w:p w14:paraId="08147BCE" w14:textId="2EDF4F61"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65&lt; (</w:t>
            </w:r>
            <w:r w:rsidR="00BC4122">
              <w:rPr>
                <w:sz w:val="18"/>
              </w:rPr>
              <w:t>%</w:t>
            </w:r>
            <w:r w:rsidRPr="00DA21FF">
              <w:rPr>
                <w:sz w:val="18"/>
              </w:rPr>
              <w:t xml:space="preserve">) </w:t>
            </w:r>
          </w:p>
        </w:tc>
        <w:tc>
          <w:tcPr>
            <w:tcW w:w="453" w:type="pct"/>
            <w:tcBorders>
              <w:bottom w:val="single" w:sz="12" w:space="0" w:color="auto"/>
            </w:tcBorders>
            <w:shd w:val="clear" w:color="auto" w:fill="auto"/>
            <w:vAlign w:val="bottom"/>
            <w:hideMark/>
          </w:tcPr>
          <w:p w14:paraId="14DE477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15,1</w:t>
            </w:r>
          </w:p>
        </w:tc>
        <w:tc>
          <w:tcPr>
            <w:tcW w:w="453" w:type="pct"/>
            <w:tcBorders>
              <w:bottom w:val="single" w:sz="12" w:space="0" w:color="auto"/>
            </w:tcBorders>
            <w:shd w:val="clear" w:color="auto" w:fill="auto"/>
            <w:vAlign w:val="bottom"/>
            <w:hideMark/>
          </w:tcPr>
          <w:p w14:paraId="2E68212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17,8</w:t>
            </w:r>
          </w:p>
        </w:tc>
        <w:tc>
          <w:tcPr>
            <w:tcW w:w="453" w:type="pct"/>
            <w:tcBorders>
              <w:bottom w:val="single" w:sz="12" w:space="0" w:color="auto"/>
            </w:tcBorders>
            <w:shd w:val="clear" w:color="auto" w:fill="auto"/>
            <w:vAlign w:val="bottom"/>
            <w:hideMark/>
          </w:tcPr>
          <w:p w14:paraId="6BCBCFB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15,5</w:t>
            </w:r>
          </w:p>
        </w:tc>
        <w:tc>
          <w:tcPr>
            <w:tcW w:w="453" w:type="pct"/>
            <w:tcBorders>
              <w:bottom w:val="single" w:sz="12" w:space="0" w:color="auto"/>
            </w:tcBorders>
            <w:shd w:val="clear" w:color="auto" w:fill="auto"/>
            <w:vAlign w:val="bottom"/>
            <w:hideMark/>
          </w:tcPr>
          <w:p w14:paraId="04ECB2C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18,2</w:t>
            </w:r>
          </w:p>
        </w:tc>
        <w:tc>
          <w:tcPr>
            <w:tcW w:w="453" w:type="pct"/>
            <w:tcBorders>
              <w:bottom w:val="single" w:sz="12" w:space="0" w:color="auto"/>
            </w:tcBorders>
            <w:shd w:val="clear" w:color="auto" w:fill="auto"/>
            <w:vAlign w:val="bottom"/>
            <w:hideMark/>
          </w:tcPr>
          <w:p w14:paraId="0793CD6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15,8</w:t>
            </w:r>
          </w:p>
        </w:tc>
        <w:tc>
          <w:tcPr>
            <w:tcW w:w="453" w:type="pct"/>
            <w:tcBorders>
              <w:bottom w:val="single" w:sz="12" w:space="0" w:color="auto"/>
            </w:tcBorders>
            <w:shd w:val="clear" w:color="auto" w:fill="auto"/>
            <w:vAlign w:val="bottom"/>
            <w:hideMark/>
          </w:tcPr>
          <w:p w14:paraId="4C3C5A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18,4</w:t>
            </w:r>
          </w:p>
        </w:tc>
        <w:tc>
          <w:tcPr>
            <w:tcW w:w="453" w:type="pct"/>
            <w:tcBorders>
              <w:bottom w:val="single" w:sz="12" w:space="0" w:color="auto"/>
            </w:tcBorders>
            <w:shd w:val="clear" w:color="auto" w:fill="auto"/>
            <w:vAlign w:val="bottom"/>
            <w:hideMark/>
          </w:tcPr>
          <w:p w14:paraId="425AC98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16,1</w:t>
            </w:r>
          </w:p>
        </w:tc>
        <w:tc>
          <w:tcPr>
            <w:tcW w:w="453" w:type="pct"/>
            <w:tcBorders>
              <w:bottom w:val="single" w:sz="12" w:space="0" w:color="auto"/>
            </w:tcBorders>
            <w:shd w:val="clear" w:color="auto" w:fill="auto"/>
            <w:vAlign w:val="bottom"/>
            <w:hideMark/>
          </w:tcPr>
          <w:p w14:paraId="2FF13D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18,6</w:t>
            </w:r>
          </w:p>
        </w:tc>
        <w:tc>
          <w:tcPr>
            <w:tcW w:w="453" w:type="pct"/>
            <w:tcBorders>
              <w:bottom w:val="single" w:sz="12" w:space="0" w:color="auto"/>
            </w:tcBorders>
            <w:shd w:val="clear" w:color="auto" w:fill="auto"/>
            <w:vAlign w:val="bottom"/>
            <w:hideMark/>
          </w:tcPr>
          <w:p w14:paraId="54C0A1E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16,3</w:t>
            </w:r>
          </w:p>
        </w:tc>
        <w:tc>
          <w:tcPr>
            <w:tcW w:w="453" w:type="pct"/>
            <w:tcBorders>
              <w:bottom w:val="single" w:sz="12" w:space="0" w:color="auto"/>
            </w:tcBorders>
            <w:shd w:val="clear" w:color="auto" w:fill="auto"/>
            <w:vAlign w:val="bottom"/>
            <w:hideMark/>
          </w:tcPr>
          <w:p w14:paraId="7D0FBD8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18,8</w:t>
            </w:r>
          </w:p>
        </w:tc>
      </w:tr>
    </w:tbl>
    <w:p w14:paraId="3D1619DA" w14:textId="77777777" w:rsidR="00DA21FF" w:rsidRPr="00DA21FF" w:rsidRDefault="00DA21FF" w:rsidP="002F5430">
      <w:pPr>
        <w:pStyle w:val="SingleTxtG"/>
        <w:spacing w:before="240"/>
        <w:rPr>
          <w:lang w:val="en-GB"/>
        </w:rPr>
      </w:pPr>
      <w:r w:rsidRPr="00DA21FF">
        <w:t>3.</w:t>
      </w:r>
      <w:r w:rsidRPr="00DA21FF">
        <w:tab/>
        <w:t xml:space="preserve">El cuadro siguiente muestra la </w:t>
      </w:r>
      <w:r w:rsidRPr="00373B5F">
        <w:rPr>
          <w:u w:val="single"/>
        </w:rPr>
        <w:t>tasa de natalidad</w:t>
      </w:r>
      <w:r w:rsidRPr="00DA21FF">
        <w:t xml:space="preserve"> y la </w:t>
      </w:r>
      <w:r w:rsidRPr="00373B5F">
        <w:rPr>
          <w:u w:val="single"/>
        </w:rPr>
        <w:t>tasa de mortalidad</w:t>
      </w:r>
      <w:r w:rsidRPr="00DA21FF">
        <w:t>.</w:t>
      </w:r>
    </w:p>
    <w:tbl>
      <w:tblPr>
        <w:tblW w:w="7418" w:type="dxa"/>
        <w:tblInd w:w="1134" w:type="dxa"/>
        <w:tblBorders>
          <w:top w:val="single" w:sz="4" w:space="0" w:color="auto"/>
        </w:tblBorders>
        <w:tblCellMar>
          <w:left w:w="0" w:type="dxa"/>
          <w:right w:w="0" w:type="dxa"/>
        </w:tblCellMar>
        <w:tblLook w:val="04A0" w:firstRow="1" w:lastRow="0" w:firstColumn="1" w:lastColumn="0" w:noHBand="0" w:noVBand="1"/>
      </w:tblPr>
      <w:tblGrid>
        <w:gridCol w:w="1732"/>
        <w:gridCol w:w="2867"/>
        <w:gridCol w:w="2867"/>
      </w:tblGrid>
      <w:tr w:rsidR="00680417" w:rsidRPr="00680417" w14:paraId="49ED34BA" w14:textId="77777777" w:rsidTr="00680417">
        <w:trPr>
          <w:trHeight w:val="240"/>
          <w:tblHeader/>
        </w:trPr>
        <w:tc>
          <w:tcPr>
            <w:tcW w:w="1716" w:type="dxa"/>
            <w:tcBorders>
              <w:top w:val="single" w:sz="4" w:space="0" w:color="auto"/>
              <w:bottom w:val="single" w:sz="12" w:space="0" w:color="auto"/>
            </w:tcBorders>
            <w:shd w:val="clear" w:color="auto" w:fill="auto"/>
            <w:noWrap/>
            <w:vAlign w:val="bottom"/>
          </w:tcPr>
          <w:p w14:paraId="13EA8DD3"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2851" w:type="dxa"/>
            <w:tcBorders>
              <w:top w:val="single" w:sz="4" w:space="0" w:color="auto"/>
              <w:bottom w:val="single" w:sz="12" w:space="0" w:color="auto"/>
            </w:tcBorders>
            <w:shd w:val="clear" w:color="auto" w:fill="auto"/>
            <w:noWrap/>
            <w:vAlign w:val="bottom"/>
          </w:tcPr>
          <w:p w14:paraId="284F9206" w14:textId="140DC0EF"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 xml:space="preserve">Tasa de natalidad </w:t>
            </w:r>
            <w:r w:rsidR="002F5430">
              <w:rPr>
                <w:i/>
                <w:iCs/>
                <w:sz w:val="16"/>
              </w:rPr>
              <w:br/>
            </w:r>
            <w:r w:rsidRPr="00DA21FF">
              <w:rPr>
                <w:i/>
                <w:iCs/>
                <w:sz w:val="16"/>
              </w:rPr>
              <w:t>(nacidos vivos por cada 1.000 habitantes)</w:t>
            </w:r>
          </w:p>
        </w:tc>
        <w:tc>
          <w:tcPr>
            <w:tcW w:w="2851" w:type="dxa"/>
            <w:tcBorders>
              <w:top w:val="single" w:sz="4" w:space="0" w:color="auto"/>
              <w:bottom w:val="single" w:sz="12" w:space="0" w:color="auto"/>
            </w:tcBorders>
            <w:shd w:val="clear" w:color="auto" w:fill="auto"/>
            <w:noWrap/>
            <w:vAlign w:val="bottom"/>
          </w:tcPr>
          <w:p w14:paraId="0FA1B6C4" w14:textId="042533A1"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 xml:space="preserve">Tasa de mortalidad </w:t>
            </w:r>
            <w:r w:rsidR="002F5430">
              <w:rPr>
                <w:i/>
                <w:iCs/>
                <w:sz w:val="16"/>
              </w:rPr>
              <w:br/>
            </w:r>
            <w:r w:rsidRPr="00DA21FF">
              <w:rPr>
                <w:i/>
                <w:iCs/>
                <w:sz w:val="16"/>
              </w:rPr>
              <w:t>(muertes por 1.000 habitantes)</w:t>
            </w:r>
          </w:p>
        </w:tc>
      </w:tr>
      <w:tr w:rsidR="00680417" w:rsidRPr="00DA21FF" w14:paraId="3CA159AD" w14:textId="77777777" w:rsidTr="00680417">
        <w:trPr>
          <w:trHeight w:val="240"/>
        </w:trPr>
        <w:tc>
          <w:tcPr>
            <w:tcW w:w="1716" w:type="dxa"/>
            <w:shd w:val="clear" w:color="auto" w:fill="auto"/>
            <w:noWrap/>
          </w:tcPr>
          <w:p w14:paraId="078DAAC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2851" w:type="dxa"/>
            <w:shd w:val="clear" w:color="auto" w:fill="auto"/>
            <w:noWrap/>
            <w:vAlign w:val="bottom"/>
          </w:tcPr>
          <w:p w14:paraId="60DD85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10,73</w:t>
            </w:r>
          </w:p>
        </w:tc>
        <w:tc>
          <w:tcPr>
            <w:tcW w:w="2851" w:type="dxa"/>
            <w:shd w:val="clear" w:color="auto" w:fill="auto"/>
            <w:noWrap/>
            <w:vAlign w:val="bottom"/>
          </w:tcPr>
          <w:p w14:paraId="2D51F7E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7,75</w:t>
            </w:r>
          </w:p>
        </w:tc>
      </w:tr>
      <w:tr w:rsidR="00680417" w:rsidRPr="00DA21FF" w14:paraId="65B91972" w14:textId="77777777" w:rsidTr="00680417">
        <w:trPr>
          <w:trHeight w:val="240"/>
        </w:trPr>
        <w:tc>
          <w:tcPr>
            <w:tcW w:w="1716" w:type="dxa"/>
            <w:shd w:val="clear" w:color="auto" w:fill="auto"/>
            <w:noWrap/>
          </w:tcPr>
          <w:p w14:paraId="14FA112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2851" w:type="dxa"/>
            <w:shd w:val="clear" w:color="auto" w:fill="auto"/>
            <w:noWrap/>
            <w:vAlign w:val="bottom"/>
          </w:tcPr>
          <w:p w14:paraId="586FB2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10,41</w:t>
            </w:r>
          </w:p>
        </w:tc>
        <w:tc>
          <w:tcPr>
            <w:tcW w:w="2851" w:type="dxa"/>
            <w:shd w:val="clear" w:color="auto" w:fill="auto"/>
            <w:noWrap/>
            <w:vAlign w:val="bottom"/>
          </w:tcPr>
          <w:p w14:paraId="502CE77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7,71</w:t>
            </w:r>
          </w:p>
        </w:tc>
      </w:tr>
      <w:tr w:rsidR="00680417" w:rsidRPr="00DA21FF" w14:paraId="715D84AF" w14:textId="77777777" w:rsidTr="00680417">
        <w:trPr>
          <w:trHeight w:val="240"/>
        </w:trPr>
        <w:tc>
          <w:tcPr>
            <w:tcW w:w="1716" w:type="dxa"/>
            <w:shd w:val="clear" w:color="auto" w:fill="auto"/>
            <w:noWrap/>
          </w:tcPr>
          <w:p w14:paraId="09121A5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2851" w:type="dxa"/>
            <w:shd w:val="clear" w:color="auto" w:fill="auto"/>
            <w:noWrap/>
            <w:vAlign w:val="bottom"/>
          </w:tcPr>
          <w:p w14:paraId="1689FD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10,19</w:t>
            </w:r>
          </w:p>
        </w:tc>
        <w:tc>
          <w:tcPr>
            <w:tcW w:w="2851" w:type="dxa"/>
            <w:shd w:val="clear" w:color="auto" w:fill="auto"/>
            <w:noWrap/>
            <w:vAlign w:val="bottom"/>
          </w:tcPr>
          <w:p w14:paraId="46C0E6A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7,61</w:t>
            </w:r>
          </w:p>
        </w:tc>
      </w:tr>
      <w:tr w:rsidR="00680417" w:rsidRPr="00DA21FF" w14:paraId="0CD7ADD7" w14:textId="77777777" w:rsidTr="00680417">
        <w:trPr>
          <w:trHeight w:val="240"/>
        </w:trPr>
        <w:tc>
          <w:tcPr>
            <w:tcW w:w="1716" w:type="dxa"/>
            <w:shd w:val="clear" w:color="auto" w:fill="auto"/>
            <w:noWrap/>
          </w:tcPr>
          <w:p w14:paraId="2BB81C9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2851" w:type="dxa"/>
            <w:shd w:val="clear" w:color="auto" w:fill="auto"/>
            <w:noWrap/>
            <w:vAlign w:val="bottom"/>
          </w:tcPr>
          <w:p w14:paraId="512EBAB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9,85</w:t>
            </w:r>
          </w:p>
        </w:tc>
        <w:tc>
          <w:tcPr>
            <w:tcW w:w="2851" w:type="dxa"/>
            <w:shd w:val="clear" w:color="auto" w:fill="auto"/>
            <w:noWrap/>
            <w:vAlign w:val="bottom"/>
          </w:tcPr>
          <w:p w14:paraId="08BE6F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7,55</w:t>
            </w:r>
          </w:p>
        </w:tc>
      </w:tr>
      <w:tr w:rsidR="00680417" w:rsidRPr="00DA21FF" w14:paraId="59D028A6" w14:textId="77777777" w:rsidTr="00680417">
        <w:trPr>
          <w:trHeight w:val="240"/>
        </w:trPr>
        <w:tc>
          <w:tcPr>
            <w:tcW w:w="1716" w:type="dxa"/>
            <w:shd w:val="clear" w:color="auto" w:fill="auto"/>
            <w:noWrap/>
          </w:tcPr>
          <w:p w14:paraId="4934B81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2851" w:type="dxa"/>
            <w:shd w:val="clear" w:color="auto" w:fill="auto"/>
            <w:noWrap/>
            <w:vAlign w:val="bottom"/>
          </w:tcPr>
          <w:p w14:paraId="06864F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10,37</w:t>
            </w:r>
          </w:p>
        </w:tc>
        <w:tc>
          <w:tcPr>
            <w:tcW w:w="2851" w:type="dxa"/>
            <w:shd w:val="clear" w:color="auto" w:fill="auto"/>
            <w:noWrap/>
            <w:vAlign w:val="bottom"/>
          </w:tcPr>
          <w:p w14:paraId="69A0D31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7,77</w:t>
            </w:r>
          </w:p>
        </w:tc>
      </w:tr>
      <w:tr w:rsidR="00680417" w:rsidRPr="00DA21FF" w14:paraId="54347A78" w14:textId="77777777" w:rsidTr="00680417">
        <w:trPr>
          <w:trHeight w:val="240"/>
        </w:trPr>
        <w:tc>
          <w:tcPr>
            <w:tcW w:w="1716" w:type="dxa"/>
            <w:shd w:val="clear" w:color="auto" w:fill="auto"/>
            <w:noWrap/>
          </w:tcPr>
          <w:p w14:paraId="21B440B9" w14:textId="77777777" w:rsidR="00DA21FF" w:rsidRPr="00DA21FF" w:rsidRDefault="00DA21FF" w:rsidP="00BC4122">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lastRenderedPageBreak/>
              <w:t>2022</w:t>
            </w:r>
          </w:p>
        </w:tc>
        <w:tc>
          <w:tcPr>
            <w:tcW w:w="2851" w:type="dxa"/>
            <w:shd w:val="clear" w:color="auto" w:fill="auto"/>
            <w:noWrap/>
            <w:vAlign w:val="bottom"/>
          </w:tcPr>
          <w:p w14:paraId="1B23B993" w14:textId="77777777" w:rsidR="00DA21FF" w:rsidRPr="00DA21FF" w:rsidRDefault="00DA21FF" w:rsidP="00BC4122">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9,43</w:t>
            </w:r>
          </w:p>
        </w:tc>
        <w:tc>
          <w:tcPr>
            <w:tcW w:w="2851" w:type="dxa"/>
            <w:shd w:val="clear" w:color="auto" w:fill="auto"/>
            <w:noWrap/>
            <w:vAlign w:val="bottom"/>
          </w:tcPr>
          <w:p w14:paraId="4492F101" w14:textId="77777777" w:rsidR="00DA21FF" w:rsidRPr="00DA21FF" w:rsidRDefault="00DA21FF" w:rsidP="00BC4122">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8,39</w:t>
            </w:r>
          </w:p>
        </w:tc>
      </w:tr>
      <w:tr w:rsidR="00680417" w:rsidRPr="00DA21FF" w14:paraId="2B7C0FD9" w14:textId="77777777" w:rsidTr="00680417">
        <w:trPr>
          <w:trHeight w:val="240"/>
        </w:trPr>
        <w:tc>
          <w:tcPr>
            <w:tcW w:w="1716" w:type="dxa"/>
            <w:tcBorders>
              <w:bottom w:val="single" w:sz="12" w:space="0" w:color="auto"/>
            </w:tcBorders>
            <w:shd w:val="clear" w:color="auto" w:fill="auto"/>
            <w:noWrap/>
          </w:tcPr>
          <w:p w14:paraId="7C4B35E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2851" w:type="dxa"/>
            <w:tcBorders>
              <w:bottom w:val="single" w:sz="12" w:space="0" w:color="auto"/>
            </w:tcBorders>
            <w:shd w:val="clear" w:color="auto" w:fill="auto"/>
            <w:noWrap/>
            <w:vAlign w:val="bottom"/>
          </w:tcPr>
          <w:p w14:paraId="6C5F660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9,42</w:t>
            </w:r>
          </w:p>
        </w:tc>
        <w:tc>
          <w:tcPr>
            <w:tcW w:w="2851" w:type="dxa"/>
            <w:tcBorders>
              <w:bottom w:val="single" w:sz="12" w:space="0" w:color="auto"/>
            </w:tcBorders>
            <w:shd w:val="clear" w:color="auto" w:fill="auto"/>
            <w:noWrap/>
            <w:vAlign w:val="bottom"/>
          </w:tcPr>
          <w:p w14:paraId="22DA4B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7,94</w:t>
            </w:r>
          </w:p>
        </w:tc>
      </w:tr>
    </w:tbl>
    <w:p w14:paraId="5178D14C" w14:textId="77777777" w:rsidR="00DA21FF" w:rsidRPr="00DA21FF" w:rsidRDefault="00DA21FF" w:rsidP="002F5430">
      <w:pPr>
        <w:pStyle w:val="SingleTxtG"/>
        <w:spacing w:before="240"/>
        <w:rPr>
          <w:lang w:val="en-GB"/>
        </w:rPr>
      </w:pPr>
      <w:r w:rsidRPr="00DA21FF">
        <w:t>4.</w:t>
      </w:r>
      <w:r w:rsidRPr="00DA21FF">
        <w:tab/>
        <w:t xml:space="preserve">La </w:t>
      </w:r>
      <w:r w:rsidRPr="00373B5F">
        <w:rPr>
          <w:u w:val="single"/>
        </w:rPr>
        <w:t>esperanza de vida</w:t>
      </w:r>
      <w:r w:rsidRPr="00DA21FF">
        <w:t xml:space="preserve"> era de 84,63 años para las mujeres y de 81,39 años para los hombres.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16"/>
        <w:gridCol w:w="2569"/>
        <w:gridCol w:w="3133"/>
      </w:tblGrid>
      <w:tr w:rsidR="00680417" w:rsidRPr="00680417" w14:paraId="4AAF7B46" w14:textId="77777777" w:rsidTr="00680417">
        <w:trPr>
          <w:trHeight w:val="240"/>
          <w:tblHeader/>
        </w:trPr>
        <w:tc>
          <w:tcPr>
            <w:tcW w:w="1700" w:type="dxa"/>
            <w:tcBorders>
              <w:top w:val="single" w:sz="4" w:space="0" w:color="auto"/>
              <w:bottom w:val="single" w:sz="12" w:space="0" w:color="auto"/>
            </w:tcBorders>
            <w:shd w:val="clear" w:color="auto" w:fill="auto"/>
            <w:noWrap/>
            <w:vAlign w:val="bottom"/>
          </w:tcPr>
          <w:p w14:paraId="230225CE"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2553" w:type="dxa"/>
            <w:tcBorders>
              <w:top w:val="single" w:sz="4" w:space="0" w:color="auto"/>
              <w:bottom w:val="single" w:sz="12" w:space="0" w:color="auto"/>
            </w:tcBorders>
            <w:shd w:val="clear" w:color="auto" w:fill="auto"/>
            <w:noWrap/>
            <w:vAlign w:val="bottom"/>
          </w:tcPr>
          <w:p w14:paraId="24711778"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Hombres</w:t>
            </w:r>
          </w:p>
        </w:tc>
        <w:tc>
          <w:tcPr>
            <w:tcW w:w="3117" w:type="dxa"/>
            <w:tcBorders>
              <w:top w:val="single" w:sz="4" w:space="0" w:color="auto"/>
              <w:bottom w:val="single" w:sz="12" w:space="0" w:color="auto"/>
            </w:tcBorders>
            <w:shd w:val="clear" w:color="auto" w:fill="auto"/>
            <w:noWrap/>
            <w:vAlign w:val="bottom"/>
          </w:tcPr>
          <w:p w14:paraId="219E22F3"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Mujeres</w:t>
            </w:r>
          </w:p>
        </w:tc>
      </w:tr>
      <w:tr w:rsidR="00680417" w:rsidRPr="00DA21FF" w14:paraId="5AEB449B" w14:textId="77777777" w:rsidTr="00680417">
        <w:trPr>
          <w:trHeight w:val="240"/>
        </w:trPr>
        <w:tc>
          <w:tcPr>
            <w:tcW w:w="1700" w:type="dxa"/>
            <w:tcBorders>
              <w:top w:val="single" w:sz="12" w:space="0" w:color="auto"/>
            </w:tcBorders>
            <w:shd w:val="clear" w:color="auto" w:fill="auto"/>
            <w:noWrap/>
          </w:tcPr>
          <w:p w14:paraId="491912B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2553" w:type="dxa"/>
            <w:tcBorders>
              <w:top w:val="single" w:sz="12" w:space="0" w:color="auto"/>
            </w:tcBorders>
            <w:shd w:val="clear" w:color="auto" w:fill="auto"/>
            <w:noWrap/>
            <w:vAlign w:val="bottom"/>
          </w:tcPr>
          <w:p w14:paraId="61EF81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80,91</w:t>
            </w:r>
          </w:p>
        </w:tc>
        <w:tc>
          <w:tcPr>
            <w:tcW w:w="3117" w:type="dxa"/>
            <w:tcBorders>
              <w:top w:val="single" w:sz="12" w:space="0" w:color="auto"/>
            </w:tcBorders>
            <w:shd w:val="clear" w:color="auto" w:fill="auto"/>
            <w:noWrap/>
            <w:vAlign w:val="bottom"/>
          </w:tcPr>
          <w:p w14:paraId="3C3F13E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84,28</w:t>
            </w:r>
          </w:p>
        </w:tc>
      </w:tr>
      <w:tr w:rsidR="00680417" w:rsidRPr="00DA21FF" w14:paraId="6D971D4C" w14:textId="77777777" w:rsidTr="00680417">
        <w:trPr>
          <w:trHeight w:val="240"/>
        </w:trPr>
        <w:tc>
          <w:tcPr>
            <w:tcW w:w="1700" w:type="dxa"/>
            <w:shd w:val="clear" w:color="auto" w:fill="auto"/>
            <w:noWrap/>
          </w:tcPr>
          <w:p w14:paraId="0EB3D74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2553" w:type="dxa"/>
            <w:shd w:val="clear" w:color="auto" w:fill="auto"/>
            <w:noWrap/>
            <w:vAlign w:val="bottom"/>
          </w:tcPr>
          <w:p w14:paraId="2456D1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81,0</w:t>
            </w:r>
          </w:p>
        </w:tc>
        <w:tc>
          <w:tcPr>
            <w:tcW w:w="3117" w:type="dxa"/>
            <w:shd w:val="clear" w:color="auto" w:fill="auto"/>
            <w:noWrap/>
            <w:vAlign w:val="bottom"/>
          </w:tcPr>
          <w:p w14:paraId="31AA4EA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84,49</w:t>
            </w:r>
          </w:p>
        </w:tc>
      </w:tr>
      <w:tr w:rsidR="00680417" w:rsidRPr="00DA21FF" w14:paraId="5B182EE1" w14:textId="77777777" w:rsidTr="00680417">
        <w:trPr>
          <w:trHeight w:val="240"/>
        </w:trPr>
        <w:tc>
          <w:tcPr>
            <w:tcW w:w="1700" w:type="dxa"/>
            <w:shd w:val="clear" w:color="auto" w:fill="auto"/>
            <w:noWrap/>
          </w:tcPr>
          <w:p w14:paraId="594BF04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2553" w:type="dxa"/>
            <w:shd w:val="clear" w:color="auto" w:fill="auto"/>
            <w:noWrap/>
            <w:vAlign w:val="bottom"/>
          </w:tcPr>
          <w:p w14:paraId="514CF3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81,19</w:t>
            </w:r>
          </w:p>
        </w:tc>
        <w:tc>
          <w:tcPr>
            <w:tcW w:w="3117" w:type="dxa"/>
            <w:shd w:val="clear" w:color="auto" w:fill="auto"/>
            <w:noWrap/>
            <w:vAlign w:val="bottom"/>
          </w:tcPr>
          <w:p w14:paraId="1020F30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84,68</w:t>
            </w:r>
          </w:p>
        </w:tc>
      </w:tr>
      <w:tr w:rsidR="00680417" w:rsidRPr="00DA21FF" w14:paraId="4B249D16" w14:textId="77777777" w:rsidTr="00680417">
        <w:trPr>
          <w:trHeight w:val="240"/>
        </w:trPr>
        <w:tc>
          <w:tcPr>
            <w:tcW w:w="1700" w:type="dxa"/>
            <w:shd w:val="clear" w:color="auto" w:fill="auto"/>
            <w:noWrap/>
          </w:tcPr>
          <w:p w14:paraId="49CB57B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2553" w:type="dxa"/>
            <w:shd w:val="clear" w:color="auto" w:fill="auto"/>
            <w:noWrap/>
            <w:vAlign w:val="bottom"/>
          </w:tcPr>
          <w:p w14:paraId="18EFCE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81,48</w:t>
            </w:r>
          </w:p>
        </w:tc>
        <w:tc>
          <w:tcPr>
            <w:tcW w:w="3117" w:type="dxa"/>
            <w:shd w:val="clear" w:color="auto" w:fill="auto"/>
            <w:noWrap/>
            <w:vAlign w:val="bottom"/>
          </w:tcPr>
          <w:p w14:paraId="42D6F29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84,89</w:t>
            </w:r>
          </w:p>
        </w:tc>
      </w:tr>
      <w:tr w:rsidR="00680417" w:rsidRPr="00DA21FF" w14:paraId="2ADDF304" w14:textId="77777777" w:rsidTr="00680417">
        <w:trPr>
          <w:trHeight w:val="240"/>
        </w:trPr>
        <w:tc>
          <w:tcPr>
            <w:tcW w:w="1700" w:type="dxa"/>
            <w:shd w:val="clear" w:color="auto" w:fill="auto"/>
            <w:noWrap/>
          </w:tcPr>
          <w:p w14:paraId="56AB2AD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2553" w:type="dxa"/>
            <w:shd w:val="clear" w:color="auto" w:fill="auto"/>
            <w:noWrap/>
            <w:vAlign w:val="bottom"/>
          </w:tcPr>
          <w:p w14:paraId="7F9819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81,59</w:t>
            </w:r>
          </w:p>
        </w:tc>
        <w:tc>
          <w:tcPr>
            <w:tcW w:w="3117" w:type="dxa"/>
            <w:shd w:val="clear" w:color="auto" w:fill="auto"/>
            <w:noWrap/>
            <w:vAlign w:val="bottom"/>
          </w:tcPr>
          <w:p w14:paraId="0926A6E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84,73</w:t>
            </w:r>
          </w:p>
        </w:tc>
      </w:tr>
      <w:tr w:rsidR="00680417" w:rsidRPr="00DA21FF" w14:paraId="46AFF2F4" w14:textId="77777777" w:rsidTr="00680417">
        <w:trPr>
          <w:trHeight w:val="240"/>
        </w:trPr>
        <w:tc>
          <w:tcPr>
            <w:tcW w:w="1700" w:type="dxa"/>
            <w:shd w:val="clear" w:color="auto" w:fill="auto"/>
            <w:noWrap/>
          </w:tcPr>
          <w:p w14:paraId="1FC0A70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2553" w:type="dxa"/>
            <w:shd w:val="clear" w:color="auto" w:fill="auto"/>
            <w:noWrap/>
            <w:vAlign w:val="bottom"/>
          </w:tcPr>
          <w:p w14:paraId="3CD4E2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80,92</w:t>
            </w:r>
          </w:p>
        </w:tc>
        <w:tc>
          <w:tcPr>
            <w:tcW w:w="3117" w:type="dxa"/>
            <w:shd w:val="clear" w:color="auto" w:fill="auto"/>
            <w:noWrap/>
            <w:vAlign w:val="bottom"/>
          </w:tcPr>
          <w:p w14:paraId="4DF4E2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84,35</w:t>
            </w:r>
          </w:p>
        </w:tc>
      </w:tr>
      <w:tr w:rsidR="00680417" w:rsidRPr="00DA21FF" w14:paraId="3C000152" w14:textId="77777777" w:rsidTr="00680417">
        <w:trPr>
          <w:trHeight w:val="240"/>
        </w:trPr>
        <w:tc>
          <w:tcPr>
            <w:tcW w:w="1700" w:type="dxa"/>
            <w:tcBorders>
              <w:bottom w:val="single" w:sz="12" w:space="0" w:color="auto"/>
            </w:tcBorders>
            <w:shd w:val="clear" w:color="auto" w:fill="auto"/>
            <w:noWrap/>
          </w:tcPr>
          <w:p w14:paraId="67085D1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2553" w:type="dxa"/>
            <w:tcBorders>
              <w:bottom w:val="single" w:sz="12" w:space="0" w:color="auto"/>
            </w:tcBorders>
            <w:shd w:val="clear" w:color="auto" w:fill="auto"/>
            <w:noWrap/>
            <w:vAlign w:val="bottom"/>
          </w:tcPr>
          <w:p w14:paraId="46E8557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81,39</w:t>
            </w:r>
          </w:p>
        </w:tc>
        <w:tc>
          <w:tcPr>
            <w:tcW w:w="3117" w:type="dxa"/>
            <w:tcBorders>
              <w:bottom w:val="single" w:sz="12" w:space="0" w:color="auto"/>
            </w:tcBorders>
            <w:shd w:val="clear" w:color="auto" w:fill="auto"/>
            <w:noWrap/>
            <w:vAlign w:val="bottom"/>
          </w:tcPr>
          <w:p w14:paraId="5A2441D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84,63</w:t>
            </w:r>
          </w:p>
        </w:tc>
      </w:tr>
    </w:tbl>
    <w:p w14:paraId="673F838C" w14:textId="77777777" w:rsidR="00DA21FF" w:rsidRPr="00DA21FF" w:rsidRDefault="00DA21FF" w:rsidP="002F5430">
      <w:pPr>
        <w:pStyle w:val="SingleTxtG"/>
        <w:spacing w:before="240"/>
        <w:rPr>
          <w:lang w:val="en-GB"/>
        </w:rPr>
      </w:pPr>
      <w:r w:rsidRPr="00DA21FF">
        <w:t>5.</w:t>
      </w:r>
      <w:r w:rsidRPr="00DA21FF">
        <w:tab/>
        <w:t xml:space="preserve">La </w:t>
      </w:r>
      <w:r w:rsidRPr="00373B5F">
        <w:rPr>
          <w:u w:val="single"/>
        </w:rPr>
        <w:t>tasa de fecundidad</w:t>
      </w:r>
      <w:r w:rsidRPr="00DA21FF">
        <w:t xml:space="preserve"> (tasas de fecundidad por edad de 15 a 49 años) era de 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16"/>
        <w:gridCol w:w="5687"/>
      </w:tblGrid>
      <w:tr w:rsidR="00680417" w:rsidRPr="00680417" w14:paraId="083BBEA8" w14:textId="77777777" w:rsidTr="00680417">
        <w:trPr>
          <w:trHeight w:val="240"/>
          <w:tblHeader/>
        </w:trPr>
        <w:tc>
          <w:tcPr>
            <w:tcW w:w="1700" w:type="dxa"/>
            <w:tcBorders>
              <w:top w:val="single" w:sz="4" w:space="0" w:color="auto"/>
              <w:bottom w:val="single" w:sz="12" w:space="0" w:color="auto"/>
            </w:tcBorders>
            <w:shd w:val="clear" w:color="auto" w:fill="auto"/>
            <w:noWrap/>
            <w:vAlign w:val="bottom"/>
          </w:tcPr>
          <w:p w14:paraId="0AA68D1F"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5671" w:type="dxa"/>
            <w:tcBorders>
              <w:top w:val="single" w:sz="4" w:space="0" w:color="auto"/>
              <w:bottom w:val="single" w:sz="12" w:space="0" w:color="auto"/>
            </w:tcBorders>
            <w:shd w:val="clear" w:color="auto" w:fill="auto"/>
            <w:noWrap/>
            <w:vAlign w:val="bottom"/>
          </w:tcPr>
          <w:p w14:paraId="32808A05"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Nacidos vivos por cada 1.000 mujeres</w:t>
            </w:r>
          </w:p>
        </w:tc>
      </w:tr>
      <w:tr w:rsidR="00680417" w:rsidRPr="00DA21FF" w14:paraId="3957AE11" w14:textId="77777777" w:rsidTr="00680417">
        <w:trPr>
          <w:trHeight w:val="240"/>
        </w:trPr>
        <w:tc>
          <w:tcPr>
            <w:tcW w:w="1700" w:type="dxa"/>
            <w:tcBorders>
              <w:top w:val="single" w:sz="12" w:space="0" w:color="auto"/>
            </w:tcBorders>
            <w:shd w:val="clear" w:color="auto" w:fill="auto"/>
            <w:noWrap/>
          </w:tcPr>
          <w:p w14:paraId="770DE88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5671" w:type="dxa"/>
            <w:tcBorders>
              <w:top w:val="single" w:sz="12" w:space="0" w:color="auto"/>
            </w:tcBorders>
            <w:shd w:val="clear" w:color="auto" w:fill="auto"/>
            <w:noWrap/>
            <w:vAlign w:val="bottom"/>
          </w:tcPr>
          <w:p w14:paraId="6B9E77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1,62</w:t>
            </w:r>
          </w:p>
        </w:tc>
      </w:tr>
      <w:tr w:rsidR="00DA21FF" w:rsidRPr="00DA21FF" w14:paraId="0D399BED" w14:textId="77777777" w:rsidTr="00680417">
        <w:trPr>
          <w:trHeight w:val="240"/>
        </w:trPr>
        <w:tc>
          <w:tcPr>
            <w:tcW w:w="1700" w:type="dxa"/>
            <w:shd w:val="clear" w:color="auto" w:fill="auto"/>
            <w:noWrap/>
          </w:tcPr>
          <w:p w14:paraId="73BDA18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5671" w:type="dxa"/>
            <w:shd w:val="clear" w:color="auto" w:fill="auto"/>
            <w:noWrap/>
            <w:vAlign w:val="bottom"/>
          </w:tcPr>
          <w:p w14:paraId="4CEBCD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1,56</w:t>
            </w:r>
          </w:p>
        </w:tc>
      </w:tr>
      <w:tr w:rsidR="00DA21FF" w:rsidRPr="00DA21FF" w14:paraId="3EBFABDC" w14:textId="77777777" w:rsidTr="00680417">
        <w:trPr>
          <w:trHeight w:val="240"/>
        </w:trPr>
        <w:tc>
          <w:tcPr>
            <w:tcW w:w="1700" w:type="dxa"/>
            <w:shd w:val="clear" w:color="auto" w:fill="auto"/>
            <w:noWrap/>
          </w:tcPr>
          <w:p w14:paraId="761F96A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5671" w:type="dxa"/>
            <w:shd w:val="clear" w:color="auto" w:fill="auto"/>
            <w:noWrap/>
            <w:vAlign w:val="bottom"/>
          </w:tcPr>
          <w:p w14:paraId="34E48B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1,53</w:t>
            </w:r>
          </w:p>
        </w:tc>
      </w:tr>
      <w:tr w:rsidR="00DA21FF" w:rsidRPr="00DA21FF" w14:paraId="7B78002E" w14:textId="77777777" w:rsidTr="00680417">
        <w:trPr>
          <w:trHeight w:val="240"/>
        </w:trPr>
        <w:tc>
          <w:tcPr>
            <w:tcW w:w="1700" w:type="dxa"/>
            <w:shd w:val="clear" w:color="auto" w:fill="auto"/>
            <w:noWrap/>
          </w:tcPr>
          <w:p w14:paraId="5A30EFE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5671" w:type="dxa"/>
            <w:shd w:val="clear" w:color="auto" w:fill="auto"/>
            <w:noWrap/>
            <w:vAlign w:val="bottom"/>
          </w:tcPr>
          <w:p w14:paraId="22719BF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1,48</w:t>
            </w:r>
          </w:p>
        </w:tc>
      </w:tr>
      <w:tr w:rsidR="00DA21FF" w:rsidRPr="00DA21FF" w14:paraId="58A20D6E" w14:textId="77777777" w:rsidTr="00680417">
        <w:trPr>
          <w:trHeight w:val="240"/>
        </w:trPr>
        <w:tc>
          <w:tcPr>
            <w:tcW w:w="1700" w:type="dxa"/>
            <w:shd w:val="clear" w:color="auto" w:fill="auto"/>
            <w:noWrap/>
          </w:tcPr>
          <w:p w14:paraId="45ABD52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5671" w:type="dxa"/>
            <w:shd w:val="clear" w:color="auto" w:fill="auto"/>
            <w:noWrap/>
            <w:vAlign w:val="bottom"/>
          </w:tcPr>
          <w:p w14:paraId="6C1E11E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1,55</w:t>
            </w:r>
          </w:p>
        </w:tc>
      </w:tr>
      <w:tr w:rsidR="00DA21FF" w:rsidRPr="00DA21FF" w14:paraId="3D64AEA8" w14:textId="77777777" w:rsidTr="00680417">
        <w:trPr>
          <w:trHeight w:val="240"/>
        </w:trPr>
        <w:tc>
          <w:tcPr>
            <w:tcW w:w="1700" w:type="dxa"/>
            <w:shd w:val="clear" w:color="auto" w:fill="auto"/>
            <w:noWrap/>
          </w:tcPr>
          <w:p w14:paraId="5BEA237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5671" w:type="dxa"/>
            <w:shd w:val="clear" w:color="auto" w:fill="auto"/>
            <w:noWrap/>
            <w:vAlign w:val="bottom"/>
          </w:tcPr>
          <w:p w14:paraId="405FFC7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1,41</w:t>
            </w:r>
          </w:p>
        </w:tc>
      </w:tr>
      <w:tr w:rsidR="00680417" w:rsidRPr="00DA21FF" w14:paraId="028056F9" w14:textId="77777777" w:rsidTr="00680417">
        <w:trPr>
          <w:trHeight w:val="240"/>
        </w:trPr>
        <w:tc>
          <w:tcPr>
            <w:tcW w:w="1700" w:type="dxa"/>
            <w:tcBorders>
              <w:bottom w:val="single" w:sz="12" w:space="0" w:color="auto"/>
            </w:tcBorders>
            <w:shd w:val="clear" w:color="auto" w:fill="auto"/>
            <w:noWrap/>
          </w:tcPr>
          <w:p w14:paraId="5A8D259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5671" w:type="dxa"/>
            <w:tcBorders>
              <w:bottom w:val="single" w:sz="12" w:space="0" w:color="auto"/>
            </w:tcBorders>
            <w:shd w:val="clear" w:color="auto" w:fill="auto"/>
            <w:noWrap/>
            <w:vAlign w:val="bottom"/>
          </w:tcPr>
          <w:p w14:paraId="73E710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1,40</w:t>
            </w:r>
          </w:p>
        </w:tc>
      </w:tr>
    </w:tbl>
    <w:p w14:paraId="1095350C" w14:textId="77777777" w:rsidR="00DA21FF" w:rsidRPr="00DA21FF" w:rsidRDefault="00DA21FF" w:rsidP="002F5430">
      <w:pPr>
        <w:pStyle w:val="SingleTxtG"/>
        <w:spacing w:before="240"/>
        <w:rPr>
          <w:lang w:val="en-GB"/>
        </w:rPr>
      </w:pPr>
      <w:r w:rsidRPr="00DA21FF">
        <w:t>6.</w:t>
      </w:r>
      <w:r w:rsidRPr="00DA21FF">
        <w:tab/>
        <w:t xml:space="preserve">El </w:t>
      </w:r>
      <w:r w:rsidRPr="00373B5F">
        <w:rPr>
          <w:u w:val="single"/>
        </w:rPr>
        <w:t>tamaño medio de los hogares</w:t>
      </w:r>
      <w:r w:rsidRPr="00DA21FF">
        <w:t xml:space="preserve"> (el número de personas en un hogar privado) en 2023 era de 2,11. El porcentaje de niños que vivían con su madre o con su padre era del 15,9 % (174.134 niños de 0 a 17 años). El 40 % de los hogares estaban formados por una sola persona. </w:t>
      </w:r>
    </w:p>
    <w:p w14:paraId="4720D5BE" w14:textId="287D19B5" w:rsidR="00DA21FF" w:rsidRPr="00DA21FF" w:rsidRDefault="00DA21FF" w:rsidP="00DA21FF">
      <w:pPr>
        <w:pStyle w:val="SingleTxtG"/>
        <w:rPr>
          <w:lang w:val="en-GB"/>
        </w:rPr>
      </w:pPr>
      <w:r w:rsidRPr="00DA21FF">
        <w:t>7.</w:t>
      </w:r>
      <w:r w:rsidRPr="00DA21FF">
        <w:tab/>
        <w:t xml:space="preserve">Los samis son el </w:t>
      </w:r>
      <w:r w:rsidRPr="00373B5F">
        <w:rPr>
          <w:u w:val="single"/>
        </w:rPr>
        <w:t>Pueblo Indígena</w:t>
      </w:r>
      <w:r w:rsidRPr="00DA21FF">
        <w:t xml:space="preserve"> de Noruega. El Instituto Nacional de Estadística de Noruega no elabora estadísticas sobre origen étnico. Por lo tanto, no existe un registro general de la población sami y es difícil generar estadísticas sobre los samis como grupo. Sin embargo, el número de samis inscritos en el censo electoral del Parlamento Sami (el</w:t>
      </w:r>
      <w:r w:rsidR="002F5430">
        <w:t> </w:t>
      </w:r>
      <w:proofErr w:type="spellStart"/>
      <w:r w:rsidRPr="00373B5F">
        <w:rPr>
          <w:u w:val="single"/>
        </w:rPr>
        <w:t>Sámediggi</w:t>
      </w:r>
      <w:proofErr w:type="spellEnd"/>
      <w:r w:rsidRPr="00DA21FF">
        <w:t xml:space="preserve">) es de 23.488 (junio de 2023). Los judíos, los </w:t>
      </w:r>
      <w:proofErr w:type="spellStart"/>
      <w:r w:rsidRPr="00DA21FF">
        <w:t>kvens</w:t>
      </w:r>
      <w:proofErr w:type="spellEnd"/>
      <w:r w:rsidRPr="00DA21FF">
        <w:t>/noruegos de ascendencia finlandesa, los romaníes, el pueblo romaní/</w:t>
      </w:r>
      <w:proofErr w:type="spellStart"/>
      <w:r w:rsidRPr="00DA21FF">
        <w:t>tatere</w:t>
      </w:r>
      <w:proofErr w:type="spellEnd"/>
      <w:r w:rsidRPr="00DA21FF">
        <w:t xml:space="preserve"> y los finlandeses del bosque están reconocidos como </w:t>
      </w:r>
      <w:r w:rsidRPr="00373B5F">
        <w:rPr>
          <w:u w:val="single"/>
        </w:rPr>
        <w:t>minorías nacionales</w:t>
      </w:r>
      <w:r w:rsidRPr="00DA21FF">
        <w:t xml:space="preserve">. </w:t>
      </w:r>
    </w:p>
    <w:p w14:paraId="1F7694CA" w14:textId="2BC062D0" w:rsidR="00DA21FF" w:rsidRPr="00DA21FF" w:rsidRDefault="00DA21FF" w:rsidP="002F5430">
      <w:pPr>
        <w:pStyle w:val="SingleTxtG"/>
        <w:rPr>
          <w:lang w:val="en-GB"/>
        </w:rPr>
      </w:pPr>
      <w:r w:rsidRPr="00DA21FF">
        <w:t>8.</w:t>
      </w:r>
      <w:r w:rsidRPr="00DA21FF">
        <w:tab/>
        <w:t xml:space="preserve">A principios de 2024, 877.200 </w:t>
      </w:r>
      <w:r w:rsidRPr="00373B5F">
        <w:rPr>
          <w:u w:val="single"/>
        </w:rPr>
        <w:t>inmigrantes</w:t>
      </w:r>
      <w:r w:rsidRPr="00DA21FF">
        <w:t xml:space="preserve"> y 213.800 </w:t>
      </w:r>
      <w:r w:rsidRPr="00373B5F">
        <w:rPr>
          <w:u w:val="single"/>
        </w:rPr>
        <w:t>personas nacidas en Noruega de padres inmigrantes</w:t>
      </w:r>
      <w:r w:rsidRPr="00DA21FF">
        <w:t xml:space="preserve"> estaban registrados como residentes en Noruega, lo que representa casi el 20 % de la población noruega. En 2024, los mayores grupos de inmigrantes procedían de </w:t>
      </w:r>
      <w:r w:rsidR="002F5430" w:rsidRPr="00DA21FF">
        <w:t xml:space="preserve">Lituania, </w:t>
      </w:r>
      <w:r w:rsidRPr="00DA21FF">
        <w:t>Polonia</w:t>
      </w:r>
      <w:r w:rsidR="002F5430">
        <w:t xml:space="preserve">, </w:t>
      </w:r>
      <w:r w:rsidRPr="00DA21FF">
        <w:t>Siria</w:t>
      </w:r>
      <w:r w:rsidR="002F5430">
        <w:t>,</w:t>
      </w:r>
      <w:r w:rsidRPr="00DA21FF">
        <w:t xml:space="preserve"> Somalia</w:t>
      </w:r>
      <w:r w:rsidR="002F5430">
        <w:t xml:space="preserve">, Suecia y </w:t>
      </w:r>
      <w:r w:rsidR="002F5430" w:rsidRPr="00DA21FF">
        <w:t>Ucrania</w:t>
      </w:r>
      <w:r w:rsidRPr="00DA21FF">
        <w:t xml:space="preserve">. En este párrafo, se define a los </w:t>
      </w:r>
      <w:r w:rsidRPr="00373B5F">
        <w:rPr>
          <w:u w:val="single"/>
        </w:rPr>
        <w:t>inmigrantes</w:t>
      </w:r>
      <w:r w:rsidRPr="00DA21FF">
        <w:t xml:space="preserve"> como personas nacidas en un país extranjero de dos padres nacidos en el extranjero y cuatro abuelos nacidos en el extranjero, y no incluye a los solicitantes de asilo, es decir, personas que han solicitado protección (asilo) en Noruega y cuyo trámite de la solicitud aún no ha finalizado.</w:t>
      </w:r>
    </w:p>
    <w:p w14:paraId="2336BD9C" w14:textId="75376641" w:rsidR="00DA21FF" w:rsidRPr="00DA21FF" w:rsidRDefault="00DA21FF" w:rsidP="00DA21FF">
      <w:pPr>
        <w:pStyle w:val="SingleTxtG"/>
        <w:rPr>
          <w:lang w:val="en-GB"/>
        </w:rPr>
      </w:pPr>
      <w:r w:rsidRPr="00DA21FF">
        <w:t>9.</w:t>
      </w:r>
      <w:r w:rsidRPr="00DA21FF">
        <w:tab/>
        <w:t xml:space="preserve">En 2022, el número de </w:t>
      </w:r>
      <w:r w:rsidRPr="00373B5F">
        <w:rPr>
          <w:u w:val="single"/>
        </w:rPr>
        <w:t>nuevos inmigrantes registrados</w:t>
      </w:r>
      <w:r w:rsidRPr="00DA21FF">
        <w:t xml:space="preserve"> que entraron en Noruega fue de casi 90.500, un 40 % más que el año anterior. Alrededor del 92 % de los inmigrantes eran ciudadanos extranjeros, el 74 % de los cuales procedían de países europeos. El mayor número de nuevos inmigrantes procedía de Ucrania, con 32.300 inmigrantes registrados. A</w:t>
      </w:r>
      <w:r w:rsidR="007561CB">
        <w:t> </w:t>
      </w:r>
      <w:r w:rsidRPr="00DA21FF">
        <w:t xml:space="preserve">continuación, la mayor inmigración de ciudadanos extranjeros procedía de Polonia </w:t>
      </w:r>
      <w:r w:rsidRPr="00DA21FF">
        <w:lastRenderedPageBreak/>
        <w:t>(6.600), Lituania (2.600), la India (2.600) y Siria (2.400). En 2022, se registraron 23.100 ciudadanos extranjeros que emigraron de Noruega, casi 3.000 menos que en 2021. En conjunto, la inmigración neta de ciudadanos extranjeros alcanzó un nivel récord de 60.200, casi 40.000 más que en 2021, debido principalmente a la gran afluencia de personas que huían de Ucrania.</w:t>
      </w:r>
    </w:p>
    <w:p w14:paraId="0614D44E" w14:textId="77777777" w:rsidR="00DA21FF" w:rsidRPr="00DA21FF" w:rsidRDefault="00DA21FF" w:rsidP="00DA21FF">
      <w:pPr>
        <w:pStyle w:val="SingleTxtG"/>
        <w:rPr>
          <w:lang w:val="en-GB"/>
        </w:rPr>
      </w:pPr>
      <w:r w:rsidRPr="00DA21FF">
        <w:t>10.</w:t>
      </w:r>
      <w:r w:rsidRPr="00DA21FF">
        <w:tab/>
        <w:t xml:space="preserve">En 2023, aproximadamente el 62 % de la población noruega era miembro de la Iglesia de Noruega. El 13 % de la población eran afiliados de </w:t>
      </w:r>
      <w:r w:rsidRPr="00373B5F">
        <w:rPr>
          <w:u w:val="single"/>
        </w:rPr>
        <w:t>otras comunidades religiosas y de filosofías de vida</w:t>
      </w:r>
      <w:r w:rsidRPr="00DA21FF">
        <w:t xml:space="preserve"> para las que se recibía subvención del Gobierno. </w:t>
      </w:r>
    </w:p>
    <w:p w14:paraId="68216483" w14:textId="156EC018" w:rsidR="00DA21FF" w:rsidRPr="00DA21FF" w:rsidRDefault="007561CB" w:rsidP="007561CB">
      <w:pPr>
        <w:pStyle w:val="H23G"/>
        <w:rPr>
          <w:lang w:val="en-GB"/>
        </w:rPr>
      </w:pPr>
      <w:r>
        <w:tab/>
      </w:r>
      <w:r w:rsidR="00DA21FF" w:rsidRPr="00DA21FF">
        <w:tab/>
        <w:t xml:space="preserve">Afiliados de comunidades religiosas y de filosofías de vida fuera de la </w:t>
      </w:r>
      <w:r>
        <w:br/>
      </w:r>
      <w:r w:rsidR="00DA21FF" w:rsidRPr="00DA21FF">
        <w:t>Iglesia de Noruega, por religión/filosofía de vida a 1 de enero de 2023</w:t>
      </w:r>
      <w:r w:rsidR="00DA21FF" w:rsidRPr="007561CB">
        <w:rPr>
          <w:b w:val="0"/>
          <w:bCs/>
          <w:sz w:val="18"/>
          <w:szCs w:val="18"/>
          <w:vertAlign w:val="superscript"/>
        </w:rPr>
        <w:t>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28"/>
        <w:gridCol w:w="992"/>
        <w:gridCol w:w="850"/>
        <w:gridCol w:w="851"/>
        <w:gridCol w:w="849"/>
      </w:tblGrid>
      <w:tr w:rsidR="00680417" w:rsidRPr="00680417" w14:paraId="52B9BB46" w14:textId="77777777" w:rsidTr="004D3D05">
        <w:trPr>
          <w:trHeight w:val="240"/>
          <w:tblHeader/>
        </w:trPr>
        <w:tc>
          <w:tcPr>
            <w:tcW w:w="3828" w:type="dxa"/>
            <w:vMerge w:val="restart"/>
            <w:tcBorders>
              <w:top w:val="single" w:sz="4" w:space="0" w:color="auto"/>
              <w:bottom w:val="single" w:sz="12" w:space="0" w:color="auto"/>
            </w:tcBorders>
            <w:shd w:val="clear" w:color="auto" w:fill="auto"/>
            <w:vAlign w:val="bottom"/>
          </w:tcPr>
          <w:p w14:paraId="6419EDEC"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iCs/>
                <w:sz w:val="16"/>
                <w:lang w:val="en-GB"/>
              </w:rPr>
            </w:pPr>
          </w:p>
        </w:tc>
        <w:tc>
          <w:tcPr>
            <w:tcW w:w="1842" w:type="dxa"/>
            <w:gridSpan w:val="2"/>
            <w:tcBorders>
              <w:top w:val="single" w:sz="4" w:space="0" w:color="auto"/>
              <w:bottom w:val="single" w:sz="4" w:space="0" w:color="auto"/>
              <w:right w:val="single" w:sz="18" w:space="0" w:color="FFFFFF" w:themeColor="background1"/>
            </w:tcBorders>
            <w:shd w:val="clear" w:color="auto" w:fill="auto"/>
            <w:vAlign w:val="bottom"/>
          </w:tcPr>
          <w:p w14:paraId="51C96BFF"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2023</w:t>
            </w:r>
          </w:p>
        </w:tc>
        <w:tc>
          <w:tcPr>
            <w:tcW w:w="1700" w:type="dxa"/>
            <w:gridSpan w:val="2"/>
            <w:tcBorders>
              <w:top w:val="single" w:sz="4" w:space="0" w:color="auto"/>
              <w:left w:val="single" w:sz="18" w:space="0" w:color="FFFFFF" w:themeColor="background1"/>
              <w:bottom w:val="single" w:sz="4" w:space="0" w:color="auto"/>
            </w:tcBorders>
            <w:shd w:val="clear" w:color="auto" w:fill="auto"/>
            <w:vAlign w:val="bottom"/>
          </w:tcPr>
          <w:p w14:paraId="3740F9BE" w14:textId="77777777" w:rsidR="00DA21FF" w:rsidRPr="00DA21FF" w:rsidRDefault="00DA21FF" w:rsidP="00BF113C">
            <w:pPr>
              <w:pStyle w:val="SingleTxtG"/>
              <w:tabs>
                <w:tab w:val="clear" w:pos="1701"/>
                <w:tab w:val="clear" w:pos="2268"/>
                <w:tab w:val="clear" w:pos="2835"/>
              </w:tabs>
              <w:spacing w:before="80" w:after="80" w:line="200" w:lineRule="exact"/>
              <w:ind w:left="0" w:right="0"/>
              <w:jc w:val="center"/>
              <w:rPr>
                <w:i/>
                <w:iCs/>
                <w:sz w:val="16"/>
                <w:lang w:val="en-GB"/>
              </w:rPr>
            </w:pPr>
            <w:r w:rsidRPr="00DA21FF">
              <w:rPr>
                <w:i/>
                <w:iCs/>
                <w:sz w:val="16"/>
              </w:rPr>
              <w:t>Cambio porcentual</w:t>
            </w:r>
          </w:p>
        </w:tc>
      </w:tr>
      <w:tr w:rsidR="00680417" w:rsidRPr="00DA21FF" w14:paraId="62001F33" w14:textId="77777777" w:rsidTr="004D3D05">
        <w:trPr>
          <w:trHeight w:val="240"/>
        </w:trPr>
        <w:tc>
          <w:tcPr>
            <w:tcW w:w="3828" w:type="dxa"/>
            <w:vMerge/>
            <w:tcBorders>
              <w:top w:val="single" w:sz="12" w:space="0" w:color="auto"/>
              <w:bottom w:val="single" w:sz="12" w:space="0" w:color="auto"/>
            </w:tcBorders>
            <w:shd w:val="clear" w:color="auto" w:fill="auto"/>
            <w:vAlign w:val="bottom"/>
          </w:tcPr>
          <w:p w14:paraId="3A5250A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iCs/>
                <w:sz w:val="18"/>
                <w:lang w:val="en-GB"/>
              </w:rPr>
            </w:pPr>
          </w:p>
        </w:tc>
        <w:tc>
          <w:tcPr>
            <w:tcW w:w="992" w:type="dxa"/>
            <w:tcBorders>
              <w:top w:val="single" w:sz="4" w:space="0" w:color="auto"/>
              <w:bottom w:val="single" w:sz="12" w:space="0" w:color="auto"/>
            </w:tcBorders>
            <w:shd w:val="clear" w:color="auto" w:fill="auto"/>
            <w:vAlign w:val="bottom"/>
          </w:tcPr>
          <w:p w14:paraId="02EE24C4" w14:textId="77777777" w:rsidR="00DA21FF" w:rsidRPr="00BC4122" w:rsidRDefault="00DA21FF" w:rsidP="00BC4122">
            <w:pPr>
              <w:pStyle w:val="SingleTxtG"/>
              <w:tabs>
                <w:tab w:val="clear" w:pos="1701"/>
                <w:tab w:val="clear" w:pos="2268"/>
                <w:tab w:val="clear" w:pos="2835"/>
              </w:tabs>
              <w:spacing w:before="80" w:after="80" w:line="200" w:lineRule="exact"/>
              <w:ind w:left="113" w:right="0"/>
              <w:jc w:val="right"/>
              <w:rPr>
                <w:i/>
                <w:iCs/>
                <w:sz w:val="16"/>
              </w:rPr>
            </w:pPr>
            <w:r w:rsidRPr="00BC4122">
              <w:rPr>
                <w:i/>
                <w:iCs/>
                <w:sz w:val="16"/>
              </w:rPr>
              <w:t>Afiliados</w:t>
            </w:r>
          </w:p>
        </w:tc>
        <w:tc>
          <w:tcPr>
            <w:tcW w:w="850" w:type="dxa"/>
            <w:tcBorders>
              <w:top w:val="single" w:sz="4" w:space="0" w:color="auto"/>
              <w:bottom w:val="single" w:sz="12" w:space="0" w:color="auto"/>
              <w:right w:val="single" w:sz="18" w:space="0" w:color="FFFFFF" w:themeColor="background1"/>
            </w:tcBorders>
            <w:shd w:val="clear" w:color="auto" w:fill="auto"/>
            <w:vAlign w:val="bottom"/>
          </w:tcPr>
          <w:p w14:paraId="050528DB" w14:textId="77777777" w:rsidR="00DA21FF" w:rsidRPr="00BC4122" w:rsidRDefault="00DA21FF" w:rsidP="00BC4122">
            <w:pPr>
              <w:pStyle w:val="SingleTxtG"/>
              <w:tabs>
                <w:tab w:val="clear" w:pos="1701"/>
                <w:tab w:val="clear" w:pos="2268"/>
                <w:tab w:val="clear" w:pos="2835"/>
              </w:tabs>
              <w:spacing w:before="80" w:after="80" w:line="200" w:lineRule="exact"/>
              <w:ind w:left="113" w:right="0"/>
              <w:jc w:val="right"/>
              <w:rPr>
                <w:i/>
                <w:iCs/>
                <w:sz w:val="16"/>
              </w:rPr>
            </w:pPr>
            <w:r w:rsidRPr="00BC4122">
              <w:rPr>
                <w:i/>
                <w:iCs/>
                <w:sz w:val="16"/>
              </w:rPr>
              <w:t>Porcentaje</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31FD0F23" w14:textId="61918947" w:rsidR="00DA21FF" w:rsidRPr="00BC4122" w:rsidRDefault="00DA21FF" w:rsidP="00BC4122">
            <w:pPr>
              <w:pStyle w:val="SingleTxtG"/>
              <w:tabs>
                <w:tab w:val="clear" w:pos="1701"/>
                <w:tab w:val="clear" w:pos="2268"/>
                <w:tab w:val="clear" w:pos="2835"/>
              </w:tabs>
              <w:spacing w:before="80" w:after="80" w:line="200" w:lineRule="exact"/>
              <w:ind w:left="113" w:right="0"/>
              <w:jc w:val="right"/>
              <w:rPr>
                <w:i/>
                <w:iCs/>
                <w:sz w:val="16"/>
              </w:rPr>
            </w:pPr>
            <w:r w:rsidRPr="00BC4122">
              <w:rPr>
                <w:i/>
                <w:iCs/>
                <w:sz w:val="16"/>
              </w:rPr>
              <w:t>2022</w:t>
            </w:r>
            <w:r w:rsidR="00BC4122">
              <w:rPr>
                <w:i/>
                <w:iCs/>
                <w:sz w:val="16"/>
              </w:rPr>
              <w:t>-</w:t>
            </w:r>
            <w:r w:rsidRPr="00BC4122">
              <w:rPr>
                <w:i/>
                <w:iCs/>
                <w:sz w:val="16"/>
              </w:rPr>
              <w:t>2023</w:t>
            </w:r>
          </w:p>
        </w:tc>
        <w:tc>
          <w:tcPr>
            <w:tcW w:w="849" w:type="dxa"/>
            <w:tcBorders>
              <w:top w:val="single" w:sz="4" w:space="0" w:color="auto"/>
              <w:bottom w:val="single" w:sz="12" w:space="0" w:color="auto"/>
            </w:tcBorders>
            <w:shd w:val="clear" w:color="auto" w:fill="auto"/>
            <w:vAlign w:val="bottom"/>
          </w:tcPr>
          <w:p w14:paraId="543A7750" w14:textId="390314B5" w:rsidR="00DA21FF" w:rsidRPr="00BC4122" w:rsidRDefault="00DA21FF" w:rsidP="00BC4122">
            <w:pPr>
              <w:pStyle w:val="SingleTxtG"/>
              <w:tabs>
                <w:tab w:val="clear" w:pos="1701"/>
                <w:tab w:val="clear" w:pos="2268"/>
                <w:tab w:val="clear" w:pos="2835"/>
              </w:tabs>
              <w:spacing w:before="80" w:after="80" w:line="200" w:lineRule="exact"/>
              <w:ind w:left="113" w:right="0"/>
              <w:jc w:val="right"/>
              <w:rPr>
                <w:i/>
                <w:iCs/>
                <w:sz w:val="16"/>
              </w:rPr>
            </w:pPr>
            <w:r w:rsidRPr="00BC4122">
              <w:rPr>
                <w:i/>
                <w:iCs/>
                <w:sz w:val="16"/>
              </w:rPr>
              <w:t>2019</w:t>
            </w:r>
            <w:r w:rsidR="00BC4122">
              <w:rPr>
                <w:i/>
                <w:iCs/>
                <w:sz w:val="16"/>
              </w:rPr>
              <w:t>-</w:t>
            </w:r>
            <w:r w:rsidRPr="00BC4122">
              <w:rPr>
                <w:i/>
                <w:iCs/>
                <w:sz w:val="16"/>
              </w:rPr>
              <w:t>2023</w:t>
            </w:r>
          </w:p>
        </w:tc>
      </w:tr>
      <w:tr w:rsidR="00680417" w:rsidRPr="00BC4122" w14:paraId="2879D4AD" w14:textId="77777777" w:rsidTr="00BC4122">
        <w:trPr>
          <w:trHeight w:val="240"/>
        </w:trPr>
        <w:tc>
          <w:tcPr>
            <w:tcW w:w="3828" w:type="dxa"/>
            <w:tcBorders>
              <w:top w:val="single" w:sz="12" w:space="0" w:color="auto"/>
              <w:bottom w:val="single" w:sz="4" w:space="0" w:color="auto"/>
            </w:tcBorders>
            <w:shd w:val="clear" w:color="auto" w:fill="auto"/>
          </w:tcPr>
          <w:p w14:paraId="39B9D5AC" w14:textId="77777777" w:rsidR="00DA21FF" w:rsidRPr="00BC4122" w:rsidRDefault="00DA21FF" w:rsidP="00BC4122">
            <w:pPr>
              <w:pStyle w:val="SingleTxtG"/>
              <w:tabs>
                <w:tab w:val="clear" w:pos="1701"/>
                <w:tab w:val="clear" w:pos="2268"/>
                <w:tab w:val="clear" w:pos="2835"/>
              </w:tabs>
              <w:spacing w:before="80" w:after="80" w:line="220" w:lineRule="exact"/>
              <w:ind w:left="284" w:right="0"/>
              <w:jc w:val="left"/>
              <w:rPr>
                <w:b/>
                <w:sz w:val="18"/>
                <w:lang w:val="en-GB"/>
              </w:rPr>
            </w:pPr>
            <w:r w:rsidRPr="00BC4122">
              <w:rPr>
                <w:b/>
                <w:sz w:val="18"/>
              </w:rPr>
              <w:t>Total</w:t>
            </w:r>
          </w:p>
        </w:tc>
        <w:tc>
          <w:tcPr>
            <w:tcW w:w="992" w:type="dxa"/>
            <w:tcBorders>
              <w:top w:val="single" w:sz="12" w:space="0" w:color="auto"/>
              <w:bottom w:val="single" w:sz="4" w:space="0" w:color="auto"/>
            </w:tcBorders>
            <w:shd w:val="clear" w:color="auto" w:fill="auto"/>
            <w:vAlign w:val="bottom"/>
          </w:tcPr>
          <w:p w14:paraId="294701C6" w14:textId="340DBF8D"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724</w:t>
            </w:r>
            <w:r w:rsidR="007561CB" w:rsidRPr="00BC4122">
              <w:rPr>
                <w:b/>
                <w:sz w:val="18"/>
              </w:rPr>
              <w:t xml:space="preserve"> </w:t>
            </w:r>
            <w:r w:rsidRPr="00BC4122">
              <w:rPr>
                <w:b/>
                <w:sz w:val="18"/>
              </w:rPr>
              <w:t>803</w:t>
            </w:r>
          </w:p>
        </w:tc>
        <w:tc>
          <w:tcPr>
            <w:tcW w:w="850" w:type="dxa"/>
            <w:tcBorders>
              <w:top w:val="single" w:sz="12" w:space="0" w:color="auto"/>
              <w:bottom w:val="single" w:sz="4" w:space="0" w:color="auto"/>
            </w:tcBorders>
            <w:shd w:val="clear" w:color="auto" w:fill="auto"/>
            <w:vAlign w:val="bottom"/>
          </w:tcPr>
          <w:p w14:paraId="241BDE0D" w14:textId="77777777"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100,0</w:t>
            </w:r>
          </w:p>
        </w:tc>
        <w:tc>
          <w:tcPr>
            <w:tcW w:w="851" w:type="dxa"/>
            <w:tcBorders>
              <w:top w:val="single" w:sz="12" w:space="0" w:color="auto"/>
              <w:bottom w:val="single" w:sz="4" w:space="0" w:color="auto"/>
            </w:tcBorders>
            <w:shd w:val="clear" w:color="auto" w:fill="auto"/>
            <w:vAlign w:val="bottom"/>
          </w:tcPr>
          <w:p w14:paraId="5C225962" w14:textId="77777777"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3,5</w:t>
            </w:r>
          </w:p>
        </w:tc>
        <w:tc>
          <w:tcPr>
            <w:tcW w:w="849" w:type="dxa"/>
            <w:tcBorders>
              <w:top w:val="single" w:sz="12" w:space="0" w:color="auto"/>
              <w:bottom w:val="single" w:sz="4" w:space="0" w:color="auto"/>
            </w:tcBorders>
            <w:shd w:val="clear" w:color="auto" w:fill="auto"/>
            <w:vAlign w:val="bottom"/>
          </w:tcPr>
          <w:p w14:paraId="2CCBFB70" w14:textId="77777777" w:rsidR="00DA21FF" w:rsidRPr="00BC4122" w:rsidRDefault="00DA21FF" w:rsidP="00BC4122">
            <w:pPr>
              <w:pStyle w:val="SingleTxtG"/>
              <w:tabs>
                <w:tab w:val="clear" w:pos="1701"/>
                <w:tab w:val="clear" w:pos="2268"/>
                <w:tab w:val="clear" w:pos="2835"/>
              </w:tabs>
              <w:spacing w:before="80" w:after="80" w:line="220" w:lineRule="exact"/>
              <w:ind w:left="113" w:right="0"/>
              <w:jc w:val="right"/>
              <w:rPr>
                <w:b/>
                <w:sz w:val="18"/>
                <w:lang w:val="en-GB"/>
              </w:rPr>
            </w:pPr>
            <w:r w:rsidRPr="00BC4122">
              <w:rPr>
                <w:b/>
                <w:sz w:val="18"/>
              </w:rPr>
              <w:t>6,8</w:t>
            </w:r>
          </w:p>
        </w:tc>
      </w:tr>
      <w:tr w:rsidR="00680417" w:rsidRPr="00DA21FF" w14:paraId="3A80B4EB" w14:textId="77777777" w:rsidTr="00BC4122">
        <w:trPr>
          <w:trHeight w:val="240"/>
        </w:trPr>
        <w:tc>
          <w:tcPr>
            <w:tcW w:w="3828" w:type="dxa"/>
            <w:tcBorders>
              <w:top w:val="single" w:sz="4" w:space="0" w:color="auto"/>
            </w:tcBorders>
            <w:shd w:val="clear" w:color="auto" w:fill="auto"/>
          </w:tcPr>
          <w:p w14:paraId="64E0B44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Bahaísmo</w:t>
            </w:r>
          </w:p>
        </w:tc>
        <w:tc>
          <w:tcPr>
            <w:tcW w:w="992" w:type="dxa"/>
            <w:tcBorders>
              <w:top w:val="single" w:sz="4" w:space="0" w:color="auto"/>
            </w:tcBorders>
            <w:shd w:val="clear" w:color="auto" w:fill="auto"/>
            <w:vAlign w:val="bottom"/>
          </w:tcPr>
          <w:p w14:paraId="1B711A48" w14:textId="06384BD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7561CB">
              <w:rPr>
                <w:sz w:val="18"/>
              </w:rPr>
              <w:t xml:space="preserve"> </w:t>
            </w:r>
            <w:r w:rsidRPr="00DA21FF">
              <w:rPr>
                <w:sz w:val="18"/>
              </w:rPr>
              <w:t>067</w:t>
            </w:r>
          </w:p>
        </w:tc>
        <w:tc>
          <w:tcPr>
            <w:tcW w:w="850" w:type="dxa"/>
            <w:tcBorders>
              <w:top w:val="single" w:sz="4" w:space="0" w:color="auto"/>
            </w:tcBorders>
            <w:shd w:val="clear" w:color="auto" w:fill="auto"/>
            <w:vAlign w:val="bottom"/>
          </w:tcPr>
          <w:p w14:paraId="5D09F3C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0,1</w:t>
            </w:r>
          </w:p>
        </w:tc>
        <w:tc>
          <w:tcPr>
            <w:tcW w:w="851" w:type="dxa"/>
            <w:tcBorders>
              <w:top w:val="single" w:sz="4" w:space="0" w:color="auto"/>
            </w:tcBorders>
            <w:shd w:val="clear" w:color="auto" w:fill="auto"/>
            <w:vAlign w:val="bottom"/>
          </w:tcPr>
          <w:p w14:paraId="61D904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0,5</w:t>
            </w:r>
          </w:p>
        </w:tc>
        <w:tc>
          <w:tcPr>
            <w:tcW w:w="849" w:type="dxa"/>
            <w:tcBorders>
              <w:top w:val="single" w:sz="4" w:space="0" w:color="auto"/>
            </w:tcBorders>
            <w:shd w:val="clear" w:color="auto" w:fill="auto"/>
            <w:vAlign w:val="bottom"/>
          </w:tcPr>
          <w:p w14:paraId="5D8B0D0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w:t>
            </w:r>
          </w:p>
        </w:tc>
      </w:tr>
      <w:tr w:rsidR="00680417" w:rsidRPr="00DA21FF" w14:paraId="513BC534" w14:textId="77777777" w:rsidTr="00BC4122">
        <w:trPr>
          <w:trHeight w:val="240"/>
        </w:trPr>
        <w:tc>
          <w:tcPr>
            <w:tcW w:w="3828" w:type="dxa"/>
            <w:shd w:val="clear" w:color="auto" w:fill="auto"/>
          </w:tcPr>
          <w:p w14:paraId="76A9653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Budismo</w:t>
            </w:r>
          </w:p>
        </w:tc>
        <w:tc>
          <w:tcPr>
            <w:tcW w:w="992" w:type="dxa"/>
            <w:shd w:val="clear" w:color="auto" w:fill="auto"/>
            <w:vAlign w:val="bottom"/>
          </w:tcPr>
          <w:p w14:paraId="5B9E25D6" w14:textId="1126CB6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r w:rsidR="007561CB">
              <w:rPr>
                <w:sz w:val="18"/>
              </w:rPr>
              <w:t xml:space="preserve"> </w:t>
            </w:r>
            <w:r w:rsidRPr="00DA21FF">
              <w:rPr>
                <w:sz w:val="18"/>
              </w:rPr>
              <w:t>212</w:t>
            </w:r>
          </w:p>
        </w:tc>
        <w:tc>
          <w:tcPr>
            <w:tcW w:w="850" w:type="dxa"/>
            <w:shd w:val="clear" w:color="auto" w:fill="auto"/>
            <w:vAlign w:val="bottom"/>
          </w:tcPr>
          <w:p w14:paraId="5D1E57A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851" w:type="dxa"/>
            <w:shd w:val="clear" w:color="auto" w:fill="auto"/>
            <w:vAlign w:val="bottom"/>
          </w:tcPr>
          <w:p w14:paraId="7014DA5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849" w:type="dxa"/>
            <w:shd w:val="clear" w:color="auto" w:fill="auto"/>
            <w:vAlign w:val="bottom"/>
          </w:tcPr>
          <w:p w14:paraId="6B08F21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w:t>
            </w:r>
          </w:p>
        </w:tc>
      </w:tr>
      <w:tr w:rsidR="00680417" w:rsidRPr="00DA21FF" w14:paraId="4F7FAD43" w14:textId="77777777" w:rsidTr="00BC4122">
        <w:trPr>
          <w:trHeight w:val="240"/>
        </w:trPr>
        <w:tc>
          <w:tcPr>
            <w:tcW w:w="3828" w:type="dxa"/>
            <w:shd w:val="clear" w:color="auto" w:fill="auto"/>
          </w:tcPr>
          <w:p w14:paraId="7D0930E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Hinduismo</w:t>
            </w:r>
          </w:p>
        </w:tc>
        <w:tc>
          <w:tcPr>
            <w:tcW w:w="992" w:type="dxa"/>
            <w:shd w:val="clear" w:color="auto" w:fill="auto"/>
            <w:vAlign w:val="bottom"/>
          </w:tcPr>
          <w:p w14:paraId="64A720E1" w14:textId="3C41C73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r w:rsidR="007561CB">
              <w:rPr>
                <w:sz w:val="18"/>
              </w:rPr>
              <w:t xml:space="preserve"> </w:t>
            </w:r>
            <w:r w:rsidRPr="00DA21FF">
              <w:rPr>
                <w:sz w:val="18"/>
              </w:rPr>
              <w:t>141</w:t>
            </w:r>
          </w:p>
        </w:tc>
        <w:tc>
          <w:tcPr>
            <w:tcW w:w="850" w:type="dxa"/>
            <w:shd w:val="clear" w:color="auto" w:fill="auto"/>
            <w:vAlign w:val="bottom"/>
          </w:tcPr>
          <w:p w14:paraId="7AA552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851" w:type="dxa"/>
            <w:shd w:val="clear" w:color="auto" w:fill="auto"/>
            <w:vAlign w:val="bottom"/>
          </w:tcPr>
          <w:p w14:paraId="3368130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w:t>
            </w:r>
          </w:p>
        </w:tc>
        <w:tc>
          <w:tcPr>
            <w:tcW w:w="849" w:type="dxa"/>
            <w:shd w:val="clear" w:color="auto" w:fill="auto"/>
            <w:vAlign w:val="bottom"/>
          </w:tcPr>
          <w:p w14:paraId="3AAE65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15,2</w:t>
            </w:r>
          </w:p>
        </w:tc>
      </w:tr>
      <w:tr w:rsidR="00680417" w:rsidRPr="00DA21FF" w14:paraId="31E966DF" w14:textId="77777777" w:rsidTr="00BC4122">
        <w:trPr>
          <w:trHeight w:val="240"/>
        </w:trPr>
        <w:tc>
          <w:tcPr>
            <w:tcW w:w="3828" w:type="dxa"/>
            <w:shd w:val="clear" w:color="auto" w:fill="auto"/>
          </w:tcPr>
          <w:p w14:paraId="7026B02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Islamismo</w:t>
            </w:r>
          </w:p>
        </w:tc>
        <w:tc>
          <w:tcPr>
            <w:tcW w:w="992" w:type="dxa"/>
            <w:shd w:val="clear" w:color="auto" w:fill="auto"/>
            <w:vAlign w:val="bottom"/>
          </w:tcPr>
          <w:p w14:paraId="174035E3" w14:textId="5934DA4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182</w:t>
            </w:r>
            <w:r w:rsidR="007561CB">
              <w:rPr>
                <w:sz w:val="18"/>
              </w:rPr>
              <w:t xml:space="preserve"> </w:t>
            </w:r>
            <w:r w:rsidRPr="00DA21FF">
              <w:rPr>
                <w:sz w:val="18"/>
              </w:rPr>
              <w:t>607</w:t>
            </w:r>
          </w:p>
        </w:tc>
        <w:tc>
          <w:tcPr>
            <w:tcW w:w="850" w:type="dxa"/>
            <w:shd w:val="clear" w:color="auto" w:fill="auto"/>
            <w:vAlign w:val="bottom"/>
          </w:tcPr>
          <w:p w14:paraId="1560130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25,2</w:t>
            </w:r>
          </w:p>
        </w:tc>
        <w:tc>
          <w:tcPr>
            <w:tcW w:w="851" w:type="dxa"/>
            <w:shd w:val="clear" w:color="auto" w:fill="auto"/>
            <w:vAlign w:val="bottom"/>
          </w:tcPr>
          <w:p w14:paraId="21C65A3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c>
          <w:tcPr>
            <w:tcW w:w="849" w:type="dxa"/>
            <w:shd w:val="clear" w:color="auto" w:fill="auto"/>
            <w:vAlign w:val="bottom"/>
          </w:tcPr>
          <w:p w14:paraId="517FE10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w:t>
            </w:r>
          </w:p>
        </w:tc>
      </w:tr>
      <w:tr w:rsidR="00680417" w:rsidRPr="00DA21FF" w14:paraId="56F8398E" w14:textId="77777777" w:rsidTr="00BC4122">
        <w:trPr>
          <w:trHeight w:val="240"/>
        </w:trPr>
        <w:tc>
          <w:tcPr>
            <w:tcW w:w="3828" w:type="dxa"/>
            <w:shd w:val="clear" w:color="auto" w:fill="auto"/>
          </w:tcPr>
          <w:p w14:paraId="621C46D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Judaísmo</w:t>
            </w:r>
          </w:p>
        </w:tc>
        <w:tc>
          <w:tcPr>
            <w:tcW w:w="992" w:type="dxa"/>
            <w:shd w:val="clear" w:color="auto" w:fill="auto"/>
            <w:vAlign w:val="bottom"/>
          </w:tcPr>
          <w:p w14:paraId="71D75B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755</w:t>
            </w:r>
          </w:p>
        </w:tc>
        <w:tc>
          <w:tcPr>
            <w:tcW w:w="850" w:type="dxa"/>
            <w:shd w:val="clear" w:color="auto" w:fill="auto"/>
            <w:vAlign w:val="bottom"/>
          </w:tcPr>
          <w:p w14:paraId="6DE05D8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0,1</w:t>
            </w:r>
          </w:p>
        </w:tc>
        <w:tc>
          <w:tcPr>
            <w:tcW w:w="851" w:type="dxa"/>
            <w:shd w:val="clear" w:color="auto" w:fill="auto"/>
            <w:vAlign w:val="bottom"/>
          </w:tcPr>
          <w:p w14:paraId="537109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c>
          <w:tcPr>
            <w:tcW w:w="849" w:type="dxa"/>
            <w:shd w:val="clear" w:color="auto" w:fill="auto"/>
            <w:vAlign w:val="bottom"/>
          </w:tcPr>
          <w:p w14:paraId="3285ED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w:t>
            </w:r>
          </w:p>
        </w:tc>
      </w:tr>
      <w:tr w:rsidR="00680417" w:rsidRPr="00DA21FF" w14:paraId="53111AE4" w14:textId="77777777" w:rsidTr="00BC4122">
        <w:trPr>
          <w:trHeight w:val="240"/>
        </w:trPr>
        <w:tc>
          <w:tcPr>
            <w:tcW w:w="3828" w:type="dxa"/>
            <w:shd w:val="clear" w:color="auto" w:fill="auto"/>
          </w:tcPr>
          <w:p w14:paraId="0BC4E0E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Cristianismo</w:t>
            </w:r>
          </w:p>
        </w:tc>
        <w:tc>
          <w:tcPr>
            <w:tcW w:w="992" w:type="dxa"/>
            <w:shd w:val="clear" w:color="auto" w:fill="auto"/>
            <w:vAlign w:val="bottom"/>
          </w:tcPr>
          <w:p w14:paraId="1AF5532B" w14:textId="021A19B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376</w:t>
            </w:r>
            <w:r w:rsidR="007561CB">
              <w:rPr>
                <w:sz w:val="18"/>
              </w:rPr>
              <w:t xml:space="preserve"> </w:t>
            </w:r>
            <w:r w:rsidRPr="00DA21FF">
              <w:rPr>
                <w:sz w:val="18"/>
              </w:rPr>
              <w:t>555</w:t>
            </w:r>
          </w:p>
        </w:tc>
        <w:tc>
          <w:tcPr>
            <w:tcW w:w="850" w:type="dxa"/>
            <w:shd w:val="clear" w:color="auto" w:fill="auto"/>
            <w:vAlign w:val="bottom"/>
          </w:tcPr>
          <w:p w14:paraId="50844A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52,0</w:t>
            </w:r>
          </w:p>
        </w:tc>
        <w:tc>
          <w:tcPr>
            <w:tcW w:w="851" w:type="dxa"/>
            <w:shd w:val="clear" w:color="auto" w:fill="auto"/>
            <w:vAlign w:val="bottom"/>
          </w:tcPr>
          <w:p w14:paraId="7E1D701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0,8</w:t>
            </w:r>
          </w:p>
        </w:tc>
        <w:tc>
          <w:tcPr>
            <w:tcW w:w="849" w:type="dxa"/>
            <w:shd w:val="clear" w:color="auto" w:fill="auto"/>
            <w:vAlign w:val="bottom"/>
          </w:tcPr>
          <w:p w14:paraId="4A6300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r>
      <w:tr w:rsidR="00680417" w:rsidRPr="00DA21FF" w14:paraId="4B7E308C" w14:textId="77777777" w:rsidTr="00BC4122">
        <w:trPr>
          <w:trHeight w:val="240"/>
        </w:trPr>
        <w:tc>
          <w:tcPr>
            <w:tcW w:w="3828" w:type="dxa"/>
            <w:shd w:val="clear" w:color="auto" w:fill="auto"/>
          </w:tcPr>
          <w:p w14:paraId="52417E6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Sijismo</w:t>
            </w:r>
          </w:p>
        </w:tc>
        <w:tc>
          <w:tcPr>
            <w:tcW w:w="992" w:type="dxa"/>
            <w:shd w:val="clear" w:color="auto" w:fill="auto"/>
            <w:vAlign w:val="bottom"/>
          </w:tcPr>
          <w:p w14:paraId="359A6279" w14:textId="0952997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7561CB">
              <w:rPr>
                <w:sz w:val="18"/>
              </w:rPr>
              <w:t xml:space="preserve"> </w:t>
            </w:r>
            <w:r w:rsidRPr="00DA21FF">
              <w:rPr>
                <w:sz w:val="18"/>
              </w:rPr>
              <w:t>316</w:t>
            </w:r>
          </w:p>
        </w:tc>
        <w:tc>
          <w:tcPr>
            <w:tcW w:w="850" w:type="dxa"/>
            <w:shd w:val="clear" w:color="auto" w:fill="auto"/>
            <w:vAlign w:val="bottom"/>
          </w:tcPr>
          <w:p w14:paraId="7EC092D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0,6</w:t>
            </w:r>
          </w:p>
        </w:tc>
        <w:tc>
          <w:tcPr>
            <w:tcW w:w="851" w:type="dxa"/>
            <w:shd w:val="clear" w:color="auto" w:fill="auto"/>
            <w:vAlign w:val="bottom"/>
          </w:tcPr>
          <w:p w14:paraId="3CCF69D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0,0</w:t>
            </w:r>
          </w:p>
        </w:tc>
        <w:tc>
          <w:tcPr>
            <w:tcW w:w="849" w:type="dxa"/>
            <w:shd w:val="clear" w:color="auto" w:fill="auto"/>
            <w:vAlign w:val="bottom"/>
          </w:tcPr>
          <w:p w14:paraId="7C1BA4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w:t>
            </w:r>
          </w:p>
        </w:tc>
      </w:tr>
      <w:tr w:rsidR="00680417" w:rsidRPr="00DA21FF" w14:paraId="053CA57C" w14:textId="77777777" w:rsidTr="00BC4122">
        <w:trPr>
          <w:trHeight w:val="240"/>
        </w:trPr>
        <w:tc>
          <w:tcPr>
            <w:tcW w:w="3828" w:type="dxa"/>
            <w:shd w:val="clear" w:color="auto" w:fill="auto"/>
          </w:tcPr>
          <w:p w14:paraId="431948E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Filosofía de vida</w:t>
            </w:r>
          </w:p>
        </w:tc>
        <w:tc>
          <w:tcPr>
            <w:tcW w:w="992" w:type="dxa"/>
            <w:shd w:val="clear" w:color="auto" w:fill="auto"/>
            <w:vAlign w:val="bottom"/>
          </w:tcPr>
          <w:p w14:paraId="3C0E5175" w14:textId="5F47495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120</w:t>
            </w:r>
            <w:r w:rsidR="007561CB">
              <w:rPr>
                <w:sz w:val="18"/>
              </w:rPr>
              <w:t xml:space="preserve"> </w:t>
            </w:r>
            <w:r w:rsidRPr="00DA21FF">
              <w:rPr>
                <w:sz w:val="18"/>
              </w:rPr>
              <w:t>726</w:t>
            </w:r>
          </w:p>
        </w:tc>
        <w:tc>
          <w:tcPr>
            <w:tcW w:w="850" w:type="dxa"/>
            <w:shd w:val="clear" w:color="auto" w:fill="auto"/>
            <w:vAlign w:val="bottom"/>
          </w:tcPr>
          <w:p w14:paraId="0C57CE4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16,7</w:t>
            </w:r>
          </w:p>
        </w:tc>
        <w:tc>
          <w:tcPr>
            <w:tcW w:w="851" w:type="dxa"/>
            <w:shd w:val="clear" w:color="auto" w:fill="auto"/>
            <w:vAlign w:val="bottom"/>
          </w:tcPr>
          <w:p w14:paraId="1F91F6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13,0</w:t>
            </w:r>
          </w:p>
        </w:tc>
        <w:tc>
          <w:tcPr>
            <w:tcW w:w="849" w:type="dxa"/>
            <w:shd w:val="clear" w:color="auto" w:fill="auto"/>
            <w:vAlign w:val="bottom"/>
          </w:tcPr>
          <w:p w14:paraId="3DA886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25,4</w:t>
            </w:r>
          </w:p>
        </w:tc>
      </w:tr>
      <w:tr w:rsidR="00680417" w:rsidRPr="00DA21FF" w14:paraId="234EA06D" w14:textId="77777777" w:rsidTr="00BC4122">
        <w:trPr>
          <w:trHeight w:val="240"/>
        </w:trPr>
        <w:tc>
          <w:tcPr>
            <w:tcW w:w="3828" w:type="dxa"/>
            <w:tcBorders>
              <w:bottom w:val="single" w:sz="12" w:space="0" w:color="auto"/>
            </w:tcBorders>
            <w:shd w:val="clear" w:color="auto" w:fill="auto"/>
          </w:tcPr>
          <w:p w14:paraId="02A5366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Otras comunidades religiosas y de filosofías de vida</w:t>
            </w:r>
          </w:p>
        </w:tc>
        <w:tc>
          <w:tcPr>
            <w:tcW w:w="992" w:type="dxa"/>
            <w:tcBorders>
              <w:bottom w:val="single" w:sz="12" w:space="0" w:color="auto"/>
            </w:tcBorders>
            <w:shd w:val="clear" w:color="auto" w:fill="auto"/>
            <w:vAlign w:val="bottom"/>
          </w:tcPr>
          <w:p w14:paraId="1723E0C9" w14:textId="3CCAF3B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7561CB">
              <w:rPr>
                <w:sz w:val="18"/>
              </w:rPr>
              <w:t xml:space="preserve"> </w:t>
            </w:r>
            <w:r w:rsidRPr="00DA21FF">
              <w:rPr>
                <w:sz w:val="18"/>
              </w:rPr>
              <w:t>424</w:t>
            </w:r>
          </w:p>
        </w:tc>
        <w:tc>
          <w:tcPr>
            <w:tcW w:w="850" w:type="dxa"/>
            <w:tcBorders>
              <w:bottom w:val="single" w:sz="12" w:space="0" w:color="auto"/>
            </w:tcBorders>
            <w:shd w:val="clear" w:color="auto" w:fill="auto"/>
            <w:vAlign w:val="bottom"/>
          </w:tcPr>
          <w:p w14:paraId="567345A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0,5</w:t>
            </w:r>
          </w:p>
        </w:tc>
        <w:tc>
          <w:tcPr>
            <w:tcW w:w="851" w:type="dxa"/>
            <w:tcBorders>
              <w:bottom w:val="single" w:sz="12" w:space="0" w:color="auto"/>
            </w:tcBorders>
            <w:shd w:val="clear" w:color="auto" w:fill="auto"/>
            <w:vAlign w:val="bottom"/>
          </w:tcPr>
          <w:p w14:paraId="1F44F9B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11,7</w:t>
            </w:r>
          </w:p>
        </w:tc>
        <w:tc>
          <w:tcPr>
            <w:tcW w:w="849" w:type="dxa"/>
            <w:tcBorders>
              <w:bottom w:val="single" w:sz="12" w:space="0" w:color="auto"/>
            </w:tcBorders>
            <w:shd w:val="clear" w:color="auto" w:fill="auto"/>
            <w:vAlign w:val="bottom"/>
          </w:tcPr>
          <w:p w14:paraId="342C51E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40,4</w:t>
            </w:r>
          </w:p>
        </w:tc>
      </w:tr>
    </w:tbl>
    <w:p w14:paraId="1A6D2E19" w14:textId="77777777" w:rsidR="00DA21FF" w:rsidRPr="00DA21FF" w:rsidRDefault="00DA21FF" w:rsidP="00367431">
      <w:pPr>
        <w:pStyle w:val="SingleTxtG"/>
        <w:spacing w:before="120" w:after="0"/>
        <w:ind w:firstLine="170"/>
        <w:jc w:val="left"/>
        <w:rPr>
          <w:sz w:val="18"/>
          <w:szCs w:val="18"/>
          <w:lang w:val="en-GB"/>
        </w:rPr>
      </w:pPr>
      <w:r w:rsidRPr="00DA21FF">
        <w:rPr>
          <w:i/>
          <w:sz w:val="18"/>
          <w:szCs w:val="18"/>
        </w:rPr>
        <w:t>Fuente:</w:t>
      </w:r>
      <w:r w:rsidRPr="00DA21FF">
        <w:rPr>
          <w:sz w:val="18"/>
          <w:szCs w:val="18"/>
        </w:rPr>
        <w:t xml:space="preserve"> Instituto Nacional de Estadística de Noruega.</w:t>
      </w:r>
    </w:p>
    <w:p w14:paraId="698E26E8" w14:textId="14E2E008" w:rsidR="00DA21FF" w:rsidRPr="00DA21FF" w:rsidRDefault="00DA21FF" w:rsidP="00367431">
      <w:pPr>
        <w:pStyle w:val="SingleTxtG"/>
        <w:spacing w:after="240"/>
        <w:ind w:firstLine="170"/>
        <w:jc w:val="left"/>
        <w:rPr>
          <w:sz w:val="18"/>
          <w:szCs w:val="18"/>
          <w:lang w:val="en-GB"/>
        </w:rPr>
      </w:pPr>
      <w:r w:rsidRPr="00DA21FF">
        <w:rPr>
          <w:sz w:val="18"/>
          <w:szCs w:val="18"/>
          <w:vertAlign w:val="superscript"/>
        </w:rPr>
        <w:t>1</w:t>
      </w:r>
      <w:r w:rsidRPr="00DA21FF">
        <w:rPr>
          <w:sz w:val="18"/>
          <w:szCs w:val="18"/>
        </w:rPr>
        <w:t xml:space="preserve"> </w:t>
      </w:r>
      <w:r w:rsidR="00367431">
        <w:rPr>
          <w:sz w:val="18"/>
          <w:szCs w:val="18"/>
        </w:rPr>
        <w:t xml:space="preserve"> </w:t>
      </w:r>
      <w:r w:rsidRPr="00DA21FF">
        <w:rPr>
          <w:sz w:val="18"/>
          <w:szCs w:val="18"/>
        </w:rPr>
        <w:t>Solo incluye a los afiliados que han recibido una subvención pública.</w:t>
      </w:r>
    </w:p>
    <w:p w14:paraId="0D778A78" w14:textId="77777777" w:rsidR="00DA21FF" w:rsidRPr="00DA21FF" w:rsidRDefault="00DA21FF" w:rsidP="00DA21FF">
      <w:pPr>
        <w:pStyle w:val="SingleTxtG"/>
        <w:rPr>
          <w:lang w:val="en-GB"/>
        </w:rPr>
      </w:pPr>
      <w:r w:rsidRPr="00DA21FF">
        <w:t>11.</w:t>
      </w:r>
      <w:r w:rsidRPr="00DA21FF">
        <w:tab/>
        <w:t xml:space="preserve">En 2020, el 17,6 % de la población noruega (15 a 66 años) respondió en la encuesta de población activa que tenía una </w:t>
      </w:r>
      <w:r w:rsidRPr="00373B5F">
        <w:rPr>
          <w:u w:val="single"/>
        </w:rPr>
        <w:t>discapacidad</w:t>
      </w:r>
      <w:r w:rsidRPr="00DA21FF">
        <w:t xml:space="preserve"> (el 15,5 % de los hombres y el 19,9 % de las mujeres encuestados).</w:t>
      </w:r>
    </w:p>
    <w:bookmarkEnd w:id="15"/>
    <w:bookmarkEnd w:id="16"/>
    <w:p w14:paraId="3E07DE8F" w14:textId="0B1BFA2C" w:rsidR="00DA21FF" w:rsidRPr="00DA21FF" w:rsidRDefault="00DA21FF" w:rsidP="00367431">
      <w:pPr>
        <w:pStyle w:val="H23G"/>
        <w:rPr>
          <w:lang w:val="en-GB"/>
        </w:rPr>
      </w:pPr>
      <w:r w:rsidRPr="00DA21FF">
        <w:tab/>
        <w:t>b)</w:t>
      </w:r>
      <w:r w:rsidRPr="00DA21FF">
        <w:tab/>
        <w:t>Economía</w:t>
      </w:r>
      <w:bookmarkStart w:id="17" w:name="_Hlk166251663"/>
    </w:p>
    <w:p w14:paraId="4EF1D9EF" w14:textId="77777777" w:rsidR="00DA21FF" w:rsidRPr="00DA21FF" w:rsidRDefault="00DA21FF" w:rsidP="00DA21FF">
      <w:pPr>
        <w:pStyle w:val="SingleTxtG"/>
        <w:rPr>
          <w:lang w:val="en-GB"/>
        </w:rPr>
      </w:pPr>
      <w:r w:rsidRPr="00DA21FF">
        <w:t>12.</w:t>
      </w:r>
      <w:r w:rsidRPr="00DA21FF">
        <w:tab/>
        <w:t xml:space="preserve">Noruega es un país rico en </w:t>
      </w:r>
      <w:r w:rsidRPr="00373B5F">
        <w:rPr>
          <w:u w:val="single"/>
        </w:rPr>
        <w:t>recursos naturales</w:t>
      </w:r>
      <w:r w:rsidRPr="00DA21FF">
        <w:t>: petróleo y gas natural en alta mar, minerales diversos, pesca, madera y energía hidroeléctrica. Noruega es el octavo exportador neto de petróleo (2022), el cuarto exportador neto de gas natural (2023) y el séptimo productor de energía hidroeléctrica (2022) del mundo. Gracias en parte a estos recursos naturales, Noruega se ha convertido en uno de los países más ricos del mundo, medido en producto interno bruto (PIB) per cápita.</w:t>
      </w:r>
    </w:p>
    <w:p w14:paraId="2F427254" w14:textId="77777777" w:rsidR="00DA21FF" w:rsidRPr="00DA21FF" w:rsidRDefault="00DA21FF" w:rsidP="00DA21FF">
      <w:pPr>
        <w:pStyle w:val="SingleTxtG"/>
        <w:rPr>
          <w:lang w:val="en-GB"/>
        </w:rPr>
      </w:pPr>
      <w:r w:rsidRPr="00DA21FF">
        <w:t>13.</w:t>
      </w:r>
      <w:r w:rsidRPr="00DA21FF">
        <w:tab/>
        <w:t xml:space="preserve">Otras razones importantes de la riqueza de Noruega son su proximidad a los mercados de Europa Occidental, el fácil acceso a la energía, la estabilidad política y el alto nivel educativo. </w:t>
      </w:r>
    </w:p>
    <w:p w14:paraId="2328C574" w14:textId="77777777" w:rsidR="00DA21FF" w:rsidRPr="00DA21FF" w:rsidRDefault="00DA21FF" w:rsidP="00DA21FF">
      <w:pPr>
        <w:pStyle w:val="SingleTxtG"/>
        <w:rPr>
          <w:lang w:val="en-GB"/>
        </w:rPr>
      </w:pPr>
      <w:r w:rsidRPr="00DA21FF">
        <w:t>14.</w:t>
      </w:r>
      <w:r w:rsidRPr="00DA21FF">
        <w:tab/>
        <w:t xml:space="preserve">Noruega es una </w:t>
      </w:r>
      <w:r w:rsidRPr="00373B5F">
        <w:rPr>
          <w:u w:val="single"/>
        </w:rPr>
        <w:t>economía mixta</w:t>
      </w:r>
      <w:r w:rsidRPr="00DA21FF">
        <w:t xml:space="preserve"> con mercados que funcionan bien y barreras comerciales generalmente bajas. Una parte considerable de la economía consiste en industrias de servicios, como las industrias mayoristas y minoristas, la banca, la ingeniería y los servicios del sector público. En 2023, el sector servicios representó casi el 80 % del empleo total. </w:t>
      </w:r>
    </w:p>
    <w:p w14:paraId="6E2BAACF" w14:textId="77777777" w:rsidR="00DA21FF" w:rsidRPr="00DA21FF" w:rsidRDefault="00DA21FF" w:rsidP="00DA21FF">
      <w:pPr>
        <w:pStyle w:val="SingleTxtG"/>
        <w:rPr>
          <w:lang w:val="en-GB"/>
        </w:rPr>
      </w:pPr>
      <w:r w:rsidRPr="00DA21FF">
        <w:t>15.</w:t>
      </w:r>
      <w:r w:rsidRPr="00DA21FF">
        <w:tab/>
        <w:t xml:space="preserve">En 2023, el </w:t>
      </w:r>
      <w:r w:rsidRPr="00373B5F">
        <w:rPr>
          <w:u w:val="single"/>
        </w:rPr>
        <w:t>sector manufacturero</w:t>
      </w:r>
      <w:r w:rsidRPr="00DA21FF">
        <w:t xml:space="preserve"> representaba alrededor del 9 % del valor agregado de la economía continental. Las principales industrias manufactureras de Noruega son maquinaria y equipos, alimentos y bebidas, petróleo refinado, productos químicos y farmacéuticos, construcción naval y de plataformas petrolíferas, así como reparación e instalación de maquinaria y equipos. Una moneda más débil (la corona noruega) ha </w:t>
      </w:r>
      <w:r w:rsidRPr="00DA21FF">
        <w:lastRenderedPageBreak/>
        <w:t>contribuido a mejorar notablemente la competitividad de la industria manufacturera noruega, lo que se ha traducido en un elevado crecimiento de las exportaciones en los últimos años.</w:t>
      </w:r>
    </w:p>
    <w:p w14:paraId="1C44C5D5" w14:textId="77777777" w:rsidR="00DA21FF" w:rsidRPr="00DA21FF" w:rsidRDefault="00DA21FF" w:rsidP="00DA21FF">
      <w:pPr>
        <w:pStyle w:val="SingleTxtG"/>
        <w:rPr>
          <w:lang w:val="en-GB"/>
        </w:rPr>
      </w:pPr>
      <w:r w:rsidRPr="00DA21FF">
        <w:t>16.</w:t>
      </w:r>
      <w:r w:rsidRPr="00DA21FF">
        <w:tab/>
        <w:t xml:space="preserve">Desde el inicio de la producción de petróleo en el Mar del Norte en 1971, Noruega ha desarrollado un vasto sector petrolero. Durante más de 40 años, este sector ha contribuido considerablemente al crecimiento económico. La producción de petróleo alcanzó su punto máximo a principios de la década de 2000 y desde entonces ha disminuido apreciablemente. Sin embargo, un aumento sustancial de la producción de gas ha contribuido a amortiguar el descenso de la producción total de petróleo. En 2023, más del 40 % de los ingresos públicos procedían del sector petrolero. </w:t>
      </w:r>
    </w:p>
    <w:p w14:paraId="15662EF5" w14:textId="77777777" w:rsidR="00DA21FF" w:rsidRPr="00DA21FF" w:rsidRDefault="00DA21FF" w:rsidP="00DA21FF">
      <w:pPr>
        <w:pStyle w:val="SingleTxtG"/>
        <w:rPr>
          <w:lang w:val="en-GB"/>
        </w:rPr>
      </w:pPr>
      <w:r w:rsidRPr="00DA21FF">
        <w:t>17.</w:t>
      </w:r>
      <w:r w:rsidRPr="00DA21FF">
        <w:tab/>
        <w:t>En 2023, el producto interno bruto (PIB) de Noruega ascendió a 5,129 billones de coronas noruegas (</w:t>
      </w:r>
      <w:proofErr w:type="spellStart"/>
      <w:r w:rsidRPr="00DA21FF">
        <w:t>NKr</w:t>
      </w:r>
      <w:proofErr w:type="spellEnd"/>
      <w:r w:rsidRPr="00DA21FF">
        <w:t>), o aproximadamente 485.000 millones de dólares de los Estados Unidos ($EE.UU.)</w:t>
      </w:r>
      <w:r w:rsidRPr="00653C36">
        <w:rPr>
          <w:sz w:val="18"/>
          <w:szCs w:val="18"/>
          <w:vertAlign w:val="superscript"/>
        </w:rPr>
        <w:footnoteReference w:id="2"/>
      </w:r>
      <w:r w:rsidRPr="00DA21FF">
        <w:t>. A precios constantes, el PIB era un 0,5 % más alto en 2023 que en 2022</w:t>
      </w:r>
      <w:r w:rsidRPr="00653C36">
        <w:rPr>
          <w:sz w:val="18"/>
          <w:szCs w:val="18"/>
          <w:vertAlign w:val="superscript"/>
        </w:rPr>
        <w:footnoteReference w:id="3"/>
      </w:r>
      <w:r w:rsidRPr="00DA21FF">
        <w:t xml:space="preserve">. En 2023, los activos exteriores totales ascendían a 25,975 billones de coronas noruegas y los pasivos a 10,693 billones, lo que arrojaba un superávit exterior neto de 15,282 billones de coronas noruegas. </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4974"/>
        <w:gridCol w:w="896"/>
        <w:gridCol w:w="942"/>
        <w:gridCol w:w="942"/>
        <w:gridCol w:w="942"/>
        <w:gridCol w:w="942"/>
      </w:tblGrid>
      <w:tr w:rsidR="00680417" w:rsidRPr="00680417" w14:paraId="1FDA945F" w14:textId="77777777" w:rsidTr="004D2A99">
        <w:trPr>
          <w:trHeight w:val="240"/>
          <w:tblHeader/>
        </w:trPr>
        <w:tc>
          <w:tcPr>
            <w:tcW w:w="2107" w:type="pct"/>
            <w:tcBorders>
              <w:top w:val="single" w:sz="4" w:space="0" w:color="auto"/>
              <w:bottom w:val="single" w:sz="12" w:space="0" w:color="auto"/>
            </w:tcBorders>
            <w:shd w:val="clear" w:color="auto" w:fill="auto"/>
            <w:noWrap/>
            <w:vAlign w:val="bottom"/>
          </w:tcPr>
          <w:p w14:paraId="0C2437C9"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560" w:type="pct"/>
            <w:tcBorders>
              <w:top w:val="single" w:sz="4" w:space="0" w:color="auto"/>
              <w:bottom w:val="single" w:sz="12" w:space="0" w:color="auto"/>
            </w:tcBorders>
            <w:shd w:val="clear" w:color="auto" w:fill="auto"/>
            <w:vAlign w:val="bottom"/>
          </w:tcPr>
          <w:p w14:paraId="647CD82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583" w:type="pct"/>
            <w:tcBorders>
              <w:top w:val="single" w:sz="4" w:space="0" w:color="auto"/>
              <w:bottom w:val="single" w:sz="12" w:space="0" w:color="auto"/>
            </w:tcBorders>
            <w:shd w:val="clear" w:color="auto" w:fill="auto"/>
            <w:noWrap/>
            <w:vAlign w:val="bottom"/>
          </w:tcPr>
          <w:p w14:paraId="247C807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583" w:type="pct"/>
            <w:tcBorders>
              <w:top w:val="single" w:sz="4" w:space="0" w:color="auto"/>
              <w:bottom w:val="single" w:sz="12" w:space="0" w:color="auto"/>
            </w:tcBorders>
            <w:shd w:val="clear" w:color="auto" w:fill="auto"/>
            <w:noWrap/>
            <w:vAlign w:val="bottom"/>
          </w:tcPr>
          <w:p w14:paraId="57586510"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2021</w:t>
            </w:r>
          </w:p>
        </w:tc>
        <w:tc>
          <w:tcPr>
            <w:tcW w:w="583" w:type="pct"/>
            <w:tcBorders>
              <w:top w:val="single" w:sz="4" w:space="0" w:color="auto"/>
              <w:bottom w:val="single" w:sz="12" w:space="0" w:color="auto"/>
            </w:tcBorders>
            <w:shd w:val="clear" w:color="auto" w:fill="auto"/>
            <w:noWrap/>
            <w:vAlign w:val="bottom"/>
          </w:tcPr>
          <w:p w14:paraId="7529F3D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c>
          <w:tcPr>
            <w:tcW w:w="583" w:type="pct"/>
            <w:tcBorders>
              <w:top w:val="single" w:sz="4" w:space="0" w:color="auto"/>
              <w:bottom w:val="single" w:sz="12" w:space="0" w:color="auto"/>
            </w:tcBorders>
            <w:shd w:val="clear" w:color="auto" w:fill="auto"/>
            <w:noWrap/>
            <w:vAlign w:val="bottom"/>
          </w:tcPr>
          <w:p w14:paraId="657DA2C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2023</w:t>
            </w:r>
          </w:p>
        </w:tc>
      </w:tr>
      <w:tr w:rsidR="00680417" w:rsidRPr="00DA21FF" w14:paraId="1EE40396" w14:textId="77777777" w:rsidTr="004D2A99">
        <w:trPr>
          <w:trHeight w:val="240"/>
        </w:trPr>
        <w:tc>
          <w:tcPr>
            <w:tcW w:w="2107" w:type="pct"/>
            <w:tcBorders>
              <w:top w:val="single" w:sz="12" w:space="0" w:color="auto"/>
            </w:tcBorders>
            <w:shd w:val="clear" w:color="auto" w:fill="auto"/>
            <w:noWrap/>
          </w:tcPr>
          <w:p w14:paraId="1F7ABF7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Producto interno bruto (PIB) (en precios corrientes) millones de </w:t>
            </w:r>
            <w:proofErr w:type="spellStart"/>
            <w:r w:rsidRPr="00DA21FF">
              <w:rPr>
                <w:sz w:val="18"/>
              </w:rPr>
              <w:t>NKr</w:t>
            </w:r>
            <w:proofErr w:type="spellEnd"/>
          </w:p>
        </w:tc>
        <w:tc>
          <w:tcPr>
            <w:tcW w:w="560" w:type="pct"/>
            <w:tcBorders>
              <w:top w:val="single" w:sz="12" w:space="0" w:color="auto"/>
            </w:tcBorders>
            <w:shd w:val="clear" w:color="auto" w:fill="auto"/>
            <w:vAlign w:val="bottom"/>
          </w:tcPr>
          <w:p w14:paraId="430F8ECC" w14:textId="5BBC4A6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4D2A99">
              <w:rPr>
                <w:sz w:val="18"/>
              </w:rPr>
              <w:t xml:space="preserve"> </w:t>
            </w:r>
            <w:r w:rsidRPr="00DA21FF">
              <w:rPr>
                <w:sz w:val="18"/>
              </w:rPr>
              <w:t>596</w:t>
            </w:r>
            <w:r w:rsidR="004D2A99">
              <w:rPr>
                <w:sz w:val="18"/>
              </w:rPr>
              <w:t xml:space="preserve"> </w:t>
            </w:r>
            <w:r w:rsidRPr="00DA21FF">
              <w:rPr>
                <w:sz w:val="18"/>
              </w:rPr>
              <w:t>937</w:t>
            </w:r>
          </w:p>
        </w:tc>
        <w:tc>
          <w:tcPr>
            <w:tcW w:w="583" w:type="pct"/>
            <w:tcBorders>
              <w:top w:val="single" w:sz="12" w:space="0" w:color="auto"/>
            </w:tcBorders>
            <w:shd w:val="clear" w:color="auto" w:fill="auto"/>
            <w:noWrap/>
            <w:vAlign w:val="bottom"/>
          </w:tcPr>
          <w:p w14:paraId="46E5F0CA" w14:textId="46A1A10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4D2A99">
              <w:rPr>
                <w:sz w:val="18"/>
              </w:rPr>
              <w:t xml:space="preserve"> </w:t>
            </w:r>
            <w:r w:rsidRPr="00DA21FF">
              <w:rPr>
                <w:sz w:val="18"/>
              </w:rPr>
              <w:t>461</w:t>
            </w:r>
            <w:r w:rsidR="004D2A99">
              <w:rPr>
                <w:sz w:val="18"/>
              </w:rPr>
              <w:t xml:space="preserve"> </w:t>
            </w:r>
            <w:r w:rsidRPr="00DA21FF">
              <w:rPr>
                <w:sz w:val="18"/>
              </w:rPr>
              <w:t>575</w:t>
            </w:r>
          </w:p>
        </w:tc>
        <w:tc>
          <w:tcPr>
            <w:tcW w:w="583" w:type="pct"/>
            <w:tcBorders>
              <w:top w:val="single" w:sz="12" w:space="0" w:color="auto"/>
            </w:tcBorders>
            <w:shd w:val="clear" w:color="auto" w:fill="auto"/>
            <w:noWrap/>
            <w:vAlign w:val="bottom"/>
          </w:tcPr>
          <w:p w14:paraId="7E535690" w14:textId="0705F3A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4D2A99">
              <w:rPr>
                <w:sz w:val="18"/>
              </w:rPr>
              <w:t xml:space="preserve"> </w:t>
            </w:r>
            <w:r w:rsidRPr="00DA21FF">
              <w:rPr>
                <w:sz w:val="18"/>
              </w:rPr>
              <w:t>323</w:t>
            </w:r>
            <w:r w:rsidR="004D2A99">
              <w:rPr>
                <w:sz w:val="18"/>
              </w:rPr>
              <w:t xml:space="preserve"> </w:t>
            </w:r>
            <w:r w:rsidRPr="00DA21FF">
              <w:rPr>
                <w:sz w:val="18"/>
              </w:rPr>
              <w:t>931</w:t>
            </w:r>
          </w:p>
        </w:tc>
        <w:tc>
          <w:tcPr>
            <w:tcW w:w="583" w:type="pct"/>
            <w:tcBorders>
              <w:top w:val="single" w:sz="12" w:space="0" w:color="auto"/>
            </w:tcBorders>
            <w:shd w:val="clear" w:color="auto" w:fill="auto"/>
            <w:noWrap/>
            <w:vAlign w:val="bottom"/>
          </w:tcPr>
          <w:p w14:paraId="5E2CC2B4" w14:textId="44524D8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4D2A99">
              <w:rPr>
                <w:sz w:val="18"/>
              </w:rPr>
              <w:t xml:space="preserve"> </w:t>
            </w:r>
            <w:r w:rsidRPr="00DA21FF">
              <w:rPr>
                <w:sz w:val="18"/>
              </w:rPr>
              <w:t>708</w:t>
            </w:r>
            <w:r w:rsidR="004D2A99">
              <w:rPr>
                <w:sz w:val="18"/>
              </w:rPr>
              <w:t xml:space="preserve"> </w:t>
            </w:r>
            <w:r w:rsidRPr="00DA21FF">
              <w:rPr>
                <w:sz w:val="18"/>
              </w:rPr>
              <w:t>190</w:t>
            </w:r>
          </w:p>
        </w:tc>
        <w:tc>
          <w:tcPr>
            <w:tcW w:w="583" w:type="pct"/>
            <w:tcBorders>
              <w:top w:val="single" w:sz="12" w:space="0" w:color="auto"/>
            </w:tcBorders>
            <w:shd w:val="clear" w:color="auto" w:fill="auto"/>
            <w:noWrap/>
            <w:vAlign w:val="bottom"/>
          </w:tcPr>
          <w:p w14:paraId="76365EE9" w14:textId="50F8BCD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4D2A99">
              <w:rPr>
                <w:sz w:val="18"/>
              </w:rPr>
              <w:t xml:space="preserve"> </w:t>
            </w:r>
            <w:r w:rsidRPr="00DA21FF">
              <w:rPr>
                <w:sz w:val="18"/>
              </w:rPr>
              <w:t>128</w:t>
            </w:r>
            <w:r w:rsidR="004D2A99">
              <w:rPr>
                <w:sz w:val="18"/>
              </w:rPr>
              <w:t xml:space="preserve"> </w:t>
            </w:r>
            <w:r w:rsidRPr="00DA21FF">
              <w:rPr>
                <w:sz w:val="18"/>
              </w:rPr>
              <w:t>639</w:t>
            </w:r>
          </w:p>
        </w:tc>
      </w:tr>
      <w:tr w:rsidR="00680417" w:rsidRPr="00DA21FF" w14:paraId="01AE5713" w14:textId="77777777" w:rsidTr="004D2A99">
        <w:trPr>
          <w:trHeight w:val="240"/>
        </w:trPr>
        <w:tc>
          <w:tcPr>
            <w:tcW w:w="2107" w:type="pct"/>
            <w:shd w:val="clear" w:color="auto" w:fill="auto"/>
            <w:noWrap/>
          </w:tcPr>
          <w:p w14:paraId="2C6A5D8C" w14:textId="1D33E1B8"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Tasa de crecimiento anual (</w:t>
            </w:r>
            <w:r w:rsidR="004D2A99">
              <w:rPr>
                <w:sz w:val="18"/>
              </w:rPr>
              <w:t>porcentaje</w:t>
            </w:r>
            <w:r w:rsidRPr="00DA21FF">
              <w:rPr>
                <w:sz w:val="18"/>
              </w:rPr>
              <w:t>)</w:t>
            </w:r>
          </w:p>
        </w:tc>
        <w:tc>
          <w:tcPr>
            <w:tcW w:w="560" w:type="pct"/>
            <w:shd w:val="clear" w:color="auto" w:fill="auto"/>
            <w:vAlign w:val="bottom"/>
          </w:tcPr>
          <w:p w14:paraId="0793855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c>
          <w:tcPr>
            <w:tcW w:w="583" w:type="pct"/>
            <w:shd w:val="clear" w:color="auto" w:fill="auto"/>
            <w:noWrap/>
            <w:vAlign w:val="bottom"/>
          </w:tcPr>
          <w:p w14:paraId="416F77BB" w14:textId="7BD03B0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4D2A99">
              <w:rPr>
                <w:sz w:val="18"/>
              </w:rPr>
              <w:t xml:space="preserve"> </w:t>
            </w:r>
            <w:r w:rsidRPr="00DA21FF">
              <w:rPr>
                <w:sz w:val="18"/>
              </w:rPr>
              <w:t>3</w:t>
            </w:r>
          </w:p>
        </w:tc>
        <w:tc>
          <w:tcPr>
            <w:tcW w:w="583" w:type="pct"/>
            <w:shd w:val="clear" w:color="auto" w:fill="auto"/>
            <w:noWrap/>
            <w:vAlign w:val="bottom"/>
          </w:tcPr>
          <w:p w14:paraId="6C5116F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c>
          <w:tcPr>
            <w:tcW w:w="583" w:type="pct"/>
            <w:shd w:val="clear" w:color="auto" w:fill="auto"/>
            <w:noWrap/>
            <w:vAlign w:val="bottom"/>
          </w:tcPr>
          <w:p w14:paraId="7DEA563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w:t>
            </w:r>
          </w:p>
        </w:tc>
        <w:tc>
          <w:tcPr>
            <w:tcW w:w="583" w:type="pct"/>
            <w:shd w:val="clear" w:color="auto" w:fill="auto"/>
            <w:noWrap/>
            <w:vAlign w:val="bottom"/>
          </w:tcPr>
          <w:p w14:paraId="21F9A7F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0,5</w:t>
            </w:r>
          </w:p>
        </w:tc>
      </w:tr>
      <w:tr w:rsidR="00680417" w:rsidRPr="00DA21FF" w14:paraId="3CF555BD" w14:textId="77777777" w:rsidTr="004D2A99">
        <w:trPr>
          <w:trHeight w:val="240"/>
        </w:trPr>
        <w:tc>
          <w:tcPr>
            <w:tcW w:w="2107" w:type="pct"/>
            <w:shd w:val="clear" w:color="auto" w:fill="auto"/>
            <w:noWrap/>
          </w:tcPr>
          <w:p w14:paraId="184F364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Ingreso nacional bruto (</w:t>
            </w:r>
            <w:proofErr w:type="spellStart"/>
            <w:r w:rsidRPr="00DA21FF">
              <w:rPr>
                <w:sz w:val="18"/>
              </w:rPr>
              <w:t>INB</w:t>
            </w:r>
            <w:proofErr w:type="spellEnd"/>
            <w:r w:rsidRPr="00DA21FF">
              <w:rPr>
                <w:sz w:val="18"/>
              </w:rPr>
              <w:t xml:space="preserve">) en millones de </w:t>
            </w:r>
            <w:proofErr w:type="spellStart"/>
            <w:r w:rsidRPr="00DA21FF">
              <w:rPr>
                <w:sz w:val="18"/>
              </w:rPr>
              <w:t>NKr</w:t>
            </w:r>
            <w:proofErr w:type="spellEnd"/>
          </w:p>
        </w:tc>
        <w:tc>
          <w:tcPr>
            <w:tcW w:w="560" w:type="pct"/>
            <w:shd w:val="clear" w:color="auto" w:fill="auto"/>
            <w:vAlign w:val="bottom"/>
          </w:tcPr>
          <w:p w14:paraId="31E28C2E" w14:textId="0610BCF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4D2A99">
              <w:rPr>
                <w:sz w:val="18"/>
              </w:rPr>
              <w:t xml:space="preserve"> </w:t>
            </w:r>
            <w:r w:rsidRPr="00DA21FF">
              <w:rPr>
                <w:sz w:val="18"/>
              </w:rPr>
              <w:t>706</w:t>
            </w:r>
            <w:r w:rsidR="004D2A99">
              <w:rPr>
                <w:sz w:val="18"/>
              </w:rPr>
              <w:t xml:space="preserve"> </w:t>
            </w:r>
            <w:r w:rsidRPr="00DA21FF">
              <w:rPr>
                <w:sz w:val="18"/>
              </w:rPr>
              <w:t>860</w:t>
            </w:r>
          </w:p>
        </w:tc>
        <w:tc>
          <w:tcPr>
            <w:tcW w:w="583" w:type="pct"/>
            <w:shd w:val="clear" w:color="auto" w:fill="auto"/>
            <w:noWrap/>
            <w:vAlign w:val="bottom"/>
          </w:tcPr>
          <w:p w14:paraId="5B287C47" w14:textId="1C5790B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4D2A99">
              <w:rPr>
                <w:sz w:val="18"/>
              </w:rPr>
              <w:t xml:space="preserve"> </w:t>
            </w:r>
            <w:r w:rsidRPr="00DA21FF">
              <w:rPr>
                <w:sz w:val="18"/>
              </w:rPr>
              <w:t>604</w:t>
            </w:r>
            <w:r w:rsidR="004D2A99">
              <w:rPr>
                <w:sz w:val="18"/>
              </w:rPr>
              <w:t xml:space="preserve"> </w:t>
            </w:r>
            <w:r w:rsidRPr="00DA21FF">
              <w:rPr>
                <w:sz w:val="18"/>
              </w:rPr>
              <w:t>709</w:t>
            </w:r>
          </w:p>
        </w:tc>
        <w:tc>
          <w:tcPr>
            <w:tcW w:w="583" w:type="pct"/>
            <w:shd w:val="clear" w:color="auto" w:fill="auto"/>
            <w:noWrap/>
            <w:vAlign w:val="bottom"/>
          </w:tcPr>
          <w:p w14:paraId="3B349925" w14:textId="6328863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4D2A99">
              <w:rPr>
                <w:sz w:val="18"/>
              </w:rPr>
              <w:t xml:space="preserve"> </w:t>
            </w:r>
            <w:r w:rsidRPr="00DA21FF">
              <w:rPr>
                <w:sz w:val="18"/>
              </w:rPr>
              <w:t>398</w:t>
            </w:r>
            <w:r w:rsidR="004D2A99">
              <w:rPr>
                <w:sz w:val="18"/>
              </w:rPr>
              <w:t xml:space="preserve"> </w:t>
            </w:r>
            <w:r w:rsidRPr="00DA21FF">
              <w:rPr>
                <w:sz w:val="18"/>
              </w:rPr>
              <w:t>889</w:t>
            </w:r>
          </w:p>
        </w:tc>
        <w:tc>
          <w:tcPr>
            <w:tcW w:w="583" w:type="pct"/>
            <w:shd w:val="clear" w:color="auto" w:fill="auto"/>
            <w:noWrap/>
            <w:vAlign w:val="bottom"/>
          </w:tcPr>
          <w:p w14:paraId="6BE3E2C0" w14:textId="6207BE3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4D2A99">
              <w:rPr>
                <w:sz w:val="18"/>
              </w:rPr>
              <w:t xml:space="preserve"> </w:t>
            </w:r>
            <w:r w:rsidRPr="00DA21FF">
              <w:rPr>
                <w:sz w:val="18"/>
              </w:rPr>
              <w:t>881</w:t>
            </w:r>
            <w:r w:rsidR="004D2A99">
              <w:rPr>
                <w:sz w:val="18"/>
              </w:rPr>
              <w:t xml:space="preserve"> </w:t>
            </w:r>
            <w:r w:rsidRPr="00DA21FF">
              <w:rPr>
                <w:sz w:val="18"/>
              </w:rPr>
              <w:t>194</w:t>
            </w:r>
          </w:p>
        </w:tc>
        <w:tc>
          <w:tcPr>
            <w:tcW w:w="583" w:type="pct"/>
            <w:shd w:val="clear" w:color="auto" w:fill="auto"/>
            <w:noWrap/>
            <w:vAlign w:val="bottom"/>
          </w:tcPr>
          <w:p w14:paraId="207ED670" w14:textId="534543C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r w:rsidR="004D2A99">
              <w:rPr>
                <w:sz w:val="18"/>
              </w:rPr>
              <w:t xml:space="preserve"> </w:t>
            </w:r>
            <w:r w:rsidRPr="00DA21FF">
              <w:rPr>
                <w:sz w:val="18"/>
              </w:rPr>
              <w:t>365</w:t>
            </w:r>
            <w:r w:rsidR="004D2A99">
              <w:rPr>
                <w:sz w:val="18"/>
              </w:rPr>
              <w:t xml:space="preserve"> </w:t>
            </w:r>
            <w:r w:rsidRPr="00DA21FF">
              <w:rPr>
                <w:sz w:val="18"/>
              </w:rPr>
              <w:t>180</w:t>
            </w:r>
          </w:p>
        </w:tc>
      </w:tr>
      <w:tr w:rsidR="00680417" w:rsidRPr="00DA21FF" w14:paraId="3C897C8E" w14:textId="77777777" w:rsidTr="004D2A99">
        <w:trPr>
          <w:trHeight w:val="240"/>
        </w:trPr>
        <w:tc>
          <w:tcPr>
            <w:tcW w:w="2107" w:type="pct"/>
            <w:shd w:val="clear" w:color="auto" w:fill="auto"/>
            <w:noWrap/>
          </w:tcPr>
          <w:p w14:paraId="2AE6FF5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PIB per cápita en </w:t>
            </w:r>
            <w:proofErr w:type="spellStart"/>
            <w:r w:rsidRPr="00DA21FF">
              <w:rPr>
                <w:sz w:val="18"/>
              </w:rPr>
              <w:t>NKr</w:t>
            </w:r>
            <w:proofErr w:type="spellEnd"/>
          </w:p>
        </w:tc>
        <w:tc>
          <w:tcPr>
            <w:tcW w:w="560" w:type="pct"/>
            <w:shd w:val="clear" w:color="auto" w:fill="auto"/>
            <w:vAlign w:val="bottom"/>
          </w:tcPr>
          <w:p w14:paraId="7ADE719C" w14:textId="26E2F9F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672</w:t>
            </w:r>
            <w:r w:rsidR="004D2A99">
              <w:rPr>
                <w:sz w:val="18"/>
              </w:rPr>
              <w:t xml:space="preserve"> </w:t>
            </w:r>
            <w:r w:rsidRPr="00DA21FF">
              <w:rPr>
                <w:sz w:val="18"/>
              </w:rPr>
              <w:t>589</w:t>
            </w:r>
          </w:p>
        </w:tc>
        <w:tc>
          <w:tcPr>
            <w:tcW w:w="583" w:type="pct"/>
            <w:shd w:val="clear" w:color="auto" w:fill="auto"/>
            <w:noWrap/>
            <w:vAlign w:val="bottom"/>
          </w:tcPr>
          <w:p w14:paraId="42B9790A" w14:textId="48DE25B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643</w:t>
            </w:r>
            <w:r w:rsidR="004D2A99">
              <w:rPr>
                <w:sz w:val="18"/>
              </w:rPr>
              <w:t xml:space="preserve"> </w:t>
            </w:r>
            <w:r w:rsidRPr="00DA21FF">
              <w:rPr>
                <w:sz w:val="18"/>
              </w:rPr>
              <w:t>478</w:t>
            </w:r>
          </w:p>
        </w:tc>
        <w:tc>
          <w:tcPr>
            <w:tcW w:w="583" w:type="pct"/>
            <w:shd w:val="clear" w:color="auto" w:fill="auto"/>
            <w:noWrap/>
            <w:vAlign w:val="bottom"/>
          </w:tcPr>
          <w:p w14:paraId="606548C7" w14:textId="75C6EE7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799</w:t>
            </w:r>
            <w:r w:rsidR="004D2A99">
              <w:rPr>
                <w:sz w:val="18"/>
              </w:rPr>
              <w:t xml:space="preserve"> </w:t>
            </w:r>
            <w:r w:rsidRPr="00DA21FF">
              <w:rPr>
                <w:sz w:val="18"/>
              </w:rPr>
              <w:t>497</w:t>
            </w:r>
          </w:p>
        </w:tc>
        <w:tc>
          <w:tcPr>
            <w:tcW w:w="583" w:type="pct"/>
            <w:shd w:val="clear" w:color="auto" w:fill="auto"/>
            <w:noWrap/>
            <w:vAlign w:val="bottom"/>
          </w:tcPr>
          <w:p w14:paraId="28A5D376" w14:textId="7EF3A25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4D2A99">
              <w:rPr>
                <w:sz w:val="18"/>
              </w:rPr>
              <w:t xml:space="preserve"> </w:t>
            </w:r>
            <w:r w:rsidRPr="00DA21FF">
              <w:rPr>
                <w:sz w:val="18"/>
              </w:rPr>
              <w:t>046</w:t>
            </w:r>
            <w:r w:rsidR="004D2A99">
              <w:rPr>
                <w:sz w:val="18"/>
              </w:rPr>
              <w:t xml:space="preserve"> </w:t>
            </w:r>
            <w:r w:rsidRPr="00DA21FF">
              <w:rPr>
                <w:sz w:val="18"/>
              </w:rPr>
              <w:t>006</w:t>
            </w:r>
          </w:p>
        </w:tc>
        <w:tc>
          <w:tcPr>
            <w:tcW w:w="583" w:type="pct"/>
            <w:shd w:val="clear" w:color="auto" w:fill="auto"/>
            <w:noWrap/>
            <w:vAlign w:val="bottom"/>
          </w:tcPr>
          <w:p w14:paraId="7CAE0F2F" w14:textId="6022A09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925</w:t>
            </w:r>
            <w:r w:rsidR="004D2A99">
              <w:rPr>
                <w:sz w:val="18"/>
              </w:rPr>
              <w:t xml:space="preserve"> </w:t>
            </w:r>
            <w:r w:rsidRPr="00DA21FF">
              <w:rPr>
                <w:sz w:val="18"/>
              </w:rPr>
              <w:t>431</w:t>
            </w:r>
          </w:p>
        </w:tc>
      </w:tr>
      <w:tr w:rsidR="00680417" w:rsidRPr="00DA21FF" w14:paraId="3D8A700F" w14:textId="77777777" w:rsidTr="004D2A99">
        <w:trPr>
          <w:trHeight w:val="240"/>
        </w:trPr>
        <w:tc>
          <w:tcPr>
            <w:tcW w:w="2107" w:type="pct"/>
            <w:tcBorders>
              <w:bottom w:val="single" w:sz="12" w:space="0" w:color="auto"/>
            </w:tcBorders>
            <w:shd w:val="clear" w:color="auto" w:fill="auto"/>
            <w:noWrap/>
          </w:tcPr>
          <w:p w14:paraId="017C1E7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INB</w:t>
            </w:r>
            <w:proofErr w:type="spellEnd"/>
            <w:r w:rsidRPr="00DA21FF">
              <w:rPr>
                <w:sz w:val="18"/>
              </w:rPr>
              <w:t xml:space="preserve"> per cápita en </w:t>
            </w:r>
            <w:proofErr w:type="spellStart"/>
            <w:r w:rsidRPr="00DA21FF">
              <w:rPr>
                <w:sz w:val="18"/>
              </w:rPr>
              <w:t>NKr</w:t>
            </w:r>
            <w:proofErr w:type="spellEnd"/>
          </w:p>
        </w:tc>
        <w:tc>
          <w:tcPr>
            <w:tcW w:w="560" w:type="pct"/>
            <w:tcBorders>
              <w:bottom w:val="single" w:sz="12" w:space="0" w:color="auto"/>
            </w:tcBorders>
            <w:shd w:val="clear" w:color="auto" w:fill="auto"/>
            <w:vAlign w:val="bottom"/>
          </w:tcPr>
          <w:p w14:paraId="11A89A23" w14:textId="1E01F1B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693</w:t>
            </w:r>
            <w:r w:rsidR="004D2A99">
              <w:rPr>
                <w:sz w:val="18"/>
              </w:rPr>
              <w:t xml:space="preserve"> </w:t>
            </w:r>
            <w:r w:rsidRPr="00DA21FF">
              <w:rPr>
                <w:sz w:val="18"/>
              </w:rPr>
              <w:t>144</w:t>
            </w:r>
          </w:p>
        </w:tc>
        <w:tc>
          <w:tcPr>
            <w:tcW w:w="583" w:type="pct"/>
            <w:tcBorders>
              <w:bottom w:val="single" w:sz="12" w:space="0" w:color="auto"/>
            </w:tcBorders>
            <w:shd w:val="clear" w:color="auto" w:fill="auto"/>
            <w:noWrap/>
            <w:vAlign w:val="bottom"/>
          </w:tcPr>
          <w:p w14:paraId="0C2DF654" w14:textId="459C686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670</w:t>
            </w:r>
            <w:r w:rsidR="004D2A99">
              <w:rPr>
                <w:sz w:val="18"/>
              </w:rPr>
              <w:t xml:space="preserve"> </w:t>
            </w:r>
            <w:r w:rsidRPr="00DA21FF">
              <w:rPr>
                <w:sz w:val="18"/>
              </w:rPr>
              <w:t>086</w:t>
            </w:r>
          </w:p>
        </w:tc>
        <w:tc>
          <w:tcPr>
            <w:tcW w:w="583" w:type="pct"/>
            <w:tcBorders>
              <w:bottom w:val="single" w:sz="12" w:space="0" w:color="auto"/>
            </w:tcBorders>
            <w:shd w:val="clear" w:color="auto" w:fill="auto"/>
            <w:noWrap/>
            <w:vAlign w:val="bottom"/>
          </w:tcPr>
          <w:p w14:paraId="5A4FA9AD" w14:textId="52E2173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813</w:t>
            </w:r>
            <w:r w:rsidR="004D2A99">
              <w:rPr>
                <w:sz w:val="18"/>
              </w:rPr>
              <w:t xml:space="preserve"> </w:t>
            </w:r>
            <w:r w:rsidRPr="00DA21FF">
              <w:rPr>
                <w:sz w:val="18"/>
              </w:rPr>
              <w:t>314</w:t>
            </w:r>
          </w:p>
        </w:tc>
        <w:tc>
          <w:tcPr>
            <w:tcW w:w="583" w:type="pct"/>
            <w:tcBorders>
              <w:bottom w:val="single" w:sz="12" w:space="0" w:color="auto"/>
            </w:tcBorders>
            <w:shd w:val="clear" w:color="auto" w:fill="auto"/>
            <w:noWrap/>
            <w:vAlign w:val="bottom"/>
          </w:tcPr>
          <w:p w14:paraId="3D2D3A09" w14:textId="3F001B9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4D2A99">
              <w:rPr>
                <w:sz w:val="18"/>
              </w:rPr>
              <w:t xml:space="preserve"> </w:t>
            </w:r>
            <w:r w:rsidRPr="00DA21FF">
              <w:rPr>
                <w:sz w:val="18"/>
              </w:rPr>
              <w:t>077</w:t>
            </w:r>
            <w:r w:rsidR="004D2A99">
              <w:rPr>
                <w:sz w:val="18"/>
              </w:rPr>
              <w:t xml:space="preserve"> </w:t>
            </w:r>
            <w:r w:rsidRPr="00DA21FF">
              <w:rPr>
                <w:sz w:val="18"/>
              </w:rPr>
              <w:t>709</w:t>
            </w:r>
          </w:p>
        </w:tc>
        <w:tc>
          <w:tcPr>
            <w:tcW w:w="583" w:type="pct"/>
            <w:tcBorders>
              <w:bottom w:val="single" w:sz="12" w:space="0" w:color="auto"/>
            </w:tcBorders>
            <w:shd w:val="clear" w:color="auto" w:fill="auto"/>
            <w:noWrap/>
            <w:vAlign w:val="bottom"/>
          </w:tcPr>
          <w:p w14:paraId="0B1847E2" w14:textId="029FD52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968</w:t>
            </w:r>
            <w:r w:rsidR="004D2A99">
              <w:rPr>
                <w:sz w:val="18"/>
              </w:rPr>
              <w:t xml:space="preserve"> </w:t>
            </w:r>
            <w:r w:rsidRPr="00DA21FF">
              <w:rPr>
                <w:sz w:val="18"/>
              </w:rPr>
              <w:t>113</w:t>
            </w:r>
          </w:p>
        </w:tc>
      </w:tr>
    </w:tbl>
    <w:p w14:paraId="02F9C9D1" w14:textId="77777777" w:rsidR="00DA21FF" w:rsidRPr="00DA21FF" w:rsidRDefault="00DA21FF" w:rsidP="004D2A99">
      <w:pPr>
        <w:pStyle w:val="SingleTxtG"/>
        <w:spacing w:before="120" w:after="240"/>
        <w:ind w:left="0" w:firstLine="170"/>
        <w:jc w:val="left"/>
        <w:rPr>
          <w:sz w:val="18"/>
          <w:szCs w:val="18"/>
        </w:rPr>
      </w:pPr>
      <w:r w:rsidRPr="00DA21FF">
        <w:rPr>
          <w:i/>
          <w:sz w:val="18"/>
          <w:szCs w:val="18"/>
        </w:rPr>
        <w:t>Fuente:</w:t>
      </w:r>
      <w:r w:rsidRPr="00DA21FF">
        <w:rPr>
          <w:sz w:val="18"/>
          <w:szCs w:val="18"/>
        </w:rPr>
        <w:t xml:space="preserve"> Instituto Nacional de Estadística de Noruega.</w:t>
      </w:r>
    </w:p>
    <w:p w14:paraId="43C00CA6" w14:textId="6AB1D187" w:rsidR="00DA21FF" w:rsidRPr="00DA21FF" w:rsidRDefault="00DA21FF" w:rsidP="00DA21FF">
      <w:pPr>
        <w:pStyle w:val="SingleTxtG"/>
        <w:rPr>
          <w:lang w:val="en-GB"/>
        </w:rPr>
      </w:pPr>
      <w:r w:rsidRPr="00DA21FF">
        <w:t>18.</w:t>
      </w:r>
      <w:r w:rsidRPr="00DA21FF">
        <w:tab/>
        <w:t xml:space="preserve">En los veinte años anteriores a la crisis financiera mundial de 2007-2008, el </w:t>
      </w:r>
      <w:r w:rsidRPr="00373B5F">
        <w:rPr>
          <w:u w:val="single"/>
        </w:rPr>
        <w:t>crecimiento económico</w:t>
      </w:r>
      <w:r w:rsidRPr="00DA21FF">
        <w:t xml:space="preserve"> anual medio fue del 2,4 % en el conjunto de la economía y del 3,3 % en la economía continental. Aunque el impacto de la crisis financiera fue menos grave en Noruega que en la mayoría de los demás países, el crecimiento económico se ralentizó tras la crisis. Antes del brote de la pandemia de COVID-19, la economía continental había crecido a un ritmo cercano a la tendencia durante un período de diez años. La economía noruega experimentó una fuerte recuperación tras la pandemia. Sin embargo, la elevada inflación y el aumento de los tipos de interés provocaron una desaceleración del crecimiento a lo largo de</w:t>
      </w:r>
      <w:r w:rsidR="004D2A99">
        <w:t> </w:t>
      </w:r>
      <w:r w:rsidRPr="00DA21FF">
        <w:t xml:space="preserve">2023. No obstante, la tasa de desempleo se ha mantenido en niveles bajos. De cara al futuro, hay indicios de que el crecimiento se recuperará. En el Presupuesto Nacional Revisado de 2024, se prevé que el PIB de Noruega continental aumente un 0,9 % en 2024 y un 1,9 % en 2025. </w:t>
      </w:r>
    </w:p>
    <w:p w14:paraId="39B21F37" w14:textId="3ACE4E56" w:rsidR="00DA21FF" w:rsidRPr="00DA21FF" w:rsidRDefault="00DA21FF" w:rsidP="00DA21FF">
      <w:pPr>
        <w:pStyle w:val="SingleTxtG"/>
        <w:rPr>
          <w:lang w:val="en-GB"/>
        </w:rPr>
      </w:pPr>
      <w:r w:rsidRPr="00DA21FF">
        <w:t>19.</w:t>
      </w:r>
      <w:r w:rsidRPr="00DA21FF">
        <w:tab/>
        <w:t xml:space="preserve">El total de </w:t>
      </w:r>
      <w:r w:rsidRPr="00373B5F">
        <w:rPr>
          <w:u w:val="single"/>
        </w:rPr>
        <w:t>impuestos</w:t>
      </w:r>
      <w:r w:rsidRPr="00DA21FF">
        <w:t xml:space="preserve"> recaudados como porcentaje del PIB se estima en el 40,8 % para</w:t>
      </w:r>
      <w:r w:rsidR="000725E8">
        <w:t> </w:t>
      </w:r>
      <w:r w:rsidRPr="00DA21FF">
        <w:t>2024. Una vez ajustados por las actividades petroleras, los impuestos ascienden al</w:t>
      </w:r>
      <w:r w:rsidR="000725E8">
        <w:t> </w:t>
      </w:r>
      <w:r w:rsidRPr="00DA21FF">
        <w:t>42,9</w:t>
      </w:r>
      <w:r w:rsidR="000725E8">
        <w:t> </w:t>
      </w:r>
      <w:r w:rsidRPr="00DA21FF">
        <w:t>% del PIB continental. El principal objetivo del sistema fiscal es financiar de la forma más eficiente posible los bienes y servicios públicos.</w:t>
      </w:r>
    </w:p>
    <w:bookmarkEnd w:id="17"/>
    <w:p w14:paraId="01644279" w14:textId="4BF87FFA" w:rsidR="00DA21FF" w:rsidRPr="00DA21FF" w:rsidRDefault="00DA21FF" w:rsidP="004D2A99">
      <w:pPr>
        <w:pStyle w:val="H23G"/>
        <w:rPr>
          <w:lang w:val="en-GB"/>
        </w:rPr>
      </w:pPr>
      <w:r w:rsidRPr="00DA21FF">
        <w:tab/>
      </w:r>
      <w:r w:rsidR="004D2A99">
        <w:tab/>
      </w:r>
      <w:r w:rsidRPr="00DA21FF">
        <w:t>Ingresos de los hogares</w:t>
      </w:r>
      <w:bookmarkStart w:id="18" w:name="_Hlk166253032"/>
    </w:p>
    <w:p w14:paraId="7E56C5FD" w14:textId="77777777" w:rsidR="00DA21FF" w:rsidRPr="00DA21FF" w:rsidRDefault="00DA21FF" w:rsidP="00DA21FF">
      <w:pPr>
        <w:pStyle w:val="SingleTxtG"/>
        <w:rPr>
          <w:lang w:val="en-GB"/>
        </w:rPr>
      </w:pPr>
      <w:r w:rsidRPr="00DA21FF">
        <w:t>20.</w:t>
      </w:r>
      <w:r w:rsidRPr="00DA21FF">
        <w:tab/>
        <w:t xml:space="preserve">El cuadro siguiente muestra el coeficiente de Gini del </w:t>
      </w:r>
      <w:r w:rsidRPr="00373B5F">
        <w:rPr>
          <w:u w:val="single"/>
        </w:rPr>
        <w:t>ingreso de los hogares</w:t>
      </w:r>
      <w:r w:rsidRPr="00DA21FF">
        <w:t xml:space="preserve"> después de impuestos</w:t>
      </w:r>
      <w:r w:rsidRPr="00653C36">
        <w:rPr>
          <w:sz w:val="18"/>
          <w:szCs w:val="18"/>
          <w:vertAlign w:val="superscript"/>
        </w:rPr>
        <w:footnoteReference w:id="4"/>
      </w:r>
      <w:r w:rsidRPr="00DA21FF">
        <w:t xml:space="preserve"> para el conjunto de la población noruega. El coeficiente de Gini es un número entre 0 y 1 que mide la desigualdad de los ingresos. Si el coeficiente es 0, todos los individuos </w:t>
      </w:r>
      <w:r w:rsidRPr="00DA21FF">
        <w:lastRenderedPageBreak/>
        <w:t xml:space="preserve">tienen los mismos ingresos, lo que significa que no hay desigualdad. Si es 1, todos los ingresos van a parar a un solo individuo, y la desigualdad es máxima.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17"/>
        <w:gridCol w:w="1108"/>
        <w:gridCol w:w="1109"/>
        <w:gridCol w:w="1109"/>
        <w:gridCol w:w="1109"/>
        <w:gridCol w:w="1109"/>
        <w:gridCol w:w="1109"/>
      </w:tblGrid>
      <w:tr w:rsidR="00680417" w:rsidRPr="00680417" w14:paraId="3D025E7E" w14:textId="77777777" w:rsidTr="00680417">
        <w:trPr>
          <w:trHeight w:val="240"/>
          <w:tblHeader/>
        </w:trPr>
        <w:tc>
          <w:tcPr>
            <w:tcW w:w="719" w:type="dxa"/>
            <w:shd w:val="clear" w:color="auto" w:fill="auto"/>
            <w:vAlign w:val="bottom"/>
          </w:tcPr>
          <w:p w14:paraId="61F6774A"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1112" w:type="dxa"/>
            <w:shd w:val="clear" w:color="auto" w:fill="auto"/>
            <w:vAlign w:val="bottom"/>
          </w:tcPr>
          <w:p w14:paraId="474B4B5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2017</w:t>
            </w:r>
          </w:p>
        </w:tc>
        <w:tc>
          <w:tcPr>
            <w:tcW w:w="1113" w:type="dxa"/>
            <w:shd w:val="clear" w:color="auto" w:fill="auto"/>
            <w:vAlign w:val="bottom"/>
          </w:tcPr>
          <w:p w14:paraId="2E96334E"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2018</w:t>
            </w:r>
          </w:p>
        </w:tc>
        <w:tc>
          <w:tcPr>
            <w:tcW w:w="1113" w:type="dxa"/>
            <w:shd w:val="clear" w:color="auto" w:fill="auto"/>
            <w:vAlign w:val="bottom"/>
          </w:tcPr>
          <w:p w14:paraId="533B03FD"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1113" w:type="dxa"/>
            <w:shd w:val="clear" w:color="auto" w:fill="auto"/>
            <w:vAlign w:val="bottom"/>
          </w:tcPr>
          <w:p w14:paraId="1A14D3C9"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1113" w:type="dxa"/>
            <w:shd w:val="clear" w:color="auto" w:fill="auto"/>
            <w:vAlign w:val="bottom"/>
          </w:tcPr>
          <w:p w14:paraId="2C0D7573"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2021</w:t>
            </w:r>
          </w:p>
        </w:tc>
        <w:tc>
          <w:tcPr>
            <w:tcW w:w="1113" w:type="dxa"/>
            <w:shd w:val="clear" w:color="auto" w:fill="auto"/>
            <w:vAlign w:val="bottom"/>
          </w:tcPr>
          <w:p w14:paraId="1B5F95CB"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r>
      <w:tr w:rsidR="00680417" w:rsidRPr="00DA21FF" w14:paraId="6010E698" w14:textId="77777777" w:rsidTr="00680417">
        <w:trPr>
          <w:trHeight w:val="240"/>
        </w:trPr>
        <w:tc>
          <w:tcPr>
            <w:tcW w:w="719" w:type="dxa"/>
            <w:shd w:val="clear" w:color="auto" w:fill="auto"/>
          </w:tcPr>
          <w:p w14:paraId="1EEFE82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1112" w:type="dxa"/>
            <w:shd w:val="clear" w:color="auto" w:fill="auto"/>
            <w:vAlign w:val="bottom"/>
          </w:tcPr>
          <w:p w14:paraId="74A92A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0,252</w:t>
            </w:r>
          </w:p>
        </w:tc>
        <w:tc>
          <w:tcPr>
            <w:tcW w:w="1113" w:type="dxa"/>
            <w:shd w:val="clear" w:color="auto" w:fill="auto"/>
            <w:vAlign w:val="bottom"/>
          </w:tcPr>
          <w:p w14:paraId="18CE96A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0,251</w:t>
            </w:r>
          </w:p>
        </w:tc>
        <w:tc>
          <w:tcPr>
            <w:tcW w:w="1113" w:type="dxa"/>
            <w:shd w:val="clear" w:color="auto" w:fill="auto"/>
            <w:vAlign w:val="bottom"/>
          </w:tcPr>
          <w:p w14:paraId="48758D4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0,250</w:t>
            </w:r>
          </w:p>
        </w:tc>
        <w:tc>
          <w:tcPr>
            <w:tcW w:w="1113" w:type="dxa"/>
            <w:shd w:val="clear" w:color="auto" w:fill="auto"/>
            <w:vAlign w:val="bottom"/>
          </w:tcPr>
          <w:p w14:paraId="60BADB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0,252</w:t>
            </w:r>
          </w:p>
        </w:tc>
        <w:tc>
          <w:tcPr>
            <w:tcW w:w="1113" w:type="dxa"/>
            <w:shd w:val="clear" w:color="auto" w:fill="auto"/>
            <w:vAlign w:val="bottom"/>
          </w:tcPr>
          <w:p w14:paraId="7B95DC3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0,279</w:t>
            </w:r>
          </w:p>
        </w:tc>
        <w:tc>
          <w:tcPr>
            <w:tcW w:w="1113" w:type="dxa"/>
            <w:shd w:val="clear" w:color="auto" w:fill="auto"/>
            <w:vAlign w:val="bottom"/>
          </w:tcPr>
          <w:p w14:paraId="3F2DEE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0,253</w:t>
            </w:r>
          </w:p>
        </w:tc>
      </w:tr>
    </w:tbl>
    <w:p w14:paraId="036B3894" w14:textId="77777777" w:rsidR="00DA21FF" w:rsidRPr="00DA21FF" w:rsidRDefault="00DA21FF" w:rsidP="002F5430">
      <w:pPr>
        <w:pStyle w:val="SingleTxtG"/>
        <w:spacing w:before="240"/>
        <w:rPr>
          <w:lang w:val="en-GB"/>
        </w:rPr>
      </w:pPr>
      <w:r w:rsidRPr="00DA21FF">
        <w:t>21.</w:t>
      </w:r>
      <w:r w:rsidRPr="00DA21FF">
        <w:tab/>
        <w:t>Los cuadros siguientes muestran la distribución del ingreso de los hogares después de impuestos</w:t>
      </w:r>
      <w:r w:rsidRPr="00653C36">
        <w:rPr>
          <w:sz w:val="18"/>
          <w:szCs w:val="18"/>
          <w:vertAlign w:val="superscript"/>
        </w:rPr>
        <w:footnoteReference w:id="5"/>
      </w:r>
      <w:r w:rsidRPr="00DA21FF">
        <w:t xml:space="preserve"> entre personas (escala de la UE)/porcentajes por decil y porcentajes acumulativos por decil. Quedan excluidas las personas que viven en hogares de estudiantes.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4D2A99" w:rsidRPr="00680417" w14:paraId="42DA1AC4" w14:textId="77777777" w:rsidTr="00BC4122">
        <w:trPr>
          <w:trHeight w:val="240"/>
          <w:tblHeader/>
        </w:trPr>
        <w:tc>
          <w:tcPr>
            <w:tcW w:w="568" w:type="dxa"/>
            <w:vMerge w:val="restart"/>
            <w:tcBorders>
              <w:top w:val="single" w:sz="4" w:space="0" w:color="auto"/>
            </w:tcBorders>
            <w:shd w:val="clear" w:color="auto" w:fill="auto"/>
            <w:vAlign w:val="bottom"/>
          </w:tcPr>
          <w:p w14:paraId="529F0879" w14:textId="5F185FF1" w:rsidR="004D2A99" w:rsidRPr="00DA21FF" w:rsidRDefault="004D2A99" w:rsidP="004D2A99">
            <w:pPr>
              <w:pStyle w:val="SingleTxtG"/>
              <w:tabs>
                <w:tab w:val="clear" w:pos="1701"/>
                <w:tab w:val="clear" w:pos="2268"/>
                <w:tab w:val="clear" w:pos="2835"/>
              </w:tabs>
              <w:spacing w:before="80" w:after="80" w:line="200" w:lineRule="exact"/>
              <w:ind w:left="0" w:right="0"/>
              <w:jc w:val="center"/>
              <w:rPr>
                <w:i/>
                <w:sz w:val="16"/>
                <w:lang w:val="en-GB"/>
              </w:rPr>
            </w:pPr>
          </w:p>
        </w:tc>
        <w:tc>
          <w:tcPr>
            <w:tcW w:w="6802" w:type="dxa"/>
            <w:gridSpan w:val="10"/>
            <w:tcBorders>
              <w:top w:val="single" w:sz="4" w:space="0" w:color="auto"/>
              <w:bottom w:val="single" w:sz="4" w:space="0" w:color="auto"/>
            </w:tcBorders>
            <w:shd w:val="clear" w:color="auto" w:fill="auto"/>
            <w:vAlign w:val="bottom"/>
          </w:tcPr>
          <w:p w14:paraId="436633B2" w14:textId="452578BE" w:rsidR="004D2A99" w:rsidRPr="00DA21FF" w:rsidRDefault="004D2A99" w:rsidP="004D2A99">
            <w:pPr>
              <w:pStyle w:val="SingleTxtG"/>
              <w:tabs>
                <w:tab w:val="clear" w:pos="1701"/>
                <w:tab w:val="clear" w:pos="2268"/>
                <w:tab w:val="clear" w:pos="2835"/>
              </w:tabs>
              <w:spacing w:before="80" w:after="80" w:line="200" w:lineRule="exact"/>
              <w:ind w:left="0" w:right="0"/>
              <w:jc w:val="center"/>
              <w:rPr>
                <w:i/>
                <w:sz w:val="16"/>
                <w:lang w:val="en-GB"/>
              </w:rPr>
            </w:pPr>
            <w:r w:rsidRPr="00DA21FF">
              <w:rPr>
                <w:i/>
                <w:iCs/>
                <w:sz w:val="16"/>
              </w:rPr>
              <w:t>Grupo decil</w:t>
            </w:r>
          </w:p>
        </w:tc>
      </w:tr>
      <w:tr w:rsidR="004D2A99" w:rsidRPr="00DA21FF" w14:paraId="55ED82C9" w14:textId="77777777" w:rsidTr="00BC4122">
        <w:trPr>
          <w:trHeight w:val="240"/>
        </w:trPr>
        <w:tc>
          <w:tcPr>
            <w:tcW w:w="568" w:type="dxa"/>
            <w:vMerge/>
            <w:tcBorders>
              <w:bottom w:val="single" w:sz="12" w:space="0" w:color="auto"/>
            </w:tcBorders>
            <w:shd w:val="clear" w:color="auto" w:fill="auto"/>
          </w:tcPr>
          <w:p w14:paraId="4441A8A5" w14:textId="77777777" w:rsidR="004D2A99" w:rsidRPr="00DA21FF" w:rsidRDefault="004D2A99" w:rsidP="00680417">
            <w:pPr>
              <w:pStyle w:val="SingleTxtG"/>
              <w:tabs>
                <w:tab w:val="clear" w:pos="1701"/>
                <w:tab w:val="clear" w:pos="2268"/>
                <w:tab w:val="clear" w:pos="2835"/>
              </w:tabs>
              <w:spacing w:before="40" w:after="40" w:line="220" w:lineRule="exact"/>
              <w:ind w:left="0" w:right="0"/>
              <w:jc w:val="left"/>
              <w:rPr>
                <w:sz w:val="18"/>
                <w:lang w:val="en-GB"/>
              </w:rPr>
            </w:pPr>
          </w:p>
        </w:tc>
        <w:tc>
          <w:tcPr>
            <w:tcW w:w="681" w:type="dxa"/>
            <w:tcBorders>
              <w:top w:val="single" w:sz="4" w:space="0" w:color="auto"/>
              <w:bottom w:val="single" w:sz="12" w:space="0" w:color="auto"/>
            </w:tcBorders>
            <w:shd w:val="clear" w:color="auto" w:fill="auto"/>
            <w:vAlign w:val="bottom"/>
          </w:tcPr>
          <w:p w14:paraId="25EF9ACF"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1</w:t>
            </w:r>
          </w:p>
        </w:tc>
        <w:tc>
          <w:tcPr>
            <w:tcW w:w="681" w:type="dxa"/>
            <w:tcBorders>
              <w:top w:val="single" w:sz="4" w:space="0" w:color="auto"/>
              <w:bottom w:val="single" w:sz="12" w:space="0" w:color="auto"/>
            </w:tcBorders>
            <w:shd w:val="clear" w:color="auto" w:fill="auto"/>
            <w:vAlign w:val="bottom"/>
          </w:tcPr>
          <w:p w14:paraId="7412BB02"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2</w:t>
            </w:r>
          </w:p>
        </w:tc>
        <w:tc>
          <w:tcPr>
            <w:tcW w:w="680" w:type="dxa"/>
            <w:tcBorders>
              <w:top w:val="single" w:sz="4" w:space="0" w:color="auto"/>
              <w:bottom w:val="single" w:sz="12" w:space="0" w:color="auto"/>
            </w:tcBorders>
            <w:shd w:val="clear" w:color="auto" w:fill="auto"/>
            <w:vAlign w:val="bottom"/>
          </w:tcPr>
          <w:p w14:paraId="0D9D2454"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3</w:t>
            </w:r>
          </w:p>
        </w:tc>
        <w:tc>
          <w:tcPr>
            <w:tcW w:w="680" w:type="dxa"/>
            <w:tcBorders>
              <w:top w:val="single" w:sz="4" w:space="0" w:color="auto"/>
              <w:bottom w:val="single" w:sz="12" w:space="0" w:color="auto"/>
            </w:tcBorders>
            <w:shd w:val="clear" w:color="auto" w:fill="auto"/>
            <w:vAlign w:val="bottom"/>
          </w:tcPr>
          <w:p w14:paraId="608773DE"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4</w:t>
            </w:r>
          </w:p>
        </w:tc>
        <w:tc>
          <w:tcPr>
            <w:tcW w:w="680" w:type="dxa"/>
            <w:tcBorders>
              <w:top w:val="single" w:sz="4" w:space="0" w:color="auto"/>
              <w:bottom w:val="single" w:sz="12" w:space="0" w:color="auto"/>
            </w:tcBorders>
            <w:shd w:val="clear" w:color="auto" w:fill="auto"/>
            <w:vAlign w:val="bottom"/>
          </w:tcPr>
          <w:p w14:paraId="4775052F"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5</w:t>
            </w:r>
          </w:p>
        </w:tc>
        <w:tc>
          <w:tcPr>
            <w:tcW w:w="680" w:type="dxa"/>
            <w:tcBorders>
              <w:top w:val="single" w:sz="4" w:space="0" w:color="auto"/>
              <w:bottom w:val="single" w:sz="12" w:space="0" w:color="auto"/>
            </w:tcBorders>
            <w:shd w:val="clear" w:color="auto" w:fill="auto"/>
            <w:vAlign w:val="bottom"/>
          </w:tcPr>
          <w:p w14:paraId="6F54A760"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6</w:t>
            </w:r>
          </w:p>
        </w:tc>
        <w:tc>
          <w:tcPr>
            <w:tcW w:w="680" w:type="dxa"/>
            <w:tcBorders>
              <w:top w:val="single" w:sz="4" w:space="0" w:color="auto"/>
              <w:bottom w:val="single" w:sz="12" w:space="0" w:color="auto"/>
            </w:tcBorders>
            <w:shd w:val="clear" w:color="auto" w:fill="auto"/>
            <w:vAlign w:val="bottom"/>
          </w:tcPr>
          <w:p w14:paraId="1DA5FCC5"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7</w:t>
            </w:r>
          </w:p>
        </w:tc>
        <w:tc>
          <w:tcPr>
            <w:tcW w:w="680" w:type="dxa"/>
            <w:tcBorders>
              <w:top w:val="single" w:sz="4" w:space="0" w:color="auto"/>
              <w:bottom w:val="single" w:sz="12" w:space="0" w:color="auto"/>
            </w:tcBorders>
            <w:shd w:val="clear" w:color="auto" w:fill="auto"/>
            <w:vAlign w:val="bottom"/>
          </w:tcPr>
          <w:p w14:paraId="03DEE4D1"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8</w:t>
            </w:r>
          </w:p>
        </w:tc>
        <w:tc>
          <w:tcPr>
            <w:tcW w:w="680" w:type="dxa"/>
            <w:tcBorders>
              <w:top w:val="single" w:sz="4" w:space="0" w:color="auto"/>
              <w:bottom w:val="single" w:sz="12" w:space="0" w:color="auto"/>
            </w:tcBorders>
            <w:shd w:val="clear" w:color="auto" w:fill="auto"/>
            <w:vAlign w:val="bottom"/>
          </w:tcPr>
          <w:p w14:paraId="18FCD1D6"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9</w:t>
            </w:r>
          </w:p>
        </w:tc>
        <w:tc>
          <w:tcPr>
            <w:tcW w:w="680" w:type="dxa"/>
            <w:tcBorders>
              <w:top w:val="single" w:sz="4" w:space="0" w:color="auto"/>
              <w:bottom w:val="single" w:sz="12" w:space="0" w:color="auto"/>
            </w:tcBorders>
            <w:shd w:val="clear" w:color="auto" w:fill="auto"/>
            <w:vAlign w:val="bottom"/>
          </w:tcPr>
          <w:p w14:paraId="360AC327" w14:textId="77777777" w:rsidR="004D2A99" w:rsidRPr="00DA21FF" w:rsidRDefault="004D2A99" w:rsidP="004D2A99">
            <w:pPr>
              <w:pStyle w:val="SingleTxtG"/>
              <w:tabs>
                <w:tab w:val="clear" w:pos="1701"/>
                <w:tab w:val="clear" w:pos="2268"/>
                <w:tab w:val="clear" w:pos="2835"/>
              </w:tabs>
              <w:spacing w:before="80" w:after="80" w:line="200" w:lineRule="exact"/>
              <w:ind w:left="0" w:right="0"/>
              <w:jc w:val="right"/>
              <w:rPr>
                <w:i/>
                <w:iCs/>
                <w:sz w:val="16"/>
              </w:rPr>
            </w:pPr>
            <w:r w:rsidRPr="00DA21FF">
              <w:rPr>
                <w:i/>
                <w:iCs/>
                <w:sz w:val="16"/>
              </w:rPr>
              <w:t>10</w:t>
            </w:r>
          </w:p>
        </w:tc>
      </w:tr>
      <w:tr w:rsidR="00680417" w:rsidRPr="00DA21FF" w14:paraId="1A9AA6EB" w14:textId="77777777" w:rsidTr="004D2A99">
        <w:trPr>
          <w:trHeight w:val="240"/>
        </w:trPr>
        <w:tc>
          <w:tcPr>
            <w:tcW w:w="568" w:type="dxa"/>
            <w:tcBorders>
              <w:top w:val="single" w:sz="12" w:space="0" w:color="auto"/>
            </w:tcBorders>
            <w:shd w:val="clear" w:color="auto" w:fill="auto"/>
          </w:tcPr>
          <w:p w14:paraId="13BF4E2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681" w:type="dxa"/>
            <w:tcBorders>
              <w:top w:val="single" w:sz="12" w:space="0" w:color="auto"/>
            </w:tcBorders>
            <w:shd w:val="clear" w:color="auto" w:fill="auto"/>
            <w:vAlign w:val="bottom"/>
          </w:tcPr>
          <w:p w14:paraId="2D25448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1" w:type="dxa"/>
            <w:tcBorders>
              <w:top w:val="single" w:sz="12" w:space="0" w:color="auto"/>
            </w:tcBorders>
            <w:shd w:val="clear" w:color="auto" w:fill="auto"/>
            <w:vAlign w:val="bottom"/>
          </w:tcPr>
          <w:p w14:paraId="09C277D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5,9</w:t>
            </w:r>
          </w:p>
        </w:tc>
        <w:tc>
          <w:tcPr>
            <w:tcW w:w="680" w:type="dxa"/>
            <w:tcBorders>
              <w:top w:val="single" w:sz="12" w:space="0" w:color="auto"/>
            </w:tcBorders>
            <w:shd w:val="clear" w:color="auto" w:fill="auto"/>
            <w:vAlign w:val="bottom"/>
          </w:tcPr>
          <w:p w14:paraId="047B23B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7,0</w:t>
            </w:r>
          </w:p>
        </w:tc>
        <w:tc>
          <w:tcPr>
            <w:tcW w:w="680" w:type="dxa"/>
            <w:tcBorders>
              <w:top w:val="single" w:sz="12" w:space="0" w:color="auto"/>
            </w:tcBorders>
            <w:shd w:val="clear" w:color="auto" w:fill="auto"/>
            <w:vAlign w:val="bottom"/>
          </w:tcPr>
          <w:p w14:paraId="031592A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7,9</w:t>
            </w:r>
          </w:p>
        </w:tc>
        <w:tc>
          <w:tcPr>
            <w:tcW w:w="680" w:type="dxa"/>
            <w:tcBorders>
              <w:top w:val="single" w:sz="12" w:space="0" w:color="auto"/>
            </w:tcBorders>
            <w:shd w:val="clear" w:color="auto" w:fill="auto"/>
            <w:vAlign w:val="bottom"/>
          </w:tcPr>
          <w:p w14:paraId="6DA6BC9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8,7</w:t>
            </w:r>
          </w:p>
        </w:tc>
        <w:tc>
          <w:tcPr>
            <w:tcW w:w="680" w:type="dxa"/>
            <w:tcBorders>
              <w:top w:val="single" w:sz="12" w:space="0" w:color="auto"/>
            </w:tcBorders>
            <w:shd w:val="clear" w:color="auto" w:fill="auto"/>
            <w:vAlign w:val="bottom"/>
          </w:tcPr>
          <w:p w14:paraId="309EF7F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9,5</w:t>
            </w:r>
          </w:p>
        </w:tc>
        <w:tc>
          <w:tcPr>
            <w:tcW w:w="680" w:type="dxa"/>
            <w:tcBorders>
              <w:top w:val="single" w:sz="12" w:space="0" w:color="auto"/>
            </w:tcBorders>
            <w:shd w:val="clear" w:color="auto" w:fill="auto"/>
            <w:vAlign w:val="bottom"/>
          </w:tcPr>
          <w:p w14:paraId="5D9B347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10,5</w:t>
            </w:r>
          </w:p>
        </w:tc>
        <w:tc>
          <w:tcPr>
            <w:tcW w:w="680" w:type="dxa"/>
            <w:tcBorders>
              <w:top w:val="single" w:sz="12" w:space="0" w:color="auto"/>
            </w:tcBorders>
            <w:shd w:val="clear" w:color="auto" w:fill="auto"/>
            <w:vAlign w:val="bottom"/>
          </w:tcPr>
          <w:p w14:paraId="2638977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11,7</w:t>
            </w:r>
          </w:p>
        </w:tc>
        <w:tc>
          <w:tcPr>
            <w:tcW w:w="680" w:type="dxa"/>
            <w:tcBorders>
              <w:top w:val="single" w:sz="12" w:space="0" w:color="auto"/>
            </w:tcBorders>
            <w:shd w:val="clear" w:color="auto" w:fill="auto"/>
            <w:vAlign w:val="bottom"/>
          </w:tcPr>
          <w:p w14:paraId="6418839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13,5</w:t>
            </w:r>
          </w:p>
        </w:tc>
        <w:tc>
          <w:tcPr>
            <w:tcW w:w="680" w:type="dxa"/>
            <w:tcBorders>
              <w:top w:val="single" w:sz="12" w:space="0" w:color="auto"/>
            </w:tcBorders>
            <w:shd w:val="clear" w:color="auto" w:fill="auto"/>
            <w:vAlign w:val="bottom"/>
          </w:tcPr>
          <w:p w14:paraId="1B7CB78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21,6</w:t>
            </w:r>
          </w:p>
        </w:tc>
      </w:tr>
      <w:tr w:rsidR="00680417" w:rsidRPr="00DA21FF" w14:paraId="747B44DA" w14:textId="77777777" w:rsidTr="004D2A99">
        <w:trPr>
          <w:trHeight w:val="240"/>
        </w:trPr>
        <w:tc>
          <w:tcPr>
            <w:tcW w:w="568" w:type="dxa"/>
            <w:shd w:val="clear" w:color="auto" w:fill="auto"/>
          </w:tcPr>
          <w:p w14:paraId="3A02412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681" w:type="dxa"/>
            <w:shd w:val="clear" w:color="auto" w:fill="auto"/>
            <w:vAlign w:val="bottom"/>
          </w:tcPr>
          <w:p w14:paraId="038AC02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1" w:type="dxa"/>
            <w:shd w:val="clear" w:color="auto" w:fill="auto"/>
            <w:vAlign w:val="bottom"/>
          </w:tcPr>
          <w:p w14:paraId="7CFA4E1D"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5,9</w:t>
            </w:r>
          </w:p>
        </w:tc>
        <w:tc>
          <w:tcPr>
            <w:tcW w:w="680" w:type="dxa"/>
            <w:shd w:val="clear" w:color="auto" w:fill="auto"/>
            <w:vAlign w:val="bottom"/>
          </w:tcPr>
          <w:p w14:paraId="2993A65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7,0</w:t>
            </w:r>
          </w:p>
        </w:tc>
        <w:tc>
          <w:tcPr>
            <w:tcW w:w="680" w:type="dxa"/>
            <w:shd w:val="clear" w:color="auto" w:fill="auto"/>
            <w:vAlign w:val="bottom"/>
          </w:tcPr>
          <w:p w14:paraId="206168E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7,9</w:t>
            </w:r>
          </w:p>
        </w:tc>
        <w:tc>
          <w:tcPr>
            <w:tcW w:w="680" w:type="dxa"/>
            <w:shd w:val="clear" w:color="auto" w:fill="auto"/>
            <w:vAlign w:val="bottom"/>
          </w:tcPr>
          <w:p w14:paraId="5401D46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8,7</w:t>
            </w:r>
          </w:p>
        </w:tc>
        <w:tc>
          <w:tcPr>
            <w:tcW w:w="680" w:type="dxa"/>
            <w:shd w:val="clear" w:color="auto" w:fill="auto"/>
            <w:vAlign w:val="bottom"/>
          </w:tcPr>
          <w:p w14:paraId="653DA07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9,5</w:t>
            </w:r>
          </w:p>
        </w:tc>
        <w:tc>
          <w:tcPr>
            <w:tcW w:w="680" w:type="dxa"/>
            <w:shd w:val="clear" w:color="auto" w:fill="auto"/>
            <w:vAlign w:val="bottom"/>
          </w:tcPr>
          <w:p w14:paraId="084218E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10,5</w:t>
            </w:r>
          </w:p>
        </w:tc>
        <w:tc>
          <w:tcPr>
            <w:tcW w:w="680" w:type="dxa"/>
            <w:shd w:val="clear" w:color="auto" w:fill="auto"/>
            <w:vAlign w:val="bottom"/>
          </w:tcPr>
          <w:p w14:paraId="6AC117D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11,7</w:t>
            </w:r>
          </w:p>
        </w:tc>
        <w:tc>
          <w:tcPr>
            <w:tcW w:w="680" w:type="dxa"/>
            <w:shd w:val="clear" w:color="auto" w:fill="auto"/>
            <w:vAlign w:val="bottom"/>
          </w:tcPr>
          <w:p w14:paraId="0CBBDA5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13,5</w:t>
            </w:r>
          </w:p>
        </w:tc>
        <w:tc>
          <w:tcPr>
            <w:tcW w:w="680" w:type="dxa"/>
            <w:shd w:val="clear" w:color="auto" w:fill="auto"/>
            <w:vAlign w:val="bottom"/>
          </w:tcPr>
          <w:p w14:paraId="1DB2EEA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21,5</w:t>
            </w:r>
          </w:p>
        </w:tc>
      </w:tr>
      <w:tr w:rsidR="00680417" w:rsidRPr="00DA21FF" w14:paraId="69745FA6" w14:textId="77777777" w:rsidTr="004D2A99">
        <w:trPr>
          <w:trHeight w:val="240"/>
        </w:trPr>
        <w:tc>
          <w:tcPr>
            <w:tcW w:w="568" w:type="dxa"/>
            <w:shd w:val="clear" w:color="auto" w:fill="auto"/>
          </w:tcPr>
          <w:p w14:paraId="380D4F8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681" w:type="dxa"/>
            <w:shd w:val="clear" w:color="auto" w:fill="auto"/>
            <w:vAlign w:val="bottom"/>
          </w:tcPr>
          <w:p w14:paraId="71B0393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1" w:type="dxa"/>
            <w:shd w:val="clear" w:color="auto" w:fill="auto"/>
            <w:vAlign w:val="bottom"/>
          </w:tcPr>
          <w:p w14:paraId="108FF10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5,9</w:t>
            </w:r>
          </w:p>
        </w:tc>
        <w:tc>
          <w:tcPr>
            <w:tcW w:w="680" w:type="dxa"/>
            <w:shd w:val="clear" w:color="auto" w:fill="auto"/>
            <w:vAlign w:val="bottom"/>
          </w:tcPr>
          <w:p w14:paraId="7D1DC7A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7,0</w:t>
            </w:r>
          </w:p>
        </w:tc>
        <w:tc>
          <w:tcPr>
            <w:tcW w:w="680" w:type="dxa"/>
            <w:shd w:val="clear" w:color="auto" w:fill="auto"/>
            <w:vAlign w:val="bottom"/>
          </w:tcPr>
          <w:p w14:paraId="7A80F0A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7,9</w:t>
            </w:r>
          </w:p>
        </w:tc>
        <w:tc>
          <w:tcPr>
            <w:tcW w:w="680" w:type="dxa"/>
            <w:shd w:val="clear" w:color="auto" w:fill="auto"/>
            <w:vAlign w:val="bottom"/>
          </w:tcPr>
          <w:p w14:paraId="3F9E719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8,7</w:t>
            </w:r>
          </w:p>
        </w:tc>
        <w:tc>
          <w:tcPr>
            <w:tcW w:w="680" w:type="dxa"/>
            <w:shd w:val="clear" w:color="auto" w:fill="auto"/>
            <w:vAlign w:val="bottom"/>
          </w:tcPr>
          <w:p w14:paraId="3C77BB9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9,6</w:t>
            </w:r>
          </w:p>
        </w:tc>
        <w:tc>
          <w:tcPr>
            <w:tcW w:w="680" w:type="dxa"/>
            <w:shd w:val="clear" w:color="auto" w:fill="auto"/>
            <w:vAlign w:val="bottom"/>
          </w:tcPr>
          <w:p w14:paraId="5864699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10,5</w:t>
            </w:r>
          </w:p>
        </w:tc>
        <w:tc>
          <w:tcPr>
            <w:tcW w:w="680" w:type="dxa"/>
            <w:shd w:val="clear" w:color="auto" w:fill="auto"/>
            <w:vAlign w:val="bottom"/>
          </w:tcPr>
          <w:p w14:paraId="1F34C37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11,7</w:t>
            </w:r>
          </w:p>
        </w:tc>
        <w:tc>
          <w:tcPr>
            <w:tcW w:w="680" w:type="dxa"/>
            <w:shd w:val="clear" w:color="auto" w:fill="auto"/>
            <w:vAlign w:val="bottom"/>
          </w:tcPr>
          <w:p w14:paraId="463B89B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13,5</w:t>
            </w:r>
          </w:p>
        </w:tc>
        <w:tc>
          <w:tcPr>
            <w:tcW w:w="680" w:type="dxa"/>
            <w:shd w:val="clear" w:color="auto" w:fill="auto"/>
            <w:vAlign w:val="bottom"/>
          </w:tcPr>
          <w:p w14:paraId="75200BD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21,3</w:t>
            </w:r>
          </w:p>
        </w:tc>
      </w:tr>
      <w:tr w:rsidR="00680417" w:rsidRPr="00DA21FF" w14:paraId="42687B66" w14:textId="77777777" w:rsidTr="004D2A99">
        <w:trPr>
          <w:trHeight w:val="240"/>
        </w:trPr>
        <w:tc>
          <w:tcPr>
            <w:tcW w:w="568" w:type="dxa"/>
            <w:shd w:val="clear" w:color="auto" w:fill="auto"/>
          </w:tcPr>
          <w:p w14:paraId="3086440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681" w:type="dxa"/>
            <w:shd w:val="clear" w:color="auto" w:fill="auto"/>
            <w:vAlign w:val="bottom"/>
          </w:tcPr>
          <w:p w14:paraId="29ECFA3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1" w:type="dxa"/>
            <w:shd w:val="clear" w:color="auto" w:fill="auto"/>
            <w:vAlign w:val="bottom"/>
          </w:tcPr>
          <w:p w14:paraId="0347EDD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5,9</w:t>
            </w:r>
          </w:p>
        </w:tc>
        <w:tc>
          <w:tcPr>
            <w:tcW w:w="680" w:type="dxa"/>
            <w:shd w:val="clear" w:color="auto" w:fill="auto"/>
            <w:vAlign w:val="bottom"/>
          </w:tcPr>
          <w:p w14:paraId="797D27F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7,0</w:t>
            </w:r>
          </w:p>
        </w:tc>
        <w:tc>
          <w:tcPr>
            <w:tcW w:w="680" w:type="dxa"/>
            <w:shd w:val="clear" w:color="auto" w:fill="auto"/>
            <w:vAlign w:val="bottom"/>
          </w:tcPr>
          <w:p w14:paraId="517382DB"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7,9</w:t>
            </w:r>
          </w:p>
        </w:tc>
        <w:tc>
          <w:tcPr>
            <w:tcW w:w="680" w:type="dxa"/>
            <w:shd w:val="clear" w:color="auto" w:fill="auto"/>
            <w:vAlign w:val="bottom"/>
          </w:tcPr>
          <w:p w14:paraId="576FDEA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8,7</w:t>
            </w:r>
          </w:p>
        </w:tc>
        <w:tc>
          <w:tcPr>
            <w:tcW w:w="680" w:type="dxa"/>
            <w:shd w:val="clear" w:color="auto" w:fill="auto"/>
            <w:vAlign w:val="bottom"/>
          </w:tcPr>
          <w:p w14:paraId="79BD975D"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9,5</w:t>
            </w:r>
          </w:p>
        </w:tc>
        <w:tc>
          <w:tcPr>
            <w:tcW w:w="680" w:type="dxa"/>
            <w:shd w:val="clear" w:color="auto" w:fill="auto"/>
            <w:vAlign w:val="bottom"/>
          </w:tcPr>
          <w:p w14:paraId="7964BDC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10,5</w:t>
            </w:r>
          </w:p>
        </w:tc>
        <w:tc>
          <w:tcPr>
            <w:tcW w:w="680" w:type="dxa"/>
            <w:shd w:val="clear" w:color="auto" w:fill="auto"/>
            <w:vAlign w:val="bottom"/>
          </w:tcPr>
          <w:p w14:paraId="28D2346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11,7</w:t>
            </w:r>
          </w:p>
        </w:tc>
        <w:tc>
          <w:tcPr>
            <w:tcW w:w="680" w:type="dxa"/>
            <w:shd w:val="clear" w:color="auto" w:fill="auto"/>
            <w:vAlign w:val="bottom"/>
          </w:tcPr>
          <w:p w14:paraId="2331C9B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13,5</w:t>
            </w:r>
          </w:p>
        </w:tc>
        <w:tc>
          <w:tcPr>
            <w:tcW w:w="680" w:type="dxa"/>
            <w:shd w:val="clear" w:color="auto" w:fill="auto"/>
            <w:vAlign w:val="bottom"/>
          </w:tcPr>
          <w:p w14:paraId="4814009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21,6</w:t>
            </w:r>
          </w:p>
        </w:tc>
      </w:tr>
      <w:tr w:rsidR="00680417" w:rsidRPr="00DA21FF" w14:paraId="64571276" w14:textId="77777777" w:rsidTr="004D2A99">
        <w:trPr>
          <w:trHeight w:val="240"/>
        </w:trPr>
        <w:tc>
          <w:tcPr>
            <w:tcW w:w="568" w:type="dxa"/>
            <w:shd w:val="clear" w:color="auto" w:fill="auto"/>
          </w:tcPr>
          <w:p w14:paraId="3D52D54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681" w:type="dxa"/>
            <w:shd w:val="clear" w:color="auto" w:fill="auto"/>
            <w:vAlign w:val="bottom"/>
          </w:tcPr>
          <w:p w14:paraId="2DCC6A0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3,7</w:t>
            </w:r>
          </w:p>
        </w:tc>
        <w:tc>
          <w:tcPr>
            <w:tcW w:w="681" w:type="dxa"/>
            <w:shd w:val="clear" w:color="auto" w:fill="auto"/>
            <w:vAlign w:val="bottom"/>
          </w:tcPr>
          <w:p w14:paraId="160D07C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5,7</w:t>
            </w:r>
          </w:p>
        </w:tc>
        <w:tc>
          <w:tcPr>
            <w:tcW w:w="680" w:type="dxa"/>
            <w:shd w:val="clear" w:color="auto" w:fill="auto"/>
            <w:vAlign w:val="bottom"/>
          </w:tcPr>
          <w:p w14:paraId="0CEF563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6,7</w:t>
            </w:r>
          </w:p>
        </w:tc>
        <w:tc>
          <w:tcPr>
            <w:tcW w:w="680" w:type="dxa"/>
            <w:shd w:val="clear" w:color="auto" w:fill="auto"/>
            <w:vAlign w:val="bottom"/>
          </w:tcPr>
          <w:p w14:paraId="54CAA94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7,5</w:t>
            </w:r>
          </w:p>
        </w:tc>
        <w:tc>
          <w:tcPr>
            <w:tcW w:w="680" w:type="dxa"/>
            <w:shd w:val="clear" w:color="auto" w:fill="auto"/>
            <w:vAlign w:val="bottom"/>
          </w:tcPr>
          <w:p w14:paraId="7DCC34C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8,3</w:t>
            </w:r>
          </w:p>
        </w:tc>
        <w:tc>
          <w:tcPr>
            <w:tcW w:w="680" w:type="dxa"/>
            <w:shd w:val="clear" w:color="auto" w:fill="auto"/>
            <w:vAlign w:val="bottom"/>
          </w:tcPr>
          <w:p w14:paraId="1E125E9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9,1</w:t>
            </w:r>
          </w:p>
        </w:tc>
        <w:tc>
          <w:tcPr>
            <w:tcW w:w="680" w:type="dxa"/>
            <w:shd w:val="clear" w:color="auto" w:fill="auto"/>
            <w:vAlign w:val="bottom"/>
          </w:tcPr>
          <w:p w14:paraId="41C275E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c>
          <w:tcPr>
            <w:tcW w:w="680" w:type="dxa"/>
            <w:shd w:val="clear" w:color="auto" w:fill="auto"/>
            <w:vAlign w:val="bottom"/>
          </w:tcPr>
          <w:p w14:paraId="5C31221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11,2</w:t>
            </w:r>
          </w:p>
        </w:tc>
        <w:tc>
          <w:tcPr>
            <w:tcW w:w="680" w:type="dxa"/>
            <w:shd w:val="clear" w:color="auto" w:fill="auto"/>
            <w:vAlign w:val="bottom"/>
          </w:tcPr>
          <w:p w14:paraId="63F58EAA"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13,1</w:t>
            </w:r>
          </w:p>
        </w:tc>
        <w:tc>
          <w:tcPr>
            <w:tcW w:w="680" w:type="dxa"/>
            <w:shd w:val="clear" w:color="auto" w:fill="auto"/>
            <w:vAlign w:val="bottom"/>
          </w:tcPr>
          <w:p w14:paraId="5E6F067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24,5</w:t>
            </w:r>
          </w:p>
        </w:tc>
      </w:tr>
      <w:tr w:rsidR="00680417" w:rsidRPr="00DA21FF" w14:paraId="2F346100" w14:textId="77777777" w:rsidTr="004D2A99">
        <w:trPr>
          <w:trHeight w:val="240"/>
        </w:trPr>
        <w:tc>
          <w:tcPr>
            <w:tcW w:w="568" w:type="dxa"/>
            <w:tcBorders>
              <w:bottom w:val="single" w:sz="12" w:space="0" w:color="auto"/>
            </w:tcBorders>
            <w:shd w:val="clear" w:color="auto" w:fill="auto"/>
          </w:tcPr>
          <w:p w14:paraId="7B6C2AE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681" w:type="dxa"/>
            <w:tcBorders>
              <w:bottom w:val="single" w:sz="12" w:space="0" w:color="auto"/>
            </w:tcBorders>
            <w:shd w:val="clear" w:color="auto" w:fill="auto"/>
            <w:vAlign w:val="bottom"/>
          </w:tcPr>
          <w:p w14:paraId="7FB6F1A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3,7</w:t>
            </w:r>
          </w:p>
        </w:tc>
        <w:tc>
          <w:tcPr>
            <w:tcW w:w="681" w:type="dxa"/>
            <w:tcBorders>
              <w:bottom w:val="single" w:sz="12" w:space="0" w:color="auto"/>
            </w:tcBorders>
            <w:shd w:val="clear" w:color="auto" w:fill="auto"/>
            <w:vAlign w:val="bottom"/>
          </w:tcPr>
          <w:p w14:paraId="286178B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5,9</w:t>
            </w:r>
          </w:p>
        </w:tc>
        <w:tc>
          <w:tcPr>
            <w:tcW w:w="680" w:type="dxa"/>
            <w:tcBorders>
              <w:bottom w:val="single" w:sz="12" w:space="0" w:color="auto"/>
            </w:tcBorders>
            <w:shd w:val="clear" w:color="auto" w:fill="auto"/>
            <w:vAlign w:val="bottom"/>
          </w:tcPr>
          <w:p w14:paraId="3E62129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7,0</w:t>
            </w:r>
          </w:p>
        </w:tc>
        <w:tc>
          <w:tcPr>
            <w:tcW w:w="680" w:type="dxa"/>
            <w:tcBorders>
              <w:bottom w:val="single" w:sz="12" w:space="0" w:color="auto"/>
            </w:tcBorders>
            <w:shd w:val="clear" w:color="auto" w:fill="auto"/>
            <w:vAlign w:val="bottom"/>
          </w:tcPr>
          <w:p w14:paraId="536F6D6A"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7,9</w:t>
            </w:r>
          </w:p>
        </w:tc>
        <w:tc>
          <w:tcPr>
            <w:tcW w:w="680" w:type="dxa"/>
            <w:tcBorders>
              <w:bottom w:val="single" w:sz="12" w:space="0" w:color="auto"/>
            </w:tcBorders>
            <w:shd w:val="clear" w:color="auto" w:fill="auto"/>
            <w:vAlign w:val="bottom"/>
          </w:tcPr>
          <w:p w14:paraId="74C5577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8,7</w:t>
            </w:r>
          </w:p>
        </w:tc>
        <w:tc>
          <w:tcPr>
            <w:tcW w:w="680" w:type="dxa"/>
            <w:tcBorders>
              <w:bottom w:val="single" w:sz="12" w:space="0" w:color="auto"/>
            </w:tcBorders>
            <w:shd w:val="clear" w:color="auto" w:fill="auto"/>
            <w:vAlign w:val="bottom"/>
          </w:tcPr>
          <w:p w14:paraId="51B8856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9,5</w:t>
            </w:r>
          </w:p>
        </w:tc>
        <w:tc>
          <w:tcPr>
            <w:tcW w:w="680" w:type="dxa"/>
            <w:tcBorders>
              <w:bottom w:val="single" w:sz="12" w:space="0" w:color="auto"/>
            </w:tcBorders>
            <w:shd w:val="clear" w:color="auto" w:fill="auto"/>
            <w:vAlign w:val="bottom"/>
          </w:tcPr>
          <w:p w14:paraId="2EE1D9D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10,5</w:t>
            </w:r>
          </w:p>
        </w:tc>
        <w:tc>
          <w:tcPr>
            <w:tcW w:w="680" w:type="dxa"/>
            <w:tcBorders>
              <w:bottom w:val="single" w:sz="12" w:space="0" w:color="auto"/>
            </w:tcBorders>
            <w:shd w:val="clear" w:color="auto" w:fill="auto"/>
            <w:vAlign w:val="bottom"/>
          </w:tcPr>
          <w:p w14:paraId="296EF3C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11,7</w:t>
            </w:r>
          </w:p>
        </w:tc>
        <w:tc>
          <w:tcPr>
            <w:tcW w:w="680" w:type="dxa"/>
            <w:tcBorders>
              <w:bottom w:val="single" w:sz="12" w:space="0" w:color="auto"/>
            </w:tcBorders>
            <w:shd w:val="clear" w:color="auto" w:fill="auto"/>
            <w:vAlign w:val="bottom"/>
          </w:tcPr>
          <w:p w14:paraId="208A2D7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13,5</w:t>
            </w:r>
          </w:p>
        </w:tc>
        <w:tc>
          <w:tcPr>
            <w:tcW w:w="680" w:type="dxa"/>
            <w:tcBorders>
              <w:bottom w:val="single" w:sz="12" w:space="0" w:color="auto"/>
            </w:tcBorders>
            <w:shd w:val="clear" w:color="auto" w:fill="auto"/>
            <w:vAlign w:val="bottom"/>
          </w:tcPr>
          <w:p w14:paraId="6FFF462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21,6</w:t>
            </w:r>
          </w:p>
        </w:tc>
      </w:tr>
    </w:tbl>
    <w:p w14:paraId="077A1472" w14:textId="77777777" w:rsidR="00DA21FF" w:rsidRPr="00DA21FF" w:rsidRDefault="00DA21FF" w:rsidP="00DA21FF">
      <w:pPr>
        <w:pStyle w:val="SingleTxtG"/>
        <w:rPr>
          <w:lang w:val="en-GB"/>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680417" w:rsidRPr="00680417" w14:paraId="4C28FA2E" w14:textId="77777777" w:rsidTr="00680417">
        <w:trPr>
          <w:trHeight w:val="240"/>
          <w:tblHeader/>
        </w:trPr>
        <w:tc>
          <w:tcPr>
            <w:tcW w:w="7367" w:type="dxa"/>
            <w:gridSpan w:val="11"/>
            <w:tcBorders>
              <w:top w:val="single" w:sz="4" w:space="0" w:color="auto"/>
              <w:bottom w:val="single" w:sz="12" w:space="0" w:color="auto"/>
            </w:tcBorders>
            <w:shd w:val="clear" w:color="auto" w:fill="auto"/>
            <w:vAlign w:val="bottom"/>
          </w:tcPr>
          <w:p w14:paraId="716F0BEA" w14:textId="77777777" w:rsidR="00DA21FF" w:rsidRPr="00DA21FF" w:rsidRDefault="00DA21FF" w:rsidP="004D2A99">
            <w:pPr>
              <w:pStyle w:val="SingleTxtG"/>
              <w:tabs>
                <w:tab w:val="clear" w:pos="1701"/>
                <w:tab w:val="clear" w:pos="2268"/>
                <w:tab w:val="clear" w:pos="2835"/>
              </w:tabs>
              <w:spacing w:before="80" w:after="80" w:line="200" w:lineRule="exact"/>
              <w:ind w:left="0" w:right="0"/>
              <w:jc w:val="center"/>
              <w:rPr>
                <w:i/>
                <w:sz w:val="16"/>
                <w:lang w:val="en-GB"/>
              </w:rPr>
            </w:pPr>
            <w:r w:rsidRPr="00DA21FF">
              <w:rPr>
                <w:i/>
                <w:iCs/>
                <w:sz w:val="16"/>
              </w:rPr>
              <w:t>Porcentajes acumulativos por decil</w:t>
            </w:r>
          </w:p>
        </w:tc>
      </w:tr>
      <w:tr w:rsidR="00680417" w:rsidRPr="00DA21FF" w14:paraId="42C5166D" w14:textId="77777777" w:rsidTr="004D2A99">
        <w:trPr>
          <w:trHeight w:val="240"/>
        </w:trPr>
        <w:tc>
          <w:tcPr>
            <w:tcW w:w="567" w:type="dxa"/>
            <w:tcBorders>
              <w:top w:val="single" w:sz="12" w:space="0" w:color="auto"/>
            </w:tcBorders>
            <w:shd w:val="clear" w:color="auto" w:fill="auto"/>
          </w:tcPr>
          <w:p w14:paraId="5B129F6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680" w:type="dxa"/>
            <w:tcBorders>
              <w:top w:val="single" w:sz="12" w:space="0" w:color="auto"/>
            </w:tcBorders>
            <w:shd w:val="clear" w:color="auto" w:fill="auto"/>
            <w:vAlign w:val="bottom"/>
          </w:tcPr>
          <w:p w14:paraId="7479694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0" w:type="dxa"/>
            <w:tcBorders>
              <w:top w:val="single" w:sz="12" w:space="0" w:color="auto"/>
            </w:tcBorders>
            <w:shd w:val="clear" w:color="auto" w:fill="auto"/>
            <w:vAlign w:val="bottom"/>
          </w:tcPr>
          <w:p w14:paraId="70C90AE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9,7</w:t>
            </w:r>
          </w:p>
        </w:tc>
        <w:tc>
          <w:tcPr>
            <w:tcW w:w="680" w:type="dxa"/>
            <w:tcBorders>
              <w:top w:val="single" w:sz="12" w:space="0" w:color="auto"/>
            </w:tcBorders>
            <w:shd w:val="clear" w:color="auto" w:fill="auto"/>
            <w:vAlign w:val="bottom"/>
          </w:tcPr>
          <w:p w14:paraId="6BB53E9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16,7</w:t>
            </w:r>
          </w:p>
        </w:tc>
        <w:tc>
          <w:tcPr>
            <w:tcW w:w="680" w:type="dxa"/>
            <w:tcBorders>
              <w:top w:val="single" w:sz="12" w:space="0" w:color="auto"/>
            </w:tcBorders>
            <w:shd w:val="clear" w:color="auto" w:fill="auto"/>
            <w:vAlign w:val="bottom"/>
          </w:tcPr>
          <w:p w14:paraId="232E7FD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24,6</w:t>
            </w:r>
          </w:p>
        </w:tc>
        <w:tc>
          <w:tcPr>
            <w:tcW w:w="680" w:type="dxa"/>
            <w:tcBorders>
              <w:top w:val="single" w:sz="12" w:space="0" w:color="auto"/>
            </w:tcBorders>
            <w:shd w:val="clear" w:color="auto" w:fill="auto"/>
            <w:vAlign w:val="bottom"/>
          </w:tcPr>
          <w:p w14:paraId="49EA5CDA"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33,3</w:t>
            </w:r>
          </w:p>
        </w:tc>
        <w:tc>
          <w:tcPr>
            <w:tcW w:w="680" w:type="dxa"/>
            <w:tcBorders>
              <w:top w:val="single" w:sz="12" w:space="0" w:color="auto"/>
            </w:tcBorders>
            <w:shd w:val="clear" w:color="auto" w:fill="auto"/>
            <w:vAlign w:val="bottom"/>
          </w:tcPr>
          <w:p w14:paraId="3EF8EE9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42,8</w:t>
            </w:r>
          </w:p>
        </w:tc>
        <w:tc>
          <w:tcPr>
            <w:tcW w:w="680" w:type="dxa"/>
            <w:tcBorders>
              <w:top w:val="single" w:sz="12" w:space="0" w:color="auto"/>
            </w:tcBorders>
            <w:shd w:val="clear" w:color="auto" w:fill="auto"/>
            <w:vAlign w:val="bottom"/>
          </w:tcPr>
          <w:p w14:paraId="6EE4DC3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53,3</w:t>
            </w:r>
          </w:p>
        </w:tc>
        <w:tc>
          <w:tcPr>
            <w:tcW w:w="680" w:type="dxa"/>
            <w:tcBorders>
              <w:top w:val="single" w:sz="12" w:space="0" w:color="auto"/>
            </w:tcBorders>
            <w:shd w:val="clear" w:color="auto" w:fill="auto"/>
            <w:vAlign w:val="bottom"/>
          </w:tcPr>
          <w:p w14:paraId="5CE0CB8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65,0</w:t>
            </w:r>
          </w:p>
        </w:tc>
        <w:tc>
          <w:tcPr>
            <w:tcW w:w="680" w:type="dxa"/>
            <w:tcBorders>
              <w:top w:val="single" w:sz="12" w:space="0" w:color="auto"/>
            </w:tcBorders>
            <w:shd w:val="clear" w:color="auto" w:fill="auto"/>
            <w:vAlign w:val="bottom"/>
          </w:tcPr>
          <w:p w14:paraId="36EDA21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78,5</w:t>
            </w:r>
          </w:p>
        </w:tc>
        <w:tc>
          <w:tcPr>
            <w:tcW w:w="680" w:type="dxa"/>
            <w:tcBorders>
              <w:top w:val="single" w:sz="12" w:space="0" w:color="auto"/>
            </w:tcBorders>
            <w:shd w:val="clear" w:color="auto" w:fill="auto"/>
            <w:vAlign w:val="bottom"/>
          </w:tcPr>
          <w:p w14:paraId="556FF2D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r w:rsidR="00680417" w:rsidRPr="00DA21FF" w14:paraId="46C5B142" w14:textId="77777777" w:rsidTr="004D2A99">
        <w:trPr>
          <w:trHeight w:val="240"/>
        </w:trPr>
        <w:tc>
          <w:tcPr>
            <w:tcW w:w="567" w:type="dxa"/>
            <w:shd w:val="clear" w:color="auto" w:fill="auto"/>
          </w:tcPr>
          <w:p w14:paraId="1DFA1D0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680" w:type="dxa"/>
            <w:shd w:val="clear" w:color="auto" w:fill="auto"/>
            <w:vAlign w:val="bottom"/>
          </w:tcPr>
          <w:p w14:paraId="1F386FA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0" w:type="dxa"/>
            <w:shd w:val="clear" w:color="auto" w:fill="auto"/>
            <w:vAlign w:val="bottom"/>
          </w:tcPr>
          <w:p w14:paraId="532153C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9,7</w:t>
            </w:r>
          </w:p>
        </w:tc>
        <w:tc>
          <w:tcPr>
            <w:tcW w:w="680" w:type="dxa"/>
            <w:shd w:val="clear" w:color="auto" w:fill="auto"/>
            <w:vAlign w:val="bottom"/>
          </w:tcPr>
          <w:p w14:paraId="4097026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16,7</w:t>
            </w:r>
          </w:p>
        </w:tc>
        <w:tc>
          <w:tcPr>
            <w:tcW w:w="680" w:type="dxa"/>
            <w:shd w:val="clear" w:color="auto" w:fill="auto"/>
            <w:vAlign w:val="bottom"/>
          </w:tcPr>
          <w:p w14:paraId="7C43395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24,6</w:t>
            </w:r>
          </w:p>
        </w:tc>
        <w:tc>
          <w:tcPr>
            <w:tcW w:w="680" w:type="dxa"/>
            <w:shd w:val="clear" w:color="auto" w:fill="auto"/>
            <w:vAlign w:val="bottom"/>
          </w:tcPr>
          <w:p w14:paraId="39FB092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33,3</w:t>
            </w:r>
          </w:p>
        </w:tc>
        <w:tc>
          <w:tcPr>
            <w:tcW w:w="680" w:type="dxa"/>
            <w:shd w:val="clear" w:color="auto" w:fill="auto"/>
            <w:vAlign w:val="bottom"/>
          </w:tcPr>
          <w:p w14:paraId="6E9C166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42,9</w:t>
            </w:r>
          </w:p>
        </w:tc>
        <w:tc>
          <w:tcPr>
            <w:tcW w:w="680" w:type="dxa"/>
            <w:shd w:val="clear" w:color="auto" w:fill="auto"/>
            <w:vAlign w:val="bottom"/>
          </w:tcPr>
          <w:p w14:paraId="7515694D"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53,3</w:t>
            </w:r>
          </w:p>
        </w:tc>
        <w:tc>
          <w:tcPr>
            <w:tcW w:w="680" w:type="dxa"/>
            <w:shd w:val="clear" w:color="auto" w:fill="auto"/>
            <w:vAlign w:val="bottom"/>
          </w:tcPr>
          <w:p w14:paraId="5175AC2D"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65,0</w:t>
            </w:r>
          </w:p>
        </w:tc>
        <w:tc>
          <w:tcPr>
            <w:tcW w:w="680" w:type="dxa"/>
            <w:shd w:val="clear" w:color="auto" w:fill="auto"/>
            <w:vAlign w:val="bottom"/>
          </w:tcPr>
          <w:p w14:paraId="2A5B2845"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78,5</w:t>
            </w:r>
          </w:p>
        </w:tc>
        <w:tc>
          <w:tcPr>
            <w:tcW w:w="680" w:type="dxa"/>
            <w:shd w:val="clear" w:color="auto" w:fill="auto"/>
            <w:vAlign w:val="bottom"/>
          </w:tcPr>
          <w:p w14:paraId="0624A47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r w:rsidR="00680417" w:rsidRPr="00DA21FF" w14:paraId="2FED3AA4" w14:textId="77777777" w:rsidTr="004D2A99">
        <w:trPr>
          <w:trHeight w:val="240"/>
        </w:trPr>
        <w:tc>
          <w:tcPr>
            <w:tcW w:w="567" w:type="dxa"/>
            <w:shd w:val="clear" w:color="auto" w:fill="auto"/>
          </w:tcPr>
          <w:p w14:paraId="292E16E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680" w:type="dxa"/>
            <w:shd w:val="clear" w:color="auto" w:fill="auto"/>
            <w:vAlign w:val="bottom"/>
          </w:tcPr>
          <w:p w14:paraId="683090C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0" w:type="dxa"/>
            <w:shd w:val="clear" w:color="auto" w:fill="auto"/>
            <w:vAlign w:val="bottom"/>
          </w:tcPr>
          <w:p w14:paraId="2A2EF05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9,7</w:t>
            </w:r>
          </w:p>
        </w:tc>
        <w:tc>
          <w:tcPr>
            <w:tcW w:w="680" w:type="dxa"/>
            <w:shd w:val="clear" w:color="auto" w:fill="auto"/>
            <w:vAlign w:val="bottom"/>
          </w:tcPr>
          <w:p w14:paraId="65C82A5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16,7</w:t>
            </w:r>
          </w:p>
        </w:tc>
        <w:tc>
          <w:tcPr>
            <w:tcW w:w="680" w:type="dxa"/>
            <w:shd w:val="clear" w:color="auto" w:fill="auto"/>
            <w:vAlign w:val="bottom"/>
          </w:tcPr>
          <w:p w14:paraId="4B0CACB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24,6</w:t>
            </w:r>
          </w:p>
        </w:tc>
        <w:tc>
          <w:tcPr>
            <w:tcW w:w="680" w:type="dxa"/>
            <w:shd w:val="clear" w:color="auto" w:fill="auto"/>
            <w:vAlign w:val="bottom"/>
          </w:tcPr>
          <w:p w14:paraId="404B886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33,4</w:t>
            </w:r>
          </w:p>
        </w:tc>
        <w:tc>
          <w:tcPr>
            <w:tcW w:w="680" w:type="dxa"/>
            <w:shd w:val="clear" w:color="auto" w:fill="auto"/>
            <w:vAlign w:val="bottom"/>
          </w:tcPr>
          <w:p w14:paraId="2CBDBF86"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42,9</w:t>
            </w:r>
          </w:p>
        </w:tc>
        <w:tc>
          <w:tcPr>
            <w:tcW w:w="680" w:type="dxa"/>
            <w:shd w:val="clear" w:color="auto" w:fill="auto"/>
            <w:vAlign w:val="bottom"/>
          </w:tcPr>
          <w:p w14:paraId="0669502D"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53,5</w:t>
            </w:r>
          </w:p>
        </w:tc>
        <w:tc>
          <w:tcPr>
            <w:tcW w:w="680" w:type="dxa"/>
            <w:shd w:val="clear" w:color="auto" w:fill="auto"/>
            <w:vAlign w:val="bottom"/>
          </w:tcPr>
          <w:p w14:paraId="11356F52"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65,2</w:t>
            </w:r>
          </w:p>
        </w:tc>
        <w:tc>
          <w:tcPr>
            <w:tcW w:w="680" w:type="dxa"/>
            <w:shd w:val="clear" w:color="auto" w:fill="auto"/>
            <w:vAlign w:val="bottom"/>
          </w:tcPr>
          <w:p w14:paraId="49FC4D4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78,7</w:t>
            </w:r>
          </w:p>
        </w:tc>
        <w:tc>
          <w:tcPr>
            <w:tcW w:w="680" w:type="dxa"/>
            <w:shd w:val="clear" w:color="auto" w:fill="auto"/>
            <w:vAlign w:val="bottom"/>
          </w:tcPr>
          <w:p w14:paraId="6F2D178C"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r w:rsidR="00680417" w:rsidRPr="00DA21FF" w14:paraId="293A63E0" w14:textId="77777777" w:rsidTr="004D2A99">
        <w:trPr>
          <w:trHeight w:val="240"/>
        </w:trPr>
        <w:tc>
          <w:tcPr>
            <w:tcW w:w="567" w:type="dxa"/>
            <w:shd w:val="clear" w:color="auto" w:fill="auto"/>
          </w:tcPr>
          <w:p w14:paraId="3AEF64E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680" w:type="dxa"/>
            <w:shd w:val="clear" w:color="auto" w:fill="auto"/>
            <w:vAlign w:val="bottom"/>
          </w:tcPr>
          <w:p w14:paraId="0CFE6B5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3,8</w:t>
            </w:r>
          </w:p>
        </w:tc>
        <w:tc>
          <w:tcPr>
            <w:tcW w:w="680" w:type="dxa"/>
            <w:shd w:val="clear" w:color="auto" w:fill="auto"/>
            <w:vAlign w:val="bottom"/>
          </w:tcPr>
          <w:p w14:paraId="1768299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9,7</w:t>
            </w:r>
          </w:p>
        </w:tc>
        <w:tc>
          <w:tcPr>
            <w:tcW w:w="680" w:type="dxa"/>
            <w:shd w:val="clear" w:color="auto" w:fill="auto"/>
            <w:vAlign w:val="bottom"/>
          </w:tcPr>
          <w:p w14:paraId="121068EA"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16,7</w:t>
            </w:r>
          </w:p>
        </w:tc>
        <w:tc>
          <w:tcPr>
            <w:tcW w:w="680" w:type="dxa"/>
            <w:shd w:val="clear" w:color="auto" w:fill="auto"/>
            <w:vAlign w:val="bottom"/>
          </w:tcPr>
          <w:p w14:paraId="1A95916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24,6</w:t>
            </w:r>
          </w:p>
        </w:tc>
        <w:tc>
          <w:tcPr>
            <w:tcW w:w="680" w:type="dxa"/>
            <w:shd w:val="clear" w:color="auto" w:fill="auto"/>
            <w:vAlign w:val="bottom"/>
          </w:tcPr>
          <w:p w14:paraId="76F8FA2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33,2</w:t>
            </w:r>
          </w:p>
        </w:tc>
        <w:tc>
          <w:tcPr>
            <w:tcW w:w="680" w:type="dxa"/>
            <w:shd w:val="clear" w:color="auto" w:fill="auto"/>
            <w:vAlign w:val="bottom"/>
          </w:tcPr>
          <w:p w14:paraId="48A2B30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42,8</w:t>
            </w:r>
          </w:p>
        </w:tc>
        <w:tc>
          <w:tcPr>
            <w:tcW w:w="680" w:type="dxa"/>
            <w:shd w:val="clear" w:color="auto" w:fill="auto"/>
            <w:vAlign w:val="bottom"/>
          </w:tcPr>
          <w:p w14:paraId="24BA877B"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53,2</w:t>
            </w:r>
          </w:p>
        </w:tc>
        <w:tc>
          <w:tcPr>
            <w:tcW w:w="680" w:type="dxa"/>
            <w:shd w:val="clear" w:color="auto" w:fill="auto"/>
            <w:vAlign w:val="bottom"/>
          </w:tcPr>
          <w:p w14:paraId="22EC4A2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64,9</w:t>
            </w:r>
          </w:p>
        </w:tc>
        <w:tc>
          <w:tcPr>
            <w:tcW w:w="680" w:type="dxa"/>
            <w:shd w:val="clear" w:color="auto" w:fill="auto"/>
            <w:vAlign w:val="bottom"/>
          </w:tcPr>
          <w:p w14:paraId="5DE5BD8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78,4</w:t>
            </w:r>
          </w:p>
        </w:tc>
        <w:tc>
          <w:tcPr>
            <w:tcW w:w="680" w:type="dxa"/>
            <w:shd w:val="clear" w:color="auto" w:fill="auto"/>
            <w:vAlign w:val="bottom"/>
          </w:tcPr>
          <w:p w14:paraId="51A45AC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r w:rsidR="00680417" w:rsidRPr="00DA21FF" w14:paraId="4F22F3F6" w14:textId="77777777" w:rsidTr="004D2A99">
        <w:trPr>
          <w:trHeight w:val="240"/>
        </w:trPr>
        <w:tc>
          <w:tcPr>
            <w:tcW w:w="567" w:type="dxa"/>
            <w:shd w:val="clear" w:color="auto" w:fill="auto"/>
          </w:tcPr>
          <w:p w14:paraId="40163FF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680" w:type="dxa"/>
            <w:shd w:val="clear" w:color="auto" w:fill="auto"/>
            <w:vAlign w:val="bottom"/>
          </w:tcPr>
          <w:p w14:paraId="30A104C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3,7</w:t>
            </w:r>
          </w:p>
        </w:tc>
        <w:tc>
          <w:tcPr>
            <w:tcW w:w="680" w:type="dxa"/>
            <w:shd w:val="clear" w:color="auto" w:fill="auto"/>
            <w:vAlign w:val="bottom"/>
          </w:tcPr>
          <w:p w14:paraId="2C403D0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9,4</w:t>
            </w:r>
          </w:p>
        </w:tc>
        <w:tc>
          <w:tcPr>
            <w:tcW w:w="680" w:type="dxa"/>
            <w:shd w:val="clear" w:color="auto" w:fill="auto"/>
            <w:vAlign w:val="bottom"/>
          </w:tcPr>
          <w:p w14:paraId="3771F20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16,1</w:t>
            </w:r>
          </w:p>
        </w:tc>
        <w:tc>
          <w:tcPr>
            <w:tcW w:w="680" w:type="dxa"/>
            <w:shd w:val="clear" w:color="auto" w:fill="auto"/>
            <w:vAlign w:val="bottom"/>
          </w:tcPr>
          <w:p w14:paraId="295E26F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23,7</w:t>
            </w:r>
          </w:p>
        </w:tc>
        <w:tc>
          <w:tcPr>
            <w:tcW w:w="680" w:type="dxa"/>
            <w:shd w:val="clear" w:color="auto" w:fill="auto"/>
            <w:vAlign w:val="bottom"/>
          </w:tcPr>
          <w:p w14:paraId="1C09D5A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32,0</w:t>
            </w:r>
          </w:p>
        </w:tc>
        <w:tc>
          <w:tcPr>
            <w:tcW w:w="680" w:type="dxa"/>
            <w:shd w:val="clear" w:color="auto" w:fill="auto"/>
            <w:vAlign w:val="bottom"/>
          </w:tcPr>
          <w:p w14:paraId="4057490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41,1</w:t>
            </w:r>
          </w:p>
        </w:tc>
        <w:tc>
          <w:tcPr>
            <w:tcW w:w="680" w:type="dxa"/>
            <w:shd w:val="clear" w:color="auto" w:fill="auto"/>
            <w:vAlign w:val="bottom"/>
          </w:tcPr>
          <w:p w14:paraId="6F99830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51,2</w:t>
            </w:r>
          </w:p>
        </w:tc>
        <w:tc>
          <w:tcPr>
            <w:tcW w:w="680" w:type="dxa"/>
            <w:shd w:val="clear" w:color="auto" w:fill="auto"/>
            <w:vAlign w:val="bottom"/>
          </w:tcPr>
          <w:p w14:paraId="6F45B76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62,4</w:t>
            </w:r>
          </w:p>
        </w:tc>
        <w:tc>
          <w:tcPr>
            <w:tcW w:w="680" w:type="dxa"/>
            <w:shd w:val="clear" w:color="auto" w:fill="auto"/>
            <w:vAlign w:val="bottom"/>
          </w:tcPr>
          <w:p w14:paraId="6099EC6B"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75,5</w:t>
            </w:r>
          </w:p>
        </w:tc>
        <w:tc>
          <w:tcPr>
            <w:tcW w:w="680" w:type="dxa"/>
            <w:shd w:val="clear" w:color="auto" w:fill="auto"/>
            <w:vAlign w:val="bottom"/>
          </w:tcPr>
          <w:p w14:paraId="0C0FA468"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r w:rsidR="00680417" w:rsidRPr="00DA21FF" w14:paraId="34CD93F2" w14:textId="77777777" w:rsidTr="004D2A99">
        <w:trPr>
          <w:trHeight w:val="240"/>
        </w:trPr>
        <w:tc>
          <w:tcPr>
            <w:tcW w:w="567" w:type="dxa"/>
            <w:tcBorders>
              <w:bottom w:val="single" w:sz="12" w:space="0" w:color="auto"/>
            </w:tcBorders>
            <w:shd w:val="clear" w:color="auto" w:fill="auto"/>
          </w:tcPr>
          <w:p w14:paraId="0AF5F77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680" w:type="dxa"/>
            <w:tcBorders>
              <w:bottom w:val="single" w:sz="12" w:space="0" w:color="auto"/>
            </w:tcBorders>
            <w:shd w:val="clear" w:color="auto" w:fill="auto"/>
            <w:vAlign w:val="bottom"/>
          </w:tcPr>
          <w:p w14:paraId="19235491"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3,7</w:t>
            </w:r>
          </w:p>
        </w:tc>
        <w:tc>
          <w:tcPr>
            <w:tcW w:w="680" w:type="dxa"/>
            <w:tcBorders>
              <w:bottom w:val="single" w:sz="12" w:space="0" w:color="auto"/>
            </w:tcBorders>
            <w:shd w:val="clear" w:color="auto" w:fill="auto"/>
            <w:vAlign w:val="bottom"/>
          </w:tcPr>
          <w:p w14:paraId="7B700B53"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9,7</w:t>
            </w:r>
          </w:p>
        </w:tc>
        <w:tc>
          <w:tcPr>
            <w:tcW w:w="680" w:type="dxa"/>
            <w:tcBorders>
              <w:bottom w:val="single" w:sz="12" w:space="0" w:color="auto"/>
            </w:tcBorders>
            <w:shd w:val="clear" w:color="auto" w:fill="auto"/>
            <w:vAlign w:val="bottom"/>
          </w:tcPr>
          <w:p w14:paraId="146F6864"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16,7</w:t>
            </w:r>
          </w:p>
        </w:tc>
        <w:tc>
          <w:tcPr>
            <w:tcW w:w="680" w:type="dxa"/>
            <w:tcBorders>
              <w:bottom w:val="single" w:sz="12" w:space="0" w:color="auto"/>
            </w:tcBorders>
            <w:shd w:val="clear" w:color="auto" w:fill="auto"/>
            <w:vAlign w:val="bottom"/>
          </w:tcPr>
          <w:p w14:paraId="110473E9"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24,6</w:t>
            </w:r>
          </w:p>
        </w:tc>
        <w:tc>
          <w:tcPr>
            <w:tcW w:w="680" w:type="dxa"/>
            <w:tcBorders>
              <w:bottom w:val="single" w:sz="12" w:space="0" w:color="auto"/>
            </w:tcBorders>
            <w:shd w:val="clear" w:color="auto" w:fill="auto"/>
            <w:vAlign w:val="bottom"/>
          </w:tcPr>
          <w:p w14:paraId="72DF723B"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33,2</w:t>
            </w:r>
          </w:p>
        </w:tc>
        <w:tc>
          <w:tcPr>
            <w:tcW w:w="680" w:type="dxa"/>
            <w:tcBorders>
              <w:bottom w:val="single" w:sz="12" w:space="0" w:color="auto"/>
            </w:tcBorders>
            <w:shd w:val="clear" w:color="auto" w:fill="auto"/>
            <w:vAlign w:val="bottom"/>
          </w:tcPr>
          <w:p w14:paraId="012E314E"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42,8</w:t>
            </w:r>
          </w:p>
        </w:tc>
        <w:tc>
          <w:tcPr>
            <w:tcW w:w="680" w:type="dxa"/>
            <w:tcBorders>
              <w:bottom w:val="single" w:sz="12" w:space="0" w:color="auto"/>
            </w:tcBorders>
            <w:shd w:val="clear" w:color="auto" w:fill="auto"/>
            <w:vAlign w:val="bottom"/>
          </w:tcPr>
          <w:p w14:paraId="64263827"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53,2</w:t>
            </w:r>
          </w:p>
        </w:tc>
        <w:tc>
          <w:tcPr>
            <w:tcW w:w="680" w:type="dxa"/>
            <w:tcBorders>
              <w:bottom w:val="single" w:sz="12" w:space="0" w:color="auto"/>
            </w:tcBorders>
            <w:shd w:val="clear" w:color="auto" w:fill="auto"/>
            <w:vAlign w:val="bottom"/>
          </w:tcPr>
          <w:p w14:paraId="29452090"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64,9</w:t>
            </w:r>
          </w:p>
        </w:tc>
        <w:tc>
          <w:tcPr>
            <w:tcW w:w="680" w:type="dxa"/>
            <w:tcBorders>
              <w:bottom w:val="single" w:sz="12" w:space="0" w:color="auto"/>
            </w:tcBorders>
            <w:shd w:val="clear" w:color="auto" w:fill="auto"/>
            <w:vAlign w:val="bottom"/>
          </w:tcPr>
          <w:p w14:paraId="5BFF04E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78,4</w:t>
            </w:r>
          </w:p>
        </w:tc>
        <w:tc>
          <w:tcPr>
            <w:tcW w:w="680" w:type="dxa"/>
            <w:tcBorders>
              <w:bottom w:val="single" w:sz="12" w:space="0" w:color="auto"/>
            </w:tcBorders>
            <w:shd w:val="clear" w:color="auto" w:fill="auto"/>
            <w:vAlign w:val="bottom"/>
          </w:tcPr>
          <w:p w14:paraId="616D2FBF" w14:textId="77777777" w:rsidR="00DA21FF" w:rsidRPr="00DA21FF" w:rsidRDefault="00DA21FF" w:rsidP="004D2A99">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100</w:t>
            </w:r>
          </w:p>
        </w:tc>
      </w:tr>
    </w:tbl>
    <w:p w14:paraId="4DB1716C" w14:textId="77777777" w:rsidR="00DA21FF" w:rsidRPr="00DA21FF" w:rsidRDefault="00DA21FF" w:rsidP="002F5430">
      <w:pPr>
        <w:pStyle w:val="SingleTxtG"/>
        <w:spacing w:before="240"/>
        <w:rPr>
          <w:lang w:val="en-GB"/>
        </w:rPr>
      </w:pPr>
      <w:r w:rsidRPr="00DA21FF">
        <w:t>22.</w:t>
      </w:r>
      <w:r w:rsidRPr="00DA21FF">
        <w:tab/>
        <w:t xml:space="preserve">El cuadro siguiente muestra las medidas de </w:t>
      </w:r>
      <w:r w:rsidRPr="00373B5F">
        <w:rPr>
          <w:u w:val="single"/>
        </w:rPr>
        <w:t>dispersión del ingreso/ingreso equivalente de los hogares</w:t>
      </w:r>
      <w:r w:rsidRPr="00653C36">
        <w:rPr>
          <w:sz w:val="18"/>
          <w:szCs w:val="18"/>
          <w:vertAlign w:val="superscript"/>
        </w:rPr>
        <w:footnoteReference w:id="6"/>
      </w:r>
      <w:r w:rsidRPr="00DA21FF">
        <w:t xml:space="preserve"> (escala de la UE) entre las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5"/>
        <w:gridCol w:w="1376"/>
        <w:gridCol w:w="753"/>
        <w:gridCol w:w="850"/>
        <w:gridCol w:w="1417"/>
        <w:gridCol w:w="1134"/>
        <w:gridCol w:w="1275"/>
      </w:tblGrid>
      <w:tr w:rsidR="00BC4122" w:rsidRPr="00680417" w14:paraId="2E85C70F" w14:textId="77777777" w:rsidTr="000725E8">
        <w:trPr>
          <w:trHeight w:val="240"/>
          <w:tblHeader/>
        </w:trPr>
        <w:tc>
          <w:tcPr>
            <w:tcW w:w="565" w:type="dxa"/>
            <w:vMerge w:val="restart"/>
            <w:tcBorders>
              <w:top w:val="single" w:sz="4" w:space="0" w:color="auto"/>
            </w:tcBorders>
            <w:shd w:val="clear" w:color="auto" w:fill="auto"/>
            <w:vAlign w:val="bottom"/>
          </w:tcPr>
          <w:p w14:paraId="1164F973" w14:textId="73E79A18" w:rsidR="00BC4122" w:rsidRPr="00DA21FF" w:rsidRDefault="00BC4122" w:rsidP="00BC4122">
            <w:pPr>
              <w:pStyle w:val="SingleTxtG"/>
              <w:spacing w:before="80" w:after="80" w:line="200" w:lineRule="exact"/>
              <w:ind w:left="0" w:right="0"/>
              <w:jc w:val="left"/>
              <w:rPr>
                <w:i/>
                <w:sz w:val="16"/>
                <w:lang w:val="en-GB"/>
              </w:rPr>
            </w:pPr>
            <w:r w:rsidRPr="00DA21FF">
              <w:rPr>
                <w:i/>
                <w:iCs/>
                <w:sz w:val="16"/>
              </w:rPr>
              <w:t>Año</w:t>
            </w:r>
          </w:p>
        </w:tc>
        <w:tc>
          <w:tcPr>
            <w:tcW w:w="2979" w:type="dxa"/>
            <w:gridSpan w:val="3"/>
            <w:tcBorders>
              <w:top w:val="single" w:sz="4" w:space="0" w:color="auto"/>
              <w:bottom w:val="single" w:sz="4" w:space="0" w:color="auto"/>
              <w:right w:val="single" w:sz="18" w:space="0" w:color="FFFFFF" w:themeColor="background1"/>
            </w:tcBorders>
            <w:shd w:val="clear" w:color="auto" w:fill="auto"/>
            <w:vAlign w:val="bottom"/>
          </w:tcPr>
          <w:p w14:paraId="2B591327" w14:textId="758928BB" w:rsidR="00BC4122" w:rsidRPr="00DA21FF" w:rsidRDefault="00BC4122" w:rsidP="00BF113C">
            <w:pPr>
              <w:pStyle w:val="SingleTxtG"/>
              <w:tabs>
                <w:tab w:val="clear" w:pos="1701"/>
                <w:tab w:val="clear" w:pos="2268"/>
                <w:tab w:val="clear" w:pos="2835"/>
              </w:tabs>
              <w:spacing w:before="80" w:after="80" w:line="200" w:lineRule="exact"/>
              <w:ind w:left="0" w:right="0"/>
              <w:jc w:val="center"/>
              <w:rPr>
                <w:i/>
                <w:sz w:val="16"/>
                <w:lang w:val="en-GB"/>
              </w:rPr>
            </w:pPr>
            <w:r w:rsidRPr="00DA21FF">
              <w:rPr>
                <w:i/>
                <w:iCs/>
                <w:sz w:val="16"/>
              </w:rPr>
              <w:t>Población total</w:t>
            </w:r>
          </w:p>
        </w:tc>
        <w:tc>
          <w:tcPr>
            <w:tcW w:w="3826" w:type="dxa"/>
            <w:gridSpan w:val="3"/>
            <w:tcBorders>
              <w:top w:val="single" w:sz="4" w:space="0" w:color="auto"/>
              <w:left w:val="single" w:sz="18" w:space="0" w:color="FFFFFF" w:themeColor="background1"/>
              <w:bottom w:val="single" w:sz="4" w:space="0" w:color="auto"/>
            </w:tcBorders>
            <w:shd w:val="clear" w:color="auto" w:fill="auto"/>
            <w:vAlign w:val="bottom"/>
          </w:tcPr>
          <w:p w14:paraId="13408D9F" w14:textId="166E775E" w:rsidR="00BC4122" w:rsidRPr="00DA21FF" w:rsidRDefault="00BC4122" w:rsidP="00BF113C">
            <w:pPr>
              <w:pStyle w:val="SingleTxtG"/>
              <w:tabs>
                <w:tab w:val="clear" w:pos="1701"/>
                <w:tab w:val="clear" w:pos="2268"/>
                <w:tab w:val="clear" w:pos="2835"/>
              </w:tabs>
              <w:spacing w:before="80" w:after="80" w:line="200" w:lineRule="exact"/>
              <w:ind w:left="0" w:right="0"/>
              <w:jc w:val="center"/>
              <w:rPr>
                <w:i/>
                <w:sz w:val="16"/>
                <w:lang w:val="en-GB"/>
              </w:rPr>
            </w:pPr>
            <w:r w:rsidRPr="00DA21FF">
              <w:rPr>
                <w:i/>
                <w:iCs/>
                <w:sz w:val="16"/>
              </w:rPr>
              <w:t xml:space="preserve">Población total, excluidas las personas </w:t>
            </w:r>
            <w:r>
              <w:rPr>
                <w:i/>
                <w:iCs/>
                <w:sz w:val="16"/>
              </w:rPr>
              <w:br/>
            </w:r>
            <w:r w:rsidRPr="00DA21FF">
              <w:rPr>
                <w:i/>
                <w:iCs/>
                <w:sz w:val="16"/>
              </w:rPr>
              <w:t>en hogares de estudiantes</w:t>
            </w:r>
          </w:p>
        </w:tc>
      </w:tr>
      <w:tr w:rsidR="00BC4122" w:rsidRPr="00DA21FF" w14:paraId="7237A9C2" w14:textId="77777777" w:rsidTr="000725E8">
        <w:trPr>
          <w:trHeight w:val="240"/>
          <w:tblHeader/>
        </w:trPr>
        <w:tc>
          <w:tcPr>
            <w:tcW w:w="565" w:type="dxa"/>
            <w:vMerge/>
            <w:tcBorders>
              <w:bottom w:val="single" w:sz="12" w:space="0" w:color="auto"/>
            </w:tcBorders>
            <w:shd w:val="clear" w:color="auto" w:fill="auto"/>
            <w:vAlign w:val="bottom"/>
          </w:tcPr>
          <w:p w14:paraId="5D324A10" w14:textId="6E70AE9C" w:rsidR="00BC4122" w:rsidRPr="00DA21FF" w:rsidRDefault="00BC4122" w:rsidP="00BC4122">
            <w:pPr>
              <w:pStyle w:val="SingleTxtG"/>
              <w:tabs>
                <w:tab w:val="clear" w:pos="1701"/>
                <w:tab w:val="clear" w:pos="2268"/>
                <w:tab w:val="clear" w:pos="2835"/>
              </w:tabs>
              <w:spacing w:before="80" w:after="80" w:line="200" w:lineRule="exact"/>
              <w:ind w:left="0" w:right="0"/>
              <w:jc w:val="left"/>
              <w:rPr>
                <w:i/>
                <w:iCs/>
                <w:sz w:val="16"/>
              </w:rPr>
            </w:pPr>
          </w:p>
        </w:tc>
        <w:tc>
          <w:tcPr>
            <w:tcW w:w="1376" w:type="dxa"/>
            <w:tcBorders>
              <w:top w:val="single" w:sz="4" w:space="0" w:color="auto"/>
              <w:bottom w:val="single" w:sz="12" w:space="0" w:color="auto"/>
            </w:tcBorders>
            <w:shd w:val="clear" w:color="auto" w:fill="auto"/>
          </w:tcPr>
          <w:p w14:paraId="6D5029D1"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Coeficiente de Gini</w:t>
            </w:r>
          </w:p>
        </w:tc>
        <w:tc>
          <w:tcPr>
            <w:tcW w:w="753" w:type="dxa"/>
            <w:tcBorders>
              <w:top w:val="single" w:sz="4" w:space="0" w:color="auto"/>
              <w:bottom w:val="single" w:sz="12" w:space="0" w:color="auto"/>
            </w:tcBorders>
            <w:shd w:val="clear" w:color="auto" w:fill="auto"/>
          </w:tcPr>
          <w:p w14:paraId="3761273F"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proofErr w:type="spellStart"/>
            <w:r w:rsidRPr="00DA21FF">
              <w:rPr>
                <w:i/>
                <w:iCs/>
                <w:sz w:val="16"/>
              </w:rPr>
              <w:t>P90</w:t>
            </w:r>
            <w:proofErr w:type="spellEnd"/>
            <w:r w:rsidRPr="00DA21FF">
              <w:rPr>
                <w:i/>
                <w:iCs/>
                <w:sz w:val="16"/>
              </w:rPr>
              <w:t>/</w:t>
            </w:r>
            <w:proofErr w:type="spellStart"/>
            <w:r w:rsidRPr="00DA21FF">
              <w:rPr>
                <w:i/>
                <w:iCs/>
                <w:sz w:val="16"/>
              </w:rPr>
              <w:t>P10</w:t>
            </w:r>
            <w:proofErr w:type="spellEnd"/>
            <w:r w:rsidRPr="00DA21FF">
              <w:rPr>
                <w:i/>
                <w:iCs/>
                <w:sz w:val="16"/>
              </w:rPr>
              <w:t>*</w:t>
            </w:r>
          </w:p>
        </w:tc>
        <w:tc>
          <w:tcPr>
            <w:tcW w:w="850" w:type="dxa"/>
            <w:tcBorders>
              <w:top w:val="single" w:sz="4" w:space="0" w:color="auto"/>
              <w:bottom w:val="single" w:sz="12" w:space="0" w:color="auto"/>
              <w:right w:val="single" w:sz="18" w:space="0" w:color="FFFFFF" w:themeColor="background1"/>
            </w:tcBorders>
            <w:shd w:val="clear" w:color="auto" w:fill="auto"/>
          </w:tcPr>
          <w:p w14:paraId="252B5A27"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proofErr w:type="spellStart"/>
            <w:r w:rsidRPr="00DA21FF">
              <w:rPr>
                <w:i/>
                <w:iCs/>
                <w:sz w:val="16"/>
              </w:rPr>
              <w:t>S80</w:t>
            </w:r>
            <w:proofErr w:type="spellEnd"/>
            <w:r w:rsidRPr="00DA21FF">
              <w:rPr>
                <w:i/>
                <w:iCs/>
                <w:sz w:val="16"/>
              </w:rPr>
              <w:t>/</w:t>
            </w:r>
            <w:proofErr w:type="spellStart"/>
            <w:r w:rsidRPr="00DA21FF">
              <w:rPr>
                <w:i/>
                <w:iCs/>
                <w:sz w:val="16"/>
              </w:rPr>
              <w:t>S20</w:t>
            </w:r>
            <w:proofErr w:type="spellEnd"/>
            <w:r w:rsidRPr="00DA21FF">
              <w:rPr>
                <w:i/>
                <w:iCs/>
                <w:sz w:val="16"/>
              </w:rPr>
              <w:t>**</w:t>
            </w:r>
          </w:p>
        </w:tc>
        <w:tc>
          <w:tcPr>
            <w:tcW w:w="1417" w:type="dxa"/>
            <w:tcBorders>
              <w:top w:val="single" w:sz="4" w:space="0" w:color="auto"/>
              <w:left w:val="single" w:sz="18" w:space="0" w:color="FFFFFF" w:themeColor="background1"/>
              <w:bottom w:val="single" w:sz="12" w:space="0" w:color="auto"/>
            </w:tcBorders>
            <w:shd w:val="clear" w:color="auto" w:fill="auto"/>
            <w:vAlign w:val="bottom"/>
          </w:tcPr>
          <w:p w14:paraId="0B2E61D6"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Coeficiente de Gini</w:t>
            </w:r>
          </w:p>
        </w:tc>
        <w:tc>
          <w:tcPr>
            <w:tcW w:w="1134" w:type="dxa"/>
            <w:tcBorders>
              <w:top w:val="single" w:sz="4" w:space="0" w:color="auto"/>
              <w:bottom w:val="single" w:sz="12" w:space="0" w:color="auto"/>
            </w:tcBorders>
            <w:shd w:val="clear" w:color="auto" w:fill="auto"/>
            <w:vAlign w:val="bottom"/>
          </w:tcPr>
          <w:p w14:paraId="0D6C1627"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proofErr w:type="spellStart"/>
            <w:r w:rsidRPr="00DA21FF">
              <w:rPr>
                <w:i/>
                <w:iCs/>
                <w:sz w:val="16"/>
              </w:rPr>
              <w:t>P90</w:t>
            </w:r>
            <w:proofErr w:type="spellEnd"/>
            <w:r w:rsidRPr="00DA21FF">
              <w:rPr>
                <w:i/>
                <w:iCs/>
                <w:sz w:val="16"/>
              </w:rPr>
              <w:t>/</w:t>
            </w:r>
            <w:proofErr w:type="spellStart"/>
            <w:r w:rsidRPr="00DA21FF">
              <w:rPr>
                <w:i/>
                <w:iCs/>
                <w:sz w:val="16"/>
              </w:rPr>
              <w:t>P10</w:t>
            </w:r>
            <w:proofErr w:type="spellEnd"/>
            <w:r w:rsidRPr="00DA21FF">
              <w:rPr>
                <w:i/>
                <w:iCs/>
                <w:sz w:val="16"/>
              </w:rPr>
              <w:t>*</w:t>
            </w:r>
          </w:p>
        </w:tc>
        <w:tc>
          <w:tcPr>
            <w:tcW w:w="1275" w:type="dxa"/>
            <w:tcBorders>
              <w:top w:val="single" w:sz="4" w:space="0" w:color="auto"/>
              <w:bottom w:val="single" w:sz="12" w:space="0" w:color="auto"/>
            </w:tcBorders>
            <w:shd w:val="clear" w:color="auto" w:fill="auto"/>
            <w:vAlign w:val="bottom"/>
          </w:tcPr>
          <w:p w14:paraId="069A8D9E" w14:textId="77777777" w:rsidR="00BC4122" w:rsidRPr="00DA21FF" w:rsidRDefault="00BC4122" w:rsidP="00BC4122">
            <w:pPr>
              <w:pStyle w:val="SingleTxtG"/>
              <w:tabs>
                <w:tab w:val="clear" w:pos="1701"/>
                <w:tab w:val="clear" w:pos="2268"/>
                <w:tab w:val="clear" w:pos="2835"/>
              </w:tabs>
              <w:spacing w:before="80" w:after="80" w:line="200" w:lineRule="exact"/>
              <w:ind w:left="113" w:right="0"/>
              <w:jc w:val="right"/>
              <w:rPr>
                <w:i/>
                <w:iCs/>
                <w:sz w:val="16"/>
              </w:rPr>
            </w:pPr>
            <w:proofErr w:type="spellStart"/>
            <w:r w:rsidRPr="00DA21FF">
              <w:rPr>
                <w:i/>
                <w:iCs/>
                <w:sz w:val="16"/>
              </w:rPr>
              <w:t>S80</w:t>
            </w:r>
            <w:proofErr w:type="spellEnd"/>
            <w:r w:rsidRPr="00DA21FF">
              <w:rPr>
                <w:i/>
                <w:iCs/>
                <w:sz w:val="16"/>
              </w:rPr>
              <w:t>/</w:t>
            </w:r>
            <w:proofErr w:type="spellStart"/>
            <w:r w:rsidRPr="00DA21FF">
              <w:rPr>
                <w:i/>
                <w:iCs/>
                <w:sz w:val="16"/>
              </w:rPr>
              <w:t>S20</w:t>
            </w:r>
            <w:proofErr w:type="spellEnd"/>
            <w:r w:rsidRPr="00DA21FF">
              <w:rPr>
                <w:i/>
                <w:iCs/>
                <w:sz w:val="16"/>
              </w:rPr>
              <w:t>**</w:t>
            </w:r>
          </w:p>
        </w:tc>
      </w:tr>
      <w:tr w:rsidR="00BC4122" w:rsidRPr="00DA21FF" w14:paraId="6ECF57E5" w14:textId="77777777" w:rsidTr="000725E8">
        <w:trPr>
          <w:trHeight w:val="240"/>
        </w:trPr>
        <w:tc>
          <w:tcPr>
            <w:tcW w:w="565" w:type="dxa"/>
            <w:tcBorders>
              <w:top w:val="single" w:sz="12" w:space="0" w:color="auto"/>
            </w:tcBorders>
            <w:shd w:val="clear" w:color="auto" w:fill="auto"/>
          </w:tcPr>
          <w:p w14:paraId="5C785CA1"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1376" w:type="dxa"/>
            <w:tcBorders>
              <w:top w:val="single" w:sz="12" w:space="0" w:color="auto"/>
            </w:tcBorders>
            <w:shd w:val="clear" w:color="auto" w:fill="auto"/>
            <w:vAlign w:val="bottom"/>
          </w:tcPr>
          <w:p w14:paraId="10866EB9"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0,261</w:t>
            </w:r>
          </w:p>
        </w:tc>
        <w:tc>
          <w:tcPr>
            <w:tcW w:w="753" w:type="dxa"/>
            <w:tcBorders>
              <w:top w:val="single" w:sz="12" w:space="0" w:color="auto"/>
            </w:tcBorders>
            <w:shd w:val="clear" w:color="auto" w:fill="auto"/>
            <w:vAlign w:val="bottom"/>
          </w:tcPr>
          <w:p w14:paraId="105267B5"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3,0</w:t>
            </w:r>
          </w:p>
        </w:tc>
        <w:tc>
          <w:tcPr>
            <w:tcW w:w="850" w:type="dxa"/>
            <w:tcBorders>
              <w:top w:val="single" w:sz="12" w:space="0" w:color="auto"/>
            </w:tcBorders>
            <w:shd w:val="clear" w:color="auto" w:fill="auto"/>
            <w:vAlign w:val="bottom"/>
          </w:tcPr>
          <w:p w14:paraId="44613C95"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3,9</w:t>
            </w:r>
          </w:p>
        </w:tc>
        <w:tc>
          <w:tcPr>
            <w:tcW w:w="1417" w:type="dxa"/>
            <w:tcBorders>
              <w:top w:val="single" w:sz="12" w:space="0" w:color="auto"/>
            </w:tcBorders>
            <w:shd w:val="clear" w:color="auto" w:fill="auto"/>
            <w:vAlign w:val="bottom"/>
          </w:tcPr>
          <w:p w14:paraId="615DF1F3"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0,252</w:t>
            </w:r>
          </w:p>
        </w:tc>
        <w:tc>
          <w:tcPr>
            <w:tcW w:w="1134" w:type="dxa"/>
            <w:tcBorders>
              <w:top w:val="single" w:sz="12" w:space="0" w:color="auto"/>
            </w:tcBorders>
            <w:shd w:val="clear" w:color="auto" w:fill="auto"/>
            <w:vAlign w:val="bottom"/>
          </w:tcPr>
          <w:p w14:paraId="6C17DE9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tcBorders>
              <w:top w:val="single" w:sz="12" w:space="0" w:color="auto"/>
            </w:tcBorders>
            <w:shd w:val="clear" w:color="auto" w:fill="auto"/>
            <w:vAlign w:val="bottom"/>
          </w:tcPr>
          <w:p w14:paraId="6AC3A64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BC4122" w:rsidRPr="00DA21FF" w14:paraId="2DF719E4" w14:textId="77777777" w:rsidTr="000725E8">
        <w:trPr>
          <w:trHeight w:val="240"/>
        </w:trPr>
        <w:tc>
          <w:tcPr>
            <w:tcW w:w="565" w:type="dxa"/>
            <w:shd w:val="clear" w:color="auto" w:fill="auto"/>
          </w:tcPr>
          <w:p w14:paraId="236BE56D"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1376" w:type="dxa"/>
            <w:shd w:val="clear" w:color="auto" w:fill="auto"/>
            <w:vAlign w:val="bottom"/>
          </w:tcPr>
          <w:p w14:paraId="7D4D5C89"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0,260</w:t>
            </w:r>
          </w:p>
        </w:tc>
        <w:tc>
          <w:tcPr>
            <w:tcW w:w="753" w:type="dxa"/>
            <w:shd w:val="clear" w:color="auto" w:fill="auto"/>
            <w:vAlign w:val="bottom"/>
          </w:tcPr>
          <w:p w14:paraId="1BE40116"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3,0</w:t>
            </w:r>
          </w:p>
        </w:tc>
        <w:tc>
          <w:tcPr>
            <w:tcW w:w="850" w:type="dxa"/>
            <w:shd w:val="clear" w:color="auto" w:fill="auto"/>
            <w:vAlign w:val="bottom"/>
          </w:tcPr>
          <w:p w14:paraId="150A72A6"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3,9</w:t>
            </w:r>
          </w:p>
        </w:tc>
        <w:tc>
          <w:tcPr>
            <w:tcW w:w="1417" w:type="dxa"/>
            <w:shd w:val="clear" w:color="auto" w:fill="auto"/>
            <w:vAlign w:val="bottom"/>
          </w:tcPr>
          <w:p w14:paraId="4CDD12FC"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0,251</w:t>
            </w:r>
          </w:p>
        </w:tc>
        <w:tc>
          <w:tcPr>
            <w:tcW w:w="1134" w:type="dxa"/>
            <w:shd w:val="clear" w:color="auto" w:fill="auto"/>
            <w:vAlign w:val="bottom"/>
          </w:tcPr>
          <w:p w14:paraId="582E2EB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shd w:val="clear" w:color="auto" w:fill="auto"/>
            <w:vAlign w:val="bottom"/>
          </w:tcPr>
          <w:p w14:paraId="7EC385F6"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BC4122" w:rsidRPr="00DA21FF" w14:paraId="62DF10ED" w14:textId="77777777" w:rsidTr="000725E8">
        <w:trPr>
          <w:trHeight w:val="240"/>
        </w:trPr>
        <w:tc>
          <w:tcPr>
            <w:tcW w:w="565" w:type="dxa"/>
            <w:shd w:val="clear" w:color="auto" w:fill="auto"/>
          </w:tcPr>
          <w:p w14:paraId="7BA90C7A"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1376" w:type="dxa"/>
            <w:shd w:val="clear" w:color="auto" w:fill="auto"/>
            <w:vAlign w:val="bottom"/>
          </w:tcPr>
          <w:p w14:paraId="1F509D8E"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0,259</w:t>
            </w:r>
          </w:p>
        </w:tc>
        <w:tc>
          <w:tcPr>
            <w:tcW w:w="753" w:type="dxa"/>
            <w:shd w:val="clear" w:color="auto" w:fill="auto"/>
            <w:vAlign w:val="bottom"/>
          </w:tcPr>
          <w:p w14:paraId="72B92687"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3,0</w:t>
            </w:r>
          </w:p>
        </w:tc>
        <w:tc>
          <w:tcPr>
            <w:tcW w:w="850" w:type="dxa"/>
            <w:shd w:val="clear" w:color="auto" w:fill="auto"/>
            <w:vAlign w:val="bottom"/>
          </w:tcPr>
          <w:p w14:paraId="4407EFFF"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3,9</w:t>
            </w:r>
          </w:p>
        </w:tc>
        <w:tc>
          <w:tcPr>
            <w:tcW w:w="1417" w:type="dxa"/>
            <w:shd w:val="clear" w:color="auto" w:fill="auto"/>
            <w:vAlign w:val="bottom"/>
          </w:tcPr>
          <w:p w14:paraId="7F8ED34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0,250</w:t>
            </w:r>
          </w:p>
        </w:tc>
        <w:tc>
          <w:tcPr>
            <w:tcW w:w="1134" w:type="dxa"/>
            <w:shd w:val="clear" w:color="auto" w:fill="auto"/>
            <w:vAlign w:val="bottom"/>
          </w:tcPr>
          <w:p w14:paraId="254CACEE"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shd w:val="clear" w:color="auto" w:fill="auto"/>
            <w:vAlign w:val="bottom"/>
          </w:tcPr>
          <w:p w14:paraId="0992E16F"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BC4122" w:rsidRPr="00DA21FF" w14:paraId="3295A96D" w14:textId="77777777" w:rsidTr="000725E8">
        <w:trPr>
          <w:trHeight w:val="240"/>
        </w:trPr>
        <w:tc>
          <w:tcPr>
            <w:tcW w:w="565" w:type="dxa"/>
            <w:shd w:val="clear" w:color="auto" w:fill="auto"/>
          </w:tcPr>
          <w:p w14:paraId="22993761"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1376" w:type="dxa"/>
            <w:shd w:val="clear" w:color="auto" w:fill="auto"/>
            <w:vAlign w:val="bottom"/>
          </w:tcPr>
          <w:p w14:paraId="6AEE5190"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0,262</w:t>
            </w:r>
          </w:p>
        </w:tc>
        <w:tc>
          <w:tcPr>
            <w:tcW w:w="753" w:type="dxa"/>
            <w:shd w:val="clear" w:color="auto" w:fill="auto"/>
            <w:vAlign w:val="bottom"/>
          </w:tcPr>
          <w:p w14:paraId="53BBEC89"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3,0</w:t>
            </w:r>
          </w:p>
        </w:tc>
        <w:tc>
          <w:tcPr>
            <w:tcW w:w="850" w:type="dxa"/>
            <w:shd w:val="clear" w:color="auto" w:fill="auto"/>
            <w:vAlign w:val="bottom"/>
          </w:tcPr>
          <w:p w14:paraId="6B6E1AE9"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3,9</w:t>
            </w:r>
          </w:p>
        </w:tc>
        <w:tc>
          <w:tcPr>
            <w:tcW w:w="1417" w:type="dxa"/>
            <w:shd w:val="clear" w:color="auto" w:fill="auto"/>
            <w:vAlign w:val="bottom"/>
          </w:tcPr>
          <w:p w14:paraId="7A0B3FFF"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0,252</w:t>
            </w:r>
          </w:p>
        </w:tc>
        <w:tc>
          <w:tcPr>
            <w:tcW w:w="1134" w:type="dxa"/>
            <w:shd w:val="clear" w:color="auto" w:fill="auto"/>
            <w:vAlign w:val="bottom"/>
          </w:tcPr>
          <w:p w14:paraId="1CA31472"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shd w:val="clear" w:color="auto" w:fill="auto"/>
            <w:vAlign w:val="bottom"/>
          </w:tcPr>
          <w:p w14:paraId="3754282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BC4122" w:rsidRPr="00DA21FF" w14:paraId="19BB5D76" w14:textId="77777777" w:rsidTr="000725E8">
        <w:trPr>
          <w:trHeight w:val="240"/>
        </w:trPr>
        <w:tc>
          <w:tcPr>
            <w:tcW w:w="565" w:type="dxa"/>
            <w:shd w:val="clear" w:color="auto" w:fill="auto"/>
          </w:tcPr>
          <w:p w14:paraId="32919018"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1376" w:type="dxa"/>
            <w:shd w:val="clear" w:color="auto" w:fill="auto"/>
            <w:vAlign w:val="bottom"/>
          </w:tcPr>
          <w:p w14:paraId="1551A5DD"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0,289</w:t>
            </w:r>
          </w:p>
        </w:tc>
        <w:tc>
          <w:tcPr>
            <w:tcW w:w="753" w:type="dxa"/>
            <w:shd w:val="clear" w:color="auto" w:fill="auto"/>
            <w:vAlign w:val="bottom"/>
          </w:tcPr>
          <w:p w14:paraId="7854CB26"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3,0</w:t>
            </w:r>
          </w:p>
        </w:tc>
        <w:tc>
          <w:tcPr>
            <w:tcW w:w="850" w:type="dxa"/>
            <w:shd w:val="clear" w:color="auto" w:fill="auto"/>
            <w:vAlign w:val="bottom"/>
          </w:tcPr>
          <w:p w14:paraId="68027606"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4,3</w:t>
            </w:r>
          </w:p>
        </w:tc>
        <w:tc>
          <w:tcPr>
            <w:tcW w:w="1417" w:type="dxa"/>
            <w:shd w:val="clear" w:color="auto" w:fill="auto"/>
            <w:vAlign w:val="bottom"/>
          </w:tcPr>
          <w:p w14:paraId="4176C2E2"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0,279</w:t>
            </w:r>
          </w:p>
        </w:tc>
        <w:tc>
          <w:tcPr>
            <w:tcW w:w="1134" w:type="dxa"/>
            <w:shd w:val="clear" w:color="auto" w:fill="auto"/>
            <w:vAlign w:val="bottom"/>
          </w:tcPr>
          <w:p w14:paraId="041F37DD"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shd w:val="clear" w:color="auto" w:fill="auto"/>
            <w:vAlign w:val="bottom"/>
          </w:tcPr>
          <w:p w14:paraId="3CAED202"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w:t>
            </w:r>
          </w:p>
        </w:tc>
      </w:tr>
      <w:tr w:rsidR="00BC4122" w:rsidRPr="00680417" w14:paraId="30C7012C" w14:textId="77777777" w:rsidTr="000725E8">
        <w:trPr>
          <w:trHeight w:val="240"/>
        </w:trPr>
        <w:tc>
          <w:tcPr>
            <w:tcW w:w="565" w:type="dxa"/>
            <w:tcBorders>
              <w:bottom w:val="single" w:sz="12" w:space="0" w:color="auto"/>
            </w:tcBorders>
            <w:shd w:val="clear" w:color="auto" w:fill="auto"/>
          </w:tcPr>
          <w:p w14:paraId="43FD3D53"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1376" w:type="dxa"/>
            <w:tcBorders>
              <w:bottom w:val="single" w:sz="12" w:space="0" w:color="auto"/>
            </w:tcBorders>
            <w:shd w:val="clear" w:color="auto" w:fill="auto"/>
            <w:vAlign w:val="bottom"/>
          </w:tcPr>
          <w:p w14:paraId="6526819A"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0,261</w:t>
            </w:r>
          </w:p>
        </w:tc>
        <w:tc>
          <w:tcPr>
            <w:tcW w:w="753" w:type="dxa"/>
            <w:tcBorders>
              <w:bottom w:val="single" w:sz="12" w:space="0" w:color="auto"/>
            </w:tcBorders>
            <w:shd w:val="clear" w:color="auto" w:fill="auto"/>
            <w:vAlign w:val="bottom"/>
          </w:tcPr>
          <w:p w14:paraId="1146D2BB"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2,9</w:t>
            </w:r>
          </w:p>
        </w:tc>
        <w:tc>
          <w:tcPr>
            <w:tcW w:w="850" w:type="dxa"/>
            <w:tcBorders>
              <w:bottom w:val="single" w:sz="12" w:space="0" w:color="auto"/>
            </w:tcBorders>
            <w:shd w:val="clear" w:color="auto" w:fill="auto"/>
            <w:vAlign w:val="bottom"/>
          </w:tcPr>
          <w:p w14:paraId="650F04FB" w14:textId="77777777" w:rsidR="00BC4122" w:rsidRPr="00DA21FF" w:rsidRDefault="00BC4122" w:rsidP="00BC4122">
            <w:pPr>
              <w:pStyle w:val="SingleTxtG"/>
              <w:tabs>
                <w:tab w:val="clear" w:pos="1701"/>
                <w:tab w:val="clear" w:pos="2268"/>
                <w:tab w:val="clear" w:pos="2835"/>
              </w:tabs>
              <w:spacing w:before="40" w:after="40" w:line="220" w:lineRule="exact"/>
              <w:ind w:left="0" w:right="0"/>
              <w:jc w:val="right"/>
              <w:rPr>
                <w:sz w:val="18"/>
                <w:lang w:val="en-GB"/>
              </w:rPr>
            </w:pPr>
            <w:r w:rsidRPr="00DA21FF">
              <w:rPr>
                <w:sz w:val="18"/>
              </w:rPr>
              <w:t>3,9</w:t>
            </w:r>
          </w:p>
        </w:tc>
        <w:tc>
          <w:tcPr>
            <w:tcW w:w="1417" w:type="dxa"/>
            <w:tcBorders>
              <w:bottom w:val="single" w:sz="12" w:space="0" w:color="auto"/>
            </w:tcBorders>
            <w:shd w:val="clear" w:color="auto" w:fill="auto"/>
            <w:vAlign w:val="bottom"/>
          </w:tcPr>
          <w:p w14:paraId="0C3F021B"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0,253</w:t>
            </w:r>
          </w:p>
        </w:tc>
        <w:tc>
          <w:tcPr>
            <w:tcW w:w="1134" w:type="dxa"/>
            <w:tcBorders>
              <w:bottom w:val="single" w:sz="12" w:space="0" w:color="auto"/>
            </w:tcBorders>
            <w:shd w:val="clear" w:color="auto" w:fill="auto"/>
            <w:vAlign w:val="bottom"/>
          </w:tcPr>
          <w:p w14:paraId="68406F04"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1275" w:type="dxa"/>
            <w:tcBorders>
              <w:bottom w:val="single" w:sz="12" w:space="0" w:color="auto"/>
            </w:tcBorders>
            <w:shd w:val="clear" w:color="auto" w:fill="auto"/>
            <w:vAlign w:val="bottom"/>
          </w:tcPr>
          <w:p w14:paraId="0AEFE8EA" w14:textId="77777777" w:rsidR="00BC4122" w:rsidRPr="00DA21FF" w:rsidRDefault="00BC4122" w:rsidP="00BC4122">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bl>
    <w:p w14:paraId="5D84B63F" w14:textId="411EF749" w:rsidR="00DA21FF" w:rsidRPr="00DA21FF" w:rsidRDefault="00DA21FF" w:rsidP="004D2A99">
      <w:pPr>
        <w:pStyle w:val="SingleTxtG"/>
        <w:spacing w:before="120" w:after="0"/>
        <w:ind w:firstLine="170"/>
        <w:jc w:val="left"/>
        <w:rPr>
          <w:sz w:val="18"/>
          <w:szCs w:val="18"/>
          <w:lang w:val="en-GB"/>
        </w:rPr>
      </w:pPr>
      <w:r w:rsidRPr="00DA21FF">
        <w:rPr>
          <w:sz w:val="18"/>
          <w:szCs w:val="18"/>
        </w:rPr>
        <w:t>*  Ratio de percentiles entre el noveno y el primer decil de corte.</w:t>
      </w:r>
    </w:p>
    <w:p w14:paraId="475070BE" w14:textId="4B74E161" w:rsidR="00DA21FF" w:rsidRPr="00DA21FF" w:rsidRDefault="00DA21FF" w:rsidP="004D2A99">
      <w:pPr>
        <w:pStyle w:val="SingleTxtG"/>
        <w:spacing w:after="240"/>
        <w:ind w:firstLine="170"/>
        <w:jc w:val="left"/>
        <w:rPr>
          <w:sz w:val="18"/>
          <w:szCs w:val="18"/>
          <w:lang w:val="en-GB"/>
        </w:rPr>
      </w:pPr>
      <w:r w:rsidRPr="00DA21FF">
        <w:rPr>
          <w:sz w:val="18"/>
          <w:szCs w:val="18"/>
        </w:rPr>
        <w:t>**</w:t>
      </w:r>
      <w:r w:rsidR="004D2A99">
        <w:rPr>
          <w:sz w:val="18"/>
          <w:szCs w:val="18"/>
        </w:rPr>
        <w:t xml:space="preserve">  </w:t>
      </w:r>
      <w:r w:rsidRPr="00DA21FF">
        <w:rPr>
          <w:sz w:val="18"/>
          <w:szCs w:val="18"/>
        </w:rPr>
        <w:t>La ratio entre la parte del ingreso percibido por el 20 % de la distribución superior y el 20 % de la distribución inferior.</w:t>
      </w:r>
    </w:p>
    <w:p w14:paraId="74020B67" w14:textId="77777777" w:rsidR="00DA21FF" w:rsidRPr="00DA21FF" w:rsidRDefault="00DA21FF" w:rsidP="00DA21FF">
      <w:pPr>
        <w:pStyle w:val="SingleTxtG"/>
        <w:rPr>
          <w:lang w:val="en-GB"/>
        </w:rPr>
      </w:pPr>
      <w:r w:rsidRPr="00DA21FF">
        <w:t>23.</w:t>
      </w:r>
      <w:r w:rsidRPr="00DA21FF">
        <w:tab/>
        <w:t xml:space="preserve">El cuadro siguiente muestra el </w:t>
      </w:r>
      <w:r w:rsidRPr="00373B5F">
        <w:rPr>
          <w:u w:val="single"/>
        </w:rPr>
        <w:t>ingreso equivalente de los hogares</w:t>
      </w:r>
      <w:r w:rsidRPr="00DA21FF">
        <w:t xml:space="preserve"> (escala de la UE) para distintos percentiles de la distribución del ingreso en coronas noruegas</w:t>
      </w:r>
      <w:r w:rsidRPr="00653C36">
        <w:rPr>
          <w:sz w:val="18"/>
          <w:szCs w:val="18"/>
          <w:vertAlign w:val="superscript"/>
        </w:rPr>
        <w:footnoteReference w:id="7"/>
      </w:r>
      <w:r w:rsidRPr="00DA21FF">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680417" w:rsidRPr="00680417" w14:paraId="3E2E0D1A" w14:textId="77777777" w:rsidTr="00BC4122">
        <w:trPr>
          <w:trHeight w:val="240"/>
          <w:tblHeader/>
        </w:trPr>
        <w:tc>
          <w:tcPr>
            <w:tcW w:w="1985" w:type="dxa"/>
            <w:tcBorders>
              <w:top w:val="single" w:sz="4" w:space="0" w:color="auto"/>
              <w:bottom w:val="single" w:sz="12" w:space="0" w:color="auto"/>
            </w:tcBorders>
            <w:shd w:val="clear" w:color="auto" w:fill="auto"/>
            <w:vAlign w:val="bottom"/>
          </w:tcPr>
          <w:p w14:paraId="0D7C5B38"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897" w:type="dxa"/>
            <w:tcBorders>
              <w:top w:val="single" w:sz="4" w:space="0" w:color="auto"/>
              <w:bottom w:val="single" w:sz="12" w:space="0" w:color="auto"/>
            </w:tcBorders>
            <w:shd w:val="clear" w:color="auto" w:fill="auto"/>
            <w:vAlign w:val="bottom"/>
          </w:tcPr>
          <w:p w14:paraId="76C41CED"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2017</w:t>
            </w:r>
          </w:p>
        </w:tc>
        <w:tc>
          <w:tcPr>
            <w:tcW w:w="898" w:type="dxa"/>
            <w:tcBorders>
              <w:top w:val="single" w:sz="4" w:space="0" w:color="auto"/>
              <w:bottom w:val="single" w:sz="12" w:space="0" w:color="auto"/>
            </w:tcBorders>
            <w:shd w:val="clear" w:color="auto" w:fill="auto"/>
            <w:vAlign w:val="bottom"/>
          </w:tcPr>
          <w:p w14:paraId="5C96A908"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2018</w:t>
            </w:r>
          </w:p>
        </w:tc>
        <w:tc>
          <w:tcPr>
            <w:tcW w:w="897" w:type="dxa"/>
            <w:tcBorders>
              <w:top w:val="single" w:sz="4" w:space="0" w:color="auto"/>
              <w:bottom w:val="single" w:sz="12" w:space="0" w:color="auto"/>
            </w:tcBorders>
            <w:shd w:val="clear" w:color="auto" w:fill="auto"/>
            <w:vAlign w:val="bottom"/>
          </w:tcPr>
          <w:p w14:paraId="1ADF785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898" w:type="dxa"/>
            <w:tcBorders>
              <w:top w:val="single" w:sz="4" w:space="0" w:color="auto"/>
              <w:bottom w:val="single" w:sz="12" w:space="0" w:color="auto"/>
            </w:tcBorders>
            <w:shd w:val="clear" w:color="auto" w:fill="auto"/>
            <w:vAlign w:val="bottom"/>
          </w:tcPr>
          <w:p w14:paraId="0A1872AE"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897" w:type="dxa"/>
            <w:tcBorders>
              <w:top w:val="single" w:sz="4" w:space="0" w:color="auto"/>
              <w:bottom w:val="single" w:sz="12" w:space="0" w:color="auto"/>
            </w:tcBorders>
            <w:shd w:val="clear" w:color="auto" w:fill="auto"/>
            <w:vAlign w:val="bottom"/>
          </w:tcPr>
          <w:p w14:paraId="66F4453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2021</w:t>
            </w:r>
          </w:p>
        </w:tc>
        <w:tc>
          <w:tcPr>
            <w:tcW w:w="898" w:type="dxa"/>
            <w:tcBorders>
              <w:top w:val="single" w:sz="4" w:space="0" w:color="auto"/>
              <w:bottom w:val="single" w:sz="12" w:space="0" w:color="auto"/>
            </w:tcBorders>
            <w:shd w:val="clear" w:color="auto" w:fill="auto"/>
            <w:vAlign w:val="bottom"/>
          </w:tcPr>
          <w:p w14:paraId="44103E2D"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r>
      <w:tr w:rsidR="00680417" w:rsidRPr="00DA21FF" w14:paraId="62C751FF" w14:textId="77777777" w:rsidTr="00BC4122">
        <w:trPr>
          <w:trHeight w:val="240"/>
        </w:trPr>
        <w:tc>
          <w:tcPr>
            <w:tcW w:w="1985" w:type="dxa"/>
            <w:shd w:val="clear" w:color="auto" w:fill="auto"/>
          </w:tcPr>
          <w:p w14:paraId="1CDD75B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P05</w:t>
            </w:r>
            <w:proofErr w:type="spellEnd"/>
          </w:p>
        </w:tc>
        <w:tc>
          <w:tcPr>
            <w:tcW w:w="897" w:type="dxa"/>
            <w:shd w:val="clear" w:color="auto" w:fill="auto"/>
            <w:vAlign w:val="bottom"/>
          </w:tcPr>
          <w:p w14:paraId="76F9F71F" w14:textId="5C700D4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207</w:t>
            </w:r>
            <w:r w:rsidR="00AC14E4">
              <w:rPr>
                <w:sz w:val="18"/>
              </w:rPr>
              <w:t xml:space="preserve"> </w:t>
            </w:r>
            <w:r w:rsidRPr="00DA21FF">
              <w:rPr>
                <w:sz w:val="18"/>
              </w:rPr>
              <w:t>400</w:t>
            </w:r>
          </w:p>
        </w:tc>
        <w:tc>
          <w:tcPr>
            <w:tcW w:w="898" w:type="dxa"/>
            <w:shd w:val="clear" w:color="auto" w:fill="auto"/>
            <w:vAlign w:val="bottom"/>
          </w:tcPr>
          <w:p w14:paraId="6E8A53F3" w14:textId="21BAB78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208</w:t>
            </w:r>
            <w:r w:rsidR="00AC14E4">
              <w:rPr>
                <w:sz w:val="18"/>
              </w:rPr>
              <w:t xml:space="preserve"> </w:t>
            </w:r>
            <w:r w:rsidRPr="00DA21FF">
              <w:rPr>
                <w:sz w:val="18"/>
              </w:rPr>
              <w:t>800</w:t>
            </w:r>
          </w:p>
        </w:tc>
        <w:tc>
          <w:tcPr>
            <w:tcW w:w="897" w:type="dxa"/>
            <w:shd w:val="clear" w:color="auto" w:fill="auto"/>
            <w:vAlign w:val="bottom"/>
          </w:tcPr>
          <w:p w14:paraId="4BC37C80" w14:textId="505DC24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212</w:t>
            </w:r>
            <w:r w:rsidR="00AC14E4">
              <w:rPr>
                <w:sz w:val="18"/>
              </w:rPr>
              <w:t xml:space="preserve"> </w:t>
            </w:r>
            <w:r w:rsidRPr="00DA21FF">
              <w:rPr>
                <w:sz w:val="18"/>
              </w:rPr>
              <w:t>800</w:t>
            </w:r>
          </w:p>
        </w:tc>
        <w:tc>
          <w:tcPr>
            <w:tcW w:w="898" w:type="dxa"/>
            <w:shd w:val="clear" w:color="auto" w:fill="auto"/>
            <w:vAlign w:val="bottom"/>
          </w:tcPr>
          <w:p w14:paraId="258C11A5" w14:textId="6AF97B0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215</w:t>
            </w:r>
            <w:r w:rsidR="00AC14E4">
              <w:rPr>
                <w:sz w:val="18"/>
              </w:rPr>
              <w:t xml:space="preserve"> </w:t>
            </w:r>
            <w:r w:rsidRPr="00DA21FF">
              <w:rPr>
                <w:sz w:val="18"/>
              </w:rPr>
              <w:t>700</w:t>
            </w:r>
          </w:p>
        </w:tc>
        <w:tc>
          <w:tcPr>
            <w:tcW w:w="897" w:type="dxa"/>
            <w:shd w:val="clear" w:color="auto" w:fill="auto"/>
            <w:vAlign w:val="bottom"/>
          </w:tcPr>
          <w:p w14:paraId="098DA3F0" w14:textId="624FD6E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222</w:t>
            </w:r>
            <w:r w:rsidR="00AC14E4">
              <w:rPr>
                <w:sz w:val="18"/>
              </w:rPr>
              <w:t xml:space="preserve"> </w:t>
            </w:r>
            <w:r w:rsidRPr="00DA21FF">
              <w:rPr>
                <w:sz w:val="18"/>
              </w:rPr>
              <w:t>900</w:t>
            </w:r>
          </w:p>
        </w:tc>
        <w:tc>
          <w:tcPr>
            <w:tcW w:w="898" w:type="dxa"/>
            <w:shd w:val="clear" w:color="auto" w:fill="auto"/>
            <w:vAlign w:val="bottom"/>
          </w:tcPr>
          <w:p w14:paraId="19D6DC1F" w14:textId="3C83A53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216</w:t>
            </w:r>
            <w:r w:rsidR="00AC14E4">
              <w:rPr>
                <w:sz w:val="18"/>
              </w:rPr>
              <w:t xml:space="preserve"> </w:t>
            </w:r>
            <w:r w:rsidRPr="00DA21FF">
              <w:rPr>
                <w:sz w:val="18"/>
              </w:rPr>
              <w:t>800</w:t>
            </w:r>
          </w:p>
        </w:tc>
      </w:tr>
      <w:tr w:rsidR="00680417" w:rsidRPr="00DA21FF" w14:paraId="504C5981" w14:textId="77777777" w:rsidTr="00BC4122">
        <w:trPr>
          <w:trHeight w:val="240"/>
        </w:trPr>
        <w:tc>
          <w:tcPr>
            <w:tcW w:w="1985" w:type="dxa"/>
            <w:shd w:val="clear" w:color="auto" w:fill="auto"/>
          </w:tcPr>
          <w:p w14:paraId="13A1A17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P10</w:t>
            </w:r>
            <w:proofErr w:type="spellEnd"/>
          </w:p>
        </w:tc>
        <w:tc>
          <w:tcPr>
            <w:tcW w:w="897" w:type="dxa"/>
            <w:shd w:val="clear" w:color="auto" w:fill="auto"/>
            <w:vAlign w:val="bottom"/>
          </w:tcPr>
          <w:p w14:paraId="3ABB44EB" w14:textId="609B86E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249</w:t>
            </w:r>
            <w:r w:rsidR="00AC14E4">
              <w:rPr>
                <w:sz w:val="18"/>
              </w:rPr>
              <w:t xml:space="preserve"> </w:t>
            </w:r>
            <w:r w:rsidRPr="00DA21FF">
              <w:rPr>
                <w:sz w:val="18"/>
              </w:rPr>
              <w:t>200</w:t>
            </w:r>
          </w:p>
        </w:tc>
        <w:tc>
          <w:tcPr>
            <w:tcW w:w="898" w:type="dxa"/>
            <w:shd w:val="clear" w:color="auto" w:fill="auto"/>
            <w:vAlign w:val="bottom"/>
          </w:tcPr>
          <w:p w14:paraId="3D4FAF2F" w14:textId="3ADAB6D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250</w:t>
            </w:r>
            <w:r w:rsidR="00AC14E4">
              <w:rPr>
                <w:sz w:val="18"/>
              </w:rPr>
              <w:t xml:space="preserve"> </w:t>
            </w:r>
            <w:r w:rsidRPr="00DA21FF">
              <w:rPr>
                <w:sz w:val="18"/>
              </w:rPr>
              <w:t>400</w:t>
            </w:r>
          </w:p>
        </w:tc>
        <w:tc>
          <w:tcPr>
            <w:tcW w:w="897" w:type="dxa"/>
            <w:shd w:val="clear" w:color="auto" w:fill="auto"/>
            <w:vAlign w:val="bottom"/>
          </w:tcPr>
          <w:p w14:paraId="35006050" w14:textId="3752009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255</w:t>
            </w:r>
            <w:r w:rsidR="00AC14E4">
              <w:rPr>
                <w:sz w:val="18"/>
              </w:rPr>
              <w:t xml:space="preserve"> </w:t>
            </w:r>
            <w:r w:rsidRPr="00DA21FF">
              <w:rPr>
                <w:sz w:val="18"/>
              </w:rPr>
              <w:t>200</w:t>
            </w:r>
          </w:p>
        </w:tc>
        <w:tc>
          <w:tcPr>
            <w:tcW w:w="898" w:type="dxa"/>
            <w:shd w:val="clear" w:color="auto" w:fill="auto"/>
            <w:vAlign w:val="bottom"/>
          </w:tcPr>
          <w:p w14:paraId="6A7BA66A" w14:textId="1F1C471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257</w:t>
            </w:r>
            <w:r w:rsidR="00AC14E4">
              <w:rPr>
                <w:sz w:val="18"/>
              </w:rPr>
              <w:t xml:space="preserve"> </w:t>
            </w:r>
            <w:r w:rsidRPr="00DA21FF">
              <w:rPr>
                <w:sz w:val="18"/>
              </w:rPr>
              <w:t>300</w:t>
            </w:r>
          </w:p>
        </w:tc>
        <w:tc>
          <w:tcPr>
            <w:tcW w:w="897" w:type="dxa"/>
            <w:shd w:val="clear" w:color="auto" w:fill="auto"/>
            <w:vAlign w:val="bottom"/>
          </w:tcPr>
          <w:p w14:paraId="24AC2A0B" w14:textId="219BEE3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261</w:t>
            </w:r>
            <w:r w:rsidR="00AC14E4">
              <w:rPr>
                <w:sz w:val="18"/>
              </w:rPr>
              <w:t xml:space="preserve"> </w:t>
            </w:r>
            <w:r w:rsidRPr="00DA21FF">
              <w:rPr>
                <w:sz w:val="18"/>
              </w:rPr>
              <w:t>800</w:t>
            </w:r>
          </w:p>
        </w:tc>
        <w:tc>
          <w:tcPr>
            <w:tcW w:w="898" w:type="dxa"/>
            <w:shd w:val="clear" w:color="auto" w:fill="auto"/>
            <w:vAlign w:val="bottom"/>
          </w:tcPr>
          <w:p w14:paraId="7BD5B34C" w14:textId="0F229A4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259</w:t>
            </w:r>
            <w:r w:rsidR="00AC14E4">
              <w:rPr>
                <w:sz w:val="18"/>
              </w:rPr>
              <w:t xml:space="preserve"> </w:t>
            </w:r>
            <w:r w:rsidRPr="00DA21FF">
              <w:rPr>
                <w:sz w:val="18"/>
              </w:rPr>
              <w:t>200</w:t>
            </w:r>
          </w:p>
        </w:tc>
      </w:tr>
      <w:tr w:rsidR="00680417" w:rsidRPr="00DA21FF" w14:paraId="3EB615F0" w14:textId="77777777" w:rsidTr="00BC4122">
        <w:trPr>
          <w:trHeight w:val="240"/>
        </w:trPr>
        <w:tc>
          <w:tcPr>
            <w:tcW w:w="1985" w:type="dxa"/>
            <w:shd w:val="clear" w:color="auto" w:fill="auto"/>
          </w:tcPr>
          <w:p w14:paraId="1C127D1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P20</w:t>
            </w:r>
            <w:proofErr w:type="spellEnd"/>
          </w:p>
        </w:tc>
        <w:tc>
          <w:tcPr>
            <w:tcW w:w="897" w:type="dxa"/>
            <w:shd w:val="clear" w:color="auto" w:fill="auto"/>
            <w:vAlign w:val="bottom"/>
          </w:tcPr>
          <w:p w14:paraId="0C566D72" w14:textId="6B791A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309</w:t>
            </w:r>
            <w:r w:rsidR="00AC14E4">
              <w:rPr>
                <w:sz w:val="18"/>
              </w:rPr>
              <w:t xml:space="preserve"> </w:t>
            </w:r>
            <w:r w:rsidRPr="00DA21FF">
              <w:rPr>
                <w:sz w:val="18"/>
              </w:rPr>
              <w:t>100</w:t>
            </w:r>
          </w:p>
        </w:tc>
        <w:tc>
          <w:tcPr>
            <w:tcW w:w="898" w:type="dxa"/>
            <w:shd w:val="clear" w:color="auto" w:fill="auto"/>
            <w:vAlign w:val="bottom"/>
          </w:tcPr>
          <w:p w14:paraId="6AB172D2" w14:textId="377B92F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310</w:t>
            </w:r>
            <w:r w:rsidR="00AC14E4">
              <w:rPr>
                <w:sz w:val="18"/>
              </w:rPr>
              <w:t xml:space="preserve"> </w:t>
            </w:r>
            <w:r w:rsidRPr="00DA21FF">
              <w:rPr>
                <w:sz w:val="18"/>
              </w:rPr>
              <w:t>300</w:t>
            </w:r>
          </w:p>
        </w:tc>
        <w:tc>
          <w:tcPr>
            <w:tcW w:w="897" w:type="dxa"/>
            <w:shd w:val="clear" w:color="auto" w:fill="auto"/>
            <w:vAlign w:val="bottom"/>
          </w:tcPr>
          <w:p w14:paraId="348EDC46" w14:textId="3CB5836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315</w:t>
            </w:r>
            <w:r w:rsidR="00AC14E4">
              <w:rPr>
                <w:sz w:val="18"/>
              </w:rPr>
              <w:t xml:space="preserve"> </w:t>
            </w:r>
            <w:r w:rsidRPr="00DA21FF">
              <w:rPr>
                <w:sz w:val="18"/>
              </w:rPr>
              <w:t>600</w:t>
            </w:r>
          </w:p>
        </w:tc>
        <w:tc>
          <w:tcPr>
            <w:tcW w:w="898" w:type="dxa"/>
            <w:shd w:val="clear" w:color="auto" w:fill="auto"/>
            <w:vAlign w:val="bottom"/>
          </w:tcPr>
          <w:p w14:paraId="67A5382D" w14:textId="3D27328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316</w:t>
            </w:r>
            <w:r w:rsidR="00AC14E4">
              <w:rPr>
                <w:sz w:val="18"/>
              </w:rPr>
              <w:t xml:space="preserve"> </w:t>
            </w:r>
            <w:r w:rsidRPr="00DA21FF">
              <w:rPr>
                <w:sz w:val="18"/>
              </w:rPr>
              <w:t>900</w:t>
            </w:r>
          </w:p>
        </w:tc>
        <w:tc>
          <w:tcPr>
            <w:tcW w:w="897" w:type="dxa"/>
            <w:shd w:val="clear" w:color="auto" w:fill="auto"/>
            <w:vAlign w:val="bottom"/>
          </w:tcPr>
          <w:p w14:paraId="486912E1" w14:textId="3895048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321</w:t>
            </w:r>
            <w:r w:rsidR="00AC14E4">
              <w:rPr>
                <w:sz w:val="18"/>
              </w:rPr>
              <w:t xml:space="preserve"> </w:t>
            </w:r>
            <w:r w:rsidRPr="00DA21FF">
              <w:rPr>
                <w:sz w:val="18"/>
              </w:rPr>
              <w:t>000</w:t>
            </w:r>
          </w:p>
        </w:tc>
        <w:tc>
          <w:tcPr>
            <w:tcW w:w="898" w:type="dxa"/>
            <w:shd w:val="clear" w:color="auto" w:fill="auto"/>
            <w:vAlign w:val="bottom"/>
          </w:tcPr>
          <w:p w14:paraId="0206173C" w14:textId="2F69027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318</w:t>
            </w:r>
            <w:r w:rsidR="00AC14E4">
              <w:rPr>
                <w:sz w:val="18"/>
              </w:rPr>
              <w:t xml:space="preserve"> </w:t>
            </w:r>
            <w:r w:rsidRPr="00DA21FF">
              <w:rPr>
                <w:sz w:val="18"/>
              </w:rPr>
              <w:t>800</w:t>
            </w:r>
          </w:p>
        </w:tc>
      </w:tr>
      <w:tr w:rsidR="00680417" w:rsidRPr="00DA21FF" w14:paraId="17EBC7CA" w14:textId="77777777" w:rsidTr="00BC4122">
        <w:trPr>
          <w:trHeight w:val="240"/>
        </w:trPr>
        <w:tc>
          <w:tcPr>
            <w:tcW w:w="1985" w:type="dxa"/>
            <w:shd w:val="clear" w:color="auto" w:fill="auto"/>
          </w:tcPr>
          <w:p w14:paraId="6A747A6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P30</w:t>
            </w:r>
            <w:proofErr w:type="spellEnd"/>
          </w:p>
        </w:tc>
        <w:tc>
          <w:tcPr>
            <w:tcW w:w="897" w:type="dxa"/>
            <w:shd w:val="clear" w:color="auto" w:fill="auto"/>
            <w:vAlign w:val="bottom"/>
          </w:tcPr>
          <w:p w14:paraId="118950BD" w14:textId="3970618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355</w:t>
            </w:r>
            <w:r w:rsidR="00AC14E4">
              <w:rPr>
                <w:sz w:val="18"/>
              </w:rPr>
              <w:t xml:space="preserve"> </w:t>
            </w:r>
            <w:r w:rsidRPr="00DA21FF">
              <w:rPr>
                <w:sz w:val="18"/>
              </w:rPr>
              <w:t>400</w:t>
            </w:r>
          </w:p>
        </w:tc>
        <w:tc>
          <w:tcPr>
            <w:tcW w:w="898" w:type="dxa"/>
            <w:shd w:val="clear" w:color="auto" w:fill="auto"/>
            <w:vAlign w:val="bottom"/>
          </w:tcPr>
          <w:p w14:paraId="5BEB0B6B" w14:textId="62515E7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356</w:t>
            </w:r>
            <w:r w:rsidR="00AC14E4">
              <w:rPr>
                <w:sz w:val="18"/>
              </w:rPr>
              <w:t xml:space="preserve"> </w:t>
            </w:r>
            <w:r w:rsidRPr="00DA21FF">
              <w:rPr>
                <w:sz w:val="18"/>
              </w:rPr>
              <w:t>800</w:t>
            </w:r>
          </w:p>
        </w:tc>
        <w:tc>
          <w:tcPr>
            <w:tcW w:w="897" w:type="dxa"/>
            <w:shd w:val="clear" w:color="auto" w:fill="auto"/>
            <w:vAlign w:val="bottom"/>
          </w:tcPr>
          <w:p w14:paraId="632200E1" w14:textId="659DF19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363</w:t>
            </w:r>
            <w:r w:rsidR="00AC14E4">
              <w:rPr>
                <w:sz w:val="18"/>
              </w:rPr>
              <w:t xml:space="preserve"> </w:t>
            </w:r>
            <w:r w:rsidRPr="00DA21FF">
              <w:rPr>
                <w:sz w:val="18"/>
              </w:rPr>
              <w:t>000</w:t>
            </w:r>
          </w:p>
        </w:tc>
        <w:tc>
          <w:tcPr>
            <w:tcW w:w="898" w:type="dxa"/>
            <w:shd w:val="clear" w:color="auto" w:fill="auto"/>
            <w:vAlign w:val="bottom"/>
          </w:tcPr>
          <w:p w14:paraId="2A889EFE" w14:textId="5062FF6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364</w:t>
            </w:r>
            <w:r w:rsidR="00AC14E4">
              <w:rPr>
                <w:sz w:val="18"/>
              </w:rPr>
              <w:t xml:space="preserve"> </w:t>
            </w:r>
            <w:r w:rsidRPr="00DA21FF">
              <w:rPr>
                <w:sz w:val="18"/>
              </w:rPr>
              <w:t>700</w:t>
            </w:r>
          </w:p>
        </w:tc>
        <w:tc>
          <w:tcPr>
            <w:tcW w:w="897" w:type="dxa"/>
            <w:shd w:val="clear" w:color="auto" w:fill="auto"/>
            <w:vAlign w:val="bottom"/>
          </w:tcPr>
          <w:p w14:paraId="56483549" w14:textId="1CE2A9A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367</w:t>
            </w:r>
            <w:r w:rsidR="00AC14E4">
              <w:rPr>
                <w:sz w:val="18"/>
              </w:rPr>
              <w:t xml:space="preserve"> </w:t>
            </w:r>
            <w:r w:rsidRPr="00DA21FF">
              <w:rPr>
                <w:sz w:val="18"/>
              </w:rPr>
              <w:t>800</w:t>
            </w:r>
          </w:p>
        </w:tc>
        <w:tc>
          <w:tcPr>
            <w:tcW w:w="898" w:type="dxa"/>
            <w:shd w:val="clear" w:color="auto" w:fill="auto"/>
            <w:vAlign w:val="bottom"/>
          </w:tcPr>
          <w:p w14:paraId="2B312882" w14:textId="1242E0F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365</w:t>
            </w:r>
            <w:r w:rsidR="00AC14E4">
              <w:rPr>
                <w:sz w:val="18"/>
              </w:rPr>
              <w:t xml:space="preserve"> </w:t>
            </w:r>
            <w:r w:rsidRPr="00DA21FF">
              <w:rPr>
                <w:sz w:val="18"/>
              </w:rPr>
              <w:t>800</w:t>
            </w:r>
          </w:p>
        </w:tc>
      </w:tr>
      <w:tr w:rsidR="00680417" w:rsidRPr="00DA21FF" w14:paraId="5056CF7F" w14:textId="77777777" w:rsidTr="00BC4122">
        <w:trPr>
          <w:trHeight w:val="240"/>
        </w:trPr>
        <w:tc>
          <w:tcPr>
            <w:tcW w:w="1985" w:type="dxa"/>
            <w:shd w:val="clear" w:color="auto" w:fill="auto"/>
          </w:tcPr>
          <w:p w14:paraId="4B5C4B9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P40</w:t>
            </w:r>
            <w:proofErr w:type="spellEnd"/>
          </w:p>
        </w:tc>
        <w:tc>
          <w:tcPr>
            <w:tcW w:w="897" w:type="dxa"/>
            <w:shd w:val="clear" w:color="auto" w:fill="auto"/>
            <w:vAlign w:val="bottom"/>
          </w:tcPr>
          <w:p w14:paraId="2ECC3346" w14:textId="350A689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395</w:t>
            </w:r>
            <w:r w:rsidR="00AC14E4">
              <w:rPr>
                <w:sz w:val="18"/>
              </w:rPr>
              <w:t xml:space="preserve"> </w:t>
            </w:r>
            <w:r w:rsidRPr="00DA21FF">
              <w:rPr>
                <w:sz w:val="18"/>
              </w:rPr>
              <w:t>100</w:t>
            </w:r>
          </w:p>
        </w:tc>
        <w:tc>
          <w:tcPr>
            <w:tcW w:w="898" w:type="dxa"/>
            <w:shd w:val="clear" w:color="auto" w:fill="auto"/>
            <w:vAlign w:val="bottom"/>
          </w:tcPr>
          <w:p w14:paraId="6AD7DB58" w14:textId="22DEC91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396</w:t>
            </w:r>
            <w:r w:rsidR="00AC14E4">
              <w:rPr>
                <w:sz w:val="18"/>
              </w:rPr>
              <w:t xml:space="preserve"> </w:t>
            </w:r>
            <w:r w:rsidRPr="00DA21FF">
              <w:rPr>
                <w:sz w:val="18"/>
              </w:rPr>
              <w:t>800</w:t>
            </w:r>
          </w:p>
        </w:tc>
        <w:tc>
          <w:tcPr>
            <w:tcW w:w="897" w:type="dxa"/>
            <w:shd w:val="clear" w:color="auto" w:fill="auto"/>
            <w:vAlign w:val="bottom"/>
          </w:tcPr>
          <w:p w14:paraId="7606B3C7" w14:textId="30675C8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403</w:t>
            </w:r>
            <w:r w:rsidR="00AC14E4">
              <w:rPr>
                <w:sz w:val="18"/>
              </w:rPr>
              <w:t xml:space="preserve"> </w:t>
            </w:r>
            <w:r w:rsidRPr="00DA21FF">
              <w:rPr>
                <w:sz w:val="18"/>
              </w:rPr>
              <w:t>700</w:t>
            </w:r>
          </w:p>
        </w:tc>
        <w:tc>
          <w:tcPr>
            <w:tcW w:w="898" w:type="dxa"/>
            <w:shd w:val="clear" w:color="auto" w:fill="auto"/>
            <w:vAlign w:val="bottom"/>
          </w:tcPr>
          <w:p w14:paraId="7A2BE063" w14:textId="3183344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405</w:t>
            </w:r>
            <w:r w:rsidR="00AC14E4">
              <w:rPr>
                <w:sz w:val="18"/>
              </w:rPr>
              <w:t xml:space="preserve"> </w:t>
            </w:r>
            <w:r w:rsidRPr="00DA21FF">
              <w:rPr>
                <w:sz w:val="18"/>
              </w:rPr>
              <w:t>400</w:t>
            </w:r>
          </w:p>
        </w:tc>
        <w:tc>
          <w:tcPr>
            <w:tcW w:w="897" w:type="dxa"/>
            <w:shd w:val="clear" w:color="auto" w:fill="auto"/>
            <w:vAlign w:val="bottom"/>
          </w:tcPr>
          <w:p w14:paraId="004C22FD" w14:textId="6B522EE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408</w:t>
            </w:r>
            <w:r w:rsidR="00AC14E4">
              <w:rPr>
                <w:sz w:val="18"/>
              </w:rPr>
              <w:t xml:space="preserve"> </w:t>
            </w:r>
            <w:r w:rsidRPr="00DA21FF">
              <w:rPr>
                <w:sz w:val="18"/>
              </w:rPr>
              <w:t>400</w:t>
            </w:r>
          </w:p>
        </w:tc>
        <w:tc>
          <w:tcPr>
            <w:tcW w:w="898" w:type="dxa"/>
            <w:shd w:val="clear" w:color="auto" w:fill="auto"/>
            <w:vAlign w:val="bottom"/>
          </w:tcPr>
          <w:p w14:paraId="03E7027B" w14:textId="4ACD235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406</w:t>
            </w:r>
            <w:r w:rsidR="00AC14E4">
              <w:rPr>
                <w:sz w:val="18"/>
              </w:rPr>
              <w:t xml:space="preserve"> </w:t>
            </w:r>
            <w:r w:rsidRPr="00DA21FF">
              <w:rPr>
                <w:sz w:val="18"/>
              </w:rPr>
              <w:t>100</w:t>
            </w:r>
          </w:p>
        </w:tc>
      </w:tr>
      <w:tr w:rsidR="00680417" w:rsidRPr="00DA21FF" w14:paraId="55E2F341" w14:textId="77777777" w:rsidTr="00BC4122">
        <w:trPr>
          <w:trHeight w:val="240"/>
        </w:trPr>
        <w:tc>
          <w:tcPr>
            <w:tcW w:w="1985" w:type="dxa"/>
            <w:shd w:val="clear" w:color="auto" w:fill="auto"/>
          </w:tcPr>
          <w:p w14:paraId="2D6326C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P50</w:t>
            </w:r>
            <w:proofErr w:type="spellEnd"/>
          </w:p>
        </w:tc>
        <w:tc>
          <w:tcPr>
            <w:tcW w:w="897" w:type="dxa"/>
            <w:shd w:val="clear" w:color="auto" w:fill="auto"/>
            <w:vAlign w:val="bottom"/>
          </w:tcPr>
          <w:p w14:paraId="4FD423C5" w14:textId="310EC2D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433</w:t>
            </w:r>
            <w:r w:rsidR="00AC14E4">
              <w:rPr>
                <w:sz w:val="18"/>
              </w:rPr>
              <w:t xml:space="preserve"> </w:t>
            </w:r>
            <w:r w:rsidRPr="00DA21FF">
              <w:rPr>
                <w:sz w:val="18"/>
              </w:rPr>
              <w:t>500</w:t>
            </w:r>
          </w:p>
        </w:tc>
        <w:tc>
          <w:tcPr>
            <w:tcW w:w="898" w:type="dxa"/>
            <w:shd w:val="clear" w:color="auto" w:fill="auto"/>
            <w:vAlign w:val="bottom"/>
          </w:tcPr>
          <w:p w14:paraId="186D173B" w14:textId="4907E64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435</w:t>
            </w:r>
            <w:r w:rsidR="00AC14E4">
              <w:rPr>
                <w:sz w:val="18"/>
              </w:rPr>
              <w:t xml:space="preserve"> </w:t>
            </w:r>
            <w:r w:rsidRPr="00DA21FF">
              <w:rPr>
                <w:sz w:val="18"/>
              </w:rPr>
              <w:t>500</w:t>
            </w:r>
          </w:p>
        </w:tc>
        <w:tc>
          <w:tcPr>
            <w:tcW w:w="897" w:type="dxa"/>
            <w:shd w:val="clear" w:color="auto" w:fill="auto"/>
            <w:vAlign w:val="bottom"/>
          </w:tcPr>
          <w:p w14:paraId="2C210408" w14:textId="209CA51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443</w:t>
            </w:r>
            <w:r w:rsidR="00AC14E4">
              <w:rPr>
                <w:sz w:val="18"/>
              </w:rPr>
              <w:t xml:space="preserve"> </w:t>
            </w:r>
            <w:r w:rsidRPr="00DA21FF">
              <w:rPr>
                <w:sz w:val="18"/>
              </w:rPr>
              <w:t>300</w:t>
            </w:r>
          </w:p>
        </w:tc>
        <w:tc>
          <w:tcPr>
            <w:tcW w:w="898" w:type="dxa"/>
            <w:shd w:val="clear" w:color="auto" w:fill="auto"/>
            <w:vAlign w:val="bottom"/>
          </w:tcPr>
          <w:p w14:paraId="09A47955" w14:textId="3EB0814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445</w:t>
            </w:r>
            <w:r w:rsidR="00AC14E4">
              <w:rPr>
                <w:sz w:val="18"/>
              </w:rPr>
              <w:t xml:space="preserve"> </w:t>
            </w:r>
            <w:r w:rsidRPr="00DA21FF">
              <w:rPr>
                <w:sz w:val="18"/>
              </w:rPr>
              <w:t>100</w:t>
            </w:r>
          </w:p>
        </w:tc>
        <w:tc>
          <w:tcPr>
            <w:tcW w:w="897" w:type="dxa"/>
            <w:shd w:val="clear" w:color="auto" w:fill="auto"/>
            <w:vAlign w:val="bottom"/>
          </w:tcPr>
          <w:p w14:paraId="05CF5DDE" w14:textId="3D5196D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448</w:t>
            </w:r>
            <w:r w:rsidR="00AC14E4">
              <w:rPr>
                <w:sz w:val="18"/>
              </w:rPr>
              <w:t xml:space="preserve"> </w:t>
            </w:r>
            <w:r w:rsidRPr="00DA21FF">
              <w:rPr>
                <w:sz w:val="18"/>
              </w:rPr>
              <w:t>200</w:t>
            </w:r>
          </w:p>
        </w:tc>
        <w:tc>
          <w:tcPr>
            <w:tcW w:w="898" w:type="dxa"/>
            <w:shd w:val="clear" w:color="auto" w:fill="auto"/>
            <w:vAlign w:val="bottom"/>
          </w:tcPr>
          <w:p w14:paraId="7F50B2A9" w14:textId="042E43F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445</w:t>
            </w:r>
            <w:r w:rsidR="00AC14E4">
              <w:rPr>
                <w:sz w:val="18"/>
              </w:rPr>
              <w:t xml:space="preserve"> </w:t>
            </w:r>
            <w:r w:rsidRPr="00DA21FF">
              <w:rPr>
                <w:sz w:val="18"/>
              </w:rPr>
              <w:t>600</w:t>
            </w:r>
          </w:p>
        </w:tc>
      </w:tr>
      <w:tr w:rsidR="00680417" w:rsidRPr="00DA21FF" w14:paraId="51F22678" w14:textId="77777777" w:rsidTr="00BC4122">
        <w:trPr>
          <w:trHeight w:val="240"/>
        </w:trPr>
        <w:tc>
          <w:tcPr>
            <w:tcW w:w="1985" w:type="dxa"/>
            <w:shd w:val="clear" w:color="auto" w:fill="auto"/>
          </w:tcPr>
          <w:p w14:paraId="7E9AFA2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P60</w:t>
            </w:r>
            <w:proofErr w:type="spellEnd"/>
          </w:p>
        </w:tc>
        <w:tc>
          <w:tcPr>
            <w:tcW w:w="897" w:type="dxa"/>
            <w:shd w:val="clear" w:color="auto" w:fill="auto"/>
            <w:vAlign w:val="bottom"/>
          </w:tcPr>
          <w:p w14:paraId="1A7C69F7" w14:textId="3FFCCD5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474</w:t>
            </w:r>
            <w:r w:rsidR="00AC14E4">
              <w:rPr>
                <w:sz w:val="18"/>
              </w:rPr>
              <w:t xml:space="preserve"> </w:t>
            </w:r>
            <w:r w:rsidRPr="00DA21FF">
              <w:rPr>
                <w:sz w:val="18"/>
              </w:rPr>
              <w:t>700</w:t>
            </w:r>
          </w:p>
        </w:tc>
        <w:tc>
          <w:tcPr>
            <w:tcW w:w="898" w:type="dxa"/>
            <w:shd w:val="clear" w:color="auto" w:fill="auto"/>
            <w:vAlign w:val="bottom"/>
          </w:tcPr>
          <w:p w14:paraId="31F9E580" w14:textId="006BB3E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477</w:t>
            </w:r>
            <w:r w:rsidR="00AC14E4">
              <w:rPr>
                <w:sz w:val="18"/>
              </w:rPr>
              <w:t xml:space="preserve"> </w:t>
            </w:r>
            <w:r w:rsidRPr="00DA21FF">
              <w:rPr>
                <w:sz w:val="18"/>
              </w:rPr>
              <w:t>300</w:t>
            </w:r>
          </w:p>
        </w:tc>
        <w:tc>
          <w:tcPr>
            <w:tcW w:w="897" w:type="dxa"/>
            <w:shd w:val="clear" w:color="auto" w:fill="auto"/>
            <w:vAlign w:val="bottom"/>
          </w:tcPr>
          <w:p w14:paraId="5AE61EE3" w14:textId="54FD70A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485</w:t>
            </w:r>
            <w:r w:rsidR="00AC14E4">
              <w:rPr>
                <w:sz w:val="18"/>
              </w:rPr>
              <w:t xml:space="preserve"> </w:t>
            </w:r>
            <w:r w:rsidRPr="00DA21FF">
              <w:rPr>
                <w:sz w:val="18"/>
              </w:rPr>
              <w:t>600</w:t>
            </w:r>
          </w:p>
        </w:tc>
        <w:tc>
          <w:tcPr>
            <w:tcW w:w="898" w:type="dxa"/>
            <w:shd w:val="clear" w:color="auto" w:fill="auto"/>
            <w:vAlign w:val="bottom"/>
          </w:tcPr>
          <w:p w14:paraId="493BDDEE" w14:textId="281615F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487</w:t>
            </w:r>
            <w:r w:rsidR="00AC14E4">
              <w:rPr>
                <w:sz w:val="18"/>
              </w:rPr>
              <w:t xml:space="preserve"> </w:t>
            </w:r>
            <w:r w:rsidRPr="00DA21FF">
              <w:rPr>
                <w:sz w:val="18"/>
              </w:rPr>
              <w:t>700</w:t>
            </w:r>
          </w:p>
        </w:tc>
        <w:tc>
          <w:tcPr>
            <w:tcW w:w="897" w:type="dxa"/>
            <w:shd w:val="clear" w:color="auto" w:fill="auto"/>
            <w:vAlign w:val="bottom"/>
          </w:tcPr>
          <w:p w14:paraId="18BDC9C8" w14:textId="74C6298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491</w:t>
            </w:r>
            <w:r w:rsidR="00AC14E4">
              <w:rPr>
                <w:sz w:val="18"/>
              </w:rPr>
              <w:t xml:space="preserve"> </w:t>
            </w:r>
            <w:r w:rsidRPr="00DA21FF">
              <w:rPr>
                <w:sz w:val="18"/>
              </w:rPr>
              <w:t>600</w:t>
            </w:r>
          </w:p>
        </w:tc>
        <w:tc>
          <w:tcPr>
            <w:tcW w:w="898" w:type="dxa"/>
            <w:shd w:val="clear" w:color="auto" w:fill="auto"/>
            <w:vAlign w:val="bottom"/>
          </w:tcPr>
          <w:p w14:paraId="43F2BAB9" w14:textId="1A61140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488</w:t>
            </w:r>
            <w:r w:rsidR="00AC14E4">
              <w:rPr>
                <w:sz w:val="18"/>
              </w:rPr>
              <w:t xml:space="preserve"> </w:t>
            </w:r>
            <w:r w:rsidRPr="00DA21FF">
              <w:rPr>
                <w:sz w:val="18"/>
              </w:rPr>
              <w:t>100</w:t>
            </w:r>
          </w:p>
        </w:tc>
      </w:tr>
      <w:tr w:rsidR="00680417" w:rsidRPr="00DA21FF" w14:paraId="668F7E5B" w14:textId="77777777" w:rsidTr="00BC4122">
        <w:trPr>
          <w:trHeight w:val="240"/>
        </w:trPr>
        <w:tc>
          <w:tcPr>
            <w:tcW w:w="1985" w:type="dxa"/>
            <w:shd w:val="clear" w:color="auto" w:fill="auto"/>
          </w:tcPr>
          <w:p w14:paraId="51BAAC9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P70</w:t>
            </w:r>
            <w:proofErr w:type="spellEnd"/>
          </w:p>
        </w:tc>
        <w:tc>
          <w:tcPr>
            <w:tcW w:w="897" w:type="dxa"/>
            <w:shd w:val="clear" w:color="auto" w:fill="auto"/>
            <w:vAlign w:val="bottom"/>
          </w:tcPr>
          <w:p w14:paraId="017B5B39" w14:textId="7056EF8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523</w:t>
            </w:r>
            <w:r w:rsidR="00AC14E4">
              <w:rPr>
                <w:sz w:val="18"/>
              </w:rPr>
              <w:t xml:space="preserve"> </w:t>
            </w:r>
            <w:r w:rsidRPr="00DA21FF">
              <w:rPr>
                <w:sz w:val="18"/>
              </w:rPr>
              <w:t>500</w:t>
            </w:r>
          </w:p>
        </w:tc>
        <w:tc>
          <w:tcPr>
            <w:tcW w:w="898" w:type="dxa"/>
            <w:shd w:val="clear" w:color="auto" w:fill="auto"/>
            <w:vAlign w:val="bottom"/>
          </w:tcPr>
          <w:p w14:paraId="746748AF" w14:textId="052CB8A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526</w:t>
            </w:r>
            <w:r w:rsidR="00AC14E4">
              <w:rPr>
                <w:sz w:val="18"/>
              </w:rPr>
              <w:t xml:space="preserve"> </w:t>
            </w:r>
            <w:r w:rsidRPr="00DA21FF">
              <w:rPr>
                <w:sz w:val="18"/>
              </w:rPr>
              <w:t>600</w:t>
            </w:r>
          </w:p>
        </w:tc>
        <w:tc>
          <w:tcPr>
            <w:tcW w:w="897" w:type="dxa"/>
            <w:shd w:val="clear" w:color="auto" w:fill="auto"/>
            <w:vAlign w:val="bottom"/>
          </w:tcPr>
          <w:p w14:paraId="395C5D82" w14:textId="4C23858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535</w:t>
            </w:r>
            <w:r w:rsidR="00AC14E4">
              <w:rPr>
                <w:sz w:val="18"/>
              </w:rPr>
              <w:t xml:space="preserve"> </w:t>
            </w:r>
            <w:r w:rsidRPr="00DA21FF">
              <w:rPr>
                <w:sz w:val="18"/>
              </w:rPr>
              <w:t>900</w:t>
            </w:r>
          </w:p>
        </w:tc>
        <w:tc>
          <w:tcPr>
            <w:tcW w:w="898" w:type="dxa"/>
            <w:shd w:val="clear" w:color="auto" w:fill="auto"/>
            <w:vAlign w:val="bottom"/>
          </w:tcPr>
          <w:p w14:paraId="277C13E1" w14:textId="1EE596B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538</w:t>
            </w:r>
            <w:r w:rsidR="00AC14E4">
              <w:rPr>
                <w:sz w:val="18"/>
              </w:rPr>
              <w:t xml:space="preserve"> </w:t>
            </w:r>
            <w:r w:rsidRPr="00DA21FF">
              <w:rPr>
                <w:sz w:val="18"/>
              </w:rPr>
              <w:t>600</w:t>
            </w:r>
          </w:p>
        </w:tc>
        <w:tc>
          <w:tcPr>
            <w:tcW w:w="897" w:type="dxa"/>
            <w:shd w:val="clear" w:color="auto" w:fill="auto"/>
            <w:vAlign w:val="bottom"/>
          </w:tcPr>
          <w:p w14:paraId="5E13556F" w14:textId="47CD9AE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543</w:t>
            </w:r>
            <w:r w:rsidR="00AC14E4">
              <w:rPr>
                <w:sz w:val="18"/>
              </w:rPr>
              <w:t xml:space="preserve"> </w:t>
            </w:r>
            <w:r w:rsidRPr="00DA21FF">
              <w:rPr>
                <w:sz w:val="18"/>
              </w:rPr>
              <w:t>600</w:t>
            </w:r>
          </w:p>
        </w:tc>
        <w:tc>
          <w:tcPr>
            <w:tcW w:w="898" w:type="dxa"/>
            <w:shd w:val="clear" w:color="auto" w:fill="auto"/>
            <w:vAlign w:val="bottom"/>
          </w:tcPr>
          <w:p w14:paraId="26C17418" w14:textId="28492FD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538</w:t>
            </w:r>
            <w:r w:rsidR="00AC14E4">
              <w:rPr>
                <w:sz w:val="18"/>
              </w:rPr>
              <w:t xml:space="preserve"> </w:t>
            </w:r>
            <w:r w:rsidRPr="00DA21FF">
              <w:rPr>
                <w:sz w:val="18"/>
              </w:rPr>
              <w:t>800</w:t>
            </w:r>
          </w:p>
        </w:tc>
      </w:tr>
      <w:tr w:rsidR="00680417" w:rsidRPr="00DA21FF" w14:paraId="00E22BAA" w14:textId="77777777" w:rsidTr="00BC4122">
        <w:trPr>
          <w:trHeight w:val="240"/>
        </w:trPr>
        <w:tc>
          <w:tcPr>
            <w:tcW w:w="1985" w:type="dxa"/>
            <w:shd w:val="clear" w:color="auto" w:fill="auto"/>
          </w:tcPr>
          <w:p w14:paraId="29EF476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P80</w:t>
            </w:r>
            <w:proofErr w:type="spellEnd"/>
          </w:p>
        </w:tc>
        <w:tc>
          <w:tcPr>
            <w:tcW w:w="897" w:type="dxa"/>
            <w:shd w:val="clear" w:color="auto" w:fill="auto"/>
            <w:vAlign w:val="bottom"/>
          </w:tcPr>
          <w:p w14:paraId="5B92BB77" w14:textId="4E8DCEF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589</w:t>
            </w:r>
            <w:r w:rsidR="00AC14E4">
              <w:rPr>
                <w:sz w:val="18"/>
              </w:rPr>
              <w:t xml:space="preserve"> </w:t>
            </w:r>
            <w:r w:rsidRPr="00DA21FF">
              <w:rPr>
                <w:sz w:val="18"/>
              </w:rPr>
              <w:t>700</w:t>
            </w:r>
          </w:p>
        </w:tc>
        <w:tc>
          <w:tcPr>
            <w:tcW w:w="898" w:type="dxa"/>
            <w:shd w:val="clear" w:color="auto" w:fill="auto"/>
            <w:vAlign w:val="bottom"/>
          </w:tcPr>
          <w:p w14:paraId="272EB2E7" w14:textId="62BCDA8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593</w:t>
            </w:r>
            <w:r w:rsidR="00AC14E4">
              <w:rPr>
                <w:sz w:val="18"/>
              </w:rPr>
              <w:t xml:space="preserve"> </w:t>
            </w:r>
            <w:r w:rsidRPr="00DA21FF">
              <w:rPr>
                <w:sz w:val="18"/>
              </w:rPr>
              <w:t>600</w:t>
            </w:r>
          </w:p>
        </w:tc>
        <w:tc>
          <w:tcPr>
            <w:tcW w:w="897" w:type="dxa"/>
            <w:shd w:val="clear" w:color="auto" w:fill="auto"/>
            <w:vAlign w:val="bottom"/>
          </w:tcPr>
          <w:p w14:paraId="45920642" w14:textId="04C6AF2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604</w:t>
            </w:r>
            <w:r w:rsidR="00AC14E4">
              <w:rPr>
                <w:sz w:val="18"/>
              </w:rPr>
              <w:t xml:space="preserve"> </w:t>
            </w:r>
            <w:r w:rsidRPr="00DA21FF">
              <w:rPr>
                <w:sz w:val="18"/>
              </w:rPr>
              <w:t>000</w:t>
            </w:r>
          </w:p>
        </w:tc>
        <w:tc>
          <w:tcPr>
            <w:tcW w:w="898" w:type="dxa"/>
            <w:shd w:val="clear" w:color="auto" w:fill="auto"/>
            <w:vAlign w:val="bottom"/>
          </w:tcPr>
          <w:p w14:paraId="0E06F09D" w14:textId="121AD4A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607</w:t>
            </w:r>
            <w:r w:rsidR="00AC14E4">
              <w:rPr>
                <w:sz w:val="18"/>
              </w:rPr>
              <w:t xml:space="preserve"> </w:t>
            </w:r>
            <w:r w:rsidRPr="00DA21FF">
              <w:rPr>
                <w:sz w:val="18"/>
              </w:rPr>
              <w:t>500</w:t>
            </w:r>
          </w:p>
        </w:tc>
        <w:tc>
          <w:tcPr>
            <w:tcW w:w="897" w:type="dxa"/>
            <w:shd w:val="clear" w:color="auto" w:fill="auto"/>
            <w:vAlign w:val="bottom"/>
          </w:tcPr>
          <w:p w14:paraId="3B497A52" w14:textId="52C0ED4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615</w:t>
            </w:r>
            <w:r w:rsidR="00AC14E4">
              <w:rPr>
                <w:sz w:val="18"/>
              </w:rPr>
              <w:t xml:space="preserve"> </w:t>
            </w:r>
            <w:r w:rsidRPr="00DA21FF">
              <w:rPr>
                <w:sz w:val="18"/>
              </w:rPr>
              <w:t>900</w:t>
            </w:r>
          </w:p>
        </w:tc>
        <w:tc>
          <w:tcPr>
            <w:tcW w:w="898" w:type="dxa"/>
            <w:shd w:val="clear" w:color="auto" w:fill="auto"/>
            <w:vAlign w:val="bottom"/>
          </w:tcPr>
          <w:p w14:paraId="0CE679FA" w14:textId="3029576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607</w:t>
            </w:r>
            <w:r w:rsidR="00AC14E4">
              <w:rPr>
                <w:sz w:val="18"/>
              </w:rPr>
              <w:t xml:space="preserve"> </w:t>
            </w:r>
            <w:r w:rsidRPr="00DA21FF">
              <w:rPr>
                <w:sz w:val="18"/>
              </w:rPr>
              <w:t>700</w:t>
            </w:r>
          </w:p>
        </w:tc>
      </w:tr>
      <w:tr w:rsidR="00680417" w:rsidRPr="00DA21FF" w14:paraId="24118FDD" w14:textId="77777777" w:rsidTr="00BC4122">
        <w:trPr>
          <w:trHeight w:val="240"/>
        </w:trPr>
        <w:tc>
          <w:tcPr>
            <w:tcW w:w="1985" w:type="dxa"/>
            <w:shd w:val="clear" w:color="auto" w:fill="auto"/>
          </w:tcPr>
          <w:p w14:paraId="7FB1C2F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P90</w:t>
            </w:r>
            <w:proofErr w:type="spellEnd"/>
          </w:p>
        </w:tc>
        <w:tc>
          <w:tcPr>
            <w:tcW w:w="897" w:type="dxa"/>
            <w:shd w:val="clear" w:color="auto" w:fill="auto"/>
            <w:vAlign w:val="bottom"/>
          </w:tcPr>
          <w:p w14:paraId="61907B81" w14:textId="74A49FB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704</w:t>
            </w:r>
            <w:r w:rsidR="00AC14E4">
              <w:rPr>
                <w:sz w:val="18"/>
              </w:rPr>
              <w:t xml:space="preserve"> </w:t>
            </w:r>
            <w:r w:rsidRPr="00DA21FF">
              <w:rPr>
                <w:sz w:val="18"/>
              </w:rPr>
              <w:t>900</w:t>
            </w:r>
          </w:p>
        </w:tc>
        <w:tc>
          <w:tcPr>
            <w:tcW w:w="898" w:type="dxa"/>
            <w:shd w:val="clear" w:color="auto" w:fill="auto"/>
            <w:vAlign w:val="bottom"/>
          </w:tcPr>
          <w:p w14:paraId="7EDEF514" w14:textId="31D0EB6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709</w:t>
            </w:r>
            <w:r w:rsidR="00AC14E4">
              <w:rPr>
                <w:sz w:val="18"/>
              </w:rPr>
              <w:t xml:space="preserve"> </w:t>
            </w:r>
            <w:r w:rsidRPr="00DA21FF">
              <w:rPr>
                <w:sz w:val="18"/>
              </w:rPr>
              <w:t>200</w:t>
            </w:r>
          </w:p>
        </w:tc>
        <w:tc>
          <w:tcPr>
            <w:tcW w:w="897" w:type="dxa"/>
            <w:shd w:val="clear" w:color="auto" w:fill="auto"/>
            <w:vAlign w:val="bottom"/>
          </w:tcPr>
          <w:p w14:paraId="4A6CEBB6" w14:textId="5217930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721</w:t>
            </w:r>
            <w:r w:rsidR="00AC14E4">
              <w:rPr>
                <w:sz w:val="18"/>
              </w:rPr>
              <w:t xml:space="preserve"> </w:t>
            </w:r>
            <w:r w:rsidRPr="00DA21FF">
              <w:rPr>
                <w:sz w:val="18"/>
              </w:rPr>
              <w:t>200</w:t>
            </w:r>
          </w:p>
        </w:tc>
        <w:tc>
          <w:tcPr>
            <w:tcW w:w="898" w:type="dxa"/>
            <w:shd w:val="clear" w:color="auto" w:fill="auto"/>
            <w:vAlign w:val="bottom"/>
          </w:tcPr>
          <w:p w14:paraId="4F9B913D" w14:textId="385BB12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726</w:t>
            </w:r>
            <w:r w:rsidR="00AC14E4">
              <w:rPr>
                <w:sz w:val="18"/>
              </w:rPr>
              <w:t xml:space="preserve"> </w:t>
            </w:r>
            <w:r w:rsidRPr="00DA21FF">
              <w:rPr>
                <w:sz w:val="18"/>
              </w:rPr>
              <w:t>500</w:t>
            </w:r>
          </w:p>
        </w:tc>
        <w:tc>
          <w:tcPr>
            <w:tcW w:w="897" w:type="dxa"/>
            <w:shd w:val="clear" w:color="auto" w:fill="auto"/>
            <w:vAlign w:val="bottom"/>
          </w:tcPr>
          <w:p w14:paraId="1E1FAF1F" w14:textId="2F94219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745</w:t>
            </w:r>
            <w:r w:rsidR="00AC14E4">
              <w:rPr>
                <w:sz w:val="18"/>
              </w:rPr>
              <w:t xml:space="preserve"> </w:t>
            </w:r>
            <w:r w:rsidRPr="00DA21FF">
              <w:rPr>
                <w:sz w:val="18"/>
              </w:rPr>
              <w:t>400</w:t>
            </w:r>
          </w:p>
        </w:tc>
        <w:tc>
          <w:tcPr>
            <w:tcW w:w="898" w:type="dxa"/>
            <w:shd w:val="clear" w:color="auto" w:fill="auto"/>
            <w:vAlign w:val="bottom"/>
          </w:tcPr>
          <w:p w14:paraId="408E098F" w14:textId="398BAFC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726</w:t>
            </w:r>
            <w:r w:rsidR="00AC14E4">
              <w:rPr>
                <w:sz w:val="18"/>
              </w:rPr>
              <w:t xml:space="preserve"> </w:t>
            </w:r>
            <w:r w:rsidRPr="00DA21FF">
              <w:rPr>
                <w:sz w:val="18"/>
              </w:rPr>
              <w:t>800</w:t>
            </w:r>
          </w:p>
        </w:tc>
      </w:tr>
      <w:tr w:rsidR="00680417" w:rsidRPr="00DA21FF" w14:paraId="3AF98D2D" w14:textId="77777777" w:rsidTr="00BC4122">
        <w:trPr>
          <w:trHeight w:val="240"/>
        </w:trPr>
        <w:tc>
          <w:tcPr>
            <w:tcW w:w="1985" w:type="dxa"/>
            <w:shd w:val="clear" w:color="auto" w:fill="auto"/>
          </w:tcPr>
          <w:p w14:paraId="50C8CDC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P95</w:t>
            </w:r>
            <w:proofErr w:type="spellEnd"/>
          </w:p>
        </w:tc>
        <w:tc>
          <w:tcPr>
            <w:tcW w:w="897" w:type="dxa"/>
            <w:shd w:val="clear" w:color="auto" w:fill="auto"/>
            <w:vAlign w:val="bottom"/>
          </w:tcPr>
          <w:p w14:paraId="428A2EFE" w14:textId="34520F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837</w:t>
            </w:r>
            <w:r w:rsidR="00AC14E4">
              <w:rPr>
                <w:sz w:val="18"/>
              </w:rPr>
              <w:t xml:space="preserve"> </w:t>
            </w:r>
            <w:r w:rsidRPr="00DA21FF">
              <w:rPr>
                <w:sz w:val="18"/>
              </w:rPr>
              <w:t>000</w:t>
            </w:r>
          </w:p>
        </w:tc>
        <w:tc>
          <w:tcPr>
            <w:tcW w:w="898" w:type="dxa"/>
            <w:shd w:val="clear" w:color="auto" w:fill="auto"/>
            <w:vAlign w:val="bottom"/>
          </w:tcPr>
          <w:p w14:paraId="4A39A3DC" w14:textId="5CDB27C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841</w:t>
            </w:r>
            <w:r w:rsidR="00AC14E4">
              <w:rPr>
                <w:sz w:val="18"/>
              </w:rPr>
              <w:t xml:space="preserve"> </w:t>
            </w:r>
            <w:r w:rsidRPr="00DA21FF">
              <w:rPr>
                <w:sz w:val="18"/>
              </w:rPr>
              <w:t>000</w:t>
            </w:r>
          </w:p>
        </w:tc>
        <w:tc>
          <w:tcPr>
            <w:tcW w:w="897" w:type="dxa"/>
            <w:shd w:val="clear" w:color="auto" w:fill="auto"/>
            <w:vAlign w:val="bottom"/>
          </w:tcPr>
          <w:p w14:paraId="205003BE" w14:textId="215AC6F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853</w:t>
            </w:r>
            <w:r w:rsidR="00AC14E4">
              <w:rPr>
                <w:sz w:val="18"/>
              </w:rPr>
              <w:t xml:space="preserve"> </w:t>
            </w:r>
            <w:r w:rsidRPr="00DA21FF">
              <w:rPr>
                <w:sz w:val="18"/>
              </w:rPr>
              <w:t>200</w:t>
            </w:r>
          </w:p>
        </w:tc>
        <w:tc>
          <w:tcPr>
            <w:tcW w:w="898" w:type="dxa"/>
            <w:shd w:val="clear" w:color="auto" w:fill="auto"/>
            <w:vAlign w:val="bottom"/>
          </w:tcPr>
          <w:p w14:paraId="38AC5B2D" w14:textId="3735609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861</w:t>
            </w:r>
            <w:r w:rsidR="00AC14E4">
              <w:rPr>
                <w:sz w:val="18"/>
              </w:rPr>
              <w:t xml:space="preserve"> </w:t>
            </w:r>
            <w:r w:rsidRPr="00DA21FF">
              <w:rPr>
                <w:sz w:val="18"/>
              </w:rPr>
              <w:t>800</w:t>
            </w:r>
          </w:p>
        </w:tc>
        <w:tc>
          <w:tcPr>
            <w:tcW w:w="897" w:type="dxa"/>
            <w:shd w:val="clear" w:color="auto" w:fill="auto"/>
            <w:vAlign w:val="bottom"/>
          </w:tcPr>
          <w:p w14:paraId="4732AE4E" w14:textId="1F368A9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905</w:t>
            </w:r>
            <w:r w:rsidR="00AC14E4">
              <w:rPr>
                <w:sz w:val="18"/>
              </w:rPr>
              <w:t xml:space="preserve"> </w:t>
            </w:r>
            <w:r w:rsidRPr="00DA21FF">
              <w:rPr>
                <w:sz w:val="18"/>
              </w:rPr>
              <w:t>700</w:t>
            </w:r>
          </w:p>
        </w:tc>
        <w:tc>
          <w:tcPr>
            <w:tcW w:w="898" w:type="dxa"/>
            <w:shd w:val="clear" w:color="auto" w:fill="auto"/>
            <w:vAlign w:val="bottom"/>
          </w:tcPr>
          <w:p w14:paraId="7E55C1D2" w14:textId="5DAE8C4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864</w:t>
            </w:r>
            <w:r w:rsidR="00AC14E4">
              <w:rPr>
                <w:sz w:val="18"/>
              </w:rPr>
              <w:t xml:space="preserve"> </w:t>
            </w:r>
            <w:r w:rsidRPr="00DA21FF">
              <w:rPr>
                <w:sz w:val="18"/>
              </w:rPr>
              <w:t>000</w:t>
            </w:r>
          </w:p>
        </w:tc>
      </w:tr>
      <w:tr w:rsidR="00680417" w:rsidRPr="00DA21FF" w14:paraId="45B034EC" w14:textId="77777777" w:rsidTr="00BC4122">
        <w:trPr>
          <w:trHeight w:val="240"/>
        </w:trPr>
        <w:tc>
          <w:tcPr>
            <w:tcW w:w="1985" w:type="dxa"/>
            <w:tcBorders>
              <w:bottom w:val="single" w:sz="4" w:space="0" w:color="auto"/>
            </w:tcBorders>
            <w:shd w:val="clear" w:color="auto" w:fill="auto"/>
          </w:tcPr>
          <w:p w14:paraId="12A9C2C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P99</w:t>
            </w:r>
            <w:proofErr w:type="spellEnd"/>
          </w:p>
        </w:tc>
        <w:tc>
          <w:tcPr>
            <w:tcW w:w="897" w:type="dxa"/>
            <w:tcBorders>
              <w:bottom w:val="single" w:sz="4" w:space="0" w:color="auto"/>
            </w:tcBorders>
            <w:shd w:val="clear" w:color="auto" w:fill="auto"/>
            <w:vAlign w:val="bottom"/>
          </w:tcPr>
          <w:p w14:paraId="15A308F1" w14:textId="5925F47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1 351</w:t>
            </w:r>
            <w:r w:rsidR="00AC14E4">
              <w:rPr>
                <w:sz w:val="18"/>
              </w:rPr>
              <w:t xml:space="preserve"> </w:t>
            </w:r>
            <w:r w:rsidRPr="00DA21FF">
              <w:rPr>
                <w:sz w:val="18"/>
              </w:rPr>
              <w:t>400</w:t>
            </w:r>
          </w:p>
        </w:tc>
        <w:tc>
          <w:tcPr>
            <w:tcW w:w="898" w:type="dxa"/>
            <w:tcBorders>
              <w:bottom w:val="single" w:sz="4" w:space="0" w:color="auto"/>
            </w:tcBorders>
            <w:shd w:val="clear" w:color="auto" w:fill="auto"/>
            <w:vAlign w:val="bottom"/>
          </w:tcPr>
          <w:p w14:paraId="2A9AD08E" w14:textId="222A886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354</w:t>
            </w:r>
            <w:r w:rsidR="00AC14E4">
              <w:rPr>
                <w:sz w:val="18"/>
              </w:rPr>
              <w:t xml:space="preserve"> </w:t>
            </w:r>
            <w:r w:rsidRPr="00DA21FF">
              <w:rPr>
                <w:sz w:val="18"/>
              </w:rPr>
              <w:t>700</w:t>
            </w:r>
          </w:p>
        </w:tc>
        <w:tc>
          <w:tcPr>
            <w:tcW w:w="897" w:type="dxa"/>
            <w:tcBorders>
              <w:bottom w:val="single" w:sz="4" w:space="0" w:color="auto"/>
            </w:tcBorders>
            <w:shd w:val="clear" w:color="auto" w:fill="auto"/>
            <w:vAlign w:val="bottom"/>
          </w:tcPr>
          <w:p w14:paraId="103FAA9C" w14:textId="63C3E5C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351</w:t>
            </w:r>
            <w:r w:rsidR="00AC14E4">
              <w:rPr>
                <w:sz w:val="18"/>
              </w:rPr>
              <w:t xml:space="preserve"> </w:t>
            </w:r>
            <w:r w:rsidRPr="00DA21FF">
              <w:rPr>
                <w:sz w:val="18"/>
              </w:rPr>
              <w:t>300</w:t>
            </w:r>
          </w:p>
        </w:tc>
        <w:tc>
          <w:tcPr>
            <w:tcW w:w="898" w:type="dxa"/>
            <w:tcBorders>
              <w:bottom w:val="single" w:sz="4" w:space="0" w:color="auto"/>
            </w:tcBorders>
            <w:shd w:val="clear" w:color="auto" w:fill="auto"/>
            <w:vAlign w:val="bottom"/>
          </w:tcPr>
          <w:p w14:paraId="7580E009" w14:textId="6583998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395</w:t>
            </w:r>
            <w:r w:rsidR="00AC14E4">
              <w:rPr>
                <w:sz w:val="18"/>
              </w:rPr>
              <w:t xml:space="preserve"> </w:t>
            </w:r>
            <w:r w:rsidRPr="00DA21FF">
              <w:rPr>
                <w:sz w:val="18"/>
              </w:rPr>
              <w:t>700</w:t>
            </w:r>
          </w:p>
        </w:tc>
        <w:tc>
          <w:tcPr>
            <w:tcW w:w="897" w:type="dxa"/>
            <w:tcBorders>
              <w:bottom w:val="single" w:sz="4" w:space="0" w:color="auto"/>
            </w:tcBorders>
            <w:shd w:val="clear" w:color="auto" w:fill="auto"/>
            <w:vAlign w:val="bottom"/>
          </w:tcPr>
          <w:p w14:paraId="6C1FB067" w14:textId="7639907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729</w:t>
            </w:r>
            <w:r w:rsidR="00AC14E4">
              <w:rPr>
                <w:sz w:val="18"/>
              </w:rPr>
              <w:t xml:space="preserve"> </w:t>
            </w:r>
            <w:r w:rsidRPr="00DA21FF">
              <w:rPr>
                <w:sz w:val="18"/>
              </w:rPr>
              <w:t>500</w:t>
            </w:r>
          </w:p>
        </w:tc>
        <w:tc>
          <w:tcPr>
            <w:tcW w:w="898" w:type="dxa"/>
            <w:tcBorders>
              <w:bottom w:val="single" w:sz="4" w:space="0" w:color="auto"/>
            </w:tcBorders>
            <w:shd w:val="clear" w:color="auto" w:fill="auto"/>
            <w:vAlign w:val="bottom"/>
          </w:tcPr>
          <w:p w14:paraId="16BF586E" w14:textId="234EB9F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399</w:t>
            </w:r>
            <w:r w:rsidR="00AC14E4">
              <w:rPr>
                <w:sz w:val="18"/>
              </w:rPr>
              <w:t xml:space="preserve"> </w:t>
            </w:r>
            <w:r w:rsidRPr="00DA21FF">
              <w:rPr>
                <w:sz w:val="18"/>
              </w:rPr>
              <w:t>300</w:t>
            </w:r>
          </w:p>
        </w:tc>
      </w:tr>
      <w:tr w:rsidR="00680417" w:rsidRPr="00AC14E4" w14:paraId="4A5BA578" w14:textId="77777777" w:rsidTr="00BC4122">
        <w:trPr>
          <w:trHeight w:val="240"/>
        </w:trPr>
        <w:tc>
          <w:tcPr>
            <w:tcW w:w="1985" w:type="dxa"/>
            <w:tcBorders>
              <w:top w:val="single" w:sz="4" w:space="0" w:color="auto"/>
              <w:bottom w:val="single" w:sz="12" w:space="0" w:color="auto"/>
            </w:tcBorders>
            <w:shd w:val="clear" w:color="auto" w:fill="auto"/>
          </w:tcPr>
          <w:p w14:paraId="13EB2E15" w14:textId="77777777" w:rsidR="00DA21FF" w:rsidRPr="00DA21FF" w:rsidRDefault="00DA21FF" w:rsidP="00BC4122">
            <w:pPr>
              <w:pStyle w:val="SingleTxtG"/>
              <w:tabs>
                <w:tab w:val="clear" w:pos="1701"/>
                <w:tab w:val="clear" w:pos="2268"/>
                <w:tab w:val="clear" w:pos="2835"/>
              </w:tabs>
              <w:spacing w:before="80" w:after="80" w:line="220" w:lineRule="exact"/>
              <w:ind w:left="170" w:right="0"/>
              <w:jc w:val="left"/>
              <w:rPr>
                <w:b/>
                <w:sz w:val="18"/>
                <w:lang w:val="en-GB"/>
              </w:rPr>
            </w:pPr>
            <w:r w:rsidRPr="00DA21FF">
              <w:rPr>
                <w:b/>
                <w:sz w:val="18"/>
              </w:rPr>
              <w:t>Número de personas</w:t>
            </w:r>
          </w:p>
        </w:tc>
        <w:tc>
          <w:tcPr>
            <w:tcW w:w="897" w:type="dxa"/>
            <w:tcBorders>
              <w:top w:val="single" w:sz="4" w:space="0" w:color="auto"/>
              <w:bottom w:val="single" w:sz="12" w:space="0" w:color="auto"/>
            </w:tcBorders>
            <w:shd w:val="clear" w:color="auto" w:fill="auto"/>
            <w:vAlign w:val="bottom"/>
          </w:tcPr>
          <w:p w14:paraId="4053A822" w14:textId="48B486F1"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130</w:t>
            </w:r>
            <w:r w:rsidR="00AC14E4" w:rsidRPr="00AC14E4">
              <w:rPr>
                <w:b/>
                <w:sz w:val="18"/>
              </w:rPr>
              <w:t xml:space="preserve"> </w:t>
            </w:r>
            <w:r w:rsidRPr="00DA21FF">
              <w:rPr>
                <w:b/>
                <w:sz w:val="18"/>
              </w:rPr>
              <w:t>925</w:t>
            </w:r>
          </w:p>
        </w:tc>
        <w:tc>
          <w:tcPr>
            <w:tcW w:w="898" w:type="dxa"/>
            <w:tcBorders>
              <w:top w:val="single" w:sz="4" w:space="0" w:color="auto"/>
              <w:bottom w:val="single" w:sz="12" w:space="0" w:color="auto"/>
            </w:tcBorders>
            <w:shd w:val="clear" w:color="auto" w:fill="auto"/>
            <w:vAlign w:val="bottom"/>
          </w:tcPr>
          <w:p w14:paraId="6465E549" w14:textId="39D72A0E"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166</w:t>
            </w:r>
            <w:r w:rsidR="00AC14E4" w:rsidRPr="00AC14E4">
              <w:rPr>
                <w:b/>
                <w:sz w:val="18"/>
              </w:rPr>
              <w:t xml:space="preserve"> </w:t>
            </w:r>
            <w:r w:rsidRPr="00DA21FF">
              <w:rPr>
                <w:b/>
                <w:sz w:val="18"/>
              </w:rPr>
              <w:t>774</w:t>
            </w:r>
          </w:p>
        </w:tc>
        <w:tc>
          <w:tcPr>
            <w:tcW w:w="897" w:type="dxa"/>
            <w:tcBorders>
              <w:top w:val="single" w:sz="4" w:space="0" w:color="auto"/>
              <w:bottom w:val="single" w:sz="12" w:space="0" w:color="auto"/>
            </w:tcBorders>
            <w:shd w:val="clear" w:color="auto" w:fill="auto"/>
            <w:vAlign w:val="bottom"/>
          </w:tcPr>
          <w:p w14:paraId="3419FF8E" w14:textId="01722D15"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207</w:t>
            </w:r>
            <w:r w:rsidR="00AC14E4" w:rsidRPr="00AC14E4">
              <w:rPr>
                <w:b/>
                <w:sz w:val="18"/>
              </w:rPr>
              <w:t xml:space="preserve"> </w:t>
            </w:r>
            <w:r w:rsidRPr="00DA21FF">
              <w:rPr>
                <w:b/>
                <w:sz w:val="18"/>
              </w:rPr>
              <w:t>512</w:t>
            </w:r>
          </w:p>
        </w:tc>
        <w:tc>
          <w:tcPr>
            <w:tcW w:w="898" w:type="dxa"/>
            <w:tcBorders>
              <w:top w:val="single" w:sz="4" w:space="0" w:color="auto"/>
              <w:bottom w:val="single" w:sz="12" w:space="0" w:color="auto"/>
            </w:tcBorders>
            <w:shd w:val="clear" w:color="auto" w:fill="auto"/>
            <w:vAlign w:val="bottom"/>
          </w:tcPr>
          <w:p w14:paraId="646DC2D9" w14:textId="22075194"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226</w:t>
            </w:r>
            <w:r w:rsidR="00AC14E4" w:rsidRPr="00AC14E4">
              <w:rPr>
                <w:b/>
                <w:sz w:val="18"/>
              </w:rPr>
              <w:t xml:space="preserve"> </w:t>
            </w:r>
            <w:r w:rsidRPr="00DA21FF">
              <w:rPr>
                <w:b/>
                <w:sz w:val="18"/>
              </w:rPr>
              <w:t>906</w:t>
            </w:r>
          </w:p>
        </w:tc>
        <w:tc>
          <w:tcPr>
            <w:tcW w:w="897" w:type="dxa"/>
            <w:tcBorders>
              <w:top w:val="single" w:sz="4" w:space="0" w:color="auto"/>
              <w:bottom w:val="single" w:sz="12" w:space="0" w:color="auto"/>
            </w:tcBorders>
            <w:shd w:val="clear" w:color="auto" w:fill="auto"/>
            <w:vAlign w:val="bottom"/>
          </w:tcPr>
          <w:p w14:paraId="61D8FDFC" w14:textId="61ABBFD3"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266</w:t>
            </w:r>
            <w:r w:rsidR="00AC14E4" w:rsidRPr="00AC14E4">
              <w:rPr>
                <w:b/>
                <w:sz w:val="18"/>
              </w:rPr>
              <w:t xml:space="preserve"> </w:t>
            </w:r>
            <w:r w:rsidRPr="00DA21FF">
              <w:rPr>
                <w:b/>
                <w:sz w:val="18"/>
              </w:rPr>
              <w:t>285</w:t>
            </w:r>
          </w:p>
        </w:tc>
        <w:tc>
          <w:tcPr>
            <w:tcW w:w="898" w:type="dxa"/>
            <w:tcBorders>
              <w:top w:val="single" w:sz="4" w:space="0" w:color="auto"/>
              <w:bottom w:val="single" w:sz="12" w:space="0" w:color="auto"/>
            </w:tcBorders>
            <w:shd w:val="clear" w:color="auto" w:fill="auto"/>
            <w:vAlign w:val="bottom"/>
          </w:tcPr>
          <w:p w14:paraId="5C948FC0" w14:textId="3E714FD4" w:rsidR="00DA21FF" w:rsidRPr="00DA21FF" w:rsidRDefault="00DA21FF" w:rsidP="00AC14E4">
            <w:pPr>
              <w:pStyle w:val="SingleTxtG"/>
              <w:tabs>
                <w:tab w:val="clear" w:pos="1701"/>
                <w:tab w:val="clear" w:pos="2268"/>
                <w:tab w:val="clear" w:pos="2835"/>
              </w:tabs>
              <w:spacing w:before="80" w:after="80" w:line="220" w:lineRule="exact"/>
              <w:ind w:left="113" w:right="0"/>
              <w:jc w:val="right"/>
              <w:rPr>
                <w:b/>
                <w:sz w:val="18"/>
                <w:lang w:val="en-GB"/>
              </w:rPr>
            </w:pPr>
            <w:r w:rsidRPr="00DA21FF">
              <w:rPr>
                <w:b/>
                <w:sz w:val="18"/>
              </w:rPr>
              <w:t>5</w:t>
            </w:r>
            <w:r w:rsidR="00AC14E4" w:rsidRPr="00AC14E4">
              <w:rPr>
                <w:b/>
                <w:sz w:val="18"/>
              </w:rPr>
              <w:t xml:space="preserve"> </w:t>
            </w:r>
            <w:r w:rsidRPr="00DA21FF">
              <w:rPr>
                <w:b/>
                <w:sz w:val="18"/>
              </w:rPr>
              <w:t>340</w:t>
            </w:r>
            <w:r w:rsidR="00AC14E4" w:rsidRPr="00AC14E4">
              <w:rPr>
                <w:b/>
                <w:sz w:val="18"/>
              </w:rPr>
              <w:t xml:space="preserve"> </w:t>
            </w:r>
            <w:r w:rsidRPr="00DA21FF">
              <w:rPr>
                <w:b/>
                <w:sz w:val="18"/>
              </w:rPr>
              <w:t>621</w:t>
            </w:r>
          </w:p>
        </w:tc>
      </w:tr>
    </w:tbl>
    <w:bookmarkEnd w:id="18"/>
    <w:p w14:paraId="38E7DBF0" w14:textId="1EAF0BC0" w:rsidR="00DA21FF" w:rsidRPr="00DA21FF" w:rsidRDefault="002F5430" w:rsidP="002F5430">
      <w:pPr>
        <w:pStyle w:val="H23G"/>
        <w:rPr>
          <w:lang w:val="en-GB"/>
        </w:rPr>
      </w:pPr>
      <w:r>
        <w:tab/>
      </w:r>
      <w:r w:rsidR="00DA21FF" w:rsidRPr="00DA21FF">
        <w:tab/>
        <w:t>Índice de precios al consumidor</w:t>
      </w:r>
    </w:p>
    <w:p w14:paraId="31ED5CE1" w14:textId="77777777" w:rsidR="00DA21FF" w:rsidRPr="00DA21FF" w:rsidRDefault="00DA21FF" w:rsidP="00DA21FF">
      <w:pPr>
        <w:pStyle w:val="SingleTxtG"/>
        <w:rPr>
          <w:lang w:val="en-GB"/>
        </w:rPr>
      </w:pPr>
      <w:r w:rsidRPr="00DA21FF">
        <w:t>24.</w:t>
      </w:r>
      <w:r w:rsidRPr="00DA21FF">
        <w:tab/>
        <w:t xml:space="preserve">La </w:t>
      </w:r>
      <w:r w:rsidRPr="00373B5F">
        <w:rPr>
          <w:u w:val="single"/>
        </w:rPr>
        <w:t>inflación de los precios de consumo</w:t>
      </w:r>
      <w:r w:rsidRPr="00DA21FF">
        <w:t xml:space="preserve">, medida como variación del índice de precios al consumidor (IPC), aumentó sustancialmente a raíz de la pandemia, reflejando las tendencias observadas en muchos otros países. Los cuellos de botella en la cadena mundial de suministro, junto con la guerra de Rusia en Ucrania y su politización del suministro de gas, contribuyeron a disparar los precios de las materias primas y la energía. Esto provocó la mayor inflación de los precios de consumo en Noruega desde la década de 1980. Aunque la corona noruega se fortaleció tras un debilitamiento inicial en marzo de 2020, siguió siendo débil en comparación con los niveles anteriores a la pandemia y experimentó otro descenso sustancial en el segundo trimestre de 2023. La inflación general alcanzó su máximo en octubre de 2022, con un 7,5 %, mientras que la inflación básica, medida como la variación del IPC ajustado por la variación de los impuestos y excluida la energía (IPC-ATE), alcanzó su máximo en junio de 2023, con un 7 %. Desde entonces, el crecimiento tanto del IPC como del IPC-ATE ha disminuido, pero sigue siendo superior al objetivo de inflación del 2 %. De cara al futuro, se espera que el IPC aumente un 3,9 % en 2024 y un 2,8 % en 2025. Se espera que el crecimiento correspondiente del IPC-ATE sea del 4,3 % en 2024 y del 3,0 % en 2025. </w:t>
      </w:r>
      <w:bookmarkStart w:id="19" w:name="_Hlk166525745"/>
      <w:bookmarkEnd w:id="1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
        <w:gridCol w:w="3402"/>
        <w:gridCol w:w="3402"/>
      </w:tblGrid>
      <w:tr w:rsidR="00680417" w:rsidRPr="00680417" w14:paraId="7AC20FDB" w14:textId="77777777" w:rsidTr="00680417">
        <w:trPr>
          <w:trHeight w:val="240"/>
          <w:tblHeader/>
        </w:trPr>
        <w:tc>
          <w:tcPr>
            <w:tcW w:w="566" w:type="dxa"/>
            <w:tcBorders>
              <w:top w:val="single" w:sz="4" w:space="0" w:color="auto"/>
              <w:bottom w:val="single" w:sz="12" w:space="0" w:color="auto"/>
            </w:tcBorders>
            <w:shd w:val="clear" w:color="auto" w:fill="auto"/>
            <w:vAlign w:val="bottom"/>
          </w:tcPr>
          <w:p w14:paraId="7A1103A5"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3402" w:type="dxa"/>
            <w:tcBorders>
              <w:top w:val="single" w:sz="4" w:space="0" w:color="auto"/>
              <w:bottom w:val="single" w:sz="12" w:space="0" w:color="auto"/>
            </w:tcBorders>
            <w:shd w:val="clear" w:color="auto" w:fill="auto"/>
            <w:vAlign w:val="bottom"/>
          </w:tcPr>
          <w:p w14:paraId="79C5BDF5"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Tasa de variación anual del IPC</w:t>
            </w:r>
          </w:p>
        </w:tc>
        <w:tc>
          <w:tcPr>
            <w:tcW w:w="3402" w:type="dxa"/>
            <w:tcBorders>
              <w:top w:val="single" w:sz="4" w:space="0" w:color="auto"/>
              <w:bottom w:val="single" w:sz="12" w:space="0" w:color="auto"/>
            </w:tcBorders>
            <w:shd w:val="clear" w:color="auto" w:fill="auto"/>
            <w:vAlign w:val="bottom"/>
          </w:tcPr>
          <w:p w14:paraId="32156B4C"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Tasa de variación anual del IPC-ATE</w:t>
            </w:r>
          </w:p>
        </w:tc>
      </w:tr>
      <w:tr w:rsidR="00680417" w:rsidRPr="00DA21FF" w14:paraId="051F6262" w14:textId="77777777" w:rsidTr="00680417">
        <w:trPr>
          <w:trHeight w:val="240"/>
        </w:trPr>
        <w:tc>
          <w:tcPr>
            <w:tcW w:w="566" w:type="dxa"/>
            <w:tcBorders>
              <w:top w:val="single" w:sz="12" w:space="0" w:color="auto"/>
            </w:tcBorders>
            <w:shd w:val="clear" w:color="auto" w:fill="auto"/>
          </w:tcPr>
          <w:p w14:paraId="01E74F2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2016</w:t>
            </w:r>
          </w:p>
        </w:tc>
        <w:tc>
          <w:tcPr>
            <w:tcW w:w="3402" w:type="dxa"/>
            <w:tcBorders>
              <w:top w:val="single" w:sz="12" w:space="0" w:color="auto"/>
            </w:tcBorders>
            <w:shd w:val="clear" w:color="auto" w:fill="auto"/>
            <w:vAlign w:val="bottom"/>
          </w:tcPr>
          <w:p w14:paraId="21D54C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c>
          <w:tcPr>
            <w:tcW w:w="3402" w:type="dxa"/>
            <w:tcBorders>
              <w:top w:val="single" w:sz="12" w:space="0" w:color="auto"/>
            </w:tcBorders>
            <w:shd w:val="clear" w:color="auto" w:fill="auto"/>
            <w:vAlign w:val="bottom"/>
          </w:tcPr>
          <w:p w14:paraId="0EEBBF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r>
      <w:tr w:rsidR="00680417" w:rsidRPr="00DA21FF" w14:paraId="272FA94E" w14:textId="77777777" w:rsidTr="00680417">
        <w:trPr>
          <w:trHeight w:val="240"/>
        </w:trPr>
        <w:tc>
          <w:tcPr>
            <w:tcW w:w="566" w:type="dxa"/>
            <w:shd w:val="clear" w:color="auto" w:fill="auto"/>
          </w:tcPr>
          <w:p w14:paraId="200DEFE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3402" w:type="dxa"/>
            <w:shd w:val="clear" w:color="auto" w:fill="auto"/>
            <w:vAlign w:val="bottom"/>
          </w:tcPr>
          <w:p w14:paraId="51B8D0B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3402" w:type="dxa"/>
            <w:shd w:val="clear" w:color="auto" w:fill="auto"/>
            <w:vAlign w:val="bottom"/>
          </w:tcPr>
          <w:p w14:paraId="3A2B38D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w:t>
            </w:r>
          </w:p>
        </w:tc>
      </w:tr>
      <w:tr w:rsidR="00680417" w:rsidRPr="00DA21FF" w14:paraId="6F683994" w14:textId="77777777" w:rsidTr="00680417">
        <w:trPr>
          <w:trHeight w:val="240"/>
        </w:trPr>
        <w:tc>
          <w:tcPr>
            <w:tcW w:w="566" w:type="dxa"/>
            <w:shd w:val="clear" w:color="auto" w:fill="auto"/>
          </w:tcPr>
          <w:p w14:paraId="6A7EE71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3402" w:type="dxa"/>
            <w:shd w:val="clear" w:color="auto" w:fill="auto"/>
            <w:vAlign w:val="bottom"/>
          </w:tcPr>
          <w:p w14:paraId="2173F0F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c>
          <w:tcPr>
            <w:tcW w:w="3402" w:type="dxa"/>
            <w:shd w:val="clear" w:color="auto" w:fill="auto"/>
            <w:vAlign w:val="bottom"/>
          </w:tcPr>
          <w:p w14:paraId="77F0E40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w:t>
            </w:r>
          </w:p>
        </w:tc>
      </w:tr>
      <w:tr w:rsidR="00680417" w:rsidRPr="00DA21FF" w14:paraId="5152254B" w14:textId="77777777" w:rsidTr="00680417">
        <w:trPr>
          <w:trHeight w:val="240"/>
        </w:trPr>
        <w:tc>
          <w:tcPr>
            <w:tcW w:w="566" w:type="dxa"/>
            <w:shd w:val="clear" w:color="auto" w:fill="auto"/>
          </w:tcPr>
          <w:p w14:paraId="0C75D19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3402" w:type="dxa"/>
            <w:shd w:val="clear" w:color="auto" w:fill="auto"/>
            <w:vAlign w:val="bottom"/>
          </w:tcPr>
          <w:p w14:paraId="1EF633D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c>
          <w:tcPr>
            <w:tcW w:w="3402" w:type="dxa"/>
            <w:shd w:val="clear" w:color="auto" w:fill="auto"/>
            <w:vAlign w:val="bottom"/>
          </w:tcPr>
          <w:p w14:paraId="662FC2D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r>
      <w:tr w:rsidR="00680417" w:rsidRPr="00DA21FF" w14:paraId="69865DBE" w14:textId="77777777" w:rsidTr="00680417">
        <w:trPr>
          <w:trHeight w:val="240"/>
        </w:trPr>
        <w:tc>
          <w:tcPr>
            <w:tcW w:w="566" w:type="dxa"/>
            <w:shd w:val="clear" w:color="auto" w:fill="auto"/>
          </w:tcPr>
          <w:p w14:paraId="576D85C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3402" w:type="dxa"/>
            <w:shd w:val="clear" w:color="auto" w:fill="auto"/>
            <w:vAlign w:val="bottom"/>
          </w:tcPr>
          <w:p w14:paraId="1FB169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c>
          <w:tcPr>
            <w:tcW w:w="3402" w:type="dxa"/>
            <w:shd w:val="clear" w:color="auto" w:fill="auto"/>
            <w:vAlign w:val="bottom"/>
          </w:tcPr>
          <w:p w14:paraId="742FD18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w:t>
            </w:r>
          </w:p>
        </w:tc>
      </w:tr>
      <w:tr w:rsidR="00680417" w:rsidRPr="00DA21FF" w14:paraId="505180CC" w14:textId="77777777" w:rsidTr="00680417">
        <w:trPr>
          <w:trHeight w:val="240"/>
        </w:trPr>
        <w:tc>
          <w:tcPr>
            <w:tcW w:w="566" w:type="dxa"/>
            <w:shd w:val="clear" w:color="auto" w:fill="auto"/>
          </w:tcPr>
          <w:p w14:paraId="62C72E4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3402" w:type="dxa"/>
            <w:shd w:val="clear" w:color="auto" w:fill="auto"/>
            <w:vAlign w:val="bottom"/>
          </w:tcPr>
          <w:p w14:paraId="0E47DF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w:t>
            </w:r>
          </w:p>
        </w:tc>
        <w:tc>
          <w:tcPr>
            <w:tcW w:w="3402" w:type="dxa"/>
            <w:shd w:val="clear" w:color="auto" w:fill="auto"/>
            <w:vAlign w:val="bottom"/>
          </w:tcPr>
          <w:p w14:paraId="764857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r>
      <w:tr w:rsidR="00680417" w:rsidRPr="00DA21FF" w14:paraId="61077506" w14:textId="77777777" w:rsidTr="00680417">
        <w:trPr>
          <w:trHeight w:val="240"/>
        </w:trPr>
        <w:tc>
          <w:tcPr>
            <w:tcW w:w="566" w:type="dxa"/>
            <w:shd w:val="clear" w:color="auto" w:fill="auto"/>
          </w:tcPr>
          <w:p w14:paraId="61C6EE0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3402" w:type="dxa"/>
            <w:shd w:val="clear" w:color="auto" w:fill="auto"/>
            <w:vAlign w:val="bottom"/>
          </w:tcPr>
          <w:p w14:paraId="27A7175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w:t>
            </w:r>
          </w:p>
        </w:tc>
        <w:tc>
          <w:tcPr>
            <w:tcW w:w="3402" w:type="dxa"/>
            <w:shd w:val="clear" w:color="auto" w:fill="auto"/>
            <w:vAlign w:val="bottom"/>
          </w:tcPr>
          <w:p w14:paraId="5036CA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r>
      <w:tr w:rsidR="00680417" w:rsidRPr="00DA21FF" w14:paraId="5C4E2F00" w14:textId="77777777" w:rsidTr="00680417">
        <w:trPr>
          <w:trHeight w:val="240"/>
        </w:trPr>
        <w:tc>
          <w:tcPr>
            <w:tcW w:w="566" w:type="dxa"/>
            <w:tcBorders>
              <w:bottom w:val="single" w:sz="12" w:space="0" w:color="auto"/>
            </w:tcBorders>
            <w:shd w:val="clear" w:color="auto" w:fill="auto"/>
          </w:tcPr>
          <w:p w14:paraId="7621436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3402" w:type="dxa"/>
            <w:tcBorders>
              <w:bottom w:val="single" w:sz="12" w:space="0" w:color="auto"/>
            </w:tcBorders>
            <w:shd w:val="clear" w:color="auto" w:fill="auto"/>
            <w:vAlign w:val="bottom"/>
          </w:tcPr>
          <w:p w14:paraId="75242A5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w:t>
            </w:r>
          </w:p>
        </w:tc>
        <w:tc>
          <w:tcPr>
            <w:tcW w:w="3402" w:type="dxa"/>
            <w:tcBorders>
              <w:bottom w:val="single" w:sz="12" w:space="0" w:color="auto"/>
            </w:tcBorders>
            <w:shd w:val="clear" w:color="auto" w:fill="auto"/>
            <w:vAlign w:val="bottom"/>
          </w:tcPr>
          <w:p w14:paraId="077987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6,2</w:t>
            </w:r>
          </w:p>
        </w:tc>
      </w:tr>
    </w:tbl>
    <w:p w14:paraId="3E6E063D" w14:textId="77777777" w:rsidR="00DA21FF" w:rsidRPr="00DA21FF" w:rsidRDefault="00DA21FF" w:rsidP="00AC14E4">
      <w:pPr>
        <w:pStyle w:val="SingleTxtG"/>
        <w:spacing w:before="120" w:after="240"/>
        <w:ind w:firstLine="170"/>
        <w:jc w:val="left"/>
        <w:rPr>
          <w:sz w:val="18"/>
          <w:szCs w:val="18"/>
          <w:lang w:val="en-GB"/>
        </w:rPr>
      </w:pPr>
      <w:r w:rsidRPr="00DA21FF">
        <w:rPr>
          <w:i/>
          <w:sz w:val="18"/>
          <w:szCs w:val="18"/>
        </w:rPr>
        <w:t>Fuente:</w:t>
      </w:r>
      <w:r w:rsidRPr="00DA21FF">
        <w:rPr>
          <w:sz w:val="18"/>
          <w:szCs w:val="18"/>
        </w:rPr>
        <w:t xml:space="preserve"> Instituto Nacional de Estadística de Noruega.</w:t>
      </w:r>
    </w:p>
    <w:p w14:paraId="1DF239F0" w14:textId="5C4E3969" w:rsidR="00DA21FF" w:rsidRPr="00DA21FF" w:rsidRDefault="00AC14E4" w:rsidP="00AC14E4">
      <w:pPr>
        <w:pStyle w:val="H23G"/>
        <w:rPr>
          <w:lang w:val="en-GB"/>
        </w:rPr>
      </w:pPr>
      <w:r>
        <w:tab/>
      </w:r>
      <w:r w:rsidR="00DA21FF" w:rsidRPr="00DA21FF">
        <w:t>c)</w:t>
      </w:r>
      <w:r w:rsidR="00DA21FF" w:rsidRPr="00DA21FF">
        <w:tab/>
        <w:t>Gastos sociales</w:t>
      </w:r>
      <w:bookmarkStart w:id="20" w:name="_Hlk166252848"/>
    </w:p>
    <w:p w14:paraId="70A5759D" w14:textId="77777777" w:rsidR="00DA21FF" w:rsidRPr="00DA21FF" w:rsidRDefault="00DA21FF" w:rsidP="00DA21FF">
      <w:pPr>
        <w:pStyle w:val="SingleTxtG"/>
        <w:rPr>
          <w:lang w:val="en-GB"/>
        </w:rPr>
      </w:pPr>
      <w:r w:rsidRPr="00DA21FF">
        <w:t>25.</w:t>
      </w:r>
      <w:r w:rsidRPr="00DA21FF">
        <w:tab/>
        <w:t xml:space="preserve">El cuadro siguiente muestra el </w:t>
      </w:r>
      <w:r w:rsidRPr="00373B5F">
        <w:rPr>
          <w:u w:val="single"/>
        </w:rPr>
        <w:t>gasto social</w:t>
      </w:r>
      <w:r w:rsidRPr="00DA21FF">
        <w:t xml:space="preserve"> en millones de coronas noruegas y en porcentaje del gasto público total.</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660"/>
        <w:gridCol w:w="848"/>
        <w:gridCol w:w="545"/>
        <w:gridCol w:w="878"/>
        <w:gridCol w:w="516"/>
        <w:gridCol w:w="905"/>
        <w:gridCol w:w="489"/>
        <w:gridCol w:w="934"/>
        <w:gridCol w:w="460"/>
        <w:gridCol w:w="833"/>
        <w:gridCol w:w="570"/>
      </w:tblGrid>
      <w:tr w:rsidR="00680417" w:rsidRPr="00680417" w14:paraId="605DA9BA" w14:textId="77777777" w:rsidTr="00AC14E4">
        <w:trPr>
          <w:trHeight w:val="240"/>
          <w:tblHeader/>
        </w:trPr>
        <w:tc>
          <w:tcPr>
            <w:tcW w:w="1381" w:type="pct"/>
            <w:tcBorders>
              <w:top w:val="single" w:sz="4" w:space="0" w:color="auto"/>
              <w:bottom w:val="single" w:sz="12" w:space="0" w:color="auto"/>
            </w:tcBorders>
            <w:shd w:val="clear" w:color="auto" w:fill="auto"/>
            <w:noWrap/>
            <w:vAlign w:val="bottom"/>
            <w:hideMark/>
          </w:tcPr>
          <w:p w14:paraId="169E088A" w14:textId="77777777" w:rsidR="00DA21FF" w:rsidRPr="00DA21FF" w:rsidRDefault="00DA21FF" w:rsidP="00AC14E4">
            <w:pPr>
              <w:pStyle w:val="SingleTxtG"/>
              <w:keepNext/>
              <w:tabs>
                <w:tab w:val="clear" w:pos="1701"/>
                <w:tab w:val="clear" w:pos="2268"/>
                <w:tab w:val="clear" w:pos="2835"/>
              </w:tabs>
              <w:spacing w:before="80" w:after="80" w:line="200" w:lineRule="exact"/>
              <w:ind w:left="0" w:right="0"/>
              <w:jc w:val="left"/>
              <w:rPr>
                <w:i/>
                <w:sz w:val="16"/>
                <w:lang w:val="en-GB"/>
              </w:rPr>
            </w:pPr>
            <w:r w:rsidRPr="00DA21FF">
              <w:rPr>
                <w:i/>
                <w:sz w:val="16"/>
                <w:lang w:val="en-GB"/>
              </w:rPr>
              <w:lastRenderedPageBreak/>
              <w:t xml:space="preserve"> </w:t>
            </w:r>
          </w:p>
        </w:tc>
        <w:tc>
          <w:tcPr>
            <w:tcW w:w="724" w:type="pct"/>
            <w:gridSpan w:val="2"/>
            <w:tcBorders>
              <w:top w:val="single" w:sz="4" w:space="0" w:color="auto"/>
              <w:bottom w:val="single" w:sz="12" w:space="0" w:color="auto"/>
            </w:tcBorders>
            <w:shd w:val="clear" w:color="auto" w:fill="auto"/>
            <w:noWrap/>
            <w:vAlign w:val="bottom"/>
            <w:hideMark/>
          </w:tcPr>
          <w:p w14:paraId="47BA5D64" w14:textId="77777777" w:rsidR="00DA21FF" w:rsidRPr="00DA21FF" w:rsidRDefault="00DA21FF" w:rsidP="00AC14E4">
            <w:pPr>
              <w:pStyle w:val="SingleTxtG"/>
              <w:keepNext/>
              <w:tabs>
                <w:tab w:val="clear" w:pos="1701"/>
                <w:tab w:val="clear" w:pos="2268"/>
                <w:tab w:val="clear" w:pos="2835"/>
              </w:tabs>
              <w:spacing w:before="80" w:after="80" w:line="200" w:lineRule="exact"/>
              <w:ind w:left="113" w:right="0"/>
              <w:jc w:val="right"/>
              <w:rPr>
                <w:i/>
                <w:sz w:val="16"/>
                <w:lang w:val="en-GB"/>
              </w:rPr>
            </w:pPr>
            <w:r w:rsidRPr="00DA21FF">
              <w:rPr>
                <w:i/>
                <w:iCs/>
                <w:sz w:val="16"/>
              </w:rPr>
              <w:t>2018</w:t>
            </w:r>
          </w:p>
        </w:tc>
        <w:tc>
          <w:tcPr>
            <w:tcW w:w="724" w:type="pct"/>
            <w:gridSpan w:val="2"/>
            <w:tcBorders>
              <w:top w:val="single" w:sz="4" w:space="0" w:color="auto"/>
              <w:bottom w:val="single" w:sz="12" w:space="0" w:color="auto"/>
            </w:tcBorders>
            <w:shd w:val="clear" w:color="auto" w:fill="auto"/>
            <w:noWrap/>
            <w:vAlign w:val="bottom"/>
            <w:hideMark/>
          </w:tcPr>
          <w:p w14:paraId="539D9533" w14:textId="77777777" w:rsidR="00DA21FF" w:rsidRPr="00DA21FF" w:rsidRDefault="00DA21FF" w:rsidP="00AC14E4">
            <w:pPr>
              <w:pStyle w:val="SingleTxtG"/>
              <w:keepNext/>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724" w:type="pct"/>
            <w:gridSpan w:val="2"/>
            <w:tcBorders>
              <w:top w:val="single" w:sz="4" w:space="0" w:color="auto"/>
              <w:bottom w:val="single" w:sz="12" w:space="0" w:color="auto"/>
            </w:tcBorders>
            <w:shd w:val="clear" w:color="auto" w:fill="auto"/>
            <w:noWrap/>
            <w:vAlign w:val="bottom"/>
            <w:hideMark/>
          </w:tcPr>
          <w:p w14:paraId="5F71B77E" w14:textId="77777777" w:rsidR="00DA21FF" w:rsidRPr="00DA21FF" w:rsidRDefault="00DA21FF" w:rsidP="00AC14E4">
            <w:pPr>
              <w:pStyle w:val="SingleTxtG"/>
              <w:keepNext/>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724" w:type="pct"/>
            <w:gridSpan w:val="2"/>
            <w:tcBorders>
              <w:top w:val="single" w:sz="4" w:space="0" w:color="auto"/>
              <w:bottom w:val="single" w:sz="12" w:space="0" w:color="auto"/>
            </w:tcBorders>
            <w:shd w:val="clear" w:color="auto" w:fill="auto"/>
            <w:noWrap/>
            <w:vAlign w:val="bottom"/>
            <w:hideMark/>
          </w:tcPr>
          <w:p w14:paraId="2899412E" w14:textId="77777777" w:rsidR="00DA21FF" w:rsidRPr="00DA21FF" w:rsidRDefault="00DA21FF" w:rsidP="00AC14E4">
            <w:pPr>
              <w:pStyle w:val="SingleTxtG"/>
              <w:keepNext/>
              <w:tabs>
                <w:tab w:val="clear" w:pos="1701"/>
                <w:tab w:val="clear" w:pos="2268"/>
                <w:tab w:val="clear" w:pos="2835"/>
              </w:tabs>
              <w:spacing w:before="80" w:after="80" w:line="200" w:lineRule="exact"/>
              <w:ind w:left="113" w:right="0"/>
              <w:jc w:val="right"/>
              <w:rPr>
                <w:i/>
                <w:sz w:val="16"/>
                <w:lang w:val="en-GB"/>
              </w:rPr>
            </w:pPr>
            <w:r w:rsidRPr="00DA21FF">
              <w:rPr>
                <w:i/>
                <w:iCs/>
                <w:sz w:val="16"/>
              </w:rPr>
              <w:t>2021</w:t>
            </w:r>
          </w:p>
        </w:tc>
        <w:tc>
          <w:tcPr>
            <w:tcW w:w="724" w:type="pct"/>
            <w:gridSpan w:val="2"/>
            <w:tcBorders>
              <w:top w:val="single" w:sz="4" w:space="0" w:color="auto"/>
              <w:bottom w:val="single" w:sz="12" w:space="0" w:color="auto"/>
            </w:tcBorders>
            <w:shd w:val="clear" w:color="auto" w:fill="auto"/>
            <w:noWrap/>
            <w:vAlign w:val="bottom"/>
            <w:hideMark/>
          </w:tcPr>
          <w:p w14:paraId="1A66447A" w14:textId="77777777" w:rsidR="00DA21FF" w:rsidRPr="00DA21FF" w:rsidRDefault="00DA21FF" w:rsidP="00AC14E4">
            <w:pPr>
              <w:pStyle w:val="SingleTxtG"/>
              <w:keepNext/>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r>
      <w:tr w:rsidR="00680417" w:rsidRPr="00DA21FF" w14:paraId="7DE55662" w14:textId="77777777" w:rsidTr="00AC14E4">
        <w:trPr>
          <w:trHeight w:val="240"/>
        </w:trPr>
        <w:tc>
          <w:tcPr>
            <w:tcW w:w="1381" w:type="pct"/>
            <w:tcBorders>
              <w:top w:val="single" w:sz="12" w:space="0" w:color="auto"/>
            </w:tcBorders>
            <w:shd w:val="clear" w:color="auto" w:fill="auto"/>
            <w:noWrap/>
            <w:hideMark/>
          </w:tcPr>
          <w:p w14:paraId="04452143"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Vivienda y servicios comunitarios</w:t>
            </w:r>
          </w:p>
        </w:tc>
        <w:tc>
          <w:tcPr>
            <w:tcW w:w="441" w:type="pct"/>
            <w:tcBorders>
              <w:top w:val="single" w:sz="12" w:space="0" w:color="auto"/>
            </w:tcBorders>
            <w:shd w:val="clear" w:color="auto" w:fill="auto"/>
            <w:noWrap/>
            <w:vAlign w:val="bottom"/>
            <w:hideMark/>
          </w:tcPr>
          <w:p w14:paraId="6B19AEE6" w14:textId="7F2F129B"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27</w:t>
            </w:r>
            <w:r w:rsidR="00AC14E4">
              <w:rPr>
                <w:sz w:val="18"/>
              </w:rPr>
              <w:t xml:space="preserve"> </w:t>
            </w:r>
            <w:r w:rsidRPr="00DA21FF">
              <w:rPr>
                <w:sz w:val="18"/>
              </w:rPr>
              <w:t>524</w:t>
            </w:r>
          </w:p>
        </w:tc>
        <w:tc>
          <w:tcPr>
            <w:tcW w:w="283" w:type="pct"/>
            <w:tcBorders>
              <w:top w:val="single" w:sz="12" w:space="0" w:color="auto"/>
            </w:tcBorders>
            <w:shd w:val="clear" w:color="auto" w:fill="auto"/>
            <w:noWrap/>
            <w:vAlign w:val="bottom"/>
            <w:hideMark/>
          </w:tcPr>
          <w:p w14:paraId="5357AA29"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w:t>
            </w:r>
          </w:p>
        </w:tc>
        <w:tc>
          <w:tcPr>
            <w:tcW w:w="456" w:type="pct"/>
            <w:tcBorders>
              <w:top w:val="single" w:sz="12" w:space="0" w:color="auto"/>
            </w:tcBorders>
            <w:shd w:val="clear" w:color="auto" w:fill="auto"/>
            <w:noWrap/>
            <w:vAlign w:val="bottom"/>
            <w:hideMark/>
          </w:tcPr>
          <w:p w14:paraId="6527C36E" w14:textId="6404B1D0"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28</w:t>
            </w:r>
            <w:r w:rsidR="00AC14E4">
              <w:rPr>
                <w:sz w:val="18"/>
              </w:rPr>
              <w:t xml:space="preserve"> </w:t>
            </w:r>
            <w:r w:rsidRPr="00DA21FF">
              <w:rPr>
                <w:sz w:val="18"/>
              </w:rPr>
              <w:t>998</w:t>
            </w:r>
          </w:p>
        </w:tc>
        <w:tc>
          <w:tcPr>
            <w:tcW w:w="268" w:type="pct"/>
            <w:tcBorders>
              <w:top w:val="single" w:sz="12" w:space="0" w:color="auto"/>
            </w:tcBorders>
            <w:shd w:val="clear" w:color="auto" w:fill="auto"/>
            <w:noWrap/>
            <w:vAlign w:val="bottom"/>
            <w:hideMark/>
          </w:tcPr>
          <w:p w14:paraId="41813950"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w:t>
            </w:r>
          </w:p>
        </w:tc>
        <w:tc>
          <w:tcPr>
            <w:tcW w:w="470" w:type="pct"/>
            <w:tcBorders>
              <w:top w:val="single" w:sz="12" w:space="0" w:color="auto"/>
            </w:tcBorders>
            <w:shd w:val="clear" w:color="auto" w:fill="auto"/>
            <w:noWrap/>
            <w:vAlign w:val="bottom"/>
            <w:hideMark/>
          </w:tcPr>
          <w:p w14:paraId="1580908D" w14:textId="12928FCE"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30</w:t>
            </w:r>
            <w:r w:rsidR="00AC14E4">
              <w:rPr>
                <w:sz w:val="18"/>
              </w:rPr>
              <w:t xml:space="preserve"> </w:t>
            </w:r>
            <w:r w:rsidRPr="00DA21FF">
              <w:rPr>
                <w:sz w:val="18"/>
              </w:rPr>
              <w:t>736</w:t>
            </w:r>
          </w:p>
        </w:tc>
        <w:tc>
          <w:tcPr>
            <w:tcW w:w="253" w:type="pct"/>
            <w:tcBorders>
              <w:top w:val="single" w:sz="12" w:space="0" w:color="auto"/>
            </w:tcBorders>
            <w:shd w:val="clear" w:color="auto" w:fill="auto"/>
            <w:noWrap/>
            <w:vAlign w:val="bottom"/>
            <w:hideMark/>
          </w:tcPr>
          <w:p w14:paraId="00362693"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w:t>
            </w:r>
          </w:p>
        </w:tc>
        <w:tc>
          <w:tcPr>
            <w:tcW w:w="485" w:type="pct"/>
            <w:tcBorders>
              <w:top w:val="single" w:sz="12" w:space="0" w:color="auto"/>
            </w:tcBorders>
            <w:shd w:val="clear" w:color="auto" w:fill="auto"/>
            <w:noWrap/>
            <w:vAlign w:val="bottom"/>
            <w:hideMark/>
          </w:tcPr>
          <w:p w14:paraId="38729578" w14:textId="6D186A65"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35</w:t>
            </w:r>
            <w:r w:rsidR="00AC14E4">
              <w:rPr>
                <w:sz w:val="18"/>
              </w:rPr>
              <w:t xml:space="preserve"> </w:t>
            </w:r>
            <w:r w:rsidRPr="00DA21FF">
              <w:rPr>
                <w:sz w:val="18"/>
              </w:rPr>
              <w:t>140</w:t>
            </w:r>
          </w:p>
        </w:tc>
        <w:tc>
          <w:tcPr>
            <w:tcW w:w="239" w:type="pct"/>
            <w:tcBorders>
              <w:top w:val="single" w:sz="12" w:space="0" w:color="auto"/>
            </w:tcBorders>
            <w:shd w:val="clear" w:color="auto" w:fill="auto"/>
            <w:noWrap/>
            <w:vAlign w:val="bottom"/>
            <w:hideMark/>
          </w:tcPr>
          <w:p w14:paraId="1EDCDBB0"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1,5</w:t>
            </w:r>
          </w:p>
        </w:tc>
        <w:tc>
          <w:tcPr>
            <w:tcW w:w="427" w:type="pct"/>
            <w:tcBorders>
              <w:top w:val="single" w:sz="12" w:space="0" w:color="auto"/>
            </w:tcBorders>
            <w:shd w:val="clear" w:color="auto" w:fill="auto"/>
            <w:noWrap/>
            <w:vAlign w:val="bottom"/>
          </w:tcPr>
          <w:p w14:paraId="19E4AE8E" w14:textId="61A507C4"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35</w:t>
            </w:r>
            <w:r w:rsidR="00AC14E4">
              <w:rPr>
                <w:sz w:val="18"/>
              </w:rPr>
              <w:t xml:space="preserve"> </w:t>
            </w:r>
            <w:r w:rsidRPr="00DA21FF">
              <w:rPr>
                <w:sz w:val="18"/>
              </w:rPr>
              <w:t>140</w:t>
            </w:r>
          </w:p>
        </w:tc>
        <w:tc>
          <w:tcPr>
            <w:tcW w:w="297" w:type="pct"/>
            <w:tcBorders>
              <w:top w:val="single" w:sz="12" w:space="0" w:color="auto"/>
            </w:tcBorders>
            <w:shd w:val="clear" w:color="auto" w:fill="auto"/>
            <w:noWrap/>
            <w:vAlign w:val="bottom"/>
          </w:tcPr>
          <w:p w14:paraId="7509393A"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w:t>
            </w:r>
          </w:p>
        </w:tc>
      </w:tr>
      <w:tr w:rsidR="00680417" w:rsidRPr="00DA21FF" w14:paraId="148F0306" w14:textId="77777777" w:rsidTr="00AC14E4">
        <w:trPr>
          <w:trHeight w:val="240"/>
        </w:trPr>
        <w:tc>
          <w:tcPr>
            <w:tcW w:w="1381" w:type="pct"/>
            <w:shd w:val="clear" w:color="auto" w:fill="auto"/>
            <w:noWrap/>
            <w:hideMark/>
          </w:tcPr>
          <w:p w14:paraId="622FF897"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Salud</w:t>
            </w:r>
          </w:p>
        </w:tc>
        <w:tc>
          <w:tcPr>
            <w:tcW w:w="441" w:type="pct"/>
            <w:shd w:val="clear" w:color="auto" w:fill="auto"/>
            <w:noWrap/>
            <w:vAlign w:val="bottom"/>
            <w:hideMark/>
          </w:tcPr>
          <w:p w14:paraId="6560B6F5" w14:textId="7C7B1368"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283</w:t>
            </w:r>
            <w:r w:rsidR="00AC14E4">
              <w:rPr>
                <w:sz w:val="18"/>
              </w:rPr>
              <w:t xml:space="preserve"> </w:t>
            </w:r>
            <w:r w:rsidRPr="00DA21FF">
              <w:rPr>
                <w:sz w:val="18"/>
              </w:rPr>
              <w:t>782</w:t>
            </w:r>
          </w:p>
        </w:tc>
        <w:tc>
          <w:tcPr>
            <w:tcW w:w="283" w:type="pct"/>
            <w:shd w:val="clear" w:color="auto" w:fill="auto"/>
            <w:noWrap/>
            <w:vAlign w:val="bottom"/>
            <w:hideMark/>
          </w:tcPr>
          <w:p w14:paraId="4A57C9BE"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16,6</w:t>
            </w:r>
          </w:p>
        </w:tc>
        <w:tc>
          <w:tcPr>
            <w:tcW w:w="456" w:type="pct"/>
            <w:shd w:val="clear" w:color="auto" w:fill="auto"/>
            <w:noWrap/>
            <w:vAlign w:val="bottom"/>
            <w:hideMark/>
          </w:tcPr>
          <w:p w14:paraId="24E357B7" w14:textId="7AD9F004"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302</w:t>
            </w:r>
            <w:r w:rsidR="00AC14E4">
              <w:rPr>
                <w:sz w:val="18"/>
              </w:rPr>
              <w:t xml:space="preserve"> </w:t>
            </w:r>
            <w:r w:rsidRPr="00DA21FF">
              <w:rPr>
                <w:sz w:val="18"/>
              </w:rPr>
              <w:t>698</w:t>
            </w:r>
          </w:p>
        </w:tc>
        <w:tc>
          <w:tcPr>
            <w:tcW w:w="268" w:type="pct"/>
            <w:shd w:val="clear" w:color="auto" w:fill="auto"/>
            <w:noWrap/>
            <w:vAlign w:val="bottom"/>
            <w:hideMark/>
          </w:tcPr>
          <w:p w14:paraId="40A8CB37"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16,8</w:t>
            </w:r>
          </w:p>
        </w:tc>
        <w:tc>
          <w:tcPr>
            <w:tcW w:w="470" w:type="pct"/>
            <w:shd w:val="clear" w:color="auto" w:fill="auto"/>
            <w:noWrap/>
            <w:vAlign w:val="bottom"/>
            <w:hideMark/>
          </w:tcPr>
          <w:p w14:paraId="2688DE9D" w14:textId="5D6237A3"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320</w:t>
            </w:r>
            <w:r w:rsidR="00AC14E4">
              <w:rPr>
                <w:sz w:val="18"/>
              </w:rPr>
              <w:t xml:space="preserve"> </w:t>
            </w:r>
            <w:r w:rsidRPr="00DA21FF">
              <w:rPr>
                <w:sz w:val="18"/>
              </w:rPr>
              <w:t>964</w:t>
            </w:r>
          </w:p>
        </w:tc>
        <w:tc>
          <w:tcPr>
            <w:tcW w:w="253" w:type="pct"/>
            <w:shd w:val="clear" w:color="auto" w:fill="auto"/>
            <w:noWrap/>
            <w:vAlign w:val="bottom"/>
            <w:hideMark/>
          </w:tcPr>
          <w:p w14:paraId="6BD0FA82"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16,4</w:t>
            </w:r>
          </w:p>
        </w:tc>
        <w:tc>
          <w:tcPr>
            <w:tcW w:w="485" w:type="pct"/>
            <w:shd w:val="clear" w:color="auto" w:fill="auto"/>
            <w:noWrap/>
            <w:vAlign w:val="bottom"/>
            <w:hideMark/>
          </w:tcPr>
          <w:p w14:paraId="4B274663" w14:textId="626250A3"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373</w:t>
            </w:r>
            <w:r w:rsidR="00AC14E4">
              <w:rPr>
                <w:sz w:val="18"/>
              </w:rPr>
              <w:t xml:space="preserve"> </w:t>
            </w:r>
            <w:r w:rsidRPr="00DA21FF">
              <w:rPr>
                <w:sz w:val="18"/>
              </w:rPr>
              <w:t>230</w:t>
            </w:r>
          </w:p>
        </w:tc>
        <w:tc>
          <w:tcPr>
            <w:tcW w:w="239" w:type="pct"/>
            <w:shd w:val="clear" w:color="auto" w:fill="auto"/>
            <w:noWrap/>
            <w:vAlign w:val="bottom"/>
            <w:hideMark/>
          </w:tcPr>
          <w:p w14:paraId="3CC412DD"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17,6</w:t>
            </w:r>
          </w:p>
        </w:tc>
        <w:tc>
          <w:tcPr>
            <w:tcW w:w="427" w:type="pct"/>
            <w:shd w:val="clear" w:color="auto" w:fill="auto"/>
            <w:noWrap/>
            <w:vAlign w:val="bottom"/>
          </w:tcPr>
          <w:p w14:paraId="49148C64" w14:textId="0866B798"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373</w:t>
            </w:r>
            <w:r w:rsidR="00AC14E4">
              <w:rPr>
                <w:sz w:val="18"/>
              </w:rPr>
              <w:t xml:space="preserve"> </w:t>
            </w:r>
            <w:r w:rsidRPr="00DA21FF">
              <w:rPr>
                <w:sz w:val="18"/>
              </w:rPr>
              <w:t>230</w:t>
            </w:r>
          </w:p>
        </w:tc>
        <w:tc>
          <w:tcPr>
            <w:tcW w:w="297" w:type="pct"/>
            <w:shd w:val="clear" w:color="auto" w:fill="auto"/>
            <w:noWrap/>
            <w:vAlign w:val="bottom"/>
          </w:tcPr>
          <w:p w14:paraId="345AA595"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17,3</w:t>
            </w:r>
          </w:p>
        </w:tc>
      </w:tr>
      <w:tr w:rsidR="00680417" w:rsidRPr="00DA21FF" w14:paraId="53BE4B7F" w14:textId="77777777" w:rsidTr="00AC14E4">
        <w:trPr>
          <w:trHeight w:val="240"/>
        </w:trPr>
        <w:tc>
          <w:tcPr>
            <w:tcW w:w="1381" w:type="pct"/>
            <w:shd w:val="clear" w:color="auto" w:fill="auto"/>
            <w:noWrap/>
            <w:hideMark/>
          </w:tcPr>
          <w:p w14:paraId="4D73B201"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Educación</w:t>
            </w:r>
          </w:p>
        </w:tc>
        <w:tc>
          <w:tcPr>
            <w:tcW w:w="441" w:type="pct"/>
            <w:shd w:val="clear" w:color="auto" w:fill="auto"/>
            <w:noWrap/>
            <w:vAlign w:val="bottom"/>
            <w:hideMark/>
          </w:tcPr>
          <w:p w14:paraId="6A80AC5F" w14:textId="2FD69722"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190</w:t>
            </w:r>
            <w:r w:rsidR="00AC14E4">
              <w:rPr>
                <w:sz w:val="18"/>
              </w:rPr>
              <w:t xml:space="preserve"> </w:t>
            </w:r>
            <w:r w:rsidRPr="00DA21FF">
              <w:rPr>
                <w:sz w:val="18"/>
              </w:rPr>
              <w:t>884</w:t>
            </w:r>
          </w:p>
        </w:tc>
        <w:tc>
          <w:tcPr>
            <w:tcW w:w="283" w:type="pct"/>
            <w:shd w:val="clear" w:color="auto" w:fill="auto"/>
            <w:noWrap/>
            <w:vAlign w:val="bottom"/>
            <w:hideMark/>
          </w:tcPr>
          <w:p w14:paraId="6561BACF"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11,2</w:t>
            </w:r>
          </w:p>
        </w:tc>
        <w:tc>
          <w:tcPr>
            <w:tcW w:w="456" w:type="pct"/>
            <w:shd w:val="clear" w:color="auto" w:fill="auto"/>
            <w:noWrap/>
            <w:vAlign w:val="bottom"/>
            <w:hideMark/>
          </w:tcPr>
          <w:p w14:paraId="71489287" w14:textId="3F1272C5"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198</w:t>
            </w:r>
            <w:r w:rsidR="00AC14E4">
              <w:rPr>
                <w:sz w:val="18"/>
              </w:rPr>
              <w:t xml:space="preserve"> </w:t>
            </w:r>
            <w:r w:rsidRPr="00DA21FF">
              <w:rPr>
                <w:sz w:val="18"/>
              </w:rPr>
              <w:t>824</w:t>
            </w:r>
          </w:p>
        </w:tc>
        <w:tc>
          <w:tcPr>
            <w:tcW w:w="268" w:type="pct"/>
            <w:shd w:val="clear" w:color="auto" w:fill="auto"/>
            <w:noWrap/>
            <w:vAlign w:val="bottom"/>
            <w:hideMark/>
          </w:tcPr>
          <w:p w14:paraId="082A4480"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11,0</w:t>
            </w:r>
          </w:p>
        </w:tc>
        <w:tc>
          <w:tcPr>
            <w:tcW w:w="470" w:type="pct"/>
            <w:shd w:val="clear" w:color="auto" w:fill="auto"/>
            <w:noWrap/>
            <w:vAlign w:val="bottom"/>
            <w:hideMark/>
          </w:tcPr>
          <w:p w14:paraId="589294ED" w14:textId="72830C01"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200</w:t>
            </w:r>
            <w:r w:rsidR="00AC14E4">
              <w:rPr>
                <w:sz w:val="18"/>
              </w:rPr>
              <w:t xml:space="preserve"> </w:t>
            </w:r>
            <w:r w:rsidRPr="00DA21FF">
              <w:rPr>
                <w:sz w:val="18"/>
              </w:rPr>
              <w:t>891</w:t>
            </w:r>
          </w:p>
        </w:tc>
        <w:tc>
          <w:tcPr>
            <w:tcW w:w="253" w:type="pct"/>
            <w:shd w:val="clear" w:color="auto" w:fill="auto"/>
            <w:noWrap/>
            <w:vAlign w:val="bottom"/>
            <w:hideMark/>
          </w:tcPr>
          <w:p w14:paraId="0A682B4E"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10,2</w:t>
            </w:r>
          </w:p>
        </w:tc>
        <w:tc>
          <w:tcPr>
            <w:tcW w:w="485" w:type="pct"/>
            <w:shd w:val="clear" w:color="auto" w:fill="auto"/>
            <w:noWrap/>
            <w:vAlign w:val="bottom"/>
            <w:hideMark/>
          </w:tcPr>
          <w:p w14:paraId="595215B1" w14:textId="0072F93C"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220</w:t>
            </w:r>
            <w:r w:rsidR="00AC14E4">
              <w:rPr>
                <w:sz w:val="18"/>
              </w:rPr>
              <w:t xml:space="preserve"> </w:t>
            </w:r>
            <w:r w:rsidRPr="00DA21FF">
              <w:rPr>
                <w:sz w:val="18"/>
              </w:rPr>
              <w:t>622</w:t>
            </w:r>
          </w:p>
        </w:tc>
        <w:tc>
          <w:tcPr>
            <w:tcW w:w="239" w:type="pct"/>
            <w:shd w:val="clear" w:color="auto" w:fill="auto"/>
            <w:noWrap/>
            <w:vAlign w:val="bottom"/>
            <w:hideMark/>
          </w:tcPr>
          <w:p w14:paraId="3D1716A5"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10,4</w:t>
            </w:r>
          </w:p>
        </w:tc>
        <w:tc>
          <w:tcPr>
            <w:tcW w:w="427" w:type="pct"/>
            <w:shd w:val="clear" w:color="auto" w:fill="auto"/>
            <w:noWrap/>
            <w:vAlign w:val="bottom"/>
          </w:tcPr>
          <w:p w14:paraId="39CC8EA2" w14:textId="2E926F02"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220</w:t>
            </w:r>
            <w:r w:rsidR="00AC14E4">
              <w:rPr>
                <w:sz w:val="18"/>
              </w:rPr>
              <w:t xml:space="preserve"> </w:t>
            </w:r>
            <w:r w:rsidRPr="00DA21FF">
              <w:rPr>
                <w:sz w:val="18"/>
              </w:rPr>
              <w:t>622</w:t>
            </w:r>
          </w:p>
        </w:tc>
        <w:tc>
          <w:tcPr>
            <w:tcW w:w="297" w:type="pct"/>
            <w:shd w:val="clear" w:color="auto" w:fill="auto"/>
            <w:noWrap/>
            <w:vAlign w:val="bottom"/>
          </w:tcPr>
          <w:p w14:paraId="7788BCC2"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10,3</w:t>
            </w:r>
          </w:p>
        </w:tc>
      </w:tr>
      <w:tr w:rsidR="00680417" w:rsidRPr="00DA21FF" w14:paraId="0A3248BF" w14:textId="77777777" w:rsidTr="00AC14E4">
        <w:trPr>
          <w:trHeight w:val="240"/>
        </w:trPr>
        <w:tc>
          <w:tcPr>
            <w:tcW w:w="1381" w:type="pct"/>
            <w:shd w:val="clear" w:color="auto" w:fill="auto"/>
            <w:noWrap/>
            <w:hideMark/>
          </w:tcPr>
          <w:p w14:paraId="46632C11"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Protección social</w:t>
            </w:r>
          </w:p>
        </w:tc>
        <w:tc>
          <w:tcPr>
            <w:tcW w:w="441" w:type="pct"/>
            <w:shd w:val="clear" w:color="auto" w:fill="auto"/>
            <w:noWrap/>
            <w:vAlign w:val="bottom"/>
            <w:hideMark/>
          </w:tcPr>
          <w:p w14:paraId="659E555A" w14:textId="5E0C9D48"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675</w:t>
            </w:r>
            <w:r w:rsidR="00AC14E4">
              <w:rPr>
                <w:sz w:val="18"/>
              </w:rPr>
              <w:t xml:space="preserve"> </w:t>
            </w:r>
            <w:r w:rsidRPr="00DA21FF">
              <w:rPr>
                <w:sz w:val="18"/>
              </w:rPr>
              <w:t>051</w:t>
            </w:r>
          </w:p>
        </w:tc>
        <w:tc>
          <w:tcPr>
            <w:tcW w:w="283" w:type="pct"/>
            <w:shd w:val="clear" w:color="auto" w:fill="auto"/>
            <w:noWrap/>
            <w:vAlign w:val="bottom"/>
            <w:hideMark/>
          </w:tcPr>
          <w:p w14:paraId="063D3AFC"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39,6</w:t>
            </w:r>
          </w:p>
        </w:tc>
        <w:tc>
          <w:tcPr>
            <w:tcW w:w="456" w:type="pct"/>
            <w:shd w:val="clear" w:color="auto" w:fill="auto"/>
            <w:noWrap/>
            <w:vAlign w:val="bottom"/>
            <w:hideMark/>
          </w:tcPr>
          <w:p w14:paraId="760C8E7D" w14:textId="40E537A3"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702</w:t>
            </w:r>
            <w:r w:rsidR="00AC14E4">
              <w:rPr>
                <w:sz w:val="18"/>
              </w:rPr>
              <w:t xml:space="preserve"> </w:t>
            </w:r>
            <w:r w:rsidRPr="00DA21FF">
              <w:rPr>
                <w:sz w:val="18"/>
              </w:rPr>
              <w:t>077</w:t>
            </w:r>
          </w:p>
        </w:tc>
        <w:tc>
          <w:tcPr>
            <w:tcW w:w="268" w:type="pct"/>
            <w:shd w:val="clear" w:color="auto" w:fill="auto"/>
            <w:noWrap/>
            <w:vAlign w:val="bottom"/>
            <w:hideMark/>
          </w:tcPr>
          <w:p w14:paraId="5AC35369"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38,9</w:t>
            </w:r>
          </w:p>
        </w:tc>
        <w:tc>
          <w:tcPr>
            <w:tcW w:w="470" w:type="pct"/>
            <w:shd w:val="clear" w:color="auto" w:fill="auto"/>
            <w:noWrap/>
            <w:vAlign w:val="bottom"/>
            <w:hideMark/>
          </w:tcPr>
          <w:p w14:paraId="1263C2AE" w14:textId="339D8874"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758</w:t>
            </w:r>
            <w:r w:rsidR="00AC14E4">
              <w:rPr>
                <w:sz w:val="18"/>
              </w:rPr>
              <w:t xml:space="preserve"> </w:t>
            </w:r>
            <w:r w:rsidRPr="00DA21FF">
              <w:rPr>
                <w:sz w:val="18"/>
              </w:rPr>
              <w:t>349</w:t>
            </w:r>
          </w:p>
        </w:tc>
        <w:tc>
          <w:tcPr>
            <w:tcW w:w="253" w:type="pct"/>
            <w:shd w:val="clear" w:color="auto" w:fill="auto"/>
            <w:noWrap/>
            <w:vAlign w:val="bottom"/>
            <w:hideMark/>
          </w:tcPr>
          <w:p w14:paraId="18305765"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38,6</w:t>
            </w:r>
          </w:p>
        </w:tc>
        <w:tc>
          <w:tcPr>
            <w:tcW w:w="485" w:type="pct"/>
            <w:shd w:val="clear" w:color="auto" w:fill="auto"/>
            <w:noWrap/>
            <w:vAlign w:val="bottom"/>
            <w:hideMark/>
          </w:tcPr>
          <w:p w14:paraId="11956A6D" w14:textId="3BF0FDE9"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815</w:t>
            </w:r>
            <w:r w:rsidR="00AC14E4">
              <w:rPr>
                <w:sz w:val="18"/>
              </w:rPr>
              <w:t xml:space="preserve"> </w:t>
            </w:r>
            <w:r w:rsidRPr="00DA21FF">
              <w:rPr>
                <w:sz w:val="18"/>
              </w:rPr>
              <w:t>621</w:t>
            </w:r>
          </w:p>
        </w:tc>
        <w:tc>
          <w:tcPr>
            <w:tcW w:w="239" w:type="pct"/>
            <w:shd w:val="clear" w:color="auto" w:fill="auto"/>
            <w:noWrap/>
            <w:vAlign w:val="bottom"/>
            <w:hideMark/>
          </w:tcPr>
          <w:p w14:paraId="2C209BEF"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39,1</w:t>
            </w:r>
          </w:p>
        </w:tc>
        <w:tc>
          <w:tcPr>
            <w:tcW w:w="427" w:type="pct"/>
            <w:shd w:val="clear" w:color="auto" w:fill="auto"/>
            <w:noWrap/>
            <w:vAlign w:val="bottom"/>
          </w:tcPr>
          <w:p w14:paraId="7A0AEC79" w14:textId="506341CA"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815</w:t>
            </w:r>
            <w:r w:rsidR="00AC14E4">
              <w:rPr>
                <w:sz w:val="18"/>
              </w:rPr>
              <w:t xml:space="preserve"> </w:t>
            </w:r>
            <w:r w:rsidRPr="00DA21FF">
              <w:rPr>
                <w:sz w:val="18"/>
              </w:rPr>
              <w:t>621</w:t>
            </w:r>
          </w:p>
        </w:tc>
        <w:tc>
          <w:tcPr>
            <w:tcW w:w="297" w:type="pct"/>
            <w:shd w:val="clear" w:color="auto" w:fill="auto"/>
            <w:noWrap/>
            <w:vAlign w:val="bottom"/>
          </w:tcPr>
          <w:p w14:paraId="101ED732"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37,9</w:t>
            </w:r>
          </w:p>
        </w:tc>
      </w:tr>
      <w:tr w:rsidR="00680417" w:rsidRPr="00DA21FF" w14:paraId="714E82D0" w14:textId="77777777" w:rsidTr="00AC14E4">
        <w:trPr>
          <w:trHeight w:val="240"/>
        </w:trPr>
        <w:tc>
          <w:tcPr>
            <w:tcW w:w="1381" w:type="pct"/>
            <w:shd w:val="clear" w:color="auto" w:fill="auto"/>
            <w:noWrap/>
            <w:hideMark/>
          </w:tcPr>
          <w:p w14:paraId="461D87FA"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 xml:space="preserve">Gasto social total </w:t>
            </w:r>
          </w:p>
        </w:tc>
        <w:tc>
          <w:tcPr>
            <w:tcW w:w="441" w:type="pct"/>
            <w:shd w:val="clear" w:color="auto" w:fill="auto"/>
            <w:noWrap/>
            <w:vAlign w:val="bottom"/>
            <w:hideMark/>
          </w:tcPr>
          <w:p w14:paraId="75F64B52" w14:textId="37DC724D"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177</w:t>
            </w:r>
            <w:r w:rsidR="00AC14E4">
              <w:rPr>
                <w:sz w:val="18"/>
              </w:rPr>
              <w:t xml:space="preserve"> </w:t>
            </w:r>
            <w:r w:rsidRPr="00DA21FF">
              <w:rPr>
                <w:sz w:val="18"/>
              </w:rPr>
              <w:t>241</w:t>
            </w:r>
          </w:p>
        </w:tc>
        <w:tc>
          <w:tcPr>
            <w:tcW w:w="283" w:type="pct"/>
            <w:shd w:val="clear" w:color="auto" w:fill="auto"/>
            <w:noWrap/>
            <w:vAlign w:val="bottom"/>
            <w:hideMark/>
          </w:tcPr>
          <w:p w14:paraId="04B49043"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56" w:type="pct"/>
            <w:shd w:val="clear" w:color="auto" w:fill="auto"/>
            <w:noWrap/>
            <w:vAlign w:val="bottom"/>
            <w:hideMark/>
          </w:tcPr>
          <w:p w14:paraId="1E0F1D67" w14:textId="12498306"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232</w:t>
            </w:r>
            <w:r w:rsidR="00AC14E4">
              <w:rPr>
                <w:sz w:val="18"/>
              </w:rPr>
              <w:t xml:space="preserve"> </w:t>
            </w:r>
            <w:r w:rsidRPr="00DA21FF">
              <w:rPr>
                <w:sz w:val="18"/>
              </w:rPr>
              <w:t>597</w:t>
            </w:r>
          </w:p>
        </w:tc>
        <w:tc>
          <w:tcPr>
            <w:tcW w:w="268" w:type="pct"/>
            <w:shd w:val="clear" w:color="auto" w:fill="auto"/>
            <w:noWrap/>
            <w:vAlign w:val="bottom"/>
            <w:hideMark/>
          </w:tcPr>
          <w:p w14:paraId="44E7C1B3"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70" w:type="pct"/>
            <w:shd w:val="clear" w:color="auto" w:fill="auto"/>
            <w:noWrap/>
            <w:vAlign w:val="bottom"/>
            <w:hideMark/>
          </w:tcPr>
          <w:p w14:paraId="09FEBC3C" w14:textId="72F3E6D8"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310</w:t>
            </w:r>
            <w:r w:rsidR="00AC14E4">
              <w:rPr>
                <w:sz w:val="18"/>
              </w:rPr>
              <w:t xml:space="preserve"> </w:t>
            </w:r>
            <w:r w:rsidRPr="00DA21FF">
              <w:rPr>
                <w:sz w:val="18"/>
              </w:rPr>
              <w:t>940</w:t>
            </w:r>
          </w:p>
        </w:tc>
        <w:tc>
          <w:tcPr>
            <w:tcW w:w="253" w:type="pct"/>
            <w:shd w:val="clear" w:color="auto" w:fill="auto"/>
            <w:noWrap/>
            <w:vAlign w:val="bottom"/>
            <w:hideMark/>
          </w:tcPr>
          <w:p w14:paraId="0C87F2DC"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85" w:type="pct"/>
            <w:shd w:val="clear" w:color="auto" w:fill="auto"/>
            <w:noWrap/>
            <w:vAlign w:val="bottom"/>
            <w:hideMark/>
          </w:tcPr>
          <w:p w14:paraId="567CAA14" w14:textId="6D68DBDA"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444</w:t>
            </w:r>
            <w:r w:rsidR="00AC14E4">
              <w:rPr>
                <w:sz w:val="18"/>
              </w:rPr>
              <w:t xml:space="preserve"> </w:t>
            </w:r>
            <w:r w:rsidRPr="00DA21FF">
              <w:rPr>
                <w:sz w:val="18"/>
              </w:rPr>
              <w:t>613</w:t>
            </w:r>
          </w:p>
        </w:tc>
        <w:tc>
          <w:tcPr>
            <w:tcW w:w="239" w:type="pct"/>
            <w:shd w:val="clear" w:color="auto" w:fill="auto"/>
            <w:noWrap/>
            <w:vAlign w:val="bottom"/>
            <w:hideMark/>
          </w:tcPr>
          <w:p w14:paraId="07959809"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27" w:type="pct"/>
            <w:shd w:val="clear" w:color="auto" w:fill="auto"/>
            <w:noWrap/>
            <w:vAlign w:val="bottom"/>
            <w:hideMark/>
          </w:tcPr>
          <w:p w14:paraId="10F651C9" w14:textId="60F2D964"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AC14E4">
              <w:rPr>
                <w:sz w:val="18"/>
              </w:rPr>
              <w:t xml:space="preserve"> </w:t>
            </w:r>
            <w:r w:rsidRPr="00DA21FF">
              <w:rPr>
                <w:sz w:val="18"/>
              </w:rPr>
              <w:t>444</w:t>
            </w:r>
            <w:r w:rsidR="00AC14E4">
              <w:rPr>
                <w:sz w:val="18"/>
              </w:rPr>
              <w:t xml:space="preserve"> </w:t>
            </w:r>
            <w:r w:rsidRPr="00DA21FF">
              <w:rPr>
                <w:sz w:val="18"/>
              </w:rPr>
              <w:t>613</w:t>
            </w:r>
          </w:p>
        </w:tc>
        <w:tc>
          <w:tcPr>
            <w:tcW w:w="297" w:type="pct"/>
            <w:shd w:val="clear" w:color="auto" w:fill="auto"/>
            <w:noWrap/>
            <w:vAlign w:val="bottom"/>
            <w:hideMark/>
          </w:tcPr>
          <w:p w14:paraId="54AC4E8E"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r>
      <w:tr w:rsidR="00680417" w:rsidRPr="00DA21FF" w14:paraId="60C2D1ED" w14:textId="77777777" w:rsidTr="00AC14E4">
        <w:trPr>
          <w:trHeight w:val="240"/>
        </w:trPr>
        <w:tc>
          <w:tcPr>
            <w:tcW w:w="1381" w:type="pct"/>
            <w:shd w:val="clear" w:color="auto" w:fill="auto"/>
            <w:noWrap/>
            <w:hideMark/>
          </w:tcPr>
          <w:p w14:paraId="6BFD4E9C"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PIB</w:t>
            </w:r>
          </w:p>
        </w:tc>
        <w:tc>
          <w:tcPr>
            <w:tcW w:w="441" w:type="pct"/>
            <w:shd w:val="clear" w:color="auto" w:fill="auto"/>
            <w:noWrap/>
            <w:vAlign w:val="bottom"/>
            <w:hideMark/>
          </w:tcPr>
          <w:p w14:paraId="6FBDA9FC" w14:textId="16BC925B"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w:t>
            </w:r>
            <w:r w:rsidR="00AC14E4">
              <w:rPr>
                <w:sz w:val="18"/>
              </w:rPr>
              <w:t xml:space="preserve"> </w:t>
            </w:r>
            <w:r w:rsidRPr="00DA21FF">
              <w:rPr>
                <w:sz w:val="18"/>
              </w:rPr>
              <w:t>576</w:t>
            </w:r>
            <w:r w:rsidR="00AC14E4">
              <w:rPr>
                <w:sz w:val="18"/>
              </w:rPr>
              <w:t xml:space="preserve"> </w:t>
            </w:r>
            <w:r w:rsidRPr="00DA21FF">
              <w:rPr>
                <w:sz w:val="18"/>
              </w:rPr>
              <w:t>581</w:t>
            </w:r>
          </w:p>
        </w:tc>
        <w:tc>
          <w:tcPr>
            <w:tcW w:w="283" w:type="pct"/>
            <w:shd w:val="clear" w:color="auto" w:fill="auto"/>
            <w:noWrap/>
            <w:vAlign w:val="bottom"/>
            <w:hideMark/>
          </w:tcPr>
          <w:p w14:paraId="5A2F175D"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56" w:type="pct"/>
            <w:shd w:val="clear" w:color="auto" w:fill="auto"/>
            <w:noWrap/>
            <w:vAlign w:val="bottom"/>
            <w:hideMark/>
          </w:tcPr>
          <w:p w14:paraId="5BA03D80" w14:textId="18DA2173"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w:t>
            </w:r>
            <w:r w:rsidR="00AC14E4">
              <w:rPr>
                <w:sz w:val="18"/>
              </w:rPr>
              <w:t xml:space="preserve"> </w:t>
            </w:r>
            <w:r w:rsidRPr="00DA21FF">
              <w:rPr>
                <w:sz w:val="18"/>
              </w:rPr>
              <w:t>596</w:t>
            </w:r>
            <w:r w:rsidR="00AC14E4">
              <w:rPr>
                <w:sz w:val="18"/>
              </w:rPr>
              <w:t xml:space="preserve"> </w:t>
            </w:r>
            <w:r w:rsidRPr="00DA21FF">
              <w:rPr>
                <w:sz w:val="18"/>
              </w:rPr>
              <w:t>937</w:t>
            </w:r>
          </w:p>
        </w:tc>
        <w:tc>
          <w:tcPr>
            <w:tcW w:w="268" w:type="pct"/>
            <w:shd w:val="clear" w:color="auto" w:fill="auto"/>
            <w:noWrap/>
            <w:vAlign w:val="bottom"/>
            <w:hideMark/>
          </w:tcPr>
          <w:p w14:paraId="2D6434DD"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70" w:type="pct"/>
            <w:shd w:val="clear" w:color="auto" w:fill="auto"/>
            <w:noWrap/>
            <w:vAlign w:val="bottom"/>
            <w:hideMark/>
          </w:tcPr>
          <w:p w14:paraId="784CC232" w14:textId="5D49FA5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w:t>
            </w:r>
            <w:r w:rsidR="00AC14E4">
              <w:rPr>
                <w:sz w:val="18"/>
              </w:rPr>
              <w:t xml:space="preserve"> </w:t>
            </w:r>
            <w:r w:rsidRPr="00DA21FF">
              <w:rPr>
                <w:sz w:val="18"/>
              </w:rPr>
              <w:t>461</w:t>
            </w:r>
            <w:r w:rsidR="00AC14E4">
              <w:rPr>
                <w:sz w:val="18"/>
              </w:rPr>
              <w:t xml:space="preserve"> </w:t>
            </w:r>
            <w:r w:rsidRPr="00DA21FF">
              <w:rPr>
                <w:sz w:val="18"/>
              </w:rPr>
              <w:t>575</w:t>
            </w:r>
          </w:p>
        </w:tc>
        <w:tc>
          <w:tcPr>
            <w:tcW w:w="253" w:type="pct"/>
            <w:shd w:val="clear" w:color="auto" w:fill="auto"/>
            <w:noWrap/>
            <w:vAlign w:val="bottom"/>
            <w:hideMark/>
          </w:tcPr>
          <w:p w14:paraId="33C2F60B"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85" w:type="pct"/>
            <w:shd w:val="clear" w:color="auto" w:fill="auto"/>
            <w:noWrap/>
            <w:vAlign w:val="bottom"/>
            <w:hideMark/>
          </w:tcPr>
          <w:p w14:paraId="5965E3D4" w14:textId="4B0E98D1"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5</w:t>
            </w:r>
            <w:r w:rsidR="00AC14E4">
              <w:rPr>
                <w:sz w:val="18"/>
              </w:rPr>
              <w:t xml:space="preserve"> </w:t>
            </w:r>
            <w:r w:rsidRPr="00DA21FF">
              <w:rPr>
                <w:sz w:val="18"/>
              </w:rPr>
              <w:t>708</w:t>
            </w:r>
            <w:r w:rsidR="00AC14E4">
              <w:rPr>
                <w:sz w:val="18"/>
              </w:rPr>
              <w:t xml:space="preserve"> </w:t>
            </w:r>
            <w:r w:rsidRPr="00DA21FF">
              <w:rPr>
                <w:sz w:val="18"/>
              </w:rPr>
              <w:t>190</w:t>
            </w:r>
          </w:p>
        </w:tc>
        <w:tc>
          <w:tcPr>
            <w:tcW w:w="239" w:type="pct"/>
            <w:shd w:val="clear" w:color="auto" w:fill="auto"/>
            <w:noWrap/>
            <w:vAlign w:val="bottom"/>
            <w:hideMark/>
          </w:tcPr>
          <w:p w14:paraId="34E22212"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27" w:type="pct"/>
            <w:shd w:val="clear" w:color="auto" w:fill="auto"/>
            <w:noWrap/>
            <w:vAlign w:val="bottom"/>
            <w:hideMark/>
          </w:tcPr>
          <w:p w14:paraId="6241CF26" w14:textId="13E91286"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5</w:t>
            </w:r>
            <w:r w:rsidR="00AC14E4">
              <w:rPr>
                <w:sz w:val="18"/>
              </w:rPr>
              <w:t xml:space="preserve"> </w:t>
            </w:r>
            <w:r w:rsidRPr="00DA21FF">
              <w:rPr>
                <w:sz w:val="18"/>
              </w:rPr>
              <w:t>708</w:t>
            </w:r>
            <w:r w:rsidR="00AC14E4">
              <w:rPr>
                <w:sz w:val="18"/>
              </w:rPr>
              <w:t xml:space="preserve"> </w:t>
            </w:r>
            <w:r w:rsidRPr="00DA21FF">
              <w:rPr>
                <w:sz w:val="18"/>
              </w:rPr>
              <w:t>190</w:t>
            </w:r>
          </w:p>
        </w:tc>
        <w:tc>
          <w:tcPr>
            <w:tcW w:w="297" w:type="pct"/>
            <w:shd w:val="clear" w:color="auto" w:fill="auto"/>
            <w:noWrap/>
            <w:vAlign w:val="bottom"/>
            <w:hideMark/>
          </w:tcPr>
          <w:p w14:paraId="11B4D101"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r>
      <w:tr w:rsidR="00680417" w:rsidRPr="00680417" w14:paraId="1C902BDD" w14:textId="77777777" w:rsidTr="00AC14E4">
        <w:trPr>
          <w:trHeight w:val="240"/>
        </w:trPr>
        <w:tc>
          <w:tcPr>
            <w:tcW w:w="1381" w:type="pct"/>
            <w:tcBorders>
              <w:bottom w:val="single" w:sz="12" w:space="0" w:color="auto"/>
            </w:tcBorders>
            <w:shd w:val="clear" w:color="auto" w:fill="auto"/>
            <w:noWrap/>
            <w:hideMark/>
          </w:tcPr>
          <w:p w14:paraId="2CFC64A3" w14:textId="77777777" w:rsidR="00DA21FF" w:rsidRPr="00DA21FF" w:rsidRDefault="00DA21FF" w:rsidP="00AC14E4">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Gasto social/PIB</w:t>
            </w:r>
          </w:p>
        </w:tc>
        <w:tc>
          <w:tcPr>
            <w:tcW w:w="441" w:type="pct"/>
            <w:tcBorders>
              <w:bottom w:val="single" w:sz="12" w:space="0" w:color="auto"/>
            </w:tcBorders>
            <w:shd w:val="clear" w:color="auto" w:fill="auto"/>
            <w:noWrap/>
            <w:vAlign w:val="bottom"/>
            <w:hideMark/>
          </w:tcPr>
          <w:p w14:paraId="69AD9E80"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283" w:type="pct"/>
            <w:tcBorders>
              <w:bottom w:val="single" w:sz="12" w:space="0" w:color="auto"/>
            </w:tcBorders>
            <w:shd w:val="clear" w:color="auto" w:fill="auto"/>
            <w:noWrap/>
            <w:vAlign w:val="bottom"/>
            <w:hideMark/>
          </w:tcPr>
          <w:p w14:paraId="44A673CF"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56" w:type="pct"/>
            <w:tcBorders>
              <w:bottom w:val="single" w:sz="12" w:space="0" w:color="auto"/>
            </w:tcBorders>
            <w:shd w:val="clear" w:color="auto" w:fill="auto"/>
            <w:noWrap/>
            <w:vAlign w:val="bottom"/>
            <w:hideMark/>
          </w:tcPr>
          <w:p w14:paraId="40B5A7D6"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268" w:type="pct"/>
            <w:tcBorders>
              <w:bottom w:val="single" w:sz="12" w:space="0" w:color="auto"/>
            </w:tcBorders>
            <w:shd w:val="clear" w:color="auto" w:fill="auto"/>
            <w:noWrap/>
            <w:vAlign w:val="bottom"/>
            <w:hideMark/>
          </w:tcPr>
          <w:p w14:paraId="13F49C34"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70" w:type="pct"/>
            <w:tcBorders>
              <w:bottom w:val="single" w:sz="12" w:space="0" w:color="auto"/>
            </w:tcBorders>
            <w:shd w:val="clear" w:color="auto" w:fill="auto"/>
            <w:noWrap/>
            <w:vAlign w:val="bottom"/>
            <w:hideMark/>
          </w:tcPr>
          <w:p w14:paraId="2A193A1A"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0,4</w:t>
            </w:r>
          </w:p>
        </w:tc>
        <w:tc>
          <w:tcPr>
            <w:tcW w:w="253" w:type="pct"/>
            <w:tcBorders>
              <w:bottom w:val="single" w:sz="12" w:space="0" w:color="auto"/>
            </w:tcBorders>
            <w:shd w:val="clear" w:color="auto" w:fill="auto"/>
            <w:noWrap/>
            <w:vAlign w:val="bottom"/>
            <w:hideMark/>
          </w:tcPr>
          <w:p w14:paraId="24D6CEAA"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85" w:type="pct"/>
            <w:tcBorders>
              <w:bottom w:val="single" w:sz="12" w:space="0" w:color="auto"/>
            </w:tcBorders>
            <w:shd w:val="clear" w:color="auto" w:fill="auto"/>
            <w:noWrap/>
            <w:vAlign w:val="bottom"/>
            <w:hideMark/>
          </w:tcPr>
          <w:p w14:paraId="5FC313B7"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239" w:type="pct"/>
            <w:tcBorders>
              <w:bottom w:val="single" w:sz="12" w:space="0" w:color="auto"/>
            </w:tcBorders>
            <w:shd w:val="clear" w:color="auto" w:fill="auto"/>
            <w:noWrap/>
            <w:vAlign w:val="bottom"/>
            <w:hideMark/>
          </w:tcPr>
          <w:p w14:paraId="59D84A04"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c>
          <w:tcPr>
            <w:tcW w:w="427" w:type="pct"/>
            <w:tcBorders>
              <w:bottom w:val="single" w:sz="12" w:space="0" w:color="auto"/>
            </w:tcBorders>
            <w:shd w:val="clear" w:color="auto" w:fill="auto"/>
            <w:noWrap/>
            <w:vAlign w:val="bottom"/>
            <w:hideMark/>
          </w:tcPr>
          <w:p w14:paraId="599C62EE"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297" w:type="pct"/>
            <w:tcBorders>
              <w:bottom w:val="single" w:sz="12" w:space="0" w:color="auto"/>
            </w:tcBorders>
            <w:shd w:val="clear" w:color="auto" w:fill="auto"/>
            <w:noWrap/>
            <w:vAlign w:val="bottom"/>
            <w:hideMark/>
          </w:tcPr>
          <w:p w14:paraId="5F8C1861" w14:textId="77777777" w:rsidR="00DA21FF" w:rsidRPr="00DA21FF" w:rsidRDefault="00DA21FF" w:rsidP="00AC14E4">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lang w:val="en-GB"/>
              </w:rPr>
              <w:t xml:space="preserve"> </w:t>
            </w:r>
          </w:p>
        </w:tc>
      </w:tr>
    </w:tbl>
    <w:p w14:paraId="61EF82F7" w14:textId="77777777" w:rsidR="00DA21FF" w:rsidRPr="00DA21FF" w:rsidRDefault="00DA21FF" w:rsidP="00AC14E4">
      <w:pPr>
        <w:pStyle w:val="SingleTxtG"/>
        <w:spacing w:before="120" w:after="240"/>
        <w:ind w:left="0" w:firstLine="170"/>
        <w:jc w:val="left"/>
        <w:rPr>
          <w:sz w:val="18"/>
          <w:szCs w:val="18"/>
        </w:rPr>
      </w:pPr>
      <w:r w:rsidRPr="00DA21FF">
        <w:rPr>
          <w:i/>
          <w:sz w:val="18"/>
          <w:szCs w:val="18"/>
        </w:rPr>
        <w:t>Fuente:</w:t>
      </w:r>
      <w:r w:rsidRPr="00DA21FF">
        <w:rPr>
          <w:sz w:val="18"/>
          <w:szCs w:val="18"/>
        </w:rPr>
        <w:t xml:space="preserve"> Instituto Nacional de Estadística de Noruega. Los gastos por función se basan en la Clasificación de las Funciones del Gobierno (</w:t>
      </w:r>
      <w:proofErr w:type="spellStart"/>
      <w:r w:rsidRPr="00DA21FF">
        <w:rPr>
          <w:sz w:val="18"/>
          <w:szCs w:val="18"/>
        </w:rPr>
        <w:t>CFG</w:t>
      </w:r>
      <w:proofErr w:type="spellEnd"/>
      <w:r w:rsidRPr="00DA21FF">
        <w:rPr>
          <w:sz w:val="18"/>
          <w:szCs w:val="18"/>
        </w:rPr>
        <w:t>), de las Naciones Unidas.</w:t>
      </w:r>
    </w:p>
    <w:bookmarkEnd w:id="20"/>
    <w:p w14:paraId="3C803B16" w14:textId="52079F8D" w:rsidR="00DA21FF" w:rsidRPr="00DA21FF" w:rsidRDefault="00DA21FF" w:rsidP="00AC14E4">
      <w:pPr>
        <w:pStyle w:val="H23G"/>
        <w:rPr>
          <w:lang w:val="en-GB"/>
        </w:rPr>
      </w:pPr>
      <w:r w:rsidRPr="00DA21FF">
        <w:tab/>
      </w:r>
      <w:r w:rsidR="00AC14E4">
        <w:tab/>
      </w:r>
      <w:r w:rsidRPr="00DA21FF">
        <w:t xml:space="preserve">El Régimen Nacional de Seguridad Social </w:t>
      </w:r>
    </w:p>
    <w:p w14:paraId="1E67906A" w14:textId="26239316" w:rsidR="00DA21FF" w:rsidRPr="00DA21FF" w:rsidRDefault="00DA21FF" w:rsidP="00DA21FF">
      <w:pPr>
        <w:pStyle w:val="SingleTxtG"/>
        <w:rPr>
          <w:lang w:val="en-GB"/>
        </w:rPr>
      </w:pPr>
      <w:r w:rsidRPr="00DA21FF">
        <w:t>26.</w:t>
      </w:r>
      <w:r w:rsidRPr="00DA21FF">
        <w:tab/>
        <w:t xml:space="preserve">El </w:t>
      </w:r>
      <w:r w:rsidRPr="00373B5F">
        <w:rPr>
          <w:u w:val="single"/>
        </w:rPr>
        <w:t>Régimen Nacional de Seguridad Social de Noruega</w:t>
      </w:r>
      <w:r w:rsidRPr="00DA21FF">
        <w:t xml:space="preserve"> es universal y cubre todas las ramas tradicionales de la seguridad social establecidas en el Convenio núm. 102 de la OIT. Por regla general, la afiliación al régimen es obligatoria para todos los que viven o trabajan en Noruega. En 2023, los gastos totales del Régimen Nacional de Seguridad Social ascendieron a 611,998 billones de coronas noruegas. Esto representa aproximadamente el 34</w:t>
      </w:r>
      <w:r w:rsidR="00AC14E4">
        <w:t> </w:t>
      </w:r>
      <w:r w:rsidRPr="00DA21FF">
        <w:t xml:space="preserve">% del presupuesto nacional noruego. El Régimen Nacional de Seguridad Social se financia mediante las cotizaciones del Estado, los empresarios, los trabajadores por cuenta ajena, los trabajadores por cuenta propia y los demás afiliados al régimen. </w:t>
      </w:r>
    </w:p>
    <w:p w14:paraId="061BE8AF" w14:textId="0980B992" w:rsidR="00DA21FF" w:rsidRPr="00DA21FF" w:rsidRDefault="00AC14E4" w:rsidP="00AC14E4">
      <w:pPr>
        <w:pStyle w:val="H23G"/>
        <w:rPr>
          <w:lang w:val="en-GB"/>
        </w:rPr>
      </w:pPr>
      <w:r>
        <w:tab/>
      </w:r>
      <w:r w:rsidR="00DA21FF" w:rsidRPr="00DA21FF">
        <w:tab/>
        <w:t>El Fondo Gubernamental de Pensiones</w:t>
      </w:r>
    </w:p>
    <w:p w14:paraId="77BA418F" w14:textId="77777777" w:rsidR="00DA21FF" w:rsidRPr="00DA21FF" w:rsidRDefault="00DA21FF" w:rsidP="00DA21FF">
      <w:pPr>
        <w:pStyle w:val="SingleTxtG"/>
        <w:rPr>
          <w:lang w:val="en-GB"/>
        </w:rPr>
      </w:pPr>
      <w:r w:rsidRPr="00DA21FF">
        <w:t>27.</w:t>
      </w:r>
      <w:r w:rsidRPr="00DA21FF">
        <w:tab/>
        <w:t xml:space="preserve">El </w:t>
      </w:r>
      <w:r w:rsidRPr="00373B5F">
        <w:rPr>
          <w:u w:val="single"/>
        </w:rPr>
        <w:t>Fondo Gubernamental de Pensiones</w:t>
      </w:r>
      <w:r w:rsidRPr="00DA21FF">
        <w:t xml:space="preserve"> se creó en 2006 y engloba el antiguo Fondo Gubernamental del Petróleo y el Fondo del Régimen Nacional de Seguridad Social. La finalidad del Fondo es facilitar el ahorro público necesario para hacer frente al aumento previsto del gasto público en pensiones en los próximos años y apoyar la gestión a largo plazo de los ingresos del petróleo.</w:t>
      </w:r>
    </w:p>
    <w:p w14:paraId="3F720FCC" w14:textId="77777777" w:rsidR="00DA21FF" w:rsidRPr="00DA21FF" w:rsidRDefault="00DA21FF" w:rsidP="00DA21FF">
      <w:pPr>
        <w:pStyle w:val="SingleTxtG"/>
        <w:rPr>
          <w:lang w:val="en-GB"/>
        </w:rPr>
      </w:pPr>
      <w:r w:rsidRPr="00DA21FF">
        <w:t>28.</w:t>
      </w:r>
      <w:r w:rsidRPr="00DA21FF">
        <w:tab/>
        <w:t xml:space="preserve">El Ministerio de Finanzas es responsable de la gestión del Fondo Gubernamental de Pensiones. El Ministerio establece la estrategia general de inversión del Fondo, incluida la estrategia de inversión responsable. La gestión operativa corre a cargo del </w:t>
      </w:r>
      <w:proofErr w:type="spellStart"/>
      <w:r w:rsidRPr="00DA21FF">
        <w:rPr>
          <w:i/>
          <w:iCs/>
        </w:rPr>
        <w:t>Norges</w:t>
      </w:r>
      <w:proofErr w:type="spellEnd"/>
      <w:r w:rsidRPr="00DA21FF">
        <w:rPr>
          <w:i/>
          <w:iCs/>
        </w:rPr>
        <w:t xml:space="preserve"> Bank</w:t>
      </w:r>
      <w:r w:rsidRPr="00DA21FF">
        <w:t xml:space="preserve"> (el Banco Central de Noruega) y del </w:t>
      </w:r>
      <w:proofErr w:type="spellStart"/>
      <w:r w:rsidRPr="00DA21FF">
        <w:rPr>
          <w:i/>
          <w:iCs/>
        </w:rPr>
        <w:t>Folketrygdfondet</w:t>
      </w:r>
      <w:proofErr w:type="spellEnd"/>
      <w:r w:rsidRPr="00DA21FF">
        <w:t xml:space="preserve"> (la sociedad especializada en gestión de activos encargada de supervisar el Fondo Gubernamental de Pensiones) para el Fondo Gubernamental Global de Pensiones y el Fondo Gubernamental de Pensiones de Noruega, respectivamente.</w:t>
      </w:r>
    </w:p>
    <w:p w14:paraId="15D4E0E6" w14:textId="77777777" w:rsidR="00DA21FF" w:rsidRPr="00DA21FF" w:rsidRDefault="00DA21FF" w:rsidP="00DA21FF">
      <w:pPr>
        <w:pStyle w:val="SingleTxtG"/>
        <w:rPr>
          <w:lang w:val="en-GB"/>
        </w:rPr>
      </w:pPr>
      <w:r w:rsidRPr="00DA21FF">
        <w:t>29.</w:t>
      </w:r>
      <w:r w:rsidRPr="00DA21FF">
        <w:tab/>
        <w:t xml:space="preserve">El valor total de mercado del Fondo de Pensiones del Estado ascendía a 15,757 billones de coronas noruegas a finales de 2023. </w:t>
      </w:r>
    </w:p>
    <w:p w14:paraId="22C49E97" w14:textId="3DCE7DC5" w:rsidR="00DA21FF" w:rsidRPr="00DA21FF" w:rsidRDefault="00AC14E4" w:rsidP="00AC14E4">
      <w:pPr>
        <w:pStyle w:val="H23G"/>
        <w:rPr>
          <w:lang w:val="en-GB"/>
        </w:rPr>
      </w:pPr>
      <w:r>
        <w:tab/>
      </w:r>
      <w:r w:rsidR="00DA21FF" w:rsidRPr="00DA21FF">
        <w:t>d)</w:t>
      </w:r>
      <w:r w:rsidR="00DA21FF" w:rsidRPr="00DA21FF">
        <w:tab/>
        <w:t>Salud</w:t>
      </w:r>
    </w:p>
    <w:p w14:paraId="6C04C1D2" w14:textId="77777777" w:rsidR="00DA21FF" w:rsidRPr="00DA21FF" w:rsidRDefault="00DA21FF" w:rsidP="00DA21FF">
      <w:pPr>
        <w:pStyle w:val="SingleTxtG"/>
        <w:rPr>
          <w:lang w:val="en-GB"/>
        </w:rPr>
      </w:pPr>
      <w:r w:rsidRPr="00DA21FF">
        <w:t>30.</w:t>
      </w:r>
      <w:r w:rsidRPr="00DA21FF">
        <w:tab/>
        <w:t xml:space="preserve">La tasa media de </w:t>
      </w:r>
      <w:r w:rsidRPr="00373B5F">
        <w:rPr>
          <w:u w:val="single"/>
        </w:rPr>
        <w:t>mortalidad de lactantes</w:t>
      </w:r>
      <w:r w:rsidRPr="00DA21FF">
        <w:t xml:space="preserve"> (muertes de niños menores de un año expresadas por cada 1.000 nacidos vivos) fue de 2,1 entre 2016 y 2020. La tasa media de los dos últimos años ha sido de 1,9. El cuadro siguiente muestra la tasa de </w:t>
      </w:r>
      <w:r w:rsidRPr="00373B5F">
        <w:rPr>
          <w:u w:val="single"/>
        </w:rPr>
        <w:t>mortalidad de lactantes</w:t>
      </w:r>
      <w:r w:rsidRPr="00DA21FF">
        <w:t xml:space="preserve"> para el período 1966-2022.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8"/>
        <w:gridCol w:w="4834"/>
      </w:tblGrid>
      <w:tr w:rsidR="00680417" w:rsidRPr="00680417" w14:paraId="7DBB5B46" w14:textId="77777777" w:rsidTr="00680417">
        <w:trPr>
          <w:trHeight w:val="240"/>
          <w:tblHeader/>
        </w:trPr>
        <w:tc>
          <w:tcPr>
            <w:tcW w:w="2552" w:type="dxa"/>
            <w:tcBorders>
              <w:top w:val="single" w:sz="4" w:space="0" w:color="auto"/>
              <w:bottom w:val="single" w:sz="12" w:space="0" w:color="auto"/>
            </w:tcBorders>
            <w:shd w:val="clear" w:color="auto" w:fill="auto"/>
            <w:noWrap/>
            <w:vAlign w:val="bottom"/>
          </w:tcPr>
          <w:p w14:paraId="0D8C939F"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Años</w:t>
            </w:r>
          </w:p>
        </w:tc>
        <w:tc>
          <w:tcPr>
            <w:tcW w:w="4818" w:type="dxa"/>
            <w:tcBorders>
              <w:top w:val="single" w:sz="4" w:space="0" w:color="auto"/>
              <w:bottom w:val="single" w:sz="12" w:space="0" w:color="auto"/>
            </w:tcBorders>
            <w:shd w:val="clear" w:color="auto" w:fill="auto"/>
            <w:noWrap/>
            <w:vAlign w:val="bottom"/>
          </w:tcPr>
          <w:p w14:paraId="6507F7D4" w14:textId="40D1AEA5"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 xml:space="preserve">Defunciones de niños menores de un año </w:t>
            </w:r>
            <w:r w:rsidR="00AC14E4">
              <w:rPr>
                <w:i/>
                <w:iCs/>
                <w:sz w:val="16"/>
              </w:rPr>
              <w:br/>
            </w:r>
            <w:r w:rsidRPr="00DA21FF">
              <w:rPr>
                <w:i/>
                <w:iCs/>
                <w:sz w:val="16"/>
              </w:rPr>
              <w:t>expresadas por cada 1.000 nacidos vivos</w:t>
            </w:r>
          </w:p>
        </w:tc>
      </w:tr>
      <w:tr w:rsidR="00680417" w:rsidRPr="00DA21FF" w14:paraId="3B36E89A" w14:textId="77777777" w:rsidTr="00680417">
        <w:trPr>
          <w:trHeight w:val="240"/>
        </w:trPr>
        <w:tc>
          <w:tcPr>
            <w:tcW w:w="2552" w:type="dxa"/>
            <w:tcBorders>
              <w:top w:val="single" w:sz="12" w:space="0" w:color="auto"/>
            </w:tcBorders>
            <w:shd w:val="clear" w:color="auto" w:fill="auto"/>
            <w:noWrap/>
          </w:tcPr>
          <w:p w14:paraId="17A995C7" w14:textId="116FBBAC"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1966</w:t>
            </w:r>
            <w:r w:rsidR="00AC14E4">
              <w:rPr>
                <w:sz w:val="18"/>
              </w:rPr>
              <w:t>-</w:t>
            </w:r>
            <w:r w:rsidRPr="00DA21FF">
              <w:rPr>
                <w:sz w:val="18"/>
              </w:rPr>
              <w:t>1970</w:t>
            </w:r>
          </w:p>
        </w:tc>
        <w:tc>
          <w:tcPr>
            <w:tcW w:w="4818" w:type="dxa"/>
            <w:tcBorders>
              <w:top w:val="single" w:sz="12" w:space="0" w:color="auto"/>
            </w:tcBorders>
            <w:shd w:val="clear" w:color="auto" w:fill="auto"/>
            <w:noWrap/>
            <w:vAlign w:val="bottom"/>
          </w:tcPr>
          <w:p w14:paraId="5FE3A4D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13,9</w:t>
            </w:r>
          </w:p>
        </w:tc>
      </w:tr>
      <w:tr w:rsidR="00DA21FF" w:rsidRPr="00DA21FF" w14:paraId="0812D8F1" w14:textId="77777777" w:rsidTr="00680417">
        <w:trPr>
          <w:trHeight w:val="240"/>
        </w:trPr>
        <w:tc>
          <w:tcPr>
            <w:tcW w:w="2552" w:type="dxa"/>
            <w:shd w:val="clear" w:color="auto" w:fill="auto"/>
            <w:noWrap/>
          </w:tcPr>
          <w:p w14:paraId="44862D64" w14:textId="64B60B53"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1971</w:t>
            </w:r>
            <w:r w:rsidR="00AC14E4">
              <w:rPr>
                <w:sz w:val="18"/>
              </w:rPr>
              <w:t>-</w:t>
            </w:r>
            <w:r w:rsidRPr="00DA21FF">
              <w:rPr>
                <w:sz w:val="18"/>
              </w:rPr>
              <w:t>1975</w:t>
            </w:r>
          </w:p>
        </w:tc>
        <w:tc>
          <w:tcPr>
            <w:tcW w:w="4818" w:type="dxa"/>
            <w:shd w:val="clear" w:color="auto" w:fill="auto"/>
            <w:noWrap/>
            <w:vAlign w:val="bottom"/>
          </w:tcPr>
          <w:p w14:paraId="6A88402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11,6</w:t>
            </w:r>
          </w:p>
        </w:tc>
      </w:tr>
      <w:tr w:rsidR="00DA21FF" w:rsidRPr="00DA21FF" w14:paraId="47FC1691" w14:textId="77777777" w:rsidTr="00680417">
        <w:trPr>
          <w:trHeight w:val="240"/>
        </w:trPr>
        <w:tc>
          <w:tcPr>
            <w:tcW w:w="2552" w:type="dxa"/>
            <w:shd w:val="clear" w:color="auto" w:fill="auto"/>
            <w:noWrap/>
          </w:tcPr>
          <w:p w14:paraId="561939D1" w14:textId="662E5CF0"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1976</w:t>
            </w:r>
            <w:r w:rsidR="00AC14E4">
              <w:rPr>
                <w:sz w:val="18"/>
              </w:rPr>
              <w:t>-</w:t>
            </w:r>
            <w:r w:rsidRPr="00DA21FF">
              <w:rPr>
                <w:sz w:val="18"/>
              </w:rPr>
              <w:t>1980</w:t>
            </w:r>
          </w:p>
        </w:tc>
        <w:tc>
          <w:tcPr>
            <w:tcW w:w="4818" w:type="dxa"/>
            <w:shd w:val="clear" w:color="auto" w:fill="auto"/>
            <w:noWrap/>
            <w:vAlign w:val="bottom"/>
          </w:tcPr>
          <w:p w14:paraId="20CBDD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w:t>
            </w:r>
          </w:p>
        </w:tc>
      </w:tr>
      <w:tr w:rsidR="00DA21FF" w:rsidRPr="00DA21FF" w14:paraId="2510A67B" w14:textId="77777777" w:rsidTr="00680417">
        <w:trPr>
          <w:trHeight w:val="240"/>
        </w:trPr>
        <w:tc>
          <w:tcPr>
            <w:tcW w:w="2552" w:type="dxa"/>
            <w:shd w:val="clear" w:color="auto" w:fill="auto"/>
            <w:noWrap/>
          </w:tcPr>
          <w:p w14:paraId="2CFA8794" w14:textId="569D1F1F"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1981</w:t>
            </w:r>
            <w:r w:rsidR="00AC14E4">
              <w:rPr>
                <w:sz w:val="18"/>
              </w:rPr>
              <w:t>-</w:t>
            </w:r>
            <w:r w:rsidRPr="00DA21FF">
              <w:rPr>
                <w:sz w:val="18"/>
              </w:rPr>
              <w:t>1985</w:t>
            </w:r>
          </w:p>
        </w:tc>
        <w:tc>
          <w:tcPr>
            <w:tcW w:w="4818" w:type="dxa"/>
            <w:shd w:val="clear" w:color="auto" w:fill="auto"/>
            <w:noWrap/>
            <w:vAlign w:val="bottom"/>
          </w:tcPr>
          <w:p w14:paraId="222FF68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w:t>
            </w:r>
          </w:p>
        </w:tc>
      </w:tr>
      <w:tr w:rsidR="00DA21FF" w:rsidRPr="00DA21FF" w14:paraId="545460DE" w14:textId="77777777" w:rsidTr="00680417">
        <w:trPr>
          <w:trHeight w:val="240"/>
        </w:trPr>
        <w:tc>
          <w:tcPr>
            <w:tcW w:w="2552" w:type="dxa"/>
            <w:shd w:val="clear" w:color="auto" w:fill="auto"/>
            <w:noWrap/>
          </w:tcPr>
          <w:p w14:paraId="0ACF7A94" w14:textId="2F7A0399"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1986</w:t>
            </w:r>
            <w:r w:rsidR="00AC14E4">
              <w:rPr>
                <w:sz w:val="18"/>
              </w:rPr>
              <w:t>-</w:t>
            </w:r>
            <w:r w:rsidRPr="00DA21FF">
              <w:rPr>
                <w:sz w:val="18"/>
              </w:rPr>
              <w:t>1990</w:t>
            </w:r>
          </w:p>
        </w:tc>
        <w:tc>
          <w:tcPr>
            <w:tcW w:w="4818" w:type="dxa"/>
            <w:shd w:val="clear" w:color="auto" w:fill="auto"/>
            <w:noWrap/>
            <w:vAlign w:val="bottom"/>
          </w:tcPr>
          <w:p w14:paraId="549E349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w:t>
            </w:r>
          </w:p>
        </w:tc>
      </w:tr>
      <w:tr w:rsidR="00DA21FF" w:rsidRPr="00DA21FF" w14:paraId="2A293AF5" w14:textId="77777777" w:rsidTr="00680417">
        <w:trPr>
          <w:trHeight w:val="240"/>
        </w:trPr>
        <w:tc>
          <w:tcPr>
            <w:tcW w:w="2552" w:type="dxa"/>
            <w:shd w:val="clear" w:color="auto" w:fill="auto"/>
            <w:noWrap/>
          </w:tcPr>
          <w:p w14:paraId="44150096" w14:textId="59EC9D7B"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1991</w:t>
            </w:r>
            <w:r w:rsidR="00AC14E4">
              <w:rPr>
                <w:sz w:val="18"/>
              </w:rPr>
              <w:t>-</w:t>
            </w:r>
            <w:r w:rsidRPr="00DA21FF">
              <w:rPr>
                <w:sz w:val="18"/>
              </w:rPr>
              <w:t>1995</w:t>
            </w:r>
          </w:p>
        </w:tc>
        <w:tc>
          <w:tcPr>
            <w:tcW w:w="4818" w:type="dxa"/>
            <w:shd w:val="clear" w:color="auto" w:fill="auto"/>
            <w:noWrap/>
            <w:vAlign w:val="bottom"/>
          </w:tcPr>
          <w:p w14:paraId="74C44F7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w:t>
            </w:r>
          </w:p>
        </w:tc>
      </w:tr>
      <w:tr w:rsidR="00DA21FF" w:rsidRPr="00DA21FF" w14:paraId="5F1B15FF" w14:textId="77777777" w:rsidTr="00680417">
        <w:trPr>
          <w:trHeight w:val="240"/>
        </w:trPr>
        <w:tc>
          <w:tcPr>
            <w:tcW w:w="2552" w:type="dxa"/>
            <w:shd w:val="clear" w:color="auto" w:fill="auto"/>
            <w:noWrap/>
          </w:tcPr>
          <w:p w14:paraId="0AC7A1CC" w14:textId="09B5BE25"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1996</w:t>
            </w:r>
            <w:r w:rsidR="00AC14E4">
              <w:rPr>
                <w:sz w:val="18"/>
              </w:rPr>
              <w:t>-</w:t>
            </w:r>
            <w:r w:rsidRPr="00DA21FF">
              <w:rPr>
                <w:sz w:val="18"/>
              </w:rPr>
              <w:t>2000</w:t>
            </w:r>
          </w:p>
        </w:tc>
        <w:tc>
          <w:tcPr>
            <w:tcW w:w="4818" w:type="dxa"/>
            <w:shd w:val="clear" w:color="auto" w:fill="auto"/>
            <w:noWrap/>
            <w:vAlign w:val="bottom"/>
          </w:tcPr>
          <w:p w14:paraId="2796CBF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w:t>
            </w:r>
          </w:p>
        </w:tc>
      </w:tr>
      <w:tr w:rsidR="00DA21FF" w:rsidRPr="00DA21FF" w14:paraId="04FCAE4A" w14:textId="77777777" w:rsidTr="00680417">
        <w:trPr>
          <w:trHeight w:val="240"/>
        </w:trPr>
        <w:tc>
          <w:tcPr>
            <w:tcW w:w="2552" w:type="dxa"/>
            <w:shd w:val="clear" w:color="auto" w:fill="auto"/>
            <w:noWrap/>
          </w:tcPr>
          <w:p w14:paraId="2D27C6FB" w14:textId="371EE479"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lastRenderedPageBreak/>
              <w:t>2001</w:t>
            </w:r>
            <w:r w:rsidR="00AC14E4">
              <w:rPr>
                <w:sz w:val="18"/>
              </w:rPr>
              <w:t>-</w:t>
            </w:r>
            <w:r w:rsidRPr="00DA21FF">
              <w:rPr>
                <w:sz w:val="18"/>
              </w:rPr>
              <w:t>2005</w:t>
            </w:r>
          </w:p>
        </w:tc>
        <w:tc>
          <w:tcPr>
            <w:tcW w:w="4818" w:type="dxa"/>
            <w:shd w:val="clear" w:color="auto" w:fill="auto"/>
            <w:noWrap/>
            <w:vAlign w:val="bottom"/>
          </w:tcPr>
          <w:p w14:paraId="6A0961E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r>
      <w:tr w:rsidR="00DA21FF" w:rsidRPr="00DA21FF" w14:paraId="1701DD40" w14:textId="77777777" w:rsidTr="00680417">
        <w:trPr>
          <w:trHeight w:val="240"/>
        </w:trPr>
        <w:tc>
          <w:tcPr>
            <w:tcW w:w="2552" w:type="dxa"/>
            <w:shd w:val="clear" w:color="auto" w:fill="auto"/>
            <w:noWrap/>
          </w:tcPr>
          <w:p w14:paraId="6CB6ED2D" w14:textId="3DD6B2B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2006</w:t>
            </w:r>
            <w:r w:rsidR="00AC14E4">
              <w:rPr>
                <w:sz w:val="18"/>
              </w:rPr>
              <w:t>-</w:t>
            </w:r>
            <w:r w:rsidRPr="00DA21FF">
              <w:rPr>
                <w:sz w:val="18"/>
              </w:rPr>
              <w:t>2010</w:t>
            </w:r>
          </w:p>
        </w:tc>
        <w:tc>
          <w:tcPr>
            <w:tcW w:w="4818" w:type="dxa"/>
            <w:shd w:val="clear" w:color="auto" w:fill="auto"/>
            <w:noWrap/>
            <w:vAlign w:val="bottom"/>
          </w:tcPr>
          <w:p w14:paraId="40B5BC3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w:t>
            </w:r>
          </w:p>
        </w:tc>
      </w:tr>
      <w:tr w:rsidR="00DA21FF" w:rsidRPr="00DA21FF" w14:paraId="21E89289" w14:textId="77777777" w:rsidTr="00680417">
        <w:trPr>
          <w:trHeight w:val="240"/>
        </w:trPr>
        <w:tc>
          <w:tcPr>
            <w:tcW w:w="2552" w:type="dxa"/>
            <w:shd w:val="clear" w:color="auto" w:fill="auto"/>
            <w:noWrap/>
          </w:tcPr>
          <w:p w14:paraId="3D91A93B" w14:textId="5133FEC9"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2011</w:t>
            </w:r>
            <w:r w:rsidR="00AC14E4">
              <w:rPr>
                <w:sz w:val="18"/>
              </w:rPr>
              <w:t>-</w:t>
            </w:r>
            <w:r w:rsidRPr="00DA21FF">
              <w:rPr>
                <w:sz w:val="18"/>
              </w:rPr>
              <w:t>2015</w:t>
            </w:r>
          </w:p>
        </w:tc>
        <w:tc>
          <w:tcPr>
            <w:tcW w:w="4818" w:type="dxa"/>
            <w:shd w:val="clear" w:color="auto" w:fill="auto"/>
            <w:noWrap/>
            <w:vAlign w:val="bottom"/>
          </w:tcPr>
          <w:p w14:paraId="181613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w:t>
            </w:r>
          </w:p>
        </w:tc>
      </w:tr>
      <w:tr w:rsidR="00DA21FF" w:rsidRPr="00DA21FF" w14:paraId="12AF5280" w14:textId="77777777" w:rsidTr="00680417">
        <w:trPr>
          <w:trHeight w:val="240"/>
        </w:trPr>
        <w:tc>
          <w:tcPr>
            <w:tcW w:w="2552" w:type="dxa"/>
            <w:shd w:val="clear" w:color="auto" w:fill="auto"/>
            <w:noWrap/>
          </w:tcPr>
          <w:p w14:paraId="724A586D" w14:textId="0398B114"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2016</w:t>
            </w:r>
            <w:r w:rsidR="00AC14E4">
              <w:rPr>
                <w:sz w:val="18"/>
              </w:rPr>
              <w:t>-</w:t>
            </w:r>
            <w:r w:rsidRPr="00DA21FF">
              <w:rPr>
                <w:sz w:val="18"/>
              </w:rPr>
              <w:t xml:space="preserve">2020 </w:t>
            </w:r>
          </w:p>
        </w:tc>
        <w:tc>
          <w:tcPr>
            <w:tcW w:w="4818" w:type="dxa"/>
            <w:shd w:val="clear" w:color="auto" w:fill="auto"/>
            <w:noWrap/>
            <w:vAlign w:val="bottom"/>
          </w:tcPr>
          <w:p w14:paraId="292F32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w:t>
            </w:r>
          </w:p>
        </w:tc>
      </w:tr>
      <w:tr w:rsidR="00680417" w:rsidRPr="00DA21FF" w14:paraId="33A5DCDC" w14:textId="77777777" w:rsidTr="00680417">
        <w:trPr>
          <w:trHeight w:val="240"/>
        </w:trPr>
        <w:tc>
          <w:tcPr>
            <w:tcW w:w="2552" w:type="dxa"/>
            <w:tcBorders>
              <w:bottom w:val="single" w:sz="12" w:space="0" w:color="auto"/>
            </w:tcBorders>
            <w:shd w:val="clear" w:color="auto" w:fill="auto"/>
            <w:noWrap/>
          </w:tcPr>
          <w:p w14:paraId="6AFCC17A" w14:textId="5EC245C0"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r w:rsidR="00AC14E4">
              <w:rPr>
                <w:sz w:val="18"/>
              </w:rPr>
              <w:t>-</w:t>
            </w:r>
            <w:r w:rsidRPr="00DA21FF">
              <w:rPr>
                <w:sz w:val="18"/>
              </w:rPr>
              <w:t>2022</w:t>
            </w:r>
          </w:p>
        </w:tc>
        <w:tc>
          <w:tcPr>
            <w:tcW w:w="4818" w:type="dxa"/>
            <w:tcBorders>
              <w:bottom w:val="single" w:sz="12" w:space="0" w:color="auto"/>
            </w:tcBorders>
            <w:shd w:val="clear" w:color="auto" w:fill="auto"/>
            <w:noWrap/>
            <w:vAlign w:val="bottom"/>
          </w:tcPr>
          <w:p w14:paraId="7D97625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r>
    </w:tbl>
    <w:p w14:paraId="7D16B19E" w14:textId="77777777" w:rsidR="00DA21FF" w:rsidRPr="00DA21FF" w:rsidRDefault="00DA21FF" w:rsidP="00AC14E4">
      <w:pPr>
        <w:pStyle w:val="SingleTxtG"/>
        <w:spacing w:before="240"/>
        <w:rPr>
          <w:lang w:val="en-GB"/>
        </w:rPr>
      </w:pPr>
      <w:r w:rsidRPr="00DA21FF">
        <w:t>31.</w:t>
      </w:r>
      <w:r w:rsidRPr="00DA21FF">
        <w:tab/>
        <w:t xml:space="preserve">El cuadro siguiente muestra la </w:t>
      </w:r>
      <w:r w:rsidRPr="00373B5F">
        <w:rPr>
          <w:u w:val="single"/>
        </w:rPr>
        <w:t>tasa de mortalidad materna</w:t>
      </w:r>
      <w:r w:rsidRPr="00DA21FF">
        <w:t xml:space="preserve"> para el período 2005-2022.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6519"/>
      </w:tblGrid>
      <w:tr w:rsidR="00680417" w:rsidRPr="00680417" w14:paraId="014D8791" w14:textId="77777777" w:rsidTr="00B6440E">
        <w:trPr>
          <w:trHeight w:val="240"/>
          <w:tblHeader/>
        </w:trPr>
        <w:tc>
          <w:tcPr>
            <w:tcW w:w="851" w:type="dxa"/>
            <w:tcBorders>
              <w:top w:val="single" w:sz="4" w:space="0" w:color="auto"/>
              <w:bottom w:val="single" w:sz="12" w:space="0" w:color="auto"/>
            </w:tcBorders>
            <w:shd w:val="clear" w:color="auto" w:fill="auto"/>
            <w:vAlign w:val="bottom"/>
          </w:tcPr>
          <w:p w14:paraId="6AA90876"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bookmarkStart w:id="21" w:name="_Hlk165304017"/>
            <w:r w:rsidRPr="00DA21FF">
              <w:rPr>
                <w:i/>
                <w:iCs/>
                <w:sz w:val="16"/>
              </w:rPr>
              <w:t>Año</w:t>
            </w:r>
            <w:r w:rsidRPr="00DA21FF">
              <w:rPr>
                <w:i/>
                <w:sz w:val="16"/>
              </w:rPr>
              <w:t xml:space="preserve"> </w:t>
            </w:r>
          </w:p>
        </w:tc>
        <w:tc>
          <w:tcPr>
            <w:tcW w:w="6519" w:type="dxa"/>
            <w:tcBorders>
              <w:top w:val="single" w:sz="4" w:space="0" w:color="auto"/>
              <w:bottom w:val="single" w:sz="12" w:space="0" w:color="auto"/>
            </w:tcBorders>
            <w:shd w:val="clear" w:color="auto" w:fill="auto"/>
            <w:vAlign w:val="bottom"/>
          </w:tcPr>
          <w:p w14:paraId="71B67FB0"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Mortalidad materna (por 100.000 nacimientos)</w:t>
            </w:r>
          </w:p>
        </w:tc>
      </w:tr>
      <w:tr w:rsidR="00680417" w:rsidRPr="00DA21FF" w14:paraId="417B8CE0" w14:textId="77777777" w:rsidTr="00B6440E">
        <w:trPr>
          <w:trHeight w:val="240"/>
        </w:trPr>
        <w:tc>
          <w:tcPr>
            <w:tcW w:w="851" w:type="dxa"/>
            <w:shd w:val="clear" w:color="auto" w:fill="auto"/>
          </w:tcPr>
          <w:p w14:paraId="46435A6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2005</w:t>
            </w:r>
          </w:p>
        </w:tc>
        <w:tc>
          <w:tcPr>
            <w:tcW w:w="6519" w:type="dxa"/>
            <w:shd w:val="clear" w:color="auto" w:fill="auto"/>
            <w:vAlign w:val="bottom"/>
          </w:tcPr>
          <w:p w14:paraId="20F065B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w:t>
            </w:r>
          </w:p>
        </w:tc>
      </w:tr>
      <w:tr w:rsidR="00680417" w:rsidRPr="00DA21FF" w14:paraId="166374ED" w14:textId="77777777" w:rsidTr="00B6440E">
        <w:trPr>
          <w:trHeight w:val="240"/>
        </w:trPr>
        <w:tc>
          <w:tcPr>
            <w:tcW w:w="851" w:type="dxa"/>
            <w:shd w:val="clear" w:color="auto" w:fill="auto"/>
          </w:tcPr>
          <w:p w14:paraId="3BD8545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2006</w:t>
            </w:r>
          </w:p>
        </w:tc>
        <w:tc>
          <w:tcPr>
            <w:tcW w:w="6519" w:type="dxa"/>
            <w:shd w:val="clear" w:color="auto" w:fill="auto"/>
            <w:vAlign w:val="bottom"/>
          </w:tcPr>
          <w:p w14:paraId="7527E4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10,2</w:t>
            </w:r>
          </w:p>
        </w:tc>
      </w:tr>
      <w:tr w:rsidR="00680417" w:rsidRPr="00DA21FF" w14:paraId="752C038C" w14:textId="77777777" w:rsidTr="00B6440E">
        <w:trPr>
          <w:trHeight w:val="240"/>
        </w:trPr>
        <w:tc>
          <w:tcPr>
            <w:tcW w:w="851" w:type="dxa"/>
            <w:shd w:val="clear" w:color="auto" w:fill="auto"/>
          </w:tcPr>
          <w:p w14:paraId="00896B2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2007</w:t>
            </w:r>
          </w:p>
        </w:tc>
        <w:tc>
          <w:tcPr>
            <w:tcW w:w="6519" w:type="dxa"/>
            <w:shd w:val="clear" w:color="auto" w:fill="auto"/>
            <w:vAlign w:val="bottom"/>
          </w:tcPr>
          <w:p w14:paraId="32E0CD2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13,6</w:t>
            </w:r>
          </w:p>
        </w:tc>
      </w:tr>
      <w:tr w:rsidR="00680417" w:rsidRPr="00DA21FF" w14:paraId="3EFFFAC9" w14:textId="77777777" w:rsidTr="00B6440E">
        <w:trPr>
          <w:trHeight w:val="240"/>
        </w:trPr>
        <w:tc>
          <w:tcPr>
            <w:tcW w:w="851" w:type="dxa"/>
            <w:shd w:val="clear" w:color="auto" w:fill="auto"/>
          </w:tcPr>
          <w:p w14:paraId="3491132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2008</w:t>
            </w:r>
          </w:p>
        </w:tc>
        <w:tc>
          <w:tcPr>
            <w:tcW w:w="6519" w:type="dxa"/>
            <w:shd w:val="clear" w:color="auto" w:fill="auto"/>
            <w:vAlign w:val="bottom"/>
          </w:tcPr>
          <w:p w14:paraId="3C986F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w:t>
            </w:r>
          </w:p>
        </w:tc>
      </w:tr>
      <w:tr w:rsidR="00680417" w:rsidRPr="00DA21FF" w14:paraId="04E8A3A6" w14:textId="77777777" w:rsidTr="00B6440E">
        <w:trPr>
          <w:trHeight w:val="240"/>
        </w:trPr>
        <w:tc>
          <w:tcPr>
            <w:tcW w:w="851" w:type="dxa"/>
            <w:shd w:val="clear" w:color="auto" w:fill="auto"/>
          </w:tcPr>
          <w:p w14:paraId="7D44D5C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2009</w:t>
            </w:r>
          </w:p>
        </w:tc>
        <w:tc>
          <w:tcPr>
            <w:tcW w:w="6519" w:type="dxa"/>
            <w:shd w:val="clear" w:color="auto" w:fill="auto"/>
            <w:vAlign w:val="bottom"/>
          </w:tcPr>
          <w:p w14:paraId="54CAD8B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w:t>
            </w:r>
          </w:p>
        </w:tc>
      </w:tr>
      <w:tr w:rsidR="00680417" w:rsidRPr="00DA21FF" w14:paraId="62DF7B17" w14:textId="77777777" w:rsidTr="00B6440E">
        <w:trPr>
          <w:trHeight w:val="240"/>
        </w:trPr>
        <w:tc>
          <w:tcPr>
            <w:tcW w:w="851" w:type="dxa"/>
            <w:shd w:val="clear" w:color="auto" w:fill="auto"/>
          </w:tcPr>
          <w:p w14:paraId="6BDACF8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2010</w:t>
            </w:r>
          </w:p>
        </w:tc>
        <w:tc>
          <w:tcPr>
            <w:tcW w:w="6519" w:type="dxa"/>
            <w:shd w:val="clear" w:color="auto" w:fill="auto"/>
            <w:vAlign w:val="bottom"/>
          </w:tcPr>
          <w:p w14:paraId="4457442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w:t>
            </w:r>
          </w:p>
        </w:tc>
      </w:tr>
      <w:tr w:rsidR="00680417" w:rsidRPr="00DA21FF" w14:paraId="543B5778" w14:textId="77777777" w:rsidTr="00B6440E">
        <w:trPr>
          <w:trHeight w:val="240"/>
        </w:trPr>
        <w:tc>
          <w:tcPr>
            <w:tcW w:w="851" w:type="dxa"/>
            <w:shd w:val="clear" w:color="auto" w:fill="auto"/>
          </w:tcPr>
          <w:p w14:paraId="32820E2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2011</w:t>
            </w:r>
          </w:p>
        </w:tc>
        <w:tc>
          <w:tcPr>
            <w:tcW w:w="6519" w:type="dxa"/>
            <w:shd w:val="clear" w:color="auto" w:fill="auto"/>
            <w:vAlign w:val="bottom"/>
          </w:tcPr>
          <w:p w14:paraId="4265BE1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w:t>
            </w:r>
          </w:p>
        </w:tc>
      </w:tr>
      <w:tr w:rsidR="00680417" w:rsidRPr="00DA21FF" w14:paraId="0F3659A0" w14:textId="77777777" w:rsidTr="00B6440E">
        <w:trPr>
          <w:trHeight w:val="240"/>
        </w:trPr>
        <w:tc>
          <w:tcPr>
            <w:tcW w:w="851" w:type="dxa"/>
            <w:shd w:val="clear" w:color="auto" w:fill="auto"/>
          </w:tcPr>
          <w:p w14:paraId="039776E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2012</w:t>
            </w:r>
          </w:p>
        </w:tc>
        <w:tc>
          <w:tcPr>
            <w:tcW w:w="6519" w:type="dxa"/>
            <w:shd w:val="clear" w:color="auto" w:fill="auto"/>
            <w:vAlign w:val="bottom"/>
          </w:tcPr>
          <w:p w14:paraId="64B858D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w:t>
            </w:r>
          </w:p>
        </w:tc>
      </w:tr>
      <w:tr w:rsidR="00680417" w:rsidRPr="00DA21FF" w14:paraId="53ED09B8" w14:textId="77777777" w:rsidTr="00B6440E">
        <w:trPr>
          <w:trHeight w:val="240"/>
        </w:trPr>
        <w:tc>
          <w:tcPr>
            <w:tcW w:w="851" w:type="dxa"/>
            <w:shd w:val="clear" w:color="auto" w:fill="auto"/>
          </w:tcPr>
          <w:p w14:paraId="3319173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2013</w:t>
            </w:r>
          </w:p>
        </w:tc>
        <w:tc>
          <w:tcPr>
            <w:tcW w:w="6519" w:type="dxa"/>
            <w:shd w:val="clear" w:color="auto" w:fill="auto"/>
            <w:vAlign w:val="bottom"/>
          </w:tcPr>
          <w:p w14:paraId="649C1C0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r>
      <w:tr w:rsidR="00680417" w:rsidRPr="00DA21FF" w14:paraId="2DF254D9" w14:textId="77777777" w:rsidTr="00B6440E">
        <w:trPr>
          <w:trHeight w:val="240"/>
        </w:trPr>
        <w:tc>
          <w:tcPr>
            <w:tcW w:w="851" w:type="dxa"/>
            <w:shd w:val="clear" w:color="auto" w:fill="auto"/>
          </w:tcPr>
          <w:p w14:paraId="479AC05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2014</w:t>
            </w:r>
          </w:p>
        </w:tc>
        <w:tc>
          <w:tcPr>
            <w:tcW w:w="6519" w:type="dxa"/>
            <w:shd w:val="clear" w:color="auto" w:fill="auto"/>
            <w:vAlign w:val="bottom"/>
          </w:tcPr>
          <w:p w14:paraId="16D2BE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r>
      <w:tr w:rsidR="00680417" w:rsidRPr="00DA21FF" w14:paraId="644C31AD" w14:textId="77777777" w:rsidTr="00B6440E">
        <w:trPr>
          <w:trHeight w:val="240"/>
        </w:trPr>
        <w:tc>
          <w:tcPr>
            <w:tcW w:w="851" w:type="dxa"/>
            <w:shd w:val="clear" w:color="auto" w:fill="auto"/>
          </w:tcPr>
          <w:p w14:paraId="44ADD3C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2015</w:t>
            </w:r>
          </w:p>
        </w:tc>
        <w:tc>
          <w:tcPr>
            <w:tcW w:w="6519" w:type="dxa"/>
            <w:shd w:val="clear" w:color="auto" w:fill="auto"/>
            <w:vAlign w:val="bottom"/>
          </w:tcPr>
          <w:p w14:paraId="5BA1ABE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r>
      <w:tr w:rsidR="00680417" w:rsidRPr="00DA21FF" w14:paraId="1A371BDC" w14:textId="77777777" w:rsidTr="00B6440E">
        <w:trPr>
          <w:trHeight w:val="240"/>
        </w:trPr>
        <w:tc>
          <w:tcPr>
            <w:tcW w:w="851" w:type="dxa"/>
            <w:shd w:val="clear" w:color="auto" w:fill="auto"/>
          </w:tcPr>
          <w:p w14:paraId="5A1AB09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2016</w:t>
            </w:r>
          </w:p>
        </w:tc>
        <w:tc>
          <w:tcPr>
            <w:tcW w:w="6519" w:type="dxa"/>
            <w:shd w:val="clear" w:color="auto" w:fill="auto"/>
            <w:vAlign w:val="bottom"/>
          </w:tcPr>
          <w:p w14:paraId="4CF626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r>
      <w:tr w:rsidR="00680417" w:rsidRPr="00DA21FF" w14:paraId="083CD0D5" w14:textId="77777777" w:rsidTr="00B6440E">
        <w:trPr>
          <w:trHeight w:val="240"/>
        </w:trPr>
        <w:tc>
          <w:tcPr>
            <w:tcW w:w="851" w:type="dxa"/>
            <w:shd w:val="clear" w:color="auto" w:fill="auto"/>
          </w:tcPr>
          <w:p w14:paraId="4F348C4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6519" w:type="dxa"/>
            <w:shd w:val="clear" w:color="auto" w:fill="auto"/>
            <w:vAlign w:val="bottom"/>
          </w:tcPr>
          <w:p w14:paraId="2DF76DD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69A0A412" w14:textId="77777777" w:rsidTr="00B6440E">
        <w:trPr>
          <w:trHeight w:val="240"/>
        </w:trPr>
        <w:tc>
          <w:tcPr>
            <w:tcW w:w="851" w:type="dxa"/>
            <w:shd w:val="clear" w:color="auto" w:fill="auto"/>
          </w:tcPr>
          <w:p w14:paraId="2024300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6519" w:type="dxa"/>
            <w:shd w:val="clear" w:color="auto" w:fill="auto"/>
            <w:vAlign w:val="bottom"/>
          </w:tcPr>
          <w:p w14:paraId="2754572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r>
      <w:tr w:rsidR="00680417" w:rsidRPr="00DA21FF" w14:paraId="2B825841" w14:textId="77777777" w:rsidTr="00B6440E">
        <w:trPr>
          <w:trHeight w:val="240"/>
        </w:trPr>
        <w:tc>
          <w:tcPr>
            <w:tcW w:w="851" w:type="dxa"/>
            <w:shd w:val="clear" w:color="auto" w:fill="auto"/>
          </w:tcPr>
          <w:p w14:paraId="52C3411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6519" w:type="dxa"/>
            <w:shd w:val="clear" w:color="auto" w:fill="auto"/>
            <w:vAlign w:val="bottom"/>
          </w:tcPr>
          <w:p w14:paraId="27A622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w:t>
            </w:r>
          </w:p>
        </w:tc>
      </w:tr>
      <w:tr w:rsidR="00680417" w:rsidRPr="00DA21FF" w14:paraId="014660ED" w14:textId="77777777" w:rsidTr="00B6440E">
        <w:trPr>
          <w:trHeight w:val="240"/>
        </w:trPr>
        <w:tc>
          <w:tcPr>
            <w:tcW w:w="851" w:type="dxa"/>
            <w:shd w:val="clear" w:color="auto" w:fill="auto"/>
          </w:tcPr>
          <w:p w14:paraId="42808E1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6519" w:type="dxa"/>
            <w:shd w:val="clear" w:color="auto" w:fill="auto"/>
            <w:vAlign w:val="bottom"/>
          </w:tcPr>
          <w:p w14:paraId="58D869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w:t>
            </w:r>
          </w:p>
        </w:tc>
      </w:tr>
      <w:tr w:rsidR="00680417" w:rsidRPr="00DA21FF" w14:paraId="35614A94" w14:textId="77777777" w:rsidTr="00B6440E">
        <w:trPr>
          <w:trHeight w:val="240"/>
        </w:trPr>
        <w:tc>
          <w:tcPr>
            <w:tcW w:w="851" w:type="dxa"/>
            <w:shd w:val="clear" w:color="auto" w:fill="auto"/>
          </w:tcPr>
          <w:p w14:paraId="0401053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6519" w:type="dxa"/>
            <w:shd w:val="clear" w:color="auto" w:fill="auto"/>
            <w:vAlign w:val="bottom"/>
          </w:tcPr>
          <w:p w14:paraId="3631F3C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w:t>
            </w:r>
          </w:p>
        </w:tc>
      </w:tr>
      <w:tr w:rsidR="00680417" w:rsidRPr="00DA21FF" w14:paraId="633E0738" w14:textId="77777777" w:rsidTr="00B6440E">
        <w:trPr>
          <w:trHeight w:val="240"/>
        </w:trPr>
        <w:tc>
          <w:tcPr>
            <w:tcW w:w="851" w:type="dxa"/>
            <w:tcBorders>
              <w:bottom w:val="single" w:sz="12" w:space="0" w:color="auto"/>
            </w:tcBorders>
            <w:shd w:val="clear" w:color="auto" w:fill="auto"/>
          </w:tcPr>
          <w:p w14:paraId="7076D5F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6519" w:type="dxa"/>
            <w:tcBorders>
              <w:bottom w:val="single" w:sz="12" w:space="0" w:color="auto"/>
            </w:tcBorders>
            <w:shd w:val="clear" w:color="auto" w:fill="auto"/>
            <w:vAlign w:val="bottom"/>
          </w:tcPr>
          <w:p w14:paraId="19FB92D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r>
    </w:tbl>
    <w:bookmarkEnd w:id="21"/>
    <w:p w14:paraId="5DA7CE80" w14:textId="77777777" w:rsidR="00DA21FF" w:rsidRPr="00DA21FF" w:rsidRDefault="00DA21FF" w:rsidP="00B6440E">
      <w:pPr>
        <w:pStyle w:val="SingleTxtG"/>
        <w:spacing w:before="240"/>
        <w:rPr>
          <w:i/>
          <w:lang w:val="en-GB"/>
        </w:rPr>
      </w:pPr>
      <w:r w:rsidRPr="00DA21FF">
        <w:t>32.</w:t>
      </w:r>
      <w:r w:rsidRPr="00DA21FF">
        <w:tab/>
        <w:t xml:space="preserve">El cuadro siguiente muestra la </w:t>
      </w:r>
      <w:r w:rsidRPr="00373B5F">
        <w:rPr>
          <w:u w:val="single"/>
        </w:rPr>
        <w:t>proporción de abortos provocados</w:t>
      </w:r>
      <w:r w:rsidRPr="00DA21FF">
        <w:t xml:space="preserve"> como porcentaje de nacidos vivos para el período 2005-2015.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6519"/>
      </w:tblGrid>
      <w:tr w:rsidR="00680417" w:rsidRPr="00680417" w14:paraId="2F881FEA" w14:textId="77777777" w:rsidTr="00680417">
        <w:trPr>
          <w:trHeight w:val="240"/>
          <w:tblHeader/>
        </w:trPr>
        <w:tc>
          <w:tcPr>
            <w:tcW w:w="851" w:type="dxa"/>
            <w:tcBorders>
              <w:top w:val="single" w:sz="4" w:space="0" w:color="auto"/>
              <w:bottom w:val="single" w:sz="12" w:space="0" w:color="auto"/>
            </w:tcBorders>
            <w:shd w:val="clear" w:color="auto" w:fill="auto"/>
            <w:vAlign w:val="bottom"/>
          </w:tcPr>
          <w:p w14:paraId="09A9F891"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r w:rsidRPr="00DA21FF">
              <w:rPr>
                <w:i/>
                <w:sz w:val="16"/>
              </w:rPr>
              <w:t xml:space="preserve"> </w:t>
            </w:r>
          </w:p>
        </w:tc>
        <w:tc>
          <w:tcPr>
            <w:tcW w:w="6520" w:type="dxa"/>
            <w:tcBorders>
              <w:top w:val="single" w:sz="4" w:space="0" w:color="auto"/>
              <w:bottom w:val="single" w:sz="12" w:space="0" w:color="auto"/>
            </w:tcBorders>
            <w:shd w:val="clear" w:color="auto" w:fill="auto"/>
            <w:vAlign w:val="bottom"/>
          </w:tcPr>
          <w:p w14:paraId="58B19403"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Proporción de abortos provocados en porcentaje de nacidos vivos</w:t>
            </w:r>
          </w:p>
        </w:tc>
      </w:tr>
      <w:tr w:rsidR="00680417" w:rsidRPr="00DA21FF" w14:paraId="40D828CD" w14:textId="77777777" w:rsidTr="00680417">
        <w:trPr>
          <w:trHeight w:val="240"/>
        </w:trPr>
        <w:tc>
          <w:tcPr>
            <w:tcW w:w="851" w:type="dxa"/>
            <w:tcBorders>
              <w:top w:val="single" w:sz="12" w:space="0" w:color="auto"/>
            </w:tcBorders>
            <w:shd w:val="clear" w:color="auto" w:fill="auto"/>
          </w:tcPr>
          <w:p w14:paraId="143D324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2005</w:t>
            </w:r>
          </w:p>
        </w:tc>
        <w:tc>
          <w:tcPr>
            <w:tcW w:w="6520" w:type="dxa"/>
            <w:tcBorders>
              <w:top w:val="single" w:sz="12" w:space="0" w:color="auto"/>
            </w:tcBorders>
            <w:shd w:val="clear" w:color="auto" w:fill="auto"/>
            <w:vAlign w:val="bottom"/>
          </w:tcPr>
          <w:p w14:paraId="0ABE47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24,4</w:t>
            </w:r>
          </w:p>
        </w:tc>
      </w:tr>
      <w:tr w:rsidR="00680417" w:rsidRPr="00DA21FF" w14:paraId="79BA2E60" w14:textId="77777777" w:rsidTr="00680417">
        <w:trPr>
          <w:trHeight w:val="240"/>
        </w:trPr>
        <w:tc>
          <w:tcPr>
            <w:tcW w:w="851" w:type="dxa"/>
            <w:shd w:val="clear" w:color="auto" w:fill="auto"/>
          </w:tcPr>
          <w:p w14:paraId="3FA224C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2006</w:t>
            </w:r>
          </w:p>
        </w:tc>
        <w:tc>
          <w:tcPr>
            <w:tcW w:w="6520" w:type="dxa"/>
            <w:shd w:val="clear" w:color="auto" w:fill="auto"/>
            <w:vAlign w:val="bottom"/>
          </w:tcPr>
          <w:p w14:paraId="4A6AAEA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24,4</w:t>
            </w:r>
          </w:p>
        </w:tc>
      </w:tr>
      <w:tr w:rsidR="00680417" w:rsidRPr="00DA21FF" w14:paraId="1C0DA80C" w14:textId="77777777" w:rsidTr="00680417">
        <w:trPr>
          <w:trHeight w:val="240"/>
        </w:trPr>
        <w:tc>
          <w:tcPr>
            <w:tcW w:w="851" w:type="dxa"/>
            <w:shd w:val="clear" w:color="auto" w:fill="auto"/>
          </w:tcPr>
          <w:p w14:paraId="76921B8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2007</w:t>
            </w:r>
          </w:p>
        </w:tc>
        <w:tc>
          <w:tcPr>
            <w:tcW w:w="6520" w:type="dxa"/>
            <w:shd w:val="clear" w:color="auto" w:fill="auto"/>
            <w:vAlign w:val="bottom"/>
          </w:tcPr>
          <w:p w14:paraId="5E37C1A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25,7</w:t>
            </w:r>
          </w:p>
        </w:tc>
      </w:tr>
      <w:tr w:rsidR="00680417" w:rsidRPr="00DA21FF" w14:paraId="651ACCA2" w14:textId="77777777" w:rsidTr="00680417">
        <w:trPr>
          <w:trHeight w:val="240"/>
        </w:trPr>
        <w:tc>
          <w:tcPr>
            <w:tcW w:w="851" w:type="dxa"/>
            <w:shd w:val="clear" w:color="auto" w:fill="auto"/>
          </w:tcPr>
          <w:p w14:paraId="52F48F8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2008</w:t>
            </w:r>
          </w:p>
        </w:tc>
        <w:tc>
          <w:tcPr>
            <w:tcW w:w="6520" w:type="dxa"/>
            <w:shd w:val="clear" w:color="auto" w:fill="auto"/>
            <w:vAlign w:val="bottom"/>
          </w:tcPr>
          <w:p w14:paraId="0B3401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26,4</w:t>
            </w:r>
          </w:p>
        </w:tc>
      </w:tr>
      <w:tr w:rsidR="00680417" w:rsidRPr="00DA21FF" w14:paraId="0817C97D" w14:textId="77777777" w:rsidTr="00680417">
        <w:trPr>
          <w:trHeight w:val="240"/>
        </w:trPr>
        <w:tc>
          <w:tcPr>
            <w:tcW w:w="851" w:type="dxa"/>
            <w:shd w:val="clear" w:color="auto" w:fill="auto"/>
          </w:tcPr>
          <w:p w14:paraId="502957A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2009</w:t>
            </w:r>
          </w:p>
        </w:tc>
        <w:tc>
          <w:tcPr>
            <w:tcW w:w="6520" w:type="dxa"/>
            <w:shd w:val="clear" w:color="auto" w:fill="auto"/>
            <w:vAlign w:val="bottom"/>
          </w:tcPr>
          <w:p w14:paraId="5D14F56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25,2</w:t>
            </w:r>
          </w:p>
        </w:tc>
      </w:tr>
      <w:tr w:rsidR="00680417" w:rsidRPr="00DA21FF" w14:paraId="5D37372F" w14:textId="77777777" w:rsidTr="00680417">
        <w:trPr>
          <w:trHeight w:val="240"/>
        </w:trPr>
        <w:tc>
          <w:tcPr>
            <w:tcW w:w="851" w:type="dxa"/>
            <w:shd w:val="clear" w:color="auto" w:fill="auto"/>
          </w:tcPr>
          <w:p w14:paraId="13997C0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2010</w:t>
            </w:r>
          </w:p>
        </w:tc>
        <w:tc>
          <w:tcPr>
            <w:tcW w:w="6520" w:type="dxa"/>
            <w:shd w:val="clear" w:color="auto" w:fill="auto"/>
            <w:vAlign w:val="bottom"/>
          </w:tcPr>
          <w:p w14:paraId="0238EF0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25,2</w:t>
            </w:r>
          </w:p>
        </w:tc>
      </w:tr>
      <w:tr w:rsidR="00680417" w:rsidRPr="00DA21FF" w14:paraId="71CDE741" w14:textId="77777777" w:rsidTr="00680417">
        <w:trPr>
          <w:trHeight w:val="240"/>
        </w:trPr>
        <w:tc>
          <w:tcPr>
            <w:tcW w:w="851" w:type="dxa"/>
            <w:shd w:val="clear" w:color="auto" w:fill="auto"/>
          </w:tcPr>
          <w:p w14:paraId="2A4CFD2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2011</w:t>
            </w:r>
          </w:p>
        </w:tc>
        <w:tc>
          <w:tcPr>
            <w:tcW w:w="6520" w:type="dxa"/>
            <w:shd w:val="clear" w:color="auto" w:fill="auto"/>
            <w:vAlign w:val="bottom"/>
          </w:tcPr>
          <w:p w14:paraId="66980A3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25,2</w:t>
            </w:r>
          </w:p>
        </w:tc>
      </w:tr>
      <w:tr w:rsidR="00680417" w:rsidRPr="00DA21FF" w14:paraId="54B22C4E" w14:textId="77777777" w:rsidTr="00680417">
        <w:trPr>
          <w:trHeight w:val="240"/>
        </w:trPr>
        <w:tc>
          <w:tcPr>
            <w:tcW w:w="851" w:type="dxa"/>
            <w:shd w:val="clear" w:color="auto" w:fill="auto"/>
          </w:tcPr>
          <w:p w14:paraId="032D96B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2012</w:t>
            </w:r>
          </w:p>
        </w:tc>
        <w:tc>
          <w:tcPr>
            <w:tcW w:w="6520" w:type="dxa"/>
            <w:shd w:val="clear" w:color="auto" w:fill="auto"/>
            <w:vAlign w:val="bottom"/>
          </w:tcPr>
          <w:p w14:paraId="06FA8A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24,9</w:t>
            </w:r>
          </w:p>
        </w:tc>
      </w:tr>
      <w:tr w:rsidR="00680417" w:rsidRPr="00DA21FF" w14:paraId="6C456DBF" w14:textId="77777777" w:rsidTr="00680417">
        <w:trPr>
          <w:trHeight w:val="240"/>
        </w:trPr>
        <w:tc>
          <w:tcPr>
            <w:tcW w:w="851" w:type="dxa"/>
            <w:shd w:val="clear" w:color="auto" w:fill="auto"/>
          </w:tcPr>
          <w:p w14:paraId="525A7F7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2013</w:t>
            </w:r>
          </w:p>
        </w:tc>
        <w:tc>
          <w:tcPr>
            <w:tcW w:w="6520" w:type="dxa"/>
            <w:shd w:val="clear" w:color="auto" w:fill="auto"/>
            <w:vAlign w:val="bottom"/>
          </w:tcPr>
          <w:p w14:paraId="74DA0D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24,7</w:t>
            </w:r>
          </w:p>
        </w:tc>
      </w:tr>
      <w:tr w:rsidR="00680417" w:rsidRPr="00DA21FF" w14:paraId="3E35BCBC" w14:textId="77777777" w:rsidTr="00680417">
        <w:trPr>
          <w:trHeight w:val="240"/>
        </w:trPr>
        <w:tc>
          <w:tcPr>
            <w:tcW w:w="851" w:type="dxa"/>
            <w:shd w:val="clear" w:color="auto" w:fill="auto"/>
          </w:tcPr>
          <w:p w14:paraId="3E902EB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2014</w:t>
            </w:r>
          </w:p>
        </w:tc>
        <w:tc>
          <w:tcPr>
            <w:tcW w:w="6520" w:type="dxa"/>
            <w:shd w:val="clear" w:color="auto" w:fill="auto"/>
            <w:vAlign w:val="bottom"/>
          </w:tcPr>
          <w:p w14:paraId="3C5C5B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23,5</w:t>
            </w:r>
          </w:p>
        </w:tc>
      </w:tr>
      <w:tr w:rsidR="00680417" w:rsidRPr="00DA21FF" w14:paraId="31F79485" w14:textId="77777777" w:rsidTr="00680417">
        <w:trPr>
          <w:trHeight w:val="240"/>
        </w:trPr>
        <w:tc>
          <w:tcPr>
            <w:tcW w:w="851" w:type="dxa"/>
            <w:shd w:val="clear" w:color="auto" w:fill="auto"/>
          </w:tcPr>
          <w:p w14:paraId="2E965DA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2015</w:t>
            </w:r>
          </w:p>
        </w:tc>
        <w:tc>
          <w:tcPr>
            <w:tcW w:w="6520" w:type="dxa"/>
            <w:shd w:val="clear" w:color="auto" w:fill="auto"/>
            <w:vAlign w:val="bottom"/>
          </w:tcPr>
          <w:p w14:paraId="599486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23,5</w:t>
            </w:r>
          </w:p>
        </w:tc>
      </w:tr>
      <w:tr w:rsidR="00680417" w:rsidRPr="00DA21FF" w14:paraId="2725F301" w14:textId="77777777" w:rsidTr="00680417">
        <w:trPr>
          <w:trHeight w:val="240"/>
        </w:trPr>
        <w:tc>
          <w:tcPr>
            <w:tcW w:w="851" w:type="dxa"/>
            <w:shd w:val="clear" w:color="auto" w:fill="auto"/>
          </w:tcPr>
          <w:p w14:paraId="02096D8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2016</w:t>
            </w:r>
          </w:p>
        </w:tc>
        <w:tc>
          <w:tcPr>
            <w:tcW w:w="6520" w:type="dxa"/>
            <w:shd w:val="clear" w:color="auto" w:fill="auto"/>
            <w:vAlign w:val="bottom"/>
          </w:tcPr>
          <w:p w14:paraId="3EBB01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22,0</w:t>
            </w:r>
          </w:p>
        </w:tc>
      </w:tr>
      <w:tr w:rsidR="00680417" w:rsidRPr="00DA21FF" w14:paraId="41602DCF" w14:textId="77777777" w:rsidTr="00680417">
        <w:trPr>
          <w:trHeight w:val="240"/>
        </w:trPr>
        <w:tc>
          <w:tcPr>
            <w:tcW w:w="851" w:type="dxa"/>
            <w:shd w:val="clear" w:color="auto" w:fill="auto"/>
          </w:tcPr>
          <w:p w14:paraId="75E82C7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6520" w:type="dxa"/>
            <w:shd w:val="clear" w:color="auto" w:fill="auto"/>
            <w:vAlign w:val="bottom"/>
          </w:tcPr>
          <w:p w14:paraId="66FE35B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22,3</w:t>
            </w:r>
          </w:p>
        </w:tc>
      </w:tr>
      <w:tr w:rsidR="00680417" w:rsidRPr="00DA21FF" w14:paraId="3FB912C0" w14:textId="77777777" w:rsidTr="00680417">
        <w:trPr>
          <w:trHeight w:val="240"/>
        </w:trPr>
        <w:tc>
          <w:tcPr>
            <w:tcW w:w="851" w:type="dxa"/>
            <w:shd w:val="clear" w:color="auto" w:fill="auto"/>
          </w:tcPr>
          <w:p w14:paraId="21CA471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2018</w:t>
            </w:r>
          </w:p>
        </w:tc>
        <w:tc>
          <w:tcPr>
            <w:tcW w:w="6520" w:type="dxa"/>
            <w:shd w:val="clear" w:color="auto" w:fill="auto"/>
            <w:vAlign w:val="bottom"/>
          </w:tcPr>
          <w:p w14:paraId="68166F4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22,2</w:t>
            </w:r>
          </w:p>
        </w:tc>
      </w:tr>
      <w:tr w:rsidR="00680417" w:rsidRPr="00DA21FF" w14:paraId="1FCFB676" w14:textId="77777777" w:rsidTr="00680417">
        <w:trPr>
          <w:trHeight w:val="240"/>
        </w:trPr>
        <w:tc>
          <w:tcPr>
            <w:tcW w:w="851" w:type="dxa"/>
            <w:shd w:val="clear" w:color="auto" w:fill="auto"/>
          </w:tcPr>
          <w:p w14:paraId="3A111C8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2019</w:t>
            </w:r>
          </w:p>
        </w:tc>
        <w:tc>
          <w:tcPr>
            <w:tcW w:w="6520" w:type="dxa"/>
            <w:shd w:val="clear" w:color="auto" w:fill="auto"/>
            <w:vAlign w:val="bottom"/>
          </w:tcPr>
          <w:p w14:paraId="3D812E0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21,3</w:t>
            </w:r>
          </w:p>
        </w:tc>
      </w:tr>
      <w:tr w:rsidR="00680417" w:rsidRPr="00DA21FF" w14:paraId="1FEAE027" w14:textId="77777777" w:rsidTr="00680417">
        <w:trPr>
          <w:trHeight w:val="240"/>
        </w:trPr>
        <w:tc>
          <w:tcPr>
            <w:tcW w:w="851" w:type="dxa"/>
            <w:shd w:val="clear" w:color="auto" w:fill="auto"/>
          </w:tcPr>
          <w:p w14:paraId="7E97804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lastRenderedPageBreak/>
              <w:t>2020</w:t>
            </w:r>
          </w:p>
        </w:tc>
        <w:tc>
          <w:tcPr>
            <w:tcW w:w="6520" w:type="dxa"/>
            <w:shd w:val="clear" w:color="auto" w:fill="auto"/>
            <w:vAlign w:val="bottom"/>
          </w:tcPr>
          <w:p w14:paraId="1520A1C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20,7</w:t>
            </w:r>
          </w:p>
        </w:tc>
      </w:tr>
      <w:tr w:rsidR="00680417" w:rsidRPr="00DA21FF" w14:paraId="209473C6" w14:textId="77777777" w:rsidTr="00680417">
        <w:trPr>
          <w:trHeight w:val="240"/>
        </w:trPr>
        <w:tc>
          <w:tcPr>
            <w:tcW w:w="851" w:type="dxa"/>
            <w:shd w:val="clear" w:color="auto" w:fill="auto"/>
          </w:tcPr>
          <w:p w14:paraId="10A60CF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6520" w:type="dxa"/>
            <w:shd w:val="clear" w:color="auto" w:fill="auto"/>
            <w:vAlign w:val="bottom"/>
          </w:tcPr>
          <w:p w14:paraId="4D4D111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19,2</w:t>
            </w:r>
          </w:p>
        </w:tc>
      </w:tr>
      <w:tr w:rsidR="00680417" w:rsidRPr="00DA21FF" w14:paraId="08EC9621" w14:textId="77777777" w:rsidTr="00680417">
        <w:trPr>
          <w:trHeight w:val="240"/>
        </w:trPr>
        <w:tc>
          <w:tcPr>
            <w:tcW w:w="851" w:type="dxa"/>
            <w:shd w:val="clear" w:color="auto" w:fill="auto"/>
          </w:tcPr>
          <w:p w14:paraId="7A2A280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2022</w:t>
            </w:r>
          </w:p>
        </w:tc>
        <w:tc>
          <w:tcPr>
            <w:tcW w:w="6520" w:type="dxa"/>
            <w:shd w:val="clear" w:color="auto" w:fill="auto"/>
            <w:vAlign w:val="bottom"/>
          </w:tcPr>
          <w:p w14:paraId="3E4F729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23,1</w:t>
            </w:r>
          </w:p>
        </w:tc>
      </w:tr>
      <w:tr w:rsidR="00680417" w:rsidRPr="00DA21FF" w14:paraId="260FA34E" w14:textId="77777777" w:rsidTr="00680417">
        <w:trPr>
          <w:trHeight w:val="240"/>
        </w:trPr>
        <w:tc>
          <w:tcPr>
            <w:tcW w:w="851" w:type="dxa"/>
            <w:tcBorders>
              <w:bottom w:val="single" w:sz="12" w:space="0" w:color="auto"/>
            </w:tcBorders>
            <w:shd w:val="clear" w:color="auto" w:fill="auto"/>
          </w:tcPr>
          <w:p w14:paraId="7748201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6520" w:type="dxa"/>
            <w:tcBorders>
              <w:bottom w:val="single" w:sz="12" w:space="0" w:color="auto"/>
            </w:tcBorders>
            <w:shd w:val="clear" w:color="auto" w:fill="auto"/>
            <w:vAlign w:val="bottom"/>
          </w:tcPr>
          <w:p w14:paraId="250403B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24,5</w:t>
            </w:r>
          </w:p>
        </w:tc>
      </w:tr>
    </w:tbl>
    <w:p w14:paraId="40F8ABAC" w14:textId="77777777" w:rsidR="00DA21FF" w:rsidRPr="00DA21FF" w:rsidRDefault="00DA21FF" w:rsidP="00B6440E">
      <w:pPr>
        <w:pStyle w:val="SingleTxtG"/>
        <w:spacing w:before="240"/>
        <w:rPr>
          <w:lang w:val="en-GB"/>
        </w:rPr>
      </w:pPr>
      <w:r w:rsidRPr="00DA21FF">
        <w:t xml:space="preserve">33. </w:t>
      </w:r>
      <w:r w:rsidRPr="00DA21FF">
        <w:tab/>
        <w:t xml:space="preserve">El cuadro siguiente muestra el número de </w:t>
      </w:r>
      <w:r w:rsidRPr="00373B5F">
        <w:rPr>
          <w:u w:val="single"/>
        </w:rPr>
        <w:t>nuevos casos de VIH, sida, sífilis y gonorrea</w:t>
      </w:r>
      <w:r w:rsidRPr="00DA21FF">
        <w:t xml:space="preserve"> al año.</w:t>
      </w:r>
    </w:p>
    <w:p w14:paraId="1EDEB223" w14:textId="77777777" w:rsidR="00DA21FF" w:rsidRPr="00DA21FF" w:rsidRDefault="00DA21FF" w:rsidP="00B6440E">
      <w:pPr>
        <w:pStyle w:val="H23G"/>
        <w:rPr>
          <w:lang w:val="en-GB"/>
        </w:rPr>
      </w:pPr>
      <w:r w:rsidRPr="00DA21FF">
        <w:tab/>
      </w:r>
      <w:r w:rsidRPr="00DA21FF">
        <w:tab/>
        <w:t>Todas las edades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39"/>
        <w:gridCol w:w="1072"/>
        <w:gridCol w:w="639"/>
        <w:gridCol w:w="640"/>
        <w:gridCol w:w="640"/>
        <w:gridCol w:w="633"/>
        <w:gridCol w:w="633"/>
        <w:gridCol w:w="640"/>
        <w:gridCol w:w="734"/>
      </w:tblGrid>
      <w:tr w:rsidR="000725E8" w:rsidRPr="00680417" w14:paraId="4074D584" w14:textId="77777777" w:rsidTr="000725E8">
        <w:trPr>
          <w:trHeight w:val="240"/>
          <w:tblHeader/>
        </w:trPr>
        <w:tc>
          <w:tcPr>
            <w:tcW w:w="1723" w:type="dxa"/>
            <w:vMerge w:val="restart"/>
            <w:tcBorders>
              <w:top w:val="single" w:sz="4" w:space="0" w:color="auto"/>
            </w:tcBorders>
            <w:shd w:val="clear" w:color="auto" w:fill="auto"/>
            <w:noWrap/>
            <w:vAlign w:val="bottom"/>
          </w:tcPr>
          <w:p w14:paraId="6064BB95" w14:textId="025B1EFE" w:rsidR="000725E8" w:rsidRPr="00DA21FF" w:rsidRDefault="000725E8" w:rsidP="00B6440E">
            <w:pPr>
              <w:pStyle w:val="SingleTxtG"/>
              <w:spacing w:before="80" w:after="80" w:line="200" w:lineRule="exact"/>
              <w:ind w:left="0" w:right="0"/>
              <w:jc w:val="left"/>
              <w:rPr>
                <w:i/>
                <w:iCs/>
                <w:sz w:val="16"/>
                <w:lang w:val="en-GB"/>
              </w:rPr>
            </w:pPr>
            <w:r w:rsidRPr="00DA21FF">
              <w:rPr>
                <w:i/>
                <w:iCs/>
                <w:sz w:val="16"/>
              </w:rPr>
              <w:t>Enfermedad</w:t>
            </w:r>
          </w:p>
        </w:tc>
        <w:tc>
          <w:tcPr>
            <w:tcW w:w="1056" w:type="dxa"/>
            <w:vMerge w:val="restart"/>
            <w:tcBorders>
              <w:top w:val="single" w:sz="4" w:space="0" w:color="auto"/>
            </w:tcBorders>
            <w:shd w:val="clear" w:color="auto" w:fill="auto"/>
            <w:noWrap/>
            <w:vAlign w:val="bottom"/>
          </w:tcPr>
          <w:p w14:paraId="137D3F4A" w14:textId="3D297FEA" w:rsidR="000725E8" w:rsidRPr="00DA21FF" w:rsidRDefault="000725E8" w:rsidP="00E95817">
            <w:pPr>
              <w:pStyle w:val="SingleTxtG"/>
              <w:spacing w:before="80" w:after="80" w:line="200" w:lineRule="exact"/>
              <w:ind w:left="0" w:right="0"/>
              <w:jc w:val="left"/>
              <w:rPr>
                <w:i/>
                <w:iCs/>
                <w:sz w:val="16"/>
                <w:lang w:val="en-GB"/>
              </w:rPr>
            </w:pPr>
            <w:r w:rsidRPr="00DA21FF">
              <w:rPr>
                <w:i/>
                <w:iCs/>
                <w:sz w:val="16"/>
              </w:rPr>
              <w:t>Sexo</w:t>
            </w:r>
          </w:p>
        </w:tc>
        <w:tc>
          <w:tcPr>
            <w:tcW w:w="4591" w:type="dxa"/>
            <w:gridSpan w:val="7"/>
            <w:tcBorders>
              <w:top w:val="single" w:sz="4" w:space="0" w:color="auto"/>
              <w:bottom w:val="single" w:sz="4" w:space="0" w:color="auto"/>
            </w:tcBorders>
            <w:shd w:val="clear" w:color="auto" w:fill="auto"/>
            <w:vAlign w:val="bottom"/>
          </w:tcPr>
          <w:p w14:paraId="46F1AC89" w14:textId="77777777" w:rsidR="000725E8" w:rsidRPr="00DA21FF" w:rsidRDefault="000725E8" w:rsidP="00BF113C">
            <w:pPr>
              <w:pStyle w:val="SingleTxtG"/>
              <w:tabs>
                <w:tab w:val="clear" w:pos="1701"/>
                <w:tab w:val="clear" w:pos="2268"/>
                <w:tab w:val="clear" w:pos="2835"/>
              </w:tabs>
              <w:spacing w:before="80" w:after="80" w:line="200" w:lineRule="exact"/>
              <w:ind w:left="0" w:right="0"/>
              <w:jc w:val="center"/>
              <w:rPr>
                <w:i/>
                <w:sz w:val="16"/>
                <w:lang w:val="en-GB"/>
              </w:rPr>
            </w:pPr>
            <w:r w:rsidRPr="00DA21FF">
              <w:rPr>
                <w:i/>
                <w:iCs/>
                <w:sz w:val="16"/>
              </w:rPr>
              <w:t>Año</w:t>
            </w:r>
          </w:p>
        </w:tc>
      </w:tr>
      <w:tr w:rsidR="000725E8" w:rsidRPr="00DA21FF" w14:paraId="009063F5" w14:textId="77777777" w:rsidTr="000725E8">
        <w:trPr>
          <w:trHeight w:val="240"/>
          <w:tblHeader/>
        </w:trPr>
        <w:tc>
          <w:tcPr>
            <w:tcW w:w="1723" w:type="dxa"/>
            <w:vMerge/>
            <w:tcBorders>
              <w:bottom w:val="single" w:sz="12" w:space="0" w:color="auto"/>
            </w:tcBorders>
            <w:shd w:val="clear" w:color="auto" w:fill="auto"/>
            <w:noWrap/>
          </w:tcPr>
          <w:p w14:paraId="5D30094F" w14:textId="756016E4"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p>
        </w:tc>
        <w:tc>
          <w:tcPr>
            <w:tcW w:w="1056" w:type="dxa"/>
            <w:vMerge/>
            <w:tcBorders>
              <w:bottom w:val="single" w:sz="12" w:space="0" w:color="auto"/>
            </w:tcBorders>
            <w:shd w:val="clear" w:color="auto" w:fill="auto"/>
            <w:noWrap/>
            <w:vAlign w:val="bottom"/>
          </w:tcPr>
          <w:p w14:paraId="16E20C2B" w14:textId="0CDE09C5" w:rsidR="000725E8" w:rsidRPr="00DA21FF" w:rsidRDefault="000725E8" w:rsidP="00E95817">
            <w:pPr>
              <w:pStyle w:val="SingleTxtG"/>
              <w:tabs>
                <w:tab w:val="clear" w:pos="1701"/>
                <w:tab w:val="clear" w:pos="2268"/>
                <w:tab w:val="clear" w:pos="2835"/>
              </w:tabs>
              <w:spacing w:before="80" w:after="80" w:line="200" w:lineRule="exact"/>
              <w:ind w:left="0" w:right="0"/>
              <w:jc w:val="left"/>
              <w:rPr>
                <w:i/>
                <w:iCs/>
                <w:sz w:val="16"/>
              </w:rPr>
            </w:pPr>
          </w:p>
        </w:tc>
        <w:tc>
          <w:tcPr>
            <w:tcW w:w="647" w:type="dxa"/>
            <w:tcBorders>
              <w:top w:val="single" w:sz="4" w:space="0" w:color="auto"/>
              <w:bottom w:val="single" w:sz="12" w:space="0" w:color="auto"/>
            </w:tcBorders>
            <w:shd w:val="clear" w:color="auto" w:fill="auto"/>
            <w:vAlign w:val="bottom"/>
          </w:tcPr>
          <w:p w14:paraId="78F999BF"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2017</w:t>
            </w:r>
          </w:p>
        </w:tc>
        <w:tc>
          <w:tcPr>
            <w:tcW w:w="648" w:type="dxa"/>
            <w:tcBorders>
              <w:top w:val="single" w:sz="4" w:space="0" w:color="auto"/>
              <w:bottom w:val="single" w:sz="12" w:space="0" w:color="auto"/>
            </w:tcBorders>
            <w:shd w:val="clear" w:color="auto" w:fill="auto"/>
            <w:vAlign w:val="bottom"/>
          </w:tcPr>
          <w:p w14:paraId="1A8C2335"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2018</w:t>
            </w:r>
          </w:p>
        </w:tc>
        <w:tc>
          <w:tcPr>
            <w:tcW w:w="648" w:type="dxa"/>
            <w:tcBorders>
              <w:top w:val="single" w:sz="4" w:space="0" w:color="auto"/>
              <w:bottom w:val="single" w:sz="12" w:space="0" w:color="auto"/>
            </w:tcBorders>
            <w:shd w:val="clear" w:color="auto" w:fill="auto"/>
            <w:vAlign w:val="bottom"/>
          </w:tcPr>
          <w:p w14:paraId="0D2F749C"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2019</w:t>
            </w:r>
          </w:p>
        </w:tc>
        <w:tc>
          <w:tcPr>
            <w:tcW w:w="641" w:type="dxa"/>
            <w:tcBorders>
              <w:top w:val="single" w:sz="4" w:space="0" w:color="auto"/>
              <w:bottom w:val="single" w:sz="12" w:space="0" w:color="auto"/>
            </w:tcBorders>
            <w:shd w:val="clear" w:color="auto" w:fill="auto"/>
            <w:vAlign w:val="bottom"/>
          </w:tcPr>
          <w:p w14:paraId="70993BAB"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2020</w:t>
            </w:r>
          </w:p>
        </w:tc>
        <w:tc>
          <w:tcPr>
            <w:tcW w:w="641" w:type="dxa"/>
            <w:tcBorders>
              <w:top w:val="single" w:sz="4" w:space="0" w:color="auto"/>
              <w:bottom w:val="single" w:sz="12" w:space="0" w:color="auto"/>
            </w:tcBorders>
            <w:shd w:val="clear" w:color="auto" w:fill="auto"/>
            <w:vAlign w:val="bottom"/>
          </w:tcPr>
          <w:p w14:paraId="4192F566"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2021</w:t>
            </w:r>
          </w:p>
        </w:tc>
        <w:tc>
          <w:tcPr>
            <w:tcW w:w="648" w:type="dxa"/>
            <w:tcBorders>
              <w:top w:val="single" w:sz="4" w:space="0" w:color="auto"/>
              <w:bottom w:val="single" w:sz="12" w:space="0" w:color="auto"/>
            </w:tcBorders>
            <w:shd w:val="clear" w:color="auto" w:fill="auto"/>
            <w:vAlign w:val="bottom"/>
          </w:tcPr>
          <w:p w14:paraId="3DDD21A5"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2022</w:t>
            </w:r>
          </w:p>
        </w:tc>
        <w:tc>
          <w:tcPr>
            <w:tcW w:w="718" w:type="dxa"/>
            <w:tcBorders>
              <w:top w:val="single" w:sz="4" w:space="0" w:color="auto"/>
              <w:bottom w:val="single" w:sz="12" w:space="0" w:color="auto"/>
            </w:tcBorders>
            <w:shd w:val="clear" w:color="auto" w:fill="auto"/>
            <w:noWrap/>
            <w:vAlign w:val="bottom"/>
          </w:tcPr>
          <w:p w14:paraId="67609DBE" w14:textId="77777777" w:rsidR="000725E8" w:rsidRPr="00DA21FF" w:rsidRDefault="000725E8" w:rsidP="00B6440E">
            <w:pPr>
              <w:pStyle w:val="SingleTxtG"/>
              <w:tabs>
                <w:tab w:val="clear" w:pos="1701"/>
                <w:tab w:val="clear" w:pos="2268"/>
                <w:tab w:val="clear" w:pos="2835"/>
              </w:tabs>
              <w:spacing w:before="80" w:after="80" w:line="200" w:lineRule="exact"/>
              <w:ind w:left="113" w:right="0"/>
              <w:jc w:val="right"/>
              <w:rPr>
                <w:i/>
                <w:iCs/>
                <w:sz w:val="16"/>
              </w:rPr>
            </w:pPr>
            <w:r w:rsidRPr="00DA21FF">
              <w:rPr>
                <w:i/>
                <w:iCs/>
                <w:sz w:val="16"/>
              </w:rPr>
              <w:t>2023</w:t>
            </w:r>
          </w:p>
        </w:tc>
      </w:tr>
      <w:tr w:rsidR="00680417" w:rsidRPr="00DA21FF" w14:paraId="5D046A9B" w14:textId="77777777" w:rsidTr="000725E8">
        <w:trPr>
          <w:trHeight w:val="240"/>
        </w:trPr>
        <w:tc>
          <w:tcPr>
            <w:tcW w:w="1723" w:type="dxa"/>
            <w:tcBorders>
              <w:top w:val="single" w:sz="12" w:space="0" w:color="auto"/>
            </w:tcBorders>
            <w:shd w:val="clear" w:color="auto" w:fill="auto"/>
            <w:noWrap/>
          </w:tcPr>
          <w:p w14:paraId="7014569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VIH</w:t>
            </w:r>
          </w:p>
        </w:tc>
        <w:tc>
          <w:tcPr>
            <w:tcW w:w="1056" w:type="dxa"/>
            <w:tcBorders>
              <w:top w:val="single" w:sz="12" w:space="0" w:color="auto"/>
            </w:tcBorders>
            <w:shd w:val="clear" w:color="auto" w:fill="auto"/>
            <w:noWrap/>
            <w:vAlign w:val="bottom"/>
          </w:tcPr>
          <w:p w14:paraId="574C108A"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647" w:type="dxa"/>
            <w:tcBorders>
              <w:top w:val="single" w:sz="12" w:space="0" w:color="auto"/>
            </w:tcBorders>
            <w:shd w:val="clear" w:color="auto" w:fill="auto"/>
            <w:vAlign w:val="bottom"/>
          </w:tcPr>
          <w:p w14:paraId="1C2364D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155</w:t>
            </w:r>
          </w:p>
        </w:tc>
        <w:tc>
          <w:tcPr>
            <w:tcW w:w="648" w:type="dxa"/>
            <w:tcBorders>
              <w:top w:val="single" w:sz="12" w:space="0" w:color="auto"/>
            </w:tcBorders>
            <w:shd w:val="clear" w:color="auto" w:fill="auto"/>
            <w:vAlign w:val="bottom"/>
          </w:tcPr>
          <w:p w14:paraId="14E126E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122</w:t>
            </w:r>
          </w:p>
        </w:tc>
        <w:tc>
          <w:tcPr>
            <w:tcW w:w="648" w:type="dxa"/>
            <w:tcBorders>
              <w:top w:val="single" w:sz="12" w:space="0" w:color="auto"/>
            </w:tcBorders>
            <w:shd w:val="clear" w:color="auto" w:fill="auto"/>
            <w:vAlign w:val="bottom"/>
          </w:tcPr>
          <w:p w14:paraId="1C9D999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112</w:t>
            </w:r>
          </w:p>
        </w:tc>
        <w:tc>
          <w:tcPr>
            <w:tcW w:w="641" w:type="dxa"/>
            <w:tcBorders>
              <w:top w:val="single" w:sz="12" w:space="0" w:color="auto"/>
            </w:tcBorders>
            <w:shd w:val="clear" w:color="auto" w:fill="auto"/>
            <w:vAlign w:val="bottom"/>
          </w:tcPr>
          <w:p w14:paraId="65195E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91</w:t>
            </w:r>
          </w:p>
        </w:tc>
        <w:tc>
          <w:tcPr>
            <w:tcW w:w="641" w:type="dxa"/>
            <w:tcBorders>
              <w:top w:val="single" w:sz="12" w:space="0" w:color="auto"/>
            </w:tcBorders>
            <w:shd w:val="clear" w:color="auto" w:fill="auto"/>
            <w:vAlign w:val="bottom"/>
          </w:tcPr>
          <w:p w14:paraId="194503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64</w:t>
            </w:r>
          </w:p>
        </w:tc>
        <w:tc>
          <w:tcPr>
            <w:tcW w:w="648" w:type="dxa"/>
            <w:tcBorders>
              <w:top w:val="single" w:sz="12" w:space="0" w:color="auto"/>
            </w:tcBorders>
            <w:shd w:val="clear" w:color="auto" w:fill="auto"/>
            <w:vAlign w:val="bottom"/>
          </w:tcPr>
          <w:p w14:paraId="07A2367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136</w:t>
            </w:r>
          </w:p>
        </w:tc>
        <w:tc>
          <w:tcPr>
            <w:tcW w:w="718" w:type="dxa"/>
            <w:tcBorders>
              <w:top w:val="single" w:sz="12" w:space="0" w:color="auto"/>
            </w:tcBorders>
            <w:shd w:val="clear" w:color="auto" w:fill="auto"/>
            <w:noWrap/>
            <w:vAlign w:val="bottom"/>
          </w:tcPr>
          <w:p w14:paraId="750F0A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205</w:t>
            </w:r>
          </w:p>
        </w:tc>
      </w:tr>
      <w:tr w:rsidR="00680417" w:rsidRPr="00DA21FF" w14:paraId="63F49F99" w14:textId="77777777" w:rsidTr="000725E8">
        <w:trPr>
          <w:trHeight w:val="240"/>
        </w:trPr>
        <w:tc>
          <w:tcPr>
            <w:tcW w:w="1723" w:type="dxa"/>
            <w:shd w:val="clear" w:color="auto" w:fill="auto"/>
            <w:noWrap/>
          </w:tcPr>
          <w:p w14:paraId="0D7A954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lang w:val="en-GB"/>
              </w:rPr>
              <w:t xml:space="preserve"> </w:t>
            </w:r>
          </w:p>
        </w:tc>
        <w:tc>
          <w:tcPr>
            <w:tcW w:w="1056" w:type="dxa"/>
            <w:shd w:val="clear" w:color="auto" w:fill="auto"/>
            <w:noWrap/>
            <w:vAlign w:val="bottom"/>
          </w:tcPr>
          <w:p w14:paraId="32BC8308"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647" w:type="dxa"/>
            <w:shd w:val="clear" w:color="auto" w:fill="auto"/>
            <w:vAlign w:val="bottom"/>
          </w:tcPr>
          <w:p w14:paraId="04FB88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58</w:t>
            </w:r>
          </w:p>
        </w:tc>
        <w:tc>
          <w:tcPr>
            <w:tcW w:w="648" w:type="dxa"/>
            <w:shd w:val="clear" w:color="auto" w:fill="auto"/>
            <w:vAlign w:val="bottom"/>
          </w:tcPr>
          <w:p w14:paraId="409E17E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69</w:t>
            </w:r>
          </w:p>
        </w:tc>
        <w:tc>
          <w:tcPr>
            <w:tcW w:w="648" w:type="dxa"/>
            <w:shd w:val="clear" w:color="auto" w:fill="auto"/>
            <w:vAlign w:val="bottom"/>
          </w:tcPr>
          <w:p w14:paraId="0C08154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60</w:t>
            </w:r>
          </w:p>
        </w:tc>
        <w:tc>
          <w:tcPr>
            <w:tcW w:w="641" w:type="dxa"/>
            <w:shd w:val="clear" w:color="auto" w:fill="auto"/>
            <w:vAlign w:val="bottom"/>
          </w:tcPr>
          <w:p w14:paraId="2D25BB4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46</w:t>
            </w:r>
          </w:p>
        </w:tc>
        <w:tc>
          <w:tcPr>
            <w:tcW w:w="641" w:type="dxa"/>
            <w:shd w:val="clear" w:color="auto" w:fill="auto"/>
            <w:vAlign w:val="bottom"/>
          </w:tcPr>
          <w:p w14:paraId="1B8F901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38</w:t>
            </w:r>
          </w:p>
        </w:tc>
        <w:tc>
          <w:tcPr>
            <w:tcW w:w="648" w:type="dxa"/>
            <w:shd w:val="clear" w:color="auto" w:fill="auto"/>
            <w:vAlign w:val="bottom"/>
          </w:tcPr>
          <w:p w14:paraId="6D981D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109</w:t>
            </w:r>
          </w:p>
        </w:tc>
        <w:tc>
          <w:tcPr>
            <w:tcW w:w="718" w:type="dxa"/>
            <w:shd w:val="clear" w:color="auto" w:fill="auto"/>
            <w:noWrap/>
            <w:vAlign w:val="bottom"/>
          </w:tcPr>
          <w:p w14:paraId="7FAE7CB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127</w:t>
            </w:r>
          </w:p>
        </w:tc>
      </w:tr>
      <w:tr w:rsidR="00680417" w:rsidRPr="00DA21FF" w14:paraId="649D31AB" w14:textId="77777777" w:rsidTr="000725E8">
        <w:trPr>
          <w:trHeight w:val="240"/>
        </w:trPr>
        <w:tc>
          <w:tcPr>
            <w:tcW w:w="1723" w:type="dxa"/>
            <w:shd w:val="clear" w:color="auto" w:fill="auto"/>
            <w:noWrap/>
          </w:tcPr>
          <w:p w14:paraId="3A9BA64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Sida</w:t>
            </w:r>
          </w:p>
        </w:tc>
        <w:tc>
          <w:tcPr>
            <w:tcW w:w="1056" w:type="dxa"/>
            <w:shd w:val="clear" w:color="auto" w:fill="auto"/>
            <w:noWrap/>
            <w:vAlign w:val="bottom"/>
          </w:tcPr>
          <w:p w14:paraId="004772CD"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647" w:type="dxa"/>
            <w:shd w:val="clear" w:color="auto" w:fill="auto"/>
            <w:vAlign w:val="bottom"/>
          </w:tcPr>
          <w:p w14:paraId="500BD6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13</w:t>
            </w:r>
          </w:p>
        </w:tc>
        <w:tc>
          <w:tcPr>
            <w:tcW w:w="648" w:type="dxa"/>
            <w:shd w:val="clear" w:color="auto" w:fill="auto"/>
            <w:vAlign w:val="bottom"/>
          </w:tcPr>
          <w:p w14:paraId="7143DB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9</w:t>
            </w:r>
          </w:p>
        </w:tc>
        <w:tc>
          <w:tcPr>
            <w:tcW w:w="648" w:type="dxa"/>
            <w:shd w:val="clear" w:color="auto" w:fill="auto"/>
            <w:vAlign w:val="bottom"/>
          </w:tcPr>
          <w:p w14:paraId="533AC8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14</w:t>
            </w:r>
          </w:p>
        </w:tc>
        <w:tc>
          <w:tcPr>
            <w:tcW w:w="641" w:type="dxa"/>
            <w:shd w:val="clear" w:color="auto" w:fill="auto"/>
            <w:vAlign w:val="bottom"/>
          </w:tcPr>
          <w:p w14:paraId="112B8B6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10</w:t>
            </w:r>
          </w:p>
        </w:tc>
        <w:tc>
          <w:tcPr>
            <w:tcW w:w="641" w:type="dxa"/>
            <w:shd w:val="clear" w:color="auto" w:fill="auto"/>
            <w:vAlign w:val="bottom"/>
          </w:tcPr>
          <w:p w14:paraId="4E90D1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13</w:t>
            </w:r>
          </w:p>
        </w:tc>
        <w:tc>
          <w:tcPr>
            <w:tcW w:w="648" w:type="dxa"/>
            <w:shd w:val="clear" w:color="auto" w:fill="auto"/>
            <w:vAlign w:val="bottom"/>
          </w:tcPr>
          <w:p w14:paraId="24B3B47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11</w:t>
            </w:r>
          </w:p>
        </w:tc>
        <w:tc>
          <w:tcPr>
            <w:tcW w:w="718" w:type="dxa"/>
            <w:shd w:val="clear" w:color="auto" w:fill="auto"/>
            <w:noWrap/>
            <w:vAlign w:val="bottom"/>
          </w:tcPr>
          <w:p w14:paraId="1D1FB6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13</w:t>
            </w:r>
          </w:p>
        </w:tc>
      </w:tr>
      <w:tr w:rsidR="00680417" w:rsidRPr="00DA21FF" w14:paraId="03F63B93" w14:textId="77777777" w:rsidTr="000725E8">
        <w:trPr>
          <w:trHeight w:val="240"/>
        </w:trPr>
        <w:tc>
          <w:tcPr>
            <w:tcW w:w="1723" w:type="dxa"/>
            <w:shd w:val="clear" w:color="auto" w:fill="auto"/>
            <w:noWrap/>
          </w:tcPr>
          <w:p w14:paraId="7D874BF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lang w:val="en-GB"/>
              </w:rPr>
              <w:t xml:space="preserve"> </w:t>
            </w:r>
          </w:p>
        </w:tc>
        <w:tc>
          <w:tcPr>
            <w:tcW w:w="1056" w:type="dxa"/>
            <w:shd w:val="clear" w:color="auto" w:fill="auto"/>
            <w:noWrap/>
            <w:vAlign w:val="bottom"/>
          </w:tcPr>
          <w:p w14:paraId="4A7AB460"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647" w:type="dxa"/>
            <w:shd w:val="clear" w:color="auto" w:fill="auto"/>
            <w:vAlign w:val="bottom"/>
          </w:tcPr>
          <w:p w14:paraId="606698C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5</w:t>
            </w:r>
          </w:p>
        </w:tc>
        <w:tc>
          <w:tcPr>
            <w:tcW w:w="648" w:type="dxa"/>
            <w:shd w:val="clear" w:color="auto" w:fill="auto"/>
            <w:vAlign w:val="bottom"/>
          </w:tcPr>
          <w:p w14:paraId="5AFFAB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3</w:t>
            </w:r>
          </w:p>
        </w:tc>
        <w:tc>
          <w:tcPr>
            <w:tcW w:w="648" w:type="dxa"/>
            <w:shd w:val="clear" w:color="auto" w:fill="auto"/>
            <w:vAlign w:val="bottom"/>
          </w:tcPr>
          <w:p w14:paraId="1D70FF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5</w:t>
            </w:r>
          </w:p>
        </w:tc>
        <w:tc>
          <w:tcPr>
            <w:tcW w:w="641" w:type="dxa"/>
            <w:shd w:val="clear" w:color="auto" w:fill="auto"/>
            <w:vAlign w:val="bottom"/>
          </w:tcPr>
          <w:p w14:paraId="12F921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p>
        </w:tc>
        <w:tc>
          <w:tcPr>
            <w:tcW w:w="641" w:type="dxa"/>
            <w:shd w:val="clear" w:color="auto" w:fill="auto"/>
            <w:vAlign w:val="bottom"/>
          </w:tcPr>
          <w:p w14:paraId="7A8DF7F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10</w:t>
            </w:r>
          </w:p>
        </w:tc>
        <w:tc>
          <w:tcPr>
            <w:tcW w:w="648" w:type="dxa"/>
            <w:shd w:val="clear" w:color="auto" w:fill="auto"/>
            <w:vAlign w:val="bottom"/>
          </w:tcPr>
          <w:p w14:paraId="336F6E5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9</w:t>
            </w:r>
          </w:p>
        </w:tc>
        <w:tc>
          <w:tcPr>
            <w:tcW w:w="718" w:type="dxa"/>
            <w:shd w:val="clear" w:color="auto" w:fill="auto"/>
            <w:noWrap/>
            <w:vAlign w:val="bottom"/>
          </w:tcPr>
          <w:p w14:paraId="54E8D9B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6</w:t>
            </w:r>
          </w:p>
        </w:tc>
      </w:tr>
      <w:tr w:rsidR="00680417" w:rsidRPr="00DA21FF" w14:paraId="1068DC19" w14:textId="77777777" w:rsidTr="000725E8">
        <w:trPr>
          <w:trHeight w:val="240"/>
        </w:trPr>
        <w:tc>
          <w:tcPr>
            <w:tcW w:w="1723" w:type="dxa"/>
            <w:shd w:val="clear" w:color="auto" w:fill="auto"/>
            <w:noWrap/>
          </w:tcPr>
          <w:p w14:paraId="185818F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Sífilis</w:t>
            </w:r>
          </w:p>
        </w:tc>
        <w:tc>
          <w:tcPr>
            <w:tcW w:w="1056" w:type="dxa"/>
            <w:shd w:val="clear" w:color="auto" w:fill="auto"/>
            <w:noWrap/>
            <w:vAlign w:val="bottom"/>
          </w:tcPr>
          <w:p w14:paraId="06C1CBA4"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647" w:type="dxa"/>
            <w:shd w:val="clear" w:color="auto" w:fill="auto"/>
            <w:vAlign w:val="bottom"/>
          </w:tcPr>
          <w:p w14:paraId="53AE103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207</w:t>
            </w:r>
          </w:p>
        </w:tc>
        <w:tc>
          <w:tcPr>
            <w:tcW w:w="648" w:type="dxa"/>
            <w:shd w:val="clear" w:color="auto" w:fill="auto"/>
            <w:vAlign w:val="bottom"/>
          </w:tcPr>
          <w:p w14:paraId="57B2072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222</w:t>
            </w:r>
          </w:p>
        </w:tc>
        <w:tc>
          <w:tcPr>
            <w:tcW w:w="648" w:type="dxa"/>
            <w:shd w:val="clear" w:color="auto" w:fill="auto"/>
            <w:vAlign w:val="bottom"/>
          </w:tcPr>
          <w:p w14:paraId="63C9E4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192</w:t>
            </w:r>
          </w:p>
        </w:tc>
        <w:tc>
          <w:tcPr>
            <w:tcW w:w="641" w:type="dxa"/>
            <w:shd w:val="clear" w:color="auto" w:fill="auto"/>
            <w:vAlign w:val="bottom"/>
          </w:tcPr>
          <w:p w14:paraId="5362E57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277</w:t>
            </w:r>
          </w:p>
        </w:tc>
        <w:tc>
          <w:tcPr>
            <w:tcW w:w="641" w:type="dxa"/>
            <w:shd w:val="clear" w:color="auto" w:fill="auto"/>
            <w:vAlign w:val="bottom"/>
          </w:tcPr>
          <w:p w14:paraId="14094C5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160</w:t>
            </w:r>
          </w:p>
        </w:tc>
        <w:tc>
          <w:tcPr>
            <w:tcW w:w="648" w:type="dxa"/>
            <w:shd w:val="clear" w:color="auto" w:fill="auto"/>
            <w:vAlign w:val="bottom"/>
          </w:tcPr>
          <w:p w14:paraId="43C1633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187</w:t>
            </w:r>
          </w:p>
        </w:tc>
        <w:tc>
          <w:tcPr>
            <w:tcW w:w="718" w:type="dxa"/>
            <w:shd w:val="clear" w:color="auto" w:fill="auto"/>
            <w:noWrap/>
            <w:vAlign w:val="bottom"/>
          </w:tcPr>
          <w:p w14:paraId="6D09149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199</w:t>
            </w:r>
          </w:p>
        </w:tc>
      </w:tr>
      <w:tr w:rsidR="00680417" w:rsidRPr="00DA21FF" w14:paraId="4BE2C83D" w14:textId="77777777" w:rsidTr="000725E8">
        <w:trPr>
          <w:trHeight w:val="240"/>
        </w:trPr>
        <w:tc>
          <w:tcPr>
            <w:tcW w:w="1723" w:type="dxa"/>
            <w:shd w:val="clear" w:color="auto" w:fill="auto"/>
            <w:noWrap/>
          </w:tcPr>
          <w:p w14:paraId="21D077B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lang w:val="en-GB"/>
              </w:rPr>
              <w:t xml:space="preserve"> </w:t>
            </w:r>
          </w:p>
        </w:tc>
        <w:tc>
          <w:tcPr>
            <w:tcW w:w="1056" w:type="dxa"/>
            <w:shd w:val="clear" w:color="auto" w:fill="auto"/>
            <w:noWrap/>
            <w:vAlign w:val="bottom"/>
          </w:tcPr>
          <w:p w14:paraId="558E3A2B"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647" w:type="dxa"/>
            <w:shd w:val="clear" w:color="auto" w:fill="auto"/>
            <w:vAlign w:val="bottom"/>
          </w:tcPr>
          <w:p w14:paraId="4C5A596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17</w:t>
            </w:r>
          </w:p>
        </w:tc>
        <w:tc>
          <w:tcPr>
            <w:tcW w:w="648" w:type="dxa"/>
            <w:shd w:val="clear" w:color="auto" w:fill="auto"/>
            <w:vAlign w:val="bottom"/>
          </w:tcPr>
          <w:p w14:paraId="4125108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9</w:t>
            </w:r>
          </w:p>
        </w:tc>
        <w:tc>
          <w:tcPr>
            <w:tcW w:w="648" w:type="dxa"/>
            <w:shd w:val="clear" w:color="auto" w:fill="auto"/>
            <w:vAlign w:val="bottom"/>
          </w:tcPr>
          <w:p w14:paraId="45F7B6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14</w:t>
            </w:r>
          </w:p>
        </w:tc>
        <w:tc>
          <w:tcPr>
            <w:tcW w:w="641" w:type="dxa"/>
            <w:shd w:val="clear" w:color="auto" w:fill="auto"/>
            <w:vAlign w:val="bottom"/>
          </w:tcPr>
          <w:p w14:paraId="4B1E53F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11</w:t>
            </w:r>
          </w:p>
        </w:tc>
        <w:tc>
          <w:tcPr>
            <w:tcW w:w="641" w:type="dxa"/>
            <w:shd w:val="clear" w:color="auto" w:fill="auto"/>
            <w:vAlign w:val="bottom"/>
          </w:tcPr>
          <w:p w14:paraId="6587A81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4</w:t>
            </w:r>
          </w:p>
        </w:tc>
        <w:tc>
          <w:tcPr>
            <w:tcW w:w="648" w:type="dxa"/>
            <w:shd w:val="clear" w:color="auto" w:fill="auto"/>
            <w:vAlign w:val="bottom"/>
          </w:tcPr>
          <w:p w14:paraId="2049064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8</w:t>
            </w:r>
          </w:p>
        </w:tc>
        <w:tc>
          <w:tcPr>
            <w:tcW w:w="718" w:type="dxa"/>
            <w:shd w:val="clear" w:color="auto" w:fill="auto"/>
            <w:noWrap/>
            <w:vAlign w:val="bottom"/>
          </w:tcPr>
          <w:p w14:paraId="2C8380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9</w:t>
            </w:r>
          </w:p>
        </w:tc>
      </w:tr>
      <w:tr w:rsidR="00680417" w:rsidRPr="00DA21FF" w14:paraId="06B953FE" w14:textId="77777777" w:rsidTr="000725E8">
        <w:trPr>
          <w:trHeight w:val="240"/>
        </w:trPr>
        <w:tc>
          <w:tcPr>
            <w:tcW w:w="1723" w:type="dxa"/>
            <w:shd w:val="clear" w:color="auto" w:fill="auto"/>
            <w:noWrap/>
          </w:tcPr>
          <w:p w14:paraId="5628A28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Gonorrea</w:t>
            </w:r>
          </w:p>
        </w:tc>
        <w:tc>
          <w:tcPr>
            <w:tcW w:w="1056" w:type="dxa"/>
            <w:shd w:val="clear" w:color="auto" w:fill="auto"/>
            <w:noWrap/>
            <w:vAlign w:val="bottom"/>
          </w:tcPr>
          <w:p w14:paraId="6FF0E59E"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647" w:type="dxa"/>
            <w:shd w:val="clear" w:color="auto" w:fill="auto"/>
            <w:vAlign w:val="bottom"/>
          </w:tcPr>
          <w:p w14:paraId="07A5DBE8" w14:textId="64EF9B54"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181</w:t>
            </w:r>
          </w:p>
        </w:tc>
        <w:tc>
          <w:tcPr>
            <w:tcW w:w="648" w:type="dxa"/>
            <w:shd w:val="clear" w:color="auto" w:fill="auto"/>
            <w:vAlign w:val="bottom"/>
          </w:tcPr>
          <w:p w14:paraId="00F2105A" w14:textId="08D7A613"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352</w:t>
            </w:r>
          </w:p>
        </w:tc>
        <w:tc>
          <w:tcPr>
            <w:tcW w:w="648" w:type="dxa"/>
            <w:shd w:val="clear" w:color="auto" w:fill="auto"/>
            <w:vAlign w:val="bottom"/>
          </w:tcPr>
          <w:p w14:paraId="616A0198" w14:textId="3DE75E3E"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328</w:t>
            </w:r>
          </w:p>
        </w:tc>
        <w:tc>
          <w:tcPr>
            <w:tcW w:w="641" w:type="dxa"/>
            <w:shd w:val="clear" w:color="auto" w:fill="auto"/>
            <w:vAlign w:val="bottom"/>
          </w:tcPr>
          <w:p w14:paraId="3ACC073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806</w:t>
            </w:r>
          </w:p>
        </w:tc>
        <w:tc>
          <w:tcPr>
            <w:tcW w:w="641" w:type="dxa"/>
            <w:shd w:val="clear" w:color="auto" w:fill="auto"/>
            <w:vAlign w:val="bottom"/>
          </w:tcPr>
          <w:p w14:paraId="403D12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425</w:t>
            </w:r>
          </w:p>
        </w:tc>
        <w:tc>
          <w:tcPr>
            <w:tcW w:w="648" w:type="dxa"/>
            <w:shd w:val="clear" w:color="auto" w:fill="auto"/>
            <w:vAlign w:val="bottom"/>
          </w:tcPr>
          <w:p w14:paraId="02075C88" w14:textId="45004C53"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359</w:t>
            </w:r>
          </w:p>
        </w:tc>
        <w:tc>
          <w:tcPr>
            <w:tcW w:w="718" w:type="dxa"/>
            <w:shd w:val="clear" w:color="auto" w:fill="auto"/>
            <w:noWrap/>
            <w:vAlign w:val="bottom"/>
          </w:tcPr>
          <w:p w14:paraId="6F756BE6" w14:textId="4D341715"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883</w:t>
            </w:r>
          </w:p>
        </w:tc>
      </w:tr>
      <w:tr w:rsidR="00680417" w:rsidRPr="00DA21FF" w14:paraId="37382BAF" w14:textId="77777777" w:rsidTr="000725E8">
        <w:trPr>
          <w:trHeight w:val="240"/>
        </w:trPr>
        <w:tc>
          <w:tcPr>
            <w:tcW w:w="1723" w:type="dxa"/>
            <w:tcBorders>
              <w:bottom w:val="single" w:sz="12" w:space="0" w:color="auto"/>
            </w:tcBorders>
            <w:shd w:val="clear" w:color="auto" w:fill="auto"/>
            <w:noWrap/>
          </w:tcPr>
          <w:p w14:paraId="0ED7DE0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lang w:val="en-GB"/>
              </w:rPr>
              <w:t xml:space="preserve"> </w:t>
            </w:r>
          </w:p>
        </w:tc>
        <w:tc>
          <w:tcPr>
            <w:tcW w:w="1056" w:type="dxa"/>
            <w:tcBorders>
              <w:bottom w:val="single" w:sz="12" w:space="0" w:color="auto"/>
            </w:tcBorders>
            <w:shd w:val="clear" w:color="auto" w:fill="auto"/>
            <w:noWrap/>
            <w:vAlign w:val="bottom"/>
          </w:tcPr>
          <w:p w14:paraId="0A6CEF69"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647" w:type="dxa"/>
            <w:tcBorders>
              <w:bottom w:val="single" w:sz="12" w:space="0" w:color="auto"/>
            </w:tcBorders>
            <w:shd w:val="clear" w:color="auto" w:fill="auto"/>
            <w:vAlign w:val="bottom"/>
          </w:tcPr>
          <w:p w14:paraId="10294C3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218</w:t>
            </w:r>
          </w:p>
        </w:tc>
        <w:tc>
          <w:tcPr>
            <w:tcW w:w="648" w:type="dxa"/>
            <w:tcBorders>
              <w:bottom w:val="single" w:sz="12" w:space="0" w:color="auto"/>
            </w:tcBorders>
            <w:shd w:val="clear" w:color="auto" w:fill="auto"/>
            <w:vAlign w:val="bottom"/>
          </w:tcPr>
          <w:p w14:paraId="1B5D8E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307</w:t>
            </w:r>
          </w:p>
        </w:tc>
        <w:tc>
          <w:tcPr>
            <w:tcW w:w="648" w:type="dxa"/>
            <w:tcBorders>
              <w:bottom w:val="single" w:sz="12" w:space="0" w:color="auto"/>
            </w:tcBorders>
            <w:shd w:val="clear" w:color="auto" w:fill="auto"/>
            <w:vAlign w:val="bottom"/>
          </w:tcPr>
          <w:p w14:paraId="6F3F30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376</w:t>
            </w:r>
          </w:p>
        </w:tc>
        <w:tc>
          <w:tcPr>
            <w:tcW w:w="641" w:type="dxa"/>
            <w:tcBorders>
              <w:bottom w:val="single" w:sz="12" w:space="0" w:color="auto"/>
            </w:tcBorders>
            <w:shd w:val="clear" w:color="auto" w:fill="auto"/>
            <w:vAlign w:val="bottom"/>
          </w:tcPr>
          <w:p w14:paraId="663CDAA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239</w:t>
            </w:r>
          </w:p>
        </w:tc>
        <w:tc>
          <w:tcPr>
            <w:tcW w:w="641" w:type="dxa"/>
            <w:tcBorders>
              <w:bottom w:val="single" w:sz="12" w:space="0" w:color="auto"/>
            </w:tcBorders>
            <w:shd w:val="clear" w:color="auto" w:fill="auto"/>
            <w:vAlign w:val="bottom"/>
          </w:tcPr>
          <w:p w14:paraId="479D5AB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130</w:t>
            </w:r>
          </w:p>
        </w:tc>
        <w:tc>
          <w:tcPr>
            <w:tcW w:w="648" w:type="dxa"/>
            <w:tcBorders>
              <w:bottom w:val="single" w:sz="12" w:space="0" w:color="auto"/>
            </w:tcBorders>
            <w:shd w:val="clear" w:color="auto" w:fill="auto"/>
            <w:vAlign w:val="bottom"/>
          </w:tcPr>
          <w:p w14:paraId="7AAEDA3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499</w:t>
            </w:r>
          </w:p>
        </w:tc>
        <w:tc>
          <w:tcPr>
            <w:tcW w:w="718" w:type="dxa"/>
            <w:tcBorders>
              <w:bottom w:val="single" w:sz="12" w:space="0" w:color="auto"/>
            </w:tcBorders>
            <w:shd w:val="clear" w:color="auto" w:fill="auto"/>
            <w:noWrap/>
            <w:vAlign w:val="bottom"/>
          </w:tcPr>
          <w:p w14:paraId="20F6CD8C" w14:textId="0E1C2313" w:rsidR="00DA21FF" w:rsidRPr="00DA21FF" w:rsidRDefault="00DA21FF" w:rsidP="00680417">
            <w:pPr>
              <w:pStyle w:val="SingleTxtG"/>
              <w:tabs>
                <w:tab w:val="clear" w:pos="1701"/>
                <w:tab w:val="clear" w:pos="2268"/>
                <w:tab w:val="clear" w:pos="2835"/>
              </w:tabs>
              <w:spacing w:before="40" w:after="40" w:line="220" w:lineRule="exact"/>
              <w:ind w:left="113" w:right="0"/>
              <w:jc w:val="right"/>
              <w:rPr>
                <w:iCs/>
                <w:sz w:val="18"/>
                <w:lang w:val="en-GB"/>
              </w:rPr>
            </w:pPr>
            <w:r w:rsidRPr="00DA21FF">
              <w:rPr>
                <w:sz w:val="18"/>
              </w:rPr>
              <w:t>1</w:t>
            </w:r>
            <w:r w:rsidR="00B6440E">
              <w:rPr>
                <w:sz w:val="18"/>
              </w:rPr>
              <w:t xml:space="preserve"> </w:t>
            </w:r>
            <w:r w:rsidRPr="00DA21FF">
              <w:rPr>
                <w:sz w:val="18"/>
              </w:rPr>
              <w:t>102</w:t>
            </w:r>
          </w:p>
        </w:tc>
      </w:tr>
    </w:tbl>
    <w:p w14:paraId="00F0986B" w14:textId="77777777" w:rsidR="00DA21FF" w:rsidRPr="00DA21FF" w:rsidRDefault="00DA21FF" w:rsidP="00373B5F">
      <w:pPr>
        <w:pStyle w:val="SingleTxtG"/>
        <w:spacing w:before="240"/>
        <w:rPr>
          <w:lang w:val="en-GB"/>
        </w:rPr>
      </w:pPr>
      <w:r w:rsidRPr="00DA21FF">
        <w:t>34.</w:t>
      </w:r>
      <w:r w:rsidRPr="00DA21FF">
        <w:tab/>
        <w:t xml:space="preserve">El cuadro siguiente muestra el número de </w:t>
      </w:r>
      <w:r w:rsidRPr="00373B5F">
        <w:rPr>
          <w:u w:val="single"/>
        </w:rPr>
        <w:t>nuevos casos de enfermedades transmisibles</w:t>
      </w:r>
      <w:r w:rsidRPr="00DA21FF">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84"/>
        <w:gridCol w:w="737"/>
        <w:gridCol w:w="633"/>
        <w:gridCol w:w="771"/>
        <w:gridCol w:w="770"/>
        <w:gridCol w:w="771"/>
        <w:gridCol w:w="771"/>
        <w:gridCol w:w="633"/>
      </w:tblGrid>
      <w:tr w:rsidR="00680417" w:rsidRPr="00680417" w14:paraId="46DFACE7" w14:textId="77777777" w:rsidTr="00B6440E">
        <w:trPr>
          <w:trHeight w:val="240"/>
          <w:tblHeader/>
        </w:trPr>
        <w:tc>
          <w:tcPr>
            <w:tcW w:w="2268" w:type="dxa"/>
            <w:tcBorders>
              <w:top w:val="single" w:sz="4" w:space="0" w:color="auto"/>
              <w:bottom w:val="single" w:sz="12" w:space="0" w:color="auto"/>
            </w:tcBorders>
            <w:shd w:val="clear" w:color="auto" w:fill="auto"/>
            <w:noWrap/>
            <w:vAlign w:val="bottom"/>
          </w:tcPr>
          <w:p w14:paraId="2913EB0F"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Enfermedades transmisibles</w:t>
            </w:r>
          </w:p>
        </w:tc>
        <w:tc>
          <w:tcPr>
            <w:tcW w:w="771" w:type="dxa"/>
            <w:tcBorders>
              <w:top w:val="single" w:sz="4" w:space="0" w:color="auto"/>
              <w:bottom w:val="single" w:sz="12" w:space="0" w:color="auto"/>
            </w:tcBorders>
            <w:shd w:val="clear" w:color="auto" w:fill="auto"/>
            <w:vAlign w:val="bottom"/>
          </w:tcPr>
          <w:p w14:paraId="7C2D5C0A"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2017</w:t>
            </w:r>
          </w:p>
        </w:tc>
        <w:tc>
          <w:tcPr>
            <w:tcW w:w="656" w:type="dxa"/>
            <w:tcBorders>
              <w:top w:val="single" w:sz="4" w:space="0" w:color="auto"/>
              <w:bottom w:val="single" w:sz="12" w:space="0" w:color="auto"/>
            </w:tcBorders>
            <w:shd w:val="clear" w:color="auto" w:fill="auto"/>
            <w:vAlign w:val="bottom"/>
          </w:tcPr>
          <w:p w14:paraId="7330DCC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2018</w:t>
            </w:r>
          </w:p>
        </w:tc>
        <w:tc>
          <w:tcPr>
            <w:tcW w:w="755" w:type="dxa"/>
            <w:tcBorders>
              <w:top w:val="single" w:sz="4" w:space="0" w:color="auto"/>
              <w:bottom w:val="single" w:sz="12" w:space="0" w:color="auto"/>
            </w:tcBorders>
            <w:shd w:val="clear" w:color="auto" w:fill="auto"/>
            <w:noWrap/>
            <w:vAlign w:val="bottom"/>
          </w:tcPr>
          <w:p w14:paraId="3493EC75"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754" w:type="dxa"/>
            <w:tcBorders>
              <w:top w:val="single" w:sz="4" w:space="0" w:color="auto"/>
              <w:bottom w:val="single" w:sz="12" w:space="0" w:color="auto"/>
            </w:tcBorders>
            <w:shd w:val="clear" w:color="auto" w:fill="auto"/>
            <w:noWrap/>
            <w:vAlign w:val="bottom"/>
          </w:tcPr>
          <w:p w14:paraId="29E316B4"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755" w:type="dxa"/>
            <w:tcBorders>
              <w:top w:val="single" w:sz="4" w:space="0" w:color="auto"/>
              <w:bottom w:val="single" w:sz="12" w:space="0" w:color="auto"/>
            </w:tcBorders>
            <w:shd w:val="clear" w:color="auto" w:fill="auto"/>
            <w:noWrap/>
            <w:vAlign w:val="bottom"/>
          </w:tcPr>
          <w:p w14:paraId="07EAB4D6"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2021</w:t>
            </w:r>
          </w:p>
        </w:tc>
        <w:tc>
          <w:tcPr>
            <w:tcW w:w="755" w:type="dxa"/>
            <w:tcBorders>
              <w:top w:val="single" w:sz="4" w:space="0" w:color="auto"/>
              <w:bottom w:val="single" w:sz="12" w:space="0" w:color="auto"/>
            </w:tcBorders>
            <w:shd w:val="clear" w:color="auto" w:fill="auto"/>
            <w:noWrap/>
            <w:vAlign w:val="bottom"/>
          </w:tcPr>
          <w:p w14:paraId="5228271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c>
          <w:tcPr>
            <w:tcW w:w="656" w:type="dxa"/>
            <w:tcBorders>
              <w:top w:val="single" w:sz="4" w:space="0" w:color="auto"/>
              <w:bottom w:val="single" w:sz="12" w:space="0" w:color="auto"/>
            </w:tcBorders>
            <w:shd w:val="clear" w:color="auto" w:fill="auto"/>
            <w:vAlign w:val="bottom"/>
          </w:tcPr>
          <w:p w14:paraId="69719EA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2023</w:t>
            </w:r>
          </w:p>
        </w:tc>
      </w:tr>
      <w:tr w:rsidR="00680417" w:rsidRPr="00DA21FF" w14:paraId="2EC37CC1" w14:textId="77777777" w:rsidTr="00B6440E">
        <w:trPr>
          <w:trHeight w:val="240"/>
        </w:trPr>
        <w:tc>
          <w:tcPr>
            <w:tcW w:w="2268" w:type="dxa"/>
            <w:shd w:val="clear" w:color="auto" w:fill="auto"/>
            <w:noWrap/>
          </w:tcPr>
          <w:p w14:paraId="101BB15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Sida</w:t>
            </w:r>
          </w:p>
        </w:tc>
        <w:tc>
          <w:tcPr>
            <w:tcW w:w="771" w:type="dxa"/>
            <w:shd w:val="clear" w:color="auto" w:fill="auto"/>
            <w:vAlign w:val="bottom"/>
          </w:tcPr>
          <w:p w14:paraId="116F7E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656" w:type="dxa"/>
            <w:shd w:val="clear" w:color="auto" w:fill="auto"/>
            <w:vAlign w:val="bottom"/>
          </w:tcPr>
          <w:p w14:paraId="7D4730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755" w:type="dxa"/>
            <w:shd w:val="clear" w:color="auto" w:fill="auto"/>
            <w:noWrap/>
            <w:vAlign w:val="bottom"/>
          </w:tcPr>
          <w:p w14:paraId="2F2EB1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c>
          <w:tcPr>
            <w:tcW w:w="754" w:type="dxa"/>
            <w:shd w:val="clear" w:color="auto" w:fill="auto"/>
            <w:noWrap/>
            <w:vAlign w:val="bottom"/>
          </w:tcPr>
          <w:p w14:paraId="2D4920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c>
          <w:tcPr>
            <w:tcW w:w="755" w:type="dxa"/>
            <w:shd w:val="clear" w:color="auto" w:fill="auto"/>
            <w:noWrap/>
            <w:vAlign w:val="bottom"/>
          </w:tcPr>
          <w:p w14:paraId="6966E3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p>
        </w:tc>
        <w:tc>
          <w:tcPr>
            <w:tcW w:w="755" w:type="dxa"/>
            <w:shd w:val="clear" w:color="auto" w:fill="auto"/>
            <w:noWrap/>
            <w:vAlign w:val="bottom"/>
          </w:tcPr>
          <w:p w14:paraId="2B2560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656" w:type="dxa"/>
            <w:shd w:val="clear" w:color="auto" w:fill="auto"/>
            <w:vAlign w:val="bottom"/>
          </w:tcPr>
          <w:p w14:paraId="53EC63F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r>
      <w:tr w:rsidR="00680417" w:rsidRPr="00DA21FF" w14:paraId="3175B2C9" w14:textId="77777777" w:rsidTr="00B6440E">
        <w:trPr>
          <w:trHeight w:val="240"/>
        </w:trPr>
        <w:tc>
          <w:tcPr>
            <w:tcW w:w="2268" w:type="dxa"/>
            <w:shd w:val="clear" w:color="auto" w:fill="auto"/>
            <w:noWrap/>
          </w:tcPr>
          <w:p w14:paraId="1C95CE4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Botulismo</w:t>
            </w:r>
          </w:p>
        </w:tc>
        <w:tc>
          <w:tcPr>
            <w:tcW w:w="771" w:type="dxa"/>
            <w:shd w:val="clear" w:color="auto" w:fill="auto"/>
            <w:vAlign w:val="bottom"/>
          </w:tcPr>
          <w:p w14:paraId="3A1775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c>
          <w:tcPr>
            <w:tcW w:w="656" w:type="dxa"/>
            <w:shd w:val="clear" w:color="auto" w:fill="auto"/>
            <w:vAlign w:val="bottom"/>
          </w:tcPr>
          <w:p w14:paraId="310944D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5" w:type="dxa"/>
            <w:shd w:val="clear" w:color="auto" w:fill="auto"/>
            <w:noWrap/>
            <w:vAlign w:val="bottom"/>
          </w:tcPr>
          <w:p w14:paraId="4BA19B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4" w:type="dxa"/>
            <w:shd w:val="clear" w:color="auto" w:fill="auto"/>
            <w:noWrap/>
            <w:vAlign w:val="bottom"/>
          </w:tcPr>
          <w:p w14:paraId="11D4A9D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c>
          <w:tcPr>
            <w:tcW w:w="755" w:type="dxa"/>
            <w:shd w:val="clear" w:color="auto" w:fill="auto"/>
            <w:noWrap/>
            <w:vAlign w:val="bottom"/>
          </w:tcPr>
          <w:p w14:paraId="2683B57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5D6018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1E0499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r>
      <w:tr w:rsidR="00680417" w:rsidRPr="00DA21FF" w14:paraId="2C1708C6" w14:textId="77777777" w:rsidTr="00B6440E">
        <w:trPr>
          <w:trHeight w:val="240"/>
        </w:trPr>
        <w:tc>
          <w:tcPr>
            <w:tcW w:w="2268" w:type="dxa"/>
            <w:shd w:val="clear" w:color="auto" w:fill="auto"/>
            <w:noWrap/>
          </w:tcPr>
          <w:p w14:paraId="0B58958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Brucelosis</w:t>
            </w:r>
          </w:p>
        </w:tc>
        <w:tc>
          <w:tcPr>
            <w:tcW w:w="771" w:type="dxa"/>
            <w:shd w:val="clear" w:color="auto" w:fill="auto"/>
            <w:vAlign w:val="bottom"/>
          </w:tcPr>
          <w:p w14:paraId="606CFA9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c>
          <w:tcPr>
            <w:tcW w:w="656" w:type="dxa"/>
            <w:shd w:val="clear" w:color="auto" w:fill="auto"/>
            <w:vAlign w:val="bottom"/>
          </w:tcPr>
          <w:p w14:paraId="4FD737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c>
          <w:tcPr>
            <w:tcW w:w="755" w:type="dxa"/>
            <w:shd w:val="clear" w:color="auto" w:fill="auto"/>
            <w:noWrap/>
            <w:vAlign w:val="bottom"/>
          </w:tcPr>
          <w:p w14:paraId="0E6885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4" w:type="dxa"/>
            <w:shd w:val="clear" w:color="auto" w:fill="auto"/>
            <w:noWrap/>
            <w:vAlign w:val="bottom"/>
          </w:tcPr>
          <w:p w14:paraId="5AE208A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c>
          <w:tcPr>
            <w:tcW w:w="755" w:type="dxa"/>
            <w:shd w:val="clear" w:color="auto" w:fill="auto"/>
            <w:noWrap/>
            <w:vAlign w:val="bottom"/>
          </w:tcPr>
          <w:p w14:paraId="2C71C55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c>
          <w:tcPr>
            <w:tcW w:w="755" w:type="dxa"/>
            <w:shd w:val="clear" w:color="auto" w:fill="auto"/>
            <w:noWrap/>
            <w:vAlign w:val="bottom"/>
          </w:tcPr>
          <w:p w14:paraId="23AC143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1B9131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r>
      <w:tr w:rsidR="00680417" w:rsidRPr="00DA21FF" w14:paraId="30419326" w14:textId="77777777" w:rsidTr="00B6440E">
        <w:trPr>
          <w:trHeight w:val="240"/>
        </w:trPr>
        <w:tc>
          <w:tcPr>
            <w:tcW w:w="2268" w:type="dxa"/>
            <w:shd w:val="clear" w:color="auto" w:fill="auto"/>
            <w:noWrap/>
          </w:tcPr>
          <w:p w14:paraId="0AB84D7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Campilobacteriosis</w:t>
            </w:r>
            <w:proofErr w:type="spellEnd"/>
          </w:p>
        </w:tc>
        <w:tc>
          <w:tcPr>
            <w:tcW w:w="771" w:type="dxa"/>
            <w:shd w:val="clear" w:color="auto" w:fill="auto"/>
            <w:vAlign w:val="bottom"/>
          </w:tcPr>
          <w:p w14:paraId="5B8107FA" w14:textId="38BF0C2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B6440E">
              <w:rPr>
                <w:sz w:val="18"/>
              </w:rPr>
              <w:t xml:space="preserve"> </w:t>
            </w:r>
            <w:r w:rsidRPr="00DA21FF">
              <w:rPr>
                <w:sz w:val="18"/>
              </w:rPr>
              <w:t>883</w:t>
            </w:r>
          </w:p>
        </w:tc>
        <w:tc>
          <w:tcPr>
            <w:tcW w:w="656" w:type="dxa"/>
            <w:shd w:val="clear" w:color="auto" w:fill="auto"/>
            <w:vAlign w:val="bottom"/>
          </w:tcPr>
          <w:p w14:paraId="001BE6AE" w14:textId="3D32CFB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B6440E">
              <w:rPr>
                <w:sz w:val="18"/>
              </w:rPr>
              <w:t xml:space="preserve"> </w:t>
            </w:r>
            <w:r w:rsidRPr="00DA21FF">
              <w:rPr>
                <w:sz w:val="18"/>
              </w:rPr>
              <w:t>667</w:t>
            </w:r>
          </w:p>
        </w:tc>
        <w:tc>
          <w:tcPr>
            <w:tcW w:w="755" w:type="dxa"/>
            <w:shd w:val="clear" w:color="auto" w:fill="auto"/>
            <w:noWrap/>
            <w:vAlign w:val="bottom"/>
          </w:tcPr>
          <w:p w14:paraId="496D410E" w14:textId="6199E27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r w:rsidR="00B6440E">
              <w:rPr>
                <w:sz w:val="18"/>
              </w:rPr>
              <w:t xml:space="preserve"> </w:t>
            </w:r>
            <w:r w:rsidRPr="00DA21FF">
              <w:rPr>
                <w:sz w:val="18"/>
              </w:rPr>
              <w:t>155</w:t>
            </w:r>
          </w:p>
        </w:tc>
        <w:tc>
          <w:tcPr>
            <w:tcW w:w="754" w:type="dxa"/>
            <w:shd w:val="clear" w:color="auto" w:fill="auto"/>
            <w:noWrap/>
            <w:vAlign w:val="bottom"/>
          </w:tcPr>
          <w:p w14:paraId="7F65977E" w14:textId="7E23E0E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422</w:t>
            </w:r>
          </w:p>
        </w:tc>
        <w:tc>
          <w:tcPr>
            <w:tcW w:w="755" w:type="dxa"/>
            <w:shd w:val="clear" w:color="auto" w:fill="auto"/>
            <w:noWrap/>
            <w:vAlign w:val="bottom"/>
          </w:tcPr>
          <w:p w14:paraId="7771AA17" w14:textId="37730DE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055</w:t>
            </w:r>
          </w:p>
        </w:tc>
        <w:tc>
          <w:tcPr>
            <w:tcW w:w="755" w:type="dxa"/>
            <w:shd w:val="clear" w:color="auto" w:fill="auto"/>
            <w:noWrap/>
            <w:vAlign w:val="bottom"/>
          </w:tcPr>
          <w:p w14:paraId="5E973528" w14:textId="6262DDE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983</w:t>
            </w:r>
          </w:p>
        </w:tc>
        <w:tc>
          <w:tcPr>
            <w:tcW w:w="656" w:type="dxa"/>
            <w:shd w:val="clear" w:color="auto" w:fill="auto"/>
            <w:vAlign w:val="bottom"/>
          </w:tcPr>
          <w:p w14:paraId="69DF22A9" w14:textId="282AF50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B6440E">
              <w:rPr>
                <w:sz w:val="18"/>
              </w:rPr>
              <w:t xml:space="preserve"> </w:t>
            </w:r>
            <w:r w:rsidRPr="00DA21FF">
              <w:rPr>
                <w:sz w:val="18"/>
              </w:rPr>
              <w:t>034</w:t>
            </w:r>
          </w:p>
        </w:tc>
      </w:tr>
      <w:tr w:rsidR="00680417" w:rsidRPr="00DA21FF" w14:paraId="0480FC91" w14:textId="77777777" w:rsidTr="00B6440E">
        <w:trPr>
          <w:trHeight w:val="240"/>
        </w:trPr>
        <w:tc>
          <w:tcPr>
            <w:tcW w:w="2268" w:type="dxa"/>
            <w:shd w:val="clear" w:color="auto" w:fill="auto"/>
            <w:noWrap/>
          </w:tcPr>
          <w:p w14:paraId="5EB6E5E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Infección genital por clamidias </w:t>
            </w:r>
          </w:p>
        </w:tc>
        <w:tc>
          <w:tcPr>
            <w:tcW w:w="771" w:type="dxa"/>
            <w:shd w:val="clear" w:color="auto" w:fill="auto"/>
            <w:vAlign w:val="bottom"/>
          </w:tcPr>
          <w:p w14:paraId="299ECB9A" w14:textId="7C12371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r w:rsidR="00B6440E">
              <w:rPr>
                <w:sz w:val="18"/>
              </w:rPr>
              <w:t xml:space="preserve"> </w:t>
            </w:r>
            <w:r w:rsidRPr="00DA21FF">
              <w:rPr>
                <w:sz w:val="18"/>
              </w:rPr>
              <w:t>130</w:t>
            </w:r>
          </w:p>
        </w:tc>
        <w:tc>
          <w:tcPr>
            <w:tcW w:w="656" w:type="dxa"/>
            <w:shd w:val="clear" w:color="auto" w:fill="auto"/>
            <w:vAlign w:val="bottom"/>
          </w:tcPr>
          <w:p w14:paraId="4BF59003" w14:textId="631074A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r w:rsidR="00B6440E">
              <w:rPr>
                <w:sz w:val="18"/>
              </w:rPr>
              <w:t xml:space="preserve"> </w:t>
            </w:r>
            <w:r w:rsidRPr="00DA21FF">
              <w:rPr>
                <w:sz w:val="18"/>
              </w:rPr>
              <w:t>570</w:t>
            </w:r>
          </w:p>
        </w:tc>
        <w:tc>
          <w:tcPr>
            <w:tcW w:w="755" w:type="dxa"/>
            <w:shd w:val="clear" w:color="auto" w:fill="auto"/>
            <w:noWrap/>
            <w:vAlign w:val="bottom"/>
          </w:tcPr>
          <w:p w14:paraId="26A29E5B" w14:textId="1B98E35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r w:rsidR="00B6440E">
              <w:rPr>
                <w:sz w:val="18"/>
              </w:rPr>
              <w:t xml:space="preserve"> </w:t>
            </w:r>
            <w:r w:rsidRPr="00DA21FF">
              <w:rPr>
                <w:sz w:val="18"/>
              </w:rPr>
              <w:t>446</w:t>
            </w:r>
          </w:p>
        </w:tc>
        <w:tc>
          <w:tcPr>
            <w:tcW w:w="754" w:type="dxa"/>
            <w:shd w:val="clear" w:color="auto" w:fill="auto"/>
            <w:noWrap/>
            <w:vAlign w:val="bottom"/>
          </w:tcPr>
          <w:p w14:paraId="47A1C5AD" w14:textId="1A05170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r w:rsidR="00B6440E">
              <w:rPr>
                <w:sz w:val="18"/>
              </w:rPr>
              <w:t xml:space="preserve"> </w:t>
            </w:r>
            <w:r w:rsidRPr="00DA21FF">
              <w:rPr>
                <w:sz w:val="18"/>
              </w:rPr>
              <w:t>444</w:t>
            </w:r>
          </w:p>
        </w:tc>
        <w:tc>
          <w:tcPr>
            <w:tcW w:w="755" w:type="dxa"/>
            <w:shd w:val="clear" w:color="auto" w:fill="auto"/>
            <w:noWrap/>
            <w:vAlign w:val="bottom"/>
          </w:tcPr>
          <w:p w14:paraId="242955AA" w14:textId="55635F8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r w:rsidR="00B6440E">
              <w:rPr>
                <w:sz w:val="18"/>
              </w:rPr>
              <w:t xml:space="preserve"> </w:t>
            </w:r>
            <w:r w:rsidRPr="00DA21FF">
              <w:rPr>
                <w:sz w:val="18"/>
              </w:rPr>
              <w:t>447</w:t>
            </w:r>
          </w:p>
        </w:tc>
        <w:tc>
          <w:tcPr>
            <w:tcW w:w="755" w:type="dxa"/>
            <w:shd w:val="clear" w:color="auto" w:fill="auto"/>
            <w:noWrap/>
            <w:vAlign w:val="bottom"/>
          </w:tcPr>
          <w:p w14:paraId="60C83019" w14:textId="0F018E6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r w:rsidR="00B6440E">
              <w:rPr>
                <w:sz w:val="18"/>
              </w:rPr>
              <w:t xml:space="preserve"> </w:t>
            </w:r>
            <w:r w:rsidRPr="00DA21FF">
              <w:rPr>
                <w:sz w:val="18"/>
              </w:rPr>
              <w:t>271</w:t>
            </w:r>
          </w:p>
        </w:tc>
        <w:tc>
          <w:tcPr>
            <w:tcW w:w="656" w:type="dxa"/>
            <w:shd w:val="clear" w:color="auto" w:fill="auto"/>
            <w:vAlign w:val="bottom"/>
          </w:tcPr>
          <w:p w14:paraId="7AEA2B03" w14:textId="088C49C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r w:rsidR="00B6440E">
              <w:rPr>
                <w:sz w:val="18"/>
              </w:rPr>
              <w:t xml:space="preserve"> </w:t>
            </w:r>
            <w:r w:rsidRPr="00DA21FF">
              <w:rPr>
                <w:sz w:val="18"/>
              </w:rPr>
              <w:t>137</w:t>
            </w:r>
          </w:p>
        </w:tc>
      </w:tr>
      <w:tr w:rsidR="00680417" w:rsidRPr="00DA21FF" w14:paraId="31D90F3A" w14:textId="77777777" w:rsidTr="00B6440E">
        <w:trPr>
          <w:trHeight w:val="240"/>
        </w:trPr>
        <w:tc>
          <w:tcPr>
            <w:tcW w:w="2268" w:type="dxa"/>
            <w:shd w:val="clear" w:color="auto" w:fill="auto"/>
            <w:noWrap/>
          </w:tcPr>
          <w:p w14:paraId="6365FE7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Criptosporidiosis</w:t>
            </w:r>
          </w:p>
        </w:tc>
        <w:tc>
          <w:tcPr>
            <w:tcW w:w="771" w:type="dxa"/>
            <w:shd w:val="clear" w:color="auto" w:fill="auto"/>
            <w:vAlign w:val="bottom"/>
          </w:tcPr>
          <w:p w14:paraId="5AE134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379</w:t>
            </w:r>
          </w:p>
        </w:tc>
        <w:tc>
          <w:tcPr>
            <w:tcW w:w="656" w:type="dxa"/>
            <w:shd w:val="clear" w:color="auto" w:fill="auto"/>
            <w:vAlign w:val="bottom"/>
          </w:tcPr>
          <w:p w14:paraId="0CA1BE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327</w:t>
            </w:r>
          </w:p>
        </w:tc>
        <w:tc>
          <w:tcPr>
            <w:tcW w:w="755" w:type="dxa"/>
            <w:shd w:val="clear" w:color="auto" w:fill="auto"/>
            <w:noWrap/>
            <w:vAlign w:val="bottom"/>
          </w:tcPr>
          <w:p w14:paraId="3408C2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378</w:t>
            </w:r>
          </w:p>
        </w:tc>
        <w:tc>
          <w:tcPr>
            <w:tcW w:w="754" w:type="dxa"/>
            <w:shd w:val="clear" w:color="auto" w:fill="auto"/>
            <w:noWrap/>
            <w:vAlign w:val="bottom"/>
          </w:tcPr>
          <w:p w14:paraId="4F0C04F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483</w:t>
            </w:r>
          </w:p>
        </w:tc>
        <w:tc>
          <w:tcPr>
            <w:tcW w:w="755" w:type="dxa"/>
            <w:shd w:val="clear" w:color="auto" w:fill="auto"/>
            <w:noWrap/>
            <w:vAlign w:val="bottom"/>
          </w:tcPr>
          <w:p w14:paraId="1B2657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355</w:t>
            </w:r>
          </w:p>
        </w:tc>
        <w:tc>
          <w:tcPr>
            <w:tcW w:w="755" w:type="dxa"/>
            <w:shd w:val="clear" w:color="auto" w:fill="auto"/>
            <w:noWrap/>
            <w:vAlign w:val="bottom"/>
          </w:tcPr>
          <w:p w14:paraId="28FEAF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514</w:t>
            </w:r>
          </w:p>
        </w:tc>
        <w:tc>
          <w:tcPr>
            <w:tcW w:w="656" w:type="dxa"/>
            <w:shd w:val="clear" w:color="auto" w:fill="auto"/>
            <w:vAlign w:val="bottom"/>
          </w:tcPr>
          <w:p w14:paraId="4D8CE9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539</w:t>
            </w:r>
          </w:p>
        </w:tc>
      </w:tr>
      <w:tr w:rsidR="00680417" w:rsidRPr="00DA21FF" w14:paraId="4C0A9183" w14:textId="77777777" w:rsidTr="00B6440E">
        <w:trPr>
          <w:trHeight w:val="240"/>
        </w:trPr>
        <w:tc>
          <w:tcPr>
            <w:tcW w:w="2268" w:type="dxa"/>
            <w:shd w:val="clear" w:color="auto" w:fill="auto"/>
            <w:noWrap/>
          </w:tcPr>
          <w:p w14:paraId="6F29F54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Difteria</w:t>
            </w:r>
          </w:p>
        </w:tc>
        <w:tc>
          <w:tcPr>
            <w:tcW w:w="771" w:type="dxa"/>
            <w:shd w:val="clear" w:color="auto" w:fill="auto"/>
            <w:vAlign w:val="bottom"/>
          </w:tcPr>
          <w:p w14:paraId="37B414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12775C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5" w:type="dxa"/>
            <w:shd w:val="clear" w:color="auto" w:fill="auto"/>
            <w:noWrap/>
            <w:vAlign w:val="bottom"/>
          </w:tcPr>
          <w:p w14:paraId="082311B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c>
          <w:tcPr>
            <w:tcW w:w="754" w:type="dxa"/>
            <w:shd w:val="clear" w:color="auto" w:fill="auto"/>
            <w:noWrap/>
            <w:vAlign w:val="bottom"/>
          </w:tcPr>
          <w:p w14:paraId="446B036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586D63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7795A9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656" w:type="dxa"/>
            <w:shd w:val="clear" w:color="auto" w:fill="auto"/>
            <w:vAlign w:val="bottom"/>
          </w:tcPr>
          <w:p w14:paraId="43987D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r>
      <w:tr w:rsidR="00680417" w:rsidRPr="00DA21FF" w14:paraId="1D7BC5B7" w14:textId="77777777" w:rsidTr="00B6440E">
        <w:trPr>
          <w:trHeight w:val="240"/>
        </w:trPr>
        <w:tc>
          <w:tcPr>
            <w:tcW w:w="2268" w:type="dxa"/>
            <w:shd w:val="clear" w:color="auto" w:fill="auto"/>
            <w:noWrap/>
          </w:tcPr>
          <w:p w14:paraId="4C7D397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Enteritis por E. </w:t>
            </w:r>
            <w:proofErr w:type="spellStart"/>
            <w:r w:rsidRPr="00DA21FF">
              <w:rPr>
                <w:sz w:val="18"/>
              </w:rPr>
              <w:t>coli</w:t>
            </w:r>
            <w:proofErr w:type="spellEnd"/>
          </w:p>
        </w:tc>
        <w:tc>
          <w:tcPr>
            <w:tcW w:w="771" w:type="dxa"/>
            <w:shd w:val="clear" w:color="auto" w:fill="auto"/>
            <w:vAlign w:val="bottom"/>
          </w:tcPr>
          <w:p w14:paraId="7B115846" w14:textId="0C0B2F3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307</w:t>
            </w:r>
          </w:p>
        </w:tc>
        <w:tc>
          <w:tcPr>
            <w:tcW w:w="656" w:type="dxa"/>
            <w:shd w:val="clear" w:color="auto" w:fill="auto"/>
            <w:vAlign w:val="bottom"/>
          </w:tcPr>
          <w:p w14:paraId="6374666B" w14:textId="4FAB2B5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377</w:t>
            </w:r>
          </w:p>
        </w:tc>
        <w:tc>
          <w:tcPr>
            <w:tcW w:w="755" w:type="dxa"/>
            <w:shd w:val="clear" w:color="auto" w:fill="auto"/>
            <w:noWrap/>
            <w:vAlign w:val="bottom"/>
          </w:tcPr>
          <w:p w14:paraId="038A13C8" w14:textId="56B289F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561</w:t>
            </w:r>
          </w:p>
        </w:tc>
        <w:tc>
          <w:tcPr>
            <w:tcW w:w="754" w:type="dxa"/>
            <w:shd w:val="clear" w:color="auto" w:fill="auto"/>
            <w:noWrap/>
            <w:vAlign w:val="bottom"/>
          </w:tcPr>
          <w:p w14:paraId="63258B4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670</w:t>
            </w:r>
          </w:p>
        </w:tc>
        <w:tc>
          <w:tcPr>
            <w:tcW w:w="755" w:type="dxa"/>
            <w:shd w:val="clear" w:color="auto" w:fill="auto"/>
            <w:noWrap/>
            <w:vAlign w:val="bottom"/>
          </w:tcPr>
          <w:p w14:paraId="325C7E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700</w:t>
            </w:r>
          </w:p>
        </w:tc>
        <w:tc>
          <w:tcPr>
            <w:tcW w:w="755" w:type="dxa"/>
            <w:shd w:val="clear" w:color="auto" w:fill="auto"/>
            <w:noWrap/>
            <w:vAlign w:val="bottom"/>
          </w:tcPr>
          <w:p w14:paraId="2171BE0D" w14:textId="0CF0427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472</w:t>
            </w:r>
          </w:p>
        </w:tc>
        <w:tc>
          <w:tcPr>
            <w:tcW w:w="656" w:type="dxa"/>
            <w:shd w:val="clear" w:color="auto" w:fill="auto"/>
            <w:vAlign w:val="bottom"/>
          </w:tcPr>
          <w:p w14:paraId="2394C5FA" w14:textId="2DB1759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239</w:t>
            </w:r>
          </w:p>
        </w:tc>
      </w:tr>
      <w:tr w:rsidR="00680417" w:rsidRPr="00DA21FF" w14:paraId="2B069BAA" w14:textId="77777777" w:rsidTr="00B6440E">
        <w:trPr>
          <w:trHeight w:val="240"/>
        </w:trPr>
        <w:tc>
          <w:tcPr>
            <w:tcW w:w="2268" w:type="dxa"/>
            <w:shd w:val="clear" w:color="auto" w:fill="auto"/>
            <w:noWrap/>
          </w:tcPr>
          <w:p w14:paraId="305CB24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Equinococosis</w:t>
            </w:r>
          </w:p>
        </w:tc>
        <w:tc>
          <w:tcPr>
            <w:tcW w:w="771" w:type="dxa"/>
            <w:shd w:val="clear" w:color="auto" w:fill="auto"/>
            <w:vAlign w:val="bottom"/>
          </w:tcPr>
          <w:p w14:paraId="6F3136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c>
          <w:tcPr>
            <w:tcW w:w="656" w:type="dxa"/>
            <w:shd w:val="clear" w:color="auto" w:fill="auto"/>
            <w:vAlign w:val="bottom"/>
          </w:tcPr>
          <w:p w14:paraId="4DFED0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755" w:type="dxa"/>
            <w:shd w:val="clear" w:color="auto" w:fill="auto"/>
            <w:noWrap/>
            <w:vAlign w:val="bottom"/>
          </w:tcPr>
          <w:p w14:paraId="4388BC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c>
          <w:tcPr>
            <w:tcW w:w="754" w:type="dxa"/>
            <w:shd w:val="clear" w:color="auto" w:fill="auto"/>
            <w:noWrap/>
            <w:vAlign w:val="bottom"/>
          </w:tcPr>
          <w:p w14:paraId="6FA55E3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c>
          <w:tcPr>
            <w:tcW w:w="755" w:type="dxa"/>
            <w:shd w:val="clear" w:color="auto" w:fill="auto"/>
            <w:noWrap/>
            <w:vAlign w:val="bottom"/>
          </w:tcPr>
          <w:p w14:paraId="361CD2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c>
          <w:tcPr>
            <w:tcW w:w="755" w:type="dxa"/>
            <w:shd w:val="clear" w:color="auto" w:fill="auto"/>
            <w:noWrap/>
            <w:vAlign w:val="bottom"/>
          </w:tcPr>
          <w:p w14:paraId="0AB2333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w:t>
            </w:r>
          </w:p>
        </w:tc>
        <w:tc>
          <w:tcPr>
            <w:tcW w:w="656" w:type="dxa"/>
            <w:shd w:val="clear" w:color="auto" w:fill="auto"/>
            <w:vAlign w:val="bottom"/>
          </w:tcPr>
          <w:p w14:paraId="71642C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r>
      <w:tr w:rsidR="00680417" w:rsidRPr="00DA21FF" w14:paraId="3A08AEB6" w14:textId="77777777" w:rsidTr="00B6440E">
        <w:trPr>
          <w:trHeight w:val="240"/>
        </w:trPr>
        <w:tc>
          <w:tcPr>
            <w:tcW w:w="2268" w:type="dxa"/>
            <w:shd w:val="clear" w:color="auto" w:fill="auto"/>
            <w:noWrap/>
          </w:tcPr>
          <w:p w14:paraId="378EA54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Encefalitis</w:t>
            </w:r>
          </w:p>
        </w:tc>
        <w:tc>
          <w:tcPr>
            <w:tcW w:w="771" w:type="dxa"/>
            <w:shd w:val="clear" w:color="auto" w:fill="auto"/>
            <w:vAlign w:val="bottom"/>
          </w:tcPr>
          <w:p w14:paraId="7668149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323</w:t>
            </w:r>
          </w:p>
        </w:tc>
        <w:tc>
          <w:tcPr>
            <w:tcW w:w="656" w:type="dxa"/>
            <w:shd w:val="clear" w:color="auto" w:fill="auto"/>
            <w:vAlign w:val="bottom"/>
          </w:tcPr>
          <w:p w14:paraId="11EB10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507</w:t>
            </w:r>
          </w:p>
        </w:tc>
        <w:tc>
          <w:tcPr>
            <w:tcW w:w="755" w:type="dxa"/>
            <w:shd w:val="clear" w:color="auto" w:fill="auto"/>
            <w:noWrap/>
            <w:vAlign w:val="bottom"/>
          </w:tcPr>
          <w:p w14:paraId="01D437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299</w:t>
            </w:r>
          </w:p>
        </w:tc>
        <w:tc>
          <w:tcPr>
            <w:tcW w:w="754" w:type="dxa"/>
            <w:shd w:val="clear" w:color="auto" w:fill="auto"/>
            <w:noWrap/>
            <w:vAlign w:val="bottom"/>
          </w:tcPr>
          <w:p w14:paraId="4573C5C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244</w:t>
            </w:r>
          </w:p>
        </w:tc>
        <w:tc>
          <w:tcPr>
            <w:tcW w:w="755" w:type="dxa"/>
            <w:shd w:val="clear" w:color="auto" w:fill="auto"/>
            <w:noWrap/>
            <w:vAlign w:val="bottom"/>
          </w:tcPr>
          <w:p w14:paraId="0576AB2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240</w:t>
            </w:r>
          </w:p>
        </w:tc>
        <w:tc>
          <w:tcPr>
            <w:tcW w:w="755" w:type="dxa"/>
            <w:shd w:val="clear" w:color="auto" w:fill="auto"/>
            <w:noWrap/>
            <w:vAlign w:val="bottom"/>
          </w:tcPr>
          <w:p w14:paraId="3491A5F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382</w:t>
            </w:r>
          </w:p>
        </w:tc>
        <w:tc>
          <w:tcPr>
            <w:tcW w:w="656" w:type="dxa"/>
            <w:shd w:val="clear" w:color="auto" w:fill="auto"/>
            <w:vAlign w:val="bottom"/>
          </w:tcPr>
          <w:p w14:paraId="52985B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456</w:t>
            </w:r>
          </w:p>
        </w:tc>
      </w:tr>
      <w:tr w:rsidR="00680417" w:rsidRPr="00DA21FF" w14:paraId="59140E78" w14:textId="77777777" w:rsidTr="00B6440E">
        <w:trPr>
          <w:trHeight w:val="240"/>
        </w:trPr>
        <w:tc>
          <w:tcPr>
            <w:tcW w:w="2268" w:type="dxa"/>
            <w:shd w:val="clear" w:color="auto" w:fill="auto"/>
            <w:noWrap/>
          </w:tcPr>
          <w:p w14:paraId="7A2340E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Tifus de </w:t>
            </w:r>
            <w:proofErr w:type="spellStart"/>
            <w:r w:rsidRPr="00DA21FF">
              <w:rPr>
                <w:sz w:val="18"/>
              </w:rPr>
              <w:t>Fleck</w:t>
            </w:r>
            <w:proofErr w:type="spellEnd"/>
          </w:p>
        </w:tc>
        <w:tc>
          <w:tcPr>
            <w:tcW w:w="771" w:type="dxa"/>
            <w:shd w:val="clear" w:color="auto" w:fill="auto"/>
            <w:vAlign w:val="bottom"/>
          </w:tcPr>
          <w:p w14:paraId="357DAE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189B00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A33284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679D11E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FC554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04069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620E49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680417" w:rsidRPr="00DA21FF" w14:paraId="6C8A19F4" w14:textId="77777777" w:rsidTr="00B6440E">
        <w:trPr>
          <w:trHeight w:val="240"/>
        </w:trPr>
        <w:tc>
          <w:tcPr>
            <w:tcW w:w="2268" w:type="dxa"/>
            <w:shd w:val="clear" w:color="auto" w:fill="auto"/>
            <w:noWrap/>
          </w:tcPr>
          <w:p w14:paraId="717C00A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Giardiasis</w:t>
            </w:r>
          </w:p>
        </w:tc>
        <w:tc>
          <w:tcPr>
            <w:tcW w:w="771" w:type="dxa"/>
            <w:shd w:val="clear" w:color="auto" w:fill="auto"/>
            <w:vAlign w:val="bottom"/>
          </w:tcPr>
          <w:p w14:paraId="3D314E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485</w:t>
            </w:r>
          </w:p>
        </w:tc>
        <w:tc>
          <w:tcPr>
            <w:tcW w:w="656" w:type="dxa"/>
            <w:shd w:val="clear" w:color="auto" w:fill="auto"/>
            <w:vAlign w:val="bottom"/>
          </w:tcPr>
          <w:p w14:paraId="2799692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465</w:t>
            </w:r>
          </w:p>
        </w:tc>
        <w:tc>
          <w:tcPr>
            <w:tcW w:w="755" w:type="dxa"/>
            <w:shd w:val="clear" w:color="auto" w:fill="auto"/>
            <w:noWrap/>
            <w:vAlign w:val="bottom"/>
          </w:tcPr>
          <w:p w14:paraId="4364160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578</w:t>
            </w:r>
          </w:p>
        </w:tc>
        <w:tc>
          <w:tcPr>
            <w:tcW w:w="754" w:type="dxa"/>
            <w:shd w:val="clear" w:color="auto" w:fill="auto"/>
            <w:noWrap/>
            <w:vAlign w:val="bottom"/>
          </w:tcPr>
          <w:p w14:paraId="71ADACA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299</w:t>
            </w:r>
          </w:p>
        </w:tc>
        <w:tc>
          <w:tcPr>
            <w:tcW w:w="755" w:type="dxa"/>
            <w:shd w:val="clear" w:color="auto" w:fill="auto"/>
            <w:noWrap/>
            <w:vAlign w:val="bottom"/>
          </w:tcPr>
          <w:p w14:paraId="2EC4B5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265</w:t>
            </w:r>
          </w:p>
        </w:tc>
        <w:tc>
          <w:tcPr>
            <w:tcW w:w="755" w:type="dxa"/>
            <w:shd w:val="clear" w:color="auto" w:fill="auto"/>
            <w:noWrap/>
            <w:vAlign w:val="bottom"/>
          </w:tcPr>
          <w:p w14:paraId="4B7379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331</w:t>
            </w:r>
          </w:p>
        </w:tc>
        <w:tc>
          <w:tcPr>
            <w:tcW w:w="656" w:type="dxa"/>
            <w:shd w:val="clear" w:color="auto" w:fill="auto"/>
            <w:vAlign w:val="bottom"/>
          </w:tcPr>
          <w:p w14:paraId="2801EA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363</w:t>
            </w:r>
          </w:p>
        </w:tc>
      </w:tr>
      <w:tr w:rsidR="00680417" w:rsidRPr="00DA21FF" w14:paraId="7EBC72D2" w14:textId="77777777" w:rsidTr="00B6440E">
        <w:trPr>
          <w:trHeight w:val="240"/>
        </w:trPr>
        <w:tc>
          <w:tcPr>
            <w:tcW w:w="2268" w:type="dxa"/>
            <w:shd w:val="clear" w:color="auto" w:fill="auto"/>
            <w:noWrap/>
          </w:tcPr>
          <w:p w14:paraId="091289C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Gonorrea</w:t>
            </w:r>
          </w:p>
        </w:tc>
        <w:tc>
          <w:tcPr>
            <w:tcW w:w="771" w:type="dxa"/>
            <w:shd w:val="clear" w:color="auto" w:fill="auto"/>
            <w:vAlign w:val="bottom"/>
          </w:tcPr>
          <w:p w14:paraId="273B31A4" w14:textId="58F96FD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399</w:t>
            </w:r>
          </w:p>
        </w:tc>
        <w:tc>
          <w:tcPr>
            <w:tcW w:w="656" w:type="dxa"/>
            <w:shd w:val="clear" w:color="auto" w:fill="auto"/>
            <w:vAlign w:val="bottom"/>
          </w:tcPr>
          <w:p w14:paraId="24EC1E79" w14:textId="020C051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659</w:t>
            </w:r>
          </w:p>
        </w:tc>
        <w:tc>
          <w:tcPr>
            <w:tcW w:w="755" w:type="dxa"/>
            <w:shd w:val="clear" w:color="auto" w:fill="auto"/>
            <w:noWrap/>
            <w:vAlign w:val="bottom"/>
          </w:tcPr>
          <w:p w14:paraId="1159BCC9" w14:textId="37E69D8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704</w:t>
            </w:r>
          </w:p>
        </w:tc>
        <w:tc>
          <w:tcPr>
            <w:tcW w:w="754" w:type="dxa"/>
            <w:shd w:val="clear" w:color="auto" w:fill="auto"/>
            <w:noWrap/>
            <w:vAlign w:val="bottom"/>
          </w:tcPr>
          <w:p w14:paraId="3AAC20AB" w14:textId="0D634CF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045</w:t>
            </w:r>
          </w:p>
        </w:tc>
        <w:tc>
          <w:tcPr>
            <w:tcW w:w="755" w:type="dxa"/>
            <w:shd w:val="clear" w:color="auto" w:fill="auto"/>
            <w:noWrap/>
            <w:vAlign w:val="bottom"/>
          </w:tcPr>
          <w:p w14:paraId="786E1C0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555</w:t>
            </w:r>
          </w:p>
        </w:tc>
        <w:tc>
          <w:tcPr>
            <w:tcW w:w="755" w:type="dxa"/>
            <w:shd w:val="clear" w:color="auto" w:fill="auto"/>
            <w:noWrap/>
            <w:vAlign w:val="bottom"/>
          </w:tcPr>
          <w:p w14:paraId="3337406B" w14:textId="5D7BCDD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858</w:t>
            </w:r>
          </w:p>
        </w:tc>
        <w:tc>
          <w:tcPr>
            <w:tcW w:w="656" w:type="dxa"/>
            <w:shd w:val="clear" w:color="auto" w:fill="auto"/>
            <w:vAlign w:val="bottom"/>
          </w:tcPr>
          <w:p w14:paraId="69AF221C" w14:textId="501AC92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985</w:t>
            </w:r>
          </w:p>
        </w:tc>
      </w:tr>
      <w:tr w:rsidR="00680417" w:rsidRPr="00DA21FF" w14:paraId="419105BA" w14:textId="77777777" w:rsidTr="00B6440E">
        <w:trPr>
          <w:trHeight w:val="240"/>
        </w:trPr>
        <w:tc>
          <w:tcPr>
            <w:tcW w:w="2268" w:type="dxa"/>
            <w:shd w:val="clear" w:color="auto" w:fill="auto"/>
            <w:noWrap/>
          </w:tcPr>
          <w:p w14:paraId="1E8DDCA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Fiebre amarilla</w:t>
            </w:r>
          </w:p>
        </w:tc>
        <w:tc>
          <w:tcPr>
            <w:tcW w:w="771" w:type="dxa"/>
            <w:shd w:val="clear" w:color="auto" w:fill="auto"/>
            <w:vAlign w:val="bottom"/>
          </w:tcPr>
          <w:p w14:paraId="4356979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6C03043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AC512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05559B1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02A80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3984A74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11304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2569D66D" w14:textId="77777777" w:rsidTr="00B6440E">
        <w:trPr>
          <w:trHeight w:val="240"/>
        </w:trPr>
        <w:tc>
          <w:tcPr>
            <w:tcW w:w="2268" w:type="dxa"/>
            <w:shd w:val="clear" w:color="auto" w:fill="auto"/>
            <w:noWrap/>
          </w:tcPr>
          <w:p w14:paraId="739597D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Fiebre hemorrágica</w:t>
            </w:r>
          </w:p>
        </w:tc>
        <w:tc>
          <w:tcPr>
            <w:tcW w:w="771" w:type="dxa"/>
            <w:shd w:val="clear" w:color="auto" w:fill="auto"/>
            <w:vAlign w:val="bottom"/>
          </w:tcPr>
          <w:p w14:paraId="4CEE38A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6A00C8D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3B24EBD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12778E5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F9D4C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0930F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44C71B2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0B34B108" w14:textId="77777777" w:rsidTr="00B6440E">
        <w:trPr>
          <w:trHeight w:val="240"/>
        </w:trPr>
        <w:tc>
          <w:tcPr>
            <w:tcW w:w="2268" w:type="dxa"/>
            <w:shd w:val="clear" w:color="auto" w:fill="auto"/>
            <w:noWrap/>
          </w:tcPr>
          <w:p w14:paraId="6853E7F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Hepatitis A</w:t>
            </w:r>
          </w:p>
        </w:tc>
        <w:tc>
          <w:tcPr>
            <w:tcW w:w="771" w:type="dxa"/>
            <w:shd w:val="clear" w:color="auto" w:fill="auto"/>
            <w:vAlign w:val="bottom"/>
          </w:tcPr>
          <w:p w14:paraId="75F6DCC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c>
          <w:tcPr>
            <w:tcW w:w="656" w:type="dxa"/>
            <w:shd w:val="clear" w:color="auto" w:fill="auto"/>
            <w:vAlign w:val="bottom"/>
          </w:tcPr>
          <w:p w14:paraId="1A8177C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w:t>
            </w:r>
          </w:p>
        </w:tc>
        <w:tc>
          <w:tcPr>
            <w:tcW w:w="755" w:type="dxa"/>
            <w:shd w:val="clear" w:color="auto" w:fill="auto"/>
            <w:noWrap/>
            <w:vAlign w:val="bottom"/>
          </w:tcPr>
          <w:p w14:paraId="73DD7FF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w:t>
            </w:r>
          </w:p>
        </w:tc>
        <w:tc>
          <w:tcPr>
            <w:tcW w:w="754" w:type="dxa"/>
            <w:shd w:val="clear" w:color="auto" w:fill="auto"/>
            <w:noWrap/>
            <w:vAlign w:val="bottom"/>
          </w:tcPr>
          <w:p w14:paraId="1383CD3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w:t>
            </w:r>
          </w:p>
        </w:tc>
        <w:tc>
          <w:tcPr>
            <w:tcW w:w="755" w:type="dxa"/>
            <w:shd w:val="clear" w:color="auto" w:fill="auto"/>
            <w:noWrap/>
            <w:vAlign w:val="bottom"/>
          </w:tcPr>
          <w:p w14:paraId="4263F1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c>
          <w:tcPr>
            <w:tcW w:w="755" w:type="dxa"/>
            <w:shd w:val="clear" w:color="auto" w:fill="auto"/>
            <w:noWrap/>
            <w:vAlign w:val="bottom"/>
          </w:tcPr>
          <w:p w14:paraId="0F3B2CA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656" w:type="dxa"/>
            <w:shd w:val="clear" w:color="auto" w:fill="auto"/>
            <w:vAlign w:val="bottom"/>
          </w:tcPr>
          <w:p w14:paraId="6C2CBBF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r>
      <w:tr w:rsidR="00680417" w:rsidRPr="00DA21FF" w14:paraId="2CA5BDF4" w14:textId="77777777" w:rsidTr="00B6440E">
        <w:trPr>
          <w:trHeight w:val="240"/>
        </w:trPr>
        <w:tc>
          <w:tcPr>
            <w:tcW w:w="2268" w:type="dxa"/>
            <w:shd w:val="clear" w:color="auto" w:fill="auto"/>
            <w:noWrap/>
          </w:tcPr>
          <w:p w14:paraId="7F78246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Hepatitis B, aguda</w:t>
            </w:r>
          </w:p>
        </w:tc>
        <w:tc>
          <w:tcPr>
            <w:tcW w:w="771" w:type="dxa"/>
            <w:shd w:val="clear" w:color="auto" w:fill="auto"/>
            <w:vAlign w:val="bottom"/>
          </w:tcPr>
          <w:p w14:paraId="3F1922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656" w:type="dxa"/>
            <w:shd w:val="clear" w:color="auto" w:fill="auto"/>
            <w:vAlign w:val="bottom"/>
          </w:tcPr>
          <w:p w14:paraId="423F84D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755" w:type="dxa"/>
            <w:shd w:val="clear" w:color="auto" w:fill="auto"/>
            <w:noWrap/>
            <w:vAlign w:val="bottom"/>
          </w:tcPr>
          <w:p w14:paraId="19D7E3B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p>
        </w:tc>
        <w:tc>
          <w:tcPr>
            <w:tcW w:w="754" w:type="dxa"/>
            <w:shd w:val="clear" w:color="auto" w:fill="auto"/>
            <w:noWrap/>
            <w:vAlign w:val="bottom"/>
          </w:tcPr>
          <w:p w14:paraId="0A4741B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5" w:type="dxa"/>
            <w:shd w:val="clear" w:color="auto" w:fill="auto"/>
            <w:noWrap/>
            <w:vAlign w:val="bottom"/>
          </w:tcPr>
          <w:p w14:paraId="6AAFD9D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5" w:type="dxa"/>
            <w:shd w:val="clear" w:color="auto" w:fill="auto"/>
            <w:noWrap/>
            <w:vAlign w:val="bottom"/>
          </w:tcPr>
          <w:p w14:paraId="77453CA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656" w:type="dxa"/>
            <w:shd w:val="clear" w:color="auto" w:fill="auto"/>
            <w:vAlign w:val="bottom"/>
          </w:tcPr>
          <w:p w14:paraId="36350F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w:t>
            </w:r>
          </w:p>
        </w:tc>
      </w:tr>
      <w:tr w:rsidR="00680417" w:rsidRPr="00DA21FF" w14:paraId="4C56C663" w14:textId="77777777" w:rsidTr="00B6440E">
        <w:trPr>
          <w:trHeight w:val="240"/>
        </w:trPr>
        <w:tc>
          <w:tcPr>
            <w:tcW w:w="2268" w:type="dxa"/>
            <w:shd w:val="clear" w:color="auto" w:fill="auto"/>
            <w:noWrap/>
          </w:tcPr>
          <w:p w14:paraId="6D74F60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Hepatitis B, crónica</w:t>
            </w:r>
          </w:p>
        </w:tc>
        <w:tc>
          <w:tcPr>
            <w:tcW w:w="771" w:type="dxa"/>
            <w:shd w:val="clear" w:color="auto" w:fill="auto"/>
            <w:vAlign w:val="bottom"/>
          </w:tcPr>
          <w:p w14:paraId="3B0F7A2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455</w:t>
            </w:r>
          </w:p>
        </w:tc>
        <w:tc>
          <w:tcPr>
            <w:tcW w:w="656" w:type="dxa"/>
            <w:shd w:val="clear" w:color="auto" w:fill="auto"/>
            <w:vAlign w:val="bottom"/>
          </w:tcPr>
          <w:p w14:paraId="5BCF18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352</w:t>
            </w:r>
          </w:p>
        </w:tc>
        <w:tc>
          <w:tcPr>
            <w:tcW w:w="755" w:type="dxa"/>
            <w:shd w:val="clear" w:color="auto" w:fill="auto"/>
            <w:noWrap/>
            <w:vAlign w:val="bottom"/>
          </w:tcPr>
          <w:p w14:paraId="32EB753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372</w:t>
            </w:r>
          </w:p>
        </w:tc>
        <w:tc>
          <w:tcPr>
            <w:tcW w:w="754" w:type="dxa"/>
            <w:shd w:val="clear" w:color="auto" w:fill="auto"/>
            <w:noWrap/>
            <w:vAlign w:val="bottom"/>
          </w:tcPr>
          <w:p w14:paraId="0DFB7C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218</w:t>
            </w:r>
          </w:p>
        </w:tc>
        <w:tc>
          <w:tcPr>
            <w:tcW w:w="755" w:type="dxa"/>
            <w:shd w:val="clear" w:color="auto" w:fill="auto"/>
            <w:noWrap/>
            <w:vAlign w:val="bottom"/>
          </w:tcPr>
          <w:p w14:paraId="03F6EB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250</w:t>
            </w:r>
          </w:p>
        </w:tc>
        <w:tc>
          <w:tcPr>
            <w:tcW w:w="755" w:type="dxa"/>
            <w:shd w:val="clear" w:color="auto" w:fill="auto"/>
            <w:noWrap/>
            <w:vAlign w:val="bottom"/>
          </w:tcPr>
          <w:p w14:paraId="32C2B9E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356</w:t>
            </w:r>
          </w:p>
        </w:tc>
        <w:tc>
          <w:tcPr>
            <w:tcW w:w="656" w:type="dxa"/>
            <w:shd w:val="clear" w:color="auto" w:fill="auto"/>
            <w:vAlign w:val="bottom"/>
          </w:tcPr>
          <w:p w14:paraId="7363879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434</w:t>
            </w:r>
          </w:p>
        </w:tc>
      </w:tr>
      <w:tr w:rsidR="00680417" w:rsidRPr="00DA21FF" w14:paraId="7FD9D516" w14:textId="77777777" w:rsidTr="00B6440E">
        <w:trPr>
          <w:trHeight w:val="240"/>
        </w:trPr>
        <w:tc>
          <w:tcPr>
            <w:tcW w:w="2268" w:type="dxa"/>
            <w:shd w:val="clear" w:color="auto" w:fill="auto"/>
            <w:noWrap/>
          </w:tcPr>
          <w:p w14:paraId="3805A5E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Hepatitis C</w:t>
            </w:r>
          </w:p>
        </w:tc>
        <w:tc>
          <w:tcPr>
            <w:tcW w:w="771" w:type="dxa"/>
            <w:shd w:val="clear" w:color="auto" w:fill="auto"/>
            <w:vAlign w:val="bottom"/>
          </w:tcPr>
          <w:p w14:paraId="4BBA2B8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786</w:t>
            </w:r>
          </w:p>
        </w:tc>
        <w:tc>
          <w:tcPr>
            <w:tcW w:w="656" w:type="dxa"/>
            <w:shd w:val="clear" w:color="auto" w:fill="auto"/>
            <w:vAlign w:val="bottom"/>
          </w:tcPr>
          <w:p w14:paraId="402535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781</w:t>
            </w:r>
          </w:p>
        </w:tc>
        <w:tc>
          <w:tcPr>
            <w:tcW w:w="755" w:type="dxa"/>
            <w:shd w:val="clear" w:color="auto" w:fill="auto"/>
            <w:noWrap/>
            <w:vAlign w:val="bottom"/>
          </w:tcPr>
          <w:p w14:paraId="6E8E16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661</w:t>
            </w:r>
          </w:p>
        </w:tc>
        <w:tc>
          <w:tcPr>
            <w:tcW w:w="754" w:type="dxa"/>
            <w:shd w:val="clear" w:color="auto" w:fill="auto"/>
            <w:noWrap/>
            <w:vAlign w:val="bottom"/>
          </w:tcPr>
          <w:p w14:paraId="5C02E1B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469</w:t>
            </w:r>
          </w:p>
        </w:tc>
        <w:tc>
          <w:tcPr>
            <w:tcW w:w="755" w:type="dxa"/>
            <w:shd w:val="clear" w:color="auto" w:fill="auto"/>
            <w:noWrap/>
            <w:vAlign w:val="bottom"/>
          </w:tcPr>
          <w:p w14:paraId="759A8E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382</w:t>
            </w:r>
          </w:p>
        </w:tc>
        <w:tc>
          <w:tcPr>
            <w:tcW w:w="755" w:type="dxa"/>
            <w:shd w:val="clear" w:color="auto" w:fill="auto"/>
            <w:noWrap/>
            <w:vAlign w:val="bottom"/>
          </w:tcPr>
          <w:p w14:paraId="4560C1E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476</w:t>
            </w:r>
          </w:p>
        </w:tc>
        <w:tc>
          <w:tcPr>
            <w:tcW w:w="656" w:type="dxa"/>
            <w:shd w:val="clear" w:color="auto" w:fill="auto"/>
            <w:vAlign w:val="bottom"/>
          </w:tcPr>
          <w:p w14:paraId="2BFC0F0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629</w:t>
            </w:r>
          </w:p>
        </w:tc>
      </w:tr>
      <w:tr w:rsidR="00680417" w:rsidRPr="00DA21FF" w14:paraId="689E8B5A" w14:textId="77777777" w:rsidTr="00B6440E">
        <w:trPr>
          <w:trHeight w:val="240"/>
        </w:trPr>
        <w:tc>
          <w:tcPr>
            <w:tcW w:w="2268" w:type="dxa"/>
            <w:shd w:val="clear" w:color="auto" w:fill="auto"/>
            <w:noWrap/>
          </w:tcPr>
          <w:p w14:paraId="62D0A0C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Infección por el VIH</w:t>
            </w:r>
          </w:p>
        </w:tc>
        <w:tc>
          <w:tcPr>
            <w:tcW w:w="771" w:type="dxa"/>
            <w:shd w:val="clear" w:color="auto" w:fill="auto"/>
            <w:vAlign w:val="bottom"/>
          </w:tcPr>
          <w:p w14:paraId="78B3FE6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213</w:t>
            </w:r>
          </w:p>
        </w:tc>
        <w:tc>
          <w:tcPr>
            <w:tcW w:w="656" w:type="dxa"/>
            <w:shd w:val="clear" w:color="auto" w:fill="auto"/>
            <w:vAlign w:val="bottom"/>
          </w:tcPr>
          <w:p w14:paraId="2C32A92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191</w:t>
            </w:r>
          </w:p>
        </w:tc>
        <w:tc>
          <w:tcPr>
            <w:tcW w:w="755" w:type="dxa"/>
            <w:shd w:val="clear" w:color="auto" w:fill="auto"/>
            <w:noWrap/>
            <w:vAlign w:val="bottom"/>
          </w:tcPr>
          <w:p w14:paraId="2E9015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172</w:t>
            </w:r>
          </w:p>
        </w:tc>
        <w:tc>
          <w:tcPr>
            <w:tcW w:w="754" w:type="dxa"/>
            <w:shd w:val="clear" w:color="auto" w:fill="auto"/>
            <w:noWrap/>
            <w:vAlign w:val="bottom"/>
          </w:tcPr>
          <w:p w14:paraId="68A17B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137</w:t>
            </w:r>
          </w:p>
        </w:tc>
        <w:tc>
          <w:tcPr>
            <w:tcW w:w="755" w:type="dxa"/>
            <w:shd w:val="clear" w:color="auto" w:fill="auto"/>
            <w:noWrap/>
            <w:vAlign w:val="bottom"/>
          </w:tcPr>
          <w:p w14:paraId="160A793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102</w:t>
            </w:r>
          </w:p>
        </w:tc>
        <w:tc>
          <w:tcPr>
            <w:tcW w:w="755" w:type="dxa"/>
            <w:shd w:val="clear" w:color="auto" w:fill="auto"/>
            <w:noWrap/>
            <w:vAlign w:val="bottom"/>
          </w:tcPr>
          <w:p w14:paraId="2AD83B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245</w:t>
            </w:r>
          </w:p>
        </w:tc>
        <w:tc>
          <w:tcPr>
            <w:tcW w:w="656" w:type="dxa"/>
            <w:shd w:val="clear" w:color="auto" w:fill="auto"/>
            <w:vAlign w:val="bottom"/>
          </w:tcPr>
          <w:p w14:paraId="446B6F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332</w:t>
            </w:r>
          </w:p>
        </w:tc>
      </w:tr>
      <w:tr w:rsidR="00680417" w:rsidRPr="00DA21FF" w14:paraId="5F76C02F" w14:textId="77777777" w:rsidTr="00B6440E">
        <w:trPr>
          <w:trHeight w:val="240"/>
        </w:trPr>
        <w:tc>
          <w:tcPr>
            <w:tcW w:w="2268" w:type="dxa"/>
            <w:shd w:val="clear" w:color="auto" w:fill="auto"/>
            <w:noWrap/>
          </w:tcPr>
          <w:p w14:paraId="2554E4F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Gripe A(</w:t>
            </w:r>
            <w:proofErr w:type="spellStart"/>
            <w:r w:rsidRPr="00DA21FF">
              <w:rPr>
                <w:sz w:val="18"/>
              </w:rPr>
              <w:t>H1N1</w:t>
            </w:r>
            <w:proofErr w:type="spellEnd"/>
            <w:r w:rsidRPr="00DA21FF">
              <w:rPr>
                <w:sz w:val="18"/>
              </w:rPr>
              <w:t>)</w:t>
            </w:r>
          </w:p>
        </w:tc>
        <w:tc>
          <w:tcPr>
            <w:tcW w:w="771" w:type="dxa"/>
            <w:shd w:val="clear" w:color="auto" w:fill="auto"/>
            <w:vAlign w:val="bottom"/>
          </w:tcPr>
          <w:p w14:paraId="44E0DF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01F68FE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AFBF90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5F8E108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81E2E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8ED4AB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72591B3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4C93AC29" w14:textId="77777777" w:rsidTr="00B6440E">
        <w:trPr>
          <w:trHeight w:val="240"/>
        </w:trPr>
        <w:tc>
          <w:tcPr>
            <w:tcW w:w="2268" w:type="dxa"/>
            <w:shd w:val="clear" w:color="auto" w:fill="auto"/>
            <w:noWrap/>
          </w:tcPr>
          <w:p w14:paraId="69B7C0C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Tosferina</w:t>
            </w:r>
          </w:p>
        </w:tc>
        <w:tc>
          <w:tcPr>
            <w:tcW w:w="771" w:type="dxa"/>
            <w:shd w:val="clear" w:color="auto" w:fill="auto"/>
            <w:vAlign w:val="bottom"/>
          </w:tcPr>
          <w:p w14:paraId="496BC692" w14:textId="06B1931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424</w:t>
            </w:r>
          </w:p>
        </w:tc>
        <w:tc>
          <w:tcPr>
            <w:tcW w:w="656" w:type="dxa"/>
            <w:shd w:val="clear" w:color="auto" w:fill="auto"/>
            <w:vAlign w:val="bottom"/>
          </w:tcPr>
          <w:p w14:paraId="46ADA9ED" w14:textId="37C70B5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470</w:t>
            </w:r>
          </w:p>
        </w:tc>
        <w:tc>
          <w:tcPr>
            <w:tcW w:w="755" w:type="dxa"/>
            <w:shd w:val="clear" w:color="auto" w:fill="auto"/>
            <w:noWrap/>
            <w:vAlign w:val="bottom"/>
          </w:tcPr>
          <w:p w14:paraId="0F5CCF9A" w14:textId="2BB55AD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534</w:t>
            </w:r>
          </w:p>
        </w:tc>
        <w:tc>
          <w:tcPr>
            <w:tcW w:w="754" w:type="dxa"/>
            <w:shd w:val="clear" w:color="auto" w:fill="auto"/>
            <w:noWrap/>
            <w:vAlign w:val="bottom"/>
          </w:tcPr>
          <w:p w14:paraId="76950D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812</w:t>
            </w:r>
          </w:p>
        </w:tc>
        <w:tc>
          <w:tcPr>
            <w:tcW w:w="755" w:type="dxa"/>
            <w:shd w:val="clear" w:color="auto" w:fill="auto"/>
            <w:noWrap/>
            <w:vAlign w:val="bottom"/>
          </w:tcPr>
          <w:p w14:paraId="4F20B2D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w:t>
            </w:r>
          </w:p>
        </w:tc>
        <w:tc>
          <w:tcPr>
            <w:tcW w:w="755" w:type="dxa"/>
            <w:shd w:val="clear" w:color="auto" w:fill="auto"/>
            <w:noWrap/>
            <w:vAlign w:val="bottom"/>
          </w:tcPr>
          <w:p w14:paraId="34797CB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w:t>
            </w:r>
          </w:p>
        </w:tc>
        <w:tc>
          <w:tcPr>
            <w:tcW w:w="656" w:type="dxa"/>
            <w:shd w:val="clear" w:color="auto" w:fill="auto"/>
            <w:vAlign w:val="bottom"/>
          </w:tcPr>
          <w:p w14:paraId="33B1F1BD" w14:textId="3343225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201</w:t>
            </w:r>
          </w:p>
        </w:tc>
      </w:tr>
      <w:tr w:rsidR="00680417" w:rsidRPr="00DA21FF" w14:paraId="60590550" w14:textId="77777777" w:rsidTr="00B6440E">
        <w:trPr>
          <w:trHeight w:val="240"/>
        </w:trPr>
        <w:tc>
          <w:tcPr>
            <w:tcW w:w="2268" w:type="dxa"/>
            <w:shd w:val="clear" w:color="auto" w:fill="auto"/>
            <w:noWrap/>
          </w:tcPr>
          <w:p w14:paraId="58408C3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Cólera</w:t>
            </w:r>
          </w:p>
        </w:tc>
        <w:tc>
          <w:tcPr>
            <w:tcW w:w="771" w:type="dxa"/>
            <w:shd w:val="clear" w:color="auto" w:fill="auto"/>
            <w:vAlign w:val="bottom"/>
          </w:tcPr>
          <w:p w14:paraId="3F4F11D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576C170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8BB80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7C3E2B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780A8A4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c>
          <w:tcPr>
            <w:tcW w:w="755" w:type="dxa"/>
            <w:shd w:val="clear" w:color="auto" w:fill="auto"/>
            <w:noWrap/>
            <w:vAlign w:val="bottom"/>
          </w:tcPr>
          <w:p w14:paraId="4766A8A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c>
          <w:tcPr>
            <w:tcW w:w="656" w:type="dxa"/>
            <w:shd w:val="clear" w:color="auto" w:fill="auto"/>
            <w:vAlign w:val="bottom"/>
          </w:tcPr>
          <w:p w14:paraId="486185D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18C88AC3" w14:textId="77777777" w:rsidTr="00B6440E">
        <w:trPr>
          <w:trHeight w:val="240"/>
        </w:trPr>
        <w:tc>
          <w:tcPr>
            <w:tcW w:w="2268" w:type="dxa"/>
            <w:shd w:val="clear" w:color="auto" w:fill="auto"/>
            <w:noWrap/>
          </w:tcPr>
          <w:p w14:paraId="522DB75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lastRenderedPageBreak/>
              <w:t>Viruela</w:t>
            </w:r>
          </w:p>
        </w:tc>
        <w:tc>
          <w:tcPr>
            <w:tcW w:w="771" w:type="dxa"/>
            <w:shd w:val="clear" w:color="auto" w:fill="auto"/>
            <w:vAlign w:val="bottom"/>
          </w:tcPr>
          <w:p w14:paraId="3EDF3FF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15A521B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7B0B84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03F5A1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139E0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46C9D7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75E2CC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28D4ACBF" w14:textId="77777777" w:rsidTr="00B6440E">
        <w:trPr>
          <w:trHeight w:val="240"/>
        </w:trPr>
        <w:tc>
          <w:tcPr>
            <w:tcW w:w="2268" w:type="dxa"/>
            <w:shd w:val="clear" w:color="auto" w:fill="auto"/>
            <w:noWrap/>
          </w:tcPr>
          <w:p w14:paraId="608015F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Paperas</w:t>
            </w:r>
          </w:p>
        </w:tc>
        <w:tc>
          <w:tcPr>
            <w:tcW w:w="771" w:type="dxa"/>
            <w:shd w:val="clear" w:color="auto" w:fill="auto"/>
            <w:vAlign w:val="bottom"/>
          </w:tcPr>
          <w:p w14:paraId="2CD73DE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656" w:type="dxa"/>
            <w:shd w:val="clear" w:color="auto" w:fill="auto"/>
            <w:vAlign w:val="bottom"/>
          </w:tcPr>
          <w:p w14:paraId="586EC8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c>
          <w:tcPr>
            <w:tcW w:w="755" w:type="dxa"/>
            <w:shd w:val="clear" w:color="auto" w:fill="auto"/>
            <w:noWrap/>
            <w:vAlign w:val="bottom"/>
          </w:tcPr>
          <w:p w14:paraId="2D07BFD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754" w:type="dxa"/>
            <w:shd w:val="clear" w:color="auto" w:fill="auto"/>
            <w:noWrap/>
            <w:vAlign w:val="bottom"/>
          </w:tcPr>
          <w:p w14:paraId="1D5865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w:t>
            </w:r>
          </w:p>
        </w:tc>
        <w:tc>
          <w:tcPr>
            <w:tcW w:w="755" w:type="dxa"/>
            <w:shd w:val="clear" w:color="auto" w:fill="auto"/>
            <w:noWrap/>
            <w:vAlign w:val="bottom"/>
          </w:tcPr>
          <w:p w14:paraId="63395A7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5" w:type="dxa"/>
            <w:shd w:val="clear" w:color="auto" w:fill="auto"/>
            <w:noWrap/>
            <w:vAlign w:val="bottom"/>
          </w:tcPr>
          <w:p w14:paraId="2A4FCDE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656" w:type="dxa"/>
            <w:shd w:val="clear" w:color="auto" w:fill="auto"/>
            <w:vAlign w:val="bottom"/>
          </w:tcPr>
          <w:p w14:paraId="529B3F3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680417" w:rsidRPr="00DA21FF" w14:paraId="4F52C4AC" w14:textId="77777777" w:rsidTr="00B6440E">
        <w:trPr>
          <w:trHeight w:val="240"/>
        </w:trPr>
        <w:tc>
          <w:tcPr>
            <w:tcW w:w="2268" w:type="dxa"/>
            <w:shd w:val="clear" w:color="auto" w:fill="auto"/>
            <w:noWrap/>
          </w:tcPr>
          <w:p w14:paraId="01F3E2B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Legionelosis</w:t>
            </w:r>
          </w:p>
        </w:tc>
        <w:tc>
          <w:tcPr>
            <w:tcW w:w="771" w:type="dxa"/>
            <w:shd w:val="clear" w:color="auto" w:fill="auto"/>
            <w:vAlign w:val="bottom"/>
          </w:tcPr>
          <w:p w14:paraId="044D83B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w:t>
            </w:r>
          </w:p>
        </w:tc>
        <w:tc>
          <w:tcPr>
            <w:tcW w:w="656" w:type="dxa"/>
            <w:shd w:val="clear" w:color="auto" w:fill="auto"/>
            <w:vAlign w:val="bottom"/>
          </w:tcPr>
          <w:p w14:paraId="2CC1BE6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w:t>
            </w:r>
          </w:p>
        </w:tc>
        <w:tc>
          <w:tcPr>
            <w:tcW w:w="755" w:type="dxa"/>
            <w:shd w:val="clear" w:color="auto" w:fill="auto"/>
            <w:noWrap/>
            <w:vAlign w:val="bottom"/>
          </w:tcPr>
          <w:p w14:paraId="1FB30AA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w:t>
            </w:r>
          </w:p>
        </w:tc>
        <w:tc>
          <w:tcPr>
            <w:tcW w:w="754" w:type="dxa"/>
            <w:shd w:val="clear" w:color="auto" w:fill="auto"/>
            <w:noWrap/>
            <w:vAlign w:val="bottom"/>
          </w:tcPr>
          <w:p w14:paraId="32AC293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c>
          <w:tcPr>
            <w:tcW w:w="755" w:type="dxa"/>
            <w:shd w:val="clear" w:color="auto" w:fill="auto"/>
            <w:noWrap/>
            <w:vAlign w:val="bottom"/>
          </w:tcPr>
          <w:p w14:paraId="11B690F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w:t>
            </w:r>
          </w:p>
        </w:tc>
        <w:tc>
          <w:tcPr>
            <w:tcW w:w="755" w:type="dxa"/>
            <w:shd w:val="clear" w:color="auto" w:fill="auto"/>
            <w:noWrap/>
            <w:vAlign w:val="bottom"/>
          </w:tcPr>
          <w:p w14:paraId="23E5263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w:t>
            </w:r>
          </w:p>
        </w:tc>
        <w:tc>
          <w:tcPr>
            <w:tcW w:w="656" w:type="dxa"/>
            <w:shd w:val="clear" w:color="auto" w:fill="auto"/>
            <w:vAlign w:val="bottom"/>
          </w:tcPr>
          <w:p w14:paraId="28F80E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w:t>
            </w:r>
          </w:p>
        </w:tc>
      </w:tr>
      <w:tr w:rsidR="00680417" w:rsidRPr="00DA21FF" w14:paraId="2B323145" w14:textId="77777777" w:rsidTr="00B6440E">
        <w:trPr>
          <w:trHeight w:val="240"/>
        </w:trPr>
        <w:tc>
          <w:tcPr>
            <w:tcW w:w="2268" w:type="dxa"/>
            <w:shd w:val="clear" w:color="auto" w:fill="auto"/>
            <w:noWrap/>
          </w:tcPr>
          <w:p w14:paraId="354FD85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Lepra </w:t>
            </w:r>
          </w:p>
        </w:tc>
        <w:tc>
          <w:tcPr>
            <w:tcW w:w="771" w:type="dxa"/>
            <w:shd w:val="clear" w:color="auto" w:fill="auto"/>
            <w:vAlign w:val="bottom"/>
          </w:tcPr>
          <w:p w14:paraId="532B0EF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5E91A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A9C31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651135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049E10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5" w:type="dxa"/>
            <w:shd w:val="clear" w:color="auto" w:fill="auto"/>
            <w:noWrap/>
            <w:vAlign w:val="bottom"/>
          </w:tcPr>
          <w:p w14:paraId="0D4A7E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7DD338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65C9AE7E" w14:textId="77777777" w:rsidTr="00B6440E">
        <w:trPr>
          <w:trHeight w:val="240"/>
        </w:trPr>
        <w:tc>
          <w:tcPr>
            <w:tcW w:w="2268" w:type="dxa"/>
            <w:shd w:val="clear" w:color="auto" w:fill="auto"/>
            <w:noWrap/>
          </w:tcPr>
          <w:p w14:paraId="3F98F79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Listeriosis</w:t>
            </w:r>
          </w:p>
        </w:tc>
        <w:tc>
          <w:tcPr>
            <w:tcW w:w="771" w:type="dxa"/>
            <w:shd w:val="clear" w:color="auto" w:fill="auto"/>
            <w:vAlign w:val="bottom"/>
          </w:tcPr>
          <w:p w14:paraId="6A6009D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c>
          <w:tcPr>
            <w:tcW w:w="656" w:type="dxa"/>
            <w:shd w:val="clear" w:color="auto" w:fill="auto"/>
            <w:vAlign w:val="bottom"/>
          </w:tcPr>
          <w:p w14:paraId="0165713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w:t>
            </w:r>
          </w:p>
        </w:tc>
        <w:tc>
          <w:tcPr>
            <w:tcW w:w="755" w:type="dxa"/>
            <w:shd w:val="clear" w:color="auto" w:fill="auto"/>
            <w:vAlign w:val="bottom"/>
          </w:tcPr>
          <w:p w14:paraId="2BB5201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c>
          <w:tcPr>
            <w:tcW w:w="754" w:type="dxa"/>
            <w:shd w:val="clear" w:color="auto" w:fill="auto"/>
            <w:noWrap/>
            <w:vAlign w:val="bottom"/>
          </w:tcPr>
          <w:p w14:paraId="5E9D46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c>
          <w:tcPr>
            <w:tcW w:w="755" w:type="dxa"/>
            <w:shd w:val="clear" w:color="auto" w:fill="auto"/>
            <w:noWrap/>
            <w:vAlign w:val="bottom"/>
          </w:tcPr>
          <w:p w14:paraId="52977C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755" w:type="dxa"/>
            <w:shd w:val="clear" w:color="auto" w:fill="auto"/>
            <w:noWrap/>
            <w:vAlign w:val="bottom"/>
          </w:tcPr>
          <w:p w14:paraId="1882830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656" w:type="dxa"/>
            <w:shd w:val="clear" w:color="auto" w:fill="auto"/>
            <w:vAlign w:val="bottom"/>
          </w:tcPr>
          <w:p w14:paraId="61E9EA2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w:t>
            </w:r>
          </w:p>
        </w:tc>
      </w:tr>
      <w:tr w:rsidR="00680417" w:rsidRPr="00DA21FF" w14:paraId="7ED892F2" w14:textId="77777777" w:rsidTr="00B6440E">
        <w:trPr>
          <w:trHeight w:val="240"/>
        </w:trPr>
        <w:tc>
          <w:tcPr>
            <w:tcW w:w="2268" w:type="dxa"/>
            <w:shd w:val="clear" w:color="auto" w:fill="auto"/>
            <w:noWrap/>
          </w:tcPr>
          <w:p w14:paraId="0537F21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 de Lyme</w:t>
            </w:r>
          </w:p>
        </w:tc>
        <w:tc>
          <w:tcPr>
            <w:tcW w:w="771" w:type="dxa"/>
            <w:shd w:val="clear" w:color="auto" w:fill="auto"/>
            <w:vAlign w:val="bottom"/>
          </w:tcPr>
          <w:p w14:paraId="4E4E24E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438</w:t>
            </w:r>
          </w:p>
        </w:tc>
        <w:tc>
          <w:tcPr>
            <w:tcW w:w="656" w:type="dxa"/>
            <w:shd w:val="clear" w:color="auto" w:fill="auto"/>
            <w:vAlign w:val="bottom"/>
          </w:tcPr>
          <w:p w14:paraId="26EBA5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421</w:t>
            </w:r>
          </w:p>
        </w:tc>
        <w:tc>
          <w:tcPr>
            <w:tcW w:w="755" w:type="dxa"/>
            <w:shd w:val="clear" w:color="auto" w:fill="auto"/>
            <w:vAlign w:val="bottom"/>
          </w:tcPr>
          <w:p w14:paraId="39387C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488</w:t>
            </w:r>
          </w:p>
        </w:tc>
        <w:tc>
          <w:tcPr>
            <w:tcW w:w="754" w:type="dxa"/>
            <w:shd w:val="clear" w:color="auto" w:fill="auto"/>
            <w:noWrap/>
            <w:vAlign w:val="bottom"/>
          </w:tcPr>
          <w:p w14:paraId="471BC71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510</w:t>
            </w:r>
          </w:p>
        </w:tc>
        <w:tc>
          <w:tcPr>
            <w:tcW w:w="755" w:type="dxa"/>
            <w:shd w:val="clear" w:color="auto" w:fill="auto"/>
            <w:noWrap/>
            <w:vAlign w:val="bottom"/>
          </w:tcPr>
          <w:p w14:paraId="0FB180C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537</w:t>
            </w:r>
          </w:p>
        </w:tc>
        <w:tc>
          <w:tcPr>
            <w:tcW w:w="755" w:type="dxa"/>
            <w:shd w:val="clear" w:color="auto" w:fill="auto"/>
            <w:noWrap/>
            <w:vAlign w:val="bottom"/>
          </w:tcPr>
          <w:p w14:paraId="27A6B18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496</w:t>
            </w:r>
          </w:p>
        </w:tc>
        <w:tc>
          <w:tcPr>
            <w:tcW w:w="656" w:type="dxa"/>
            <w:shd w:val="clear" w:color="auto" w:fill="auto"/>
            <w:vAlign w:val="bottom"/>
          </w:tcPr>
          <w:p w14:paraId="40F47FD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570</w:t>
            </w:r>
          </w:p>
        </w:tc>
      </w:tr>
      <w:tr w:rsidR="00680417" w:rsidRPr="00DA21FF" w14:paraId="1D43C2BF" w14:textId="77777777" w:rsidTr="00B6440E">
        <w:trPr>
          <w:trHeight w:val="240"/>
        </w:trPr>
        <w:tc>
          <w:tcPr>
            <w:tcW w:w="2268" w:type="dxa"/>
            <w:shd w:val="clear" w:color="auto" w:fill="auto"/>
            <w:noWrap/>
          </w:tcPr>
          <w:p w14:paraId="558A513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Paludismo</w:t>
            </w:r>
          </w:p>
        </w:tc>
        <w:tc>
          <w:tcPr>
            <w:tcW w:w="771" w:type="dxa"/>
            <w:shd w:val="clear" w:color="auto" w:fill="auto"/>
            <w:vAlign w:val="bottom"/>
          </w:tcPr>
          <w:p w14:paraId="365981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w:t>
            </w:r>
          </w:p>
        </w:tc>
        <w:tc>
          <w:tcPr>
            <w:tcW w:w="656" w:type="dxa"/>
            <w:shd w:val="clear" w:color="auto" w:fill="auto"/>
            <w:vAlign w:val="bottom"/>
          </w:tcPr>
          <w:p w14:paraId="22C0FDF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w:t>
            </w:r>
          </w:p>
        </w:tc>
        <w:tc>
          <w:tcPr>
            <w:tcW w:w="755" w:type="dxa"/>
            <w:shd w:val="clear" w:color="auto" w:fill="auto"/>
            <w:vAlign w:val="bottom"/>
          </w:tcPr>
          <w:p w14:paraId="60DB0A7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196</w:t>
            </w:r>
          </w:p>
        </w:tc>
        <w:tc>
          <w:tcPr>
            <w:tcW w:w="754" w:type="dxa"/>
            <w:shd w:val="clear" w:color="auto" w:fill="auto"/>
            <w:noWrap/>
            <w:vAlign w:val="bottom"/>
          </w:tcPr>
          <w:p w14:paraId="4E2EA5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w:t>
            </w:r>
          </w:p>
        </w:tc>
        <w:tc>
          <w:tcPr>
            <w:tcW w:w="755" w:type="dxa"/>
            <w:shd w:val="clear" w:color="auto" w:fill="auto"/>
            <w:noWrap/>
            <w:vAlign w:val="bottom"/>
          </w:tcPr>
          <w:p w14:paraId="6E8905F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68</w:t>
            </w:r>
          </w:p>
        </w:tc>
        <w:tc>
          <w:tcPr>
            <w:tcW w:w="755" w:type="dxa"/>
            <w:shd w:val="clear" w:color="auto" w:fill="auto"/>
            <w:noWrap/>
            <w:vAlign w:val="bottom"/>
          </w:tcPr>
          <w:p w14:paraId="19B5CF8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w:t>
            </w:r>
          </w:p>
        </w:tc>
        <w:tc>
          <w:tcPr>
            <w:tcW w:w="656" w:type="dxa"/>
            <w:shd w:val="clear" w:color="auto" w:fill="auto"/>
            <w:vAlign w:val="bottom"/>
          </w:tcPr>
          <w:p w14:paraId="6EE689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w:t>
            </w:r>
          </w:p>
        </w:tc>
      </w:tr>
      <w:tr w:rsidR="00680417" w:rsidRPr="00DA21FF" w14:paraId="7E4D707E" w14:textId="77777777" w:rsidTr="00B6440E">
        <w:trPr>
          <w:trHeight w:val="240"/>
        </w:trPr>
        <w:tc>
          <w:tcPr>
            <w:tcW w:w="2268" w:type="dxa"/>
            <w:shd w:val="clear" w:color="auto" w:fill="auto"/>
            <w:noWrap/>
          </w:tcPr>
          <w:p w14:paraId="4B92DCB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Sarampión</w:t>
            </w:r>
          </w:p>
        </w:tc>
        <w:tc>
          <w:tcPr>
            <w:tcW w:w="771" w:type="dxa"/>
            <w:shd w:val="clear" w:color="auto" w:fill="auto"/>
            <w:vAlign w:val="bottom"/>
          </w:tcPr>
          <w:p w14:paraId="5C2B708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0989403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755" w:type="dxa"/>
            <w:shd w:val="clear" w:color="auto" w:fill="auto"/>
            <w:vAlign w:val="bottom"/>
          </w:tcPr>
          <w:p w14:paraId="71714EE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754" w:type="dxa"/>
            <w:shd w:val="clear" w:color="auto" w:fill="auto"/>
            <w:noWrap/>
            <w:vAlign w:val="bottom"/>
          </w:tcPr>
          <w:p w14:paraId="22ECD45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5" w:type="dxa"/>
            <w:shd w:val="clear" w:color="auto" w:fill="auto"/>
            <w:noWrap/>
            <w:vAlign w:val="bottom"/>
          </w:tcPr>
          <w:p w14:paraId="729B51D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B9F9A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656" w:type="dxa"/>
            <w:shd w:val="clear" w:color="auto" w:fill="auto"/>
            <w:vAlign w:val="bottom"/>
          </w:tcPr>
          <w:p w14:paraId="44F4CC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r>
      <w:tr w:rsidR="00680417" w:rsidRPr="00DA21FF" w14:paraId="327774DB" w14:textId="77777777" w:rsidTr="00B6440E">
        <w:trPr>
          <w:trHeight w:val="240"/>
        </w:trPr>
        <w:tc>
          <w:tcPr>
            <w:tcW w:w="2268" w:type="dxa"/>
            <w:shd w:val="clear" w:color="auto" w:fill="auto"/>
            <w:noWrap/>
          </w:tcPr>
          <w:p w14:paraId="7BE1948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Carbunco</w:t>
            </w:r>
          </w:p>
        </w:tc>
        <w:tc>
          <w:tcPr>
            <w:tcW w:w="771" w:type="dxa"/>
            <w:shd w:val="clear" w:color="auto" w:fill="auto"/>
            <w:vAlign w:val="bottom"/>
          </w:tcPr>
          <w:p w14:paraId="180BB12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1398AC6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631A56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046766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DD1BB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220093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620D47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69963D3A" w14:textId="77777777" w:rsidTr="00B6440E">
        <w:trPr>
          <w:trHeight w:val="240"/>
        </w:trPr>
        <w:tc>
          <w:tcPr>
            <w:tcW w:w="2268" w:type="dxa"/>
            <w:shd w:val="clear" w:color="auto" w:fill="auto"/>
            <w:noWrap/>
          </w:tcPr>
          <w:p w14:paraId="2BCAC6A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Infección por </w:t>
            </w:r>
            <w:proofErr w:type="spellStart"/>
            <w:r w:rsidRPr="00DA21FF">
              <w:rPr>
                <w:sz w:val="18"/>
              </w:rPr>
              <w:t>SARM</w:t>
            </w:r>
            <w:proofErr w:type="spellEnd"/>
          </w:p>
        </w:tc>
        <w:tc>
          <w:tcPr>
            <w:tcW w:w="771" w:type="dxa"/>
            <w:shd w:val="clear" w:color="auto" w:fill="auto"/>
            <w:vAlign w:val="bottom"/>
          </w:tcPr>
          <w:p w14:paraId="1D32FC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824</w:t>
            </w:r>
          </w:p>
        </w:tc>
        <w:tc>
          <w:tcPr>
            <w:tcW w:w="656" w:type="dxa"/>
            <w:shd w:val="clear" w:color="auto" w:fill="auto"/>
            <w:vAlign w:val="bottom"/>
          </w:tcPr>
          <w:p w14:paraId="481B4CC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915</w:t>
            </w:r>
          </w:p>
        </w:tc>
        <w:tc>
          <w:tcPr>
            <w:tcW w:w="755" w:type="dxa"/>
            <w:shd w:val="clear" w:color="auto" w:fill="auto"/>
            <w:vAlign w:val="bottom"/>
          </w:tcPr>
          <w:p w14:paraId="5A5C50D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955</w:t>
            </w:r>
          </w:p>
        </w:tc>
        <w:tc>
          <w:tcPr>
            <w:tcW w:w="754" w:type="dxa"/>
            <w:shd w:val="clear" w:color="auto" w:fill="auto"/>
            <w:noWrap/>
            <w:vAlign w:val="bottom"/>
          </w:tcPr>
          <w:p w14:paraId="22973C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753</w:t>
            </w:r>
          </w:p>
        </w:tc>
        <w:tc>
          <w:tcPr>
            <w:tcW w:w="755" w:type="dxa"/>
            <w:shd w:val="clear" w:color="auto" w:fill="auto"/>
            <w:noWrap/>
            <w:vAlign w:val="bottom"/>
          </w:tcPr>
          <w:p w14:paraId="1F044A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702</w:t>
            </w:r>
          </w:p>
        </w:tc>
        <w:tc>
          <w:tcPr>
            <w:tcW w:w="755" w:type="dxa"/>
            <w:shd w:val="clear" w:color="auto" w:fill="auto"/>
            <w:noWrap/>
            <w:vAlign w:val="bottom"/>
          </w:tcPr>
          <w:p w14:paraId="02A657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873</w:t>
            </w:r>
          </w:p>
        </w:tc>
        <w:tc>
          <w:tcPr>
            <w:tcW w:w="656" w:type="dxa"/>
            <w:shd w:val="clear" w:color="auto" w:fill="auto"/>
            <w:vAlign w:val="bottom"/>
          </w:tcPr>
          <w:p w14:paraId="4269A2C5" w14:textId="2287321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112</w:t>
            </w:r>
          </w:p>
        </w:tc>
      </w:tr>
      <w:tr w:rsidR="00680417" w:rsidRPr="00DA21FF" w14:paraId="0903F274" w14:textId="77777777" w:rsidTr="00B6440E">
        <w:trPr>
          <w:trHeight w:val="240"/>
        </w:trPr>
        <w:tc>
          <w:tcPr>
            <w:tcW w:w="2268" w:type="dxa"/>
            <w:shd w:val="clear" w:color="auto" w:fill="auto"/>
            <w:noWrap/>
          </w:tcPr>
          <w:p w14:paraId="43B7CCD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Portador de </w:t>
            </w:r>
            <w:proofErr w:type="spellStart"/>
            <w:r w:rsidRPr="00DA21FF">
              <w:rPr>
                <w:sz w:val="18"/>
              </w:rPr>
              <w:t>SARM</w:t>
            </w:r>
            <w:proofErr w:type="spellEnd"/>
            <w:r w:rsidRPr="00DA21FF">
              <w:rPr>
                <w:sz w:val="18"/>
              </w:rPr>
              <w:t xml:space="preserve"> </w:t>
            </w:r>
          </w:p>
        </w:tc>
        <w:tc>
          <w:tcPr>
            <w:tcW w:w="771" w:type="dxa"/>
            <w:shd w:val="clear" w:color="auto" w:fill="auto"/>
            <w:vAlign w:val="bottom"/>
          </w:tcPr>
          <w:p w14:paraId="7D3AF83F" w14:textId="20986C4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670</w:t>
            </w:r>
          </w:p>
        </w:tc>
        <w:tc>
          <w:tcPr>
            <w:tcW w:w="656" w:type="dxa"/>
            <w:shd w:val="clear" w:color="auto" w:fill="auto"/>
            <w:vAlign w:val="bottom"/>
          </w:tcPr>
          <w:p w14:paraId="5A529168" w14:textId="7C6B85B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652</w:t>
            </w:r>
          </w:p>
        </w:tc>
        <w:tc>
          <w:tcPr>
            <w:tcW w:w="755" w:type="dxa"/>
            <w:shd w:val="clear" w:color="auto" w:fill="auto"/>
            <w:vAlign w:val="bottom"/>
          </w:tcPr>
          <w:p w14:paraId="2CA11AD3" w14:textId="7178F99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520</w:t>
            </w:r>
          </w:p>
        </w:tc>
        <w:tc>
          <w:tcPr>
            <w:tcW w:w="754" w:type="dxa"/>
            <w:shd w:val="clear" w:color="auto" w:fill="auto"/>
            <w:noWrap/>
            <w:vAlign w:val="bottom"/>
          </w:tcPr>
          <w:p w14:paraId="3B8ED48A" w14:textId="19A18C5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168</w:t>
            </w:r>
          </w:p>
        </w:tc>
        <w:tc>
          <w:tcPr>
            <w:tcW w:w="755" w:type="dxa"/>
            <w:shd w:val="clear" w:color="auto" w:fill="auto"/>
            <w:noWrap/>
            <w:vAlign w:val="bottom"/>
          </w:tcPr>
          <w:p w14:paraId="717C7B56" w14:textId="2ECFE6D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050</w:t>
            </w:r>
          </w:p>
        </w:tc>
        <w:tc>
          <w:tcPr>
            <w:tcW w:w="755" w:type="dxa"/>
            <w:shd w:val="clear" w:color="auto" w:fill="auto"/>
            <w:noWrap/>
            <w:vAlign w:val="bottom"/>
          </w:tcPr>
          <w:p w14:paraId="4F947DD7" w14:textId="661F06A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202</w:t>
            </w:r>
          </w:p>
        </w:tc>
        <w:tc>
          <w:tcPr>
            <w:tcW w:w="656" w:type="dxa"/>
            <w:shd w:val="clear" w:color="auto" w:fill="auto"/>
            <w:vAlign w:val="bottom"/>
          </w:tcPr>
          <w:p w14:paraId="0EAC74A7" w14:textId="0CD40F7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469</w:t>
            </w:r>
          </w:p>
        </w:tc>
      </w:tr>
      <w:tr w:rsidR="00680417" w:rsidRPr="00DA21FF" w14:paraId="03527C7D" w14:textId="77777777" w:rsidTr="00B6440E">
        <w:trPr>
          <w:trHeight w:val="240"/>
        </w:trPr>
        <w:tc>
          <w:tcPr>
            <w:tcW w:w="2268" w:type="dxa"/>
            <w:shd w:val="clear" w:color="auto" w:fill="auto"/>
            <w:noWrap/>
          </w:tcPr>
          <w:p w14:paraId="7779001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Nefropatía epidémica</w:t>
            </w:r>
          </w:p>
        </w:tc>
        <w:tc>
          <w:tcPr>
            <w:tcW w:w="771" w:type="dxa"/>
            <w:shd w:val="clear" w:color="auto" w:fill="auto"/>
            <w:vAlign w:val="bottom"/>
          </w:tcPr>
          <w:p w14:paraId="7804614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c>
          <w:tcPr>
            <w:tcW w:w="656" w:type="dxa"/>
            <w:shd w:val="clear" w:color="auto" w:fill="auto"/>
            <w:vAlign w:val="bottom"/>
          </w:tcPr>
          <w:p w14:paraId="5B1561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w:t>
            </w:r>
          </w:p>
        </w:tc>
        <w:tc>
          <w:tcPr>
            <w:tcW w:w="755" w:type="dxa"/>
            <w:shd w:val="clear" w:color="auto" w:fill="auto"/>
            <w:vAlign w:val="bottom"/>
          </w:tcPr>
          <w:p w14:paraId="5E418A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c>
          <w:tcPr>
            <w:tcW w:w="754" w:type="dxa"/>
            <w:shd w:val="clear" w:color="auto" w:fill="auto"/>
            <w:noWrap/>
            <w:vAlign w:val="bottom"/>
          </w:tcPr>
          <w:p w14:paraId="137D7C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755" w:type="dxa"/>
            <w:shd w:val="clear" w:color="auto" w:fill="auto"/>
            <w:noWrap/>
            <w:vAlign w:val="bottom"/>
          </w:tcPr>
          <w:p w14:paraId="50289D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w:t>
            </w:r>
          </w:p>
        </w:tc>
        <w:tc>
          <w:tcPr>
            <w:tcW w:w="755" w:type="dxa"/>
            <w:shd w:val="clear" w:color="auto" w:fill="auto"/>
            <w:noWrap/>
            <w:vAlign w:val="bottom"/>
          </w:tcPr>
          <w:p w14:paraId="41332FC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656" w:type="dxa"/>
            <w:shd w:val="clear" w:color="auto" w:fill="auto"/>
            <w:vAlign w:val="bottom"/>
          </w:tcPr>
          <w:p w14:paraId="63BDCC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w:t>
            </w:r>
          </w:p>
        </w:tc>
      </w:tr>
      <w:tr w:rsidR="00680417" w:rsidRPr="00DA21FF" w14:paraId="5B0C0300" w14:textId="77777777" w:rsidTr="00B6440E">
        <w:trPr>
          <w:trHeight w:val="240"/>
        </w:trPr>
        <w:tc>
          <w:tcPr>
            <w:tcW w:w="2268" w:type="dxa"/>
            <w:shd w:val="clear" w:color="auto" w:fill="auto"/>
            <w:noWrap/>
          </w:tcPr>
          <w:p w14:paraId="0E7E7FD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Fiebre paratifoidea</w:t>
            </w:r>
          </w:p>
        </w:tc>
        <w:tc>
          <w:tcPr>
            <w:tcW w:w="771" w:type="dxa"/>
            <w:shd w:val="clear" w:color="auto" w:fill="auto"/>
            <w:vAlign w:val="bottom"/>
          </w:tcPr>
          <w:p w14:paraId="25FADF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656" w:type="dxa"/>
            <w:shd w:val="clear" w:color="auto" w:fill="auto"/>
            <w:vAlign w:val="bottom"/>
          </w:tcPr>
          <w:p w14:paraId="246103E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755" w:type="dxa"/>
            <w:shd w:val="clear" w:color="auto" w:fill="auto"/>
            <w:vAlign w:val="bottom"/>
          </w:tcPr>
          <w:p w14:paraId="38DF1F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754" w:type="dxa"/>
            <w:shd w:val="clear" w:color="auto" w:fill="auto"/>
            <w:noWrap/>
            <w:vAlign w:val="bottom"/>
          </w:tcPr>
          <w:p w14:paraId="62D079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755" w:type="dxa"/>
            <w:shd w:val="clear" w:color="auto" w:fill="auto"/>
            <w:noWrap/>
            <w:vAlign w:val="bottom"/>
          </w:tcPr>
          <w:p w14:paraId="72DDDB3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p>
        </w:tc>
        <w:tc>
          <w:tcPr>
            <w:tcW w:w="755" w:type="dxa"/>
            <w:shd w:val="clear" w:color="auto" w:fill="auto"/>
            <w:noWrap/>
            <w:vAlign w:val="bottom"/>
          </w:tcPr>
          <w:p w14:paraId="443048E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w:t>
            </w:r>
          </w:p>
        </w:tc>
        <w:tc>
          <w:tcPr>
            <w:tcW w:w="656" w:type="dxa"/>
            <w:shd w:val="clear" w:color="auto" w:fill="auto"/>
            <w:vAlign w:val="bottom"/>
          </w:tcPr>
          <w:p w14:paraId="0B6920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r>
      <w:tr w:rsidR="00680417" w:rsidRPr="00DA21FF" w14:paraId="54D7033E" w14:textId="77777777" w:rsidTr="00B6440E">
        <w:trPr>
          <w:trHeight w:val="240"/>
        </w:trPr>
        <w:tc>
          <w:tcPr>
            <w:tcW w:w="2268" w:type="dxa"/>
            <w:shd w:val="clear" w:color="auto" w:fill="auto"/>
            <w:noWrap/>
          </w:tcPr>
          <w:p w14:paraId="76DC081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Peste</w:t>
            </w:r>
          </w:p>
        </w:tc>
        <w:tc>
          <w:tcPr>
            <w:tcW w:w="771" w:type="dxa"/>
            <w:shd w:val="clear" w:color="auto" w:fill="auto"/>
            <w:vAlign w:val="bottom"/>
          </w:tcPr>
          <w:p w14:paraId="722E51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76009AC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103F06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5CF21B8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F181EC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B62A73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42B5D5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498C7F99" w14:textId="77777777" w:rsidTr="00B6440E">
        <w:trPr>
          <w:trHeight w:val="240"/>
        </w:trPr>
        <w:tc>
          <w:tcPr>
            <w:tcW w:w="2268" w:type="dxa"/>
            <w:shd w:val="clear" w:color="auto" w:fill="auto"/>
            <w:noWrap/>
          </w:tcPr>
          <w:p w14:paraId="57A4341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Poliomielitis</w:t>
            </w:r>
          </w:p>
        </w:tc>
        <w:tc>
          <w:tcPr>
            <w:tcW w:w="771" w:type="dxa"/>
            <w:shd w:val="clear" w:color="auto" w:fill="auto"/>
            <w:vAlign w:val="bottom"/>
          </w:tcPr>
          <w:p w14:paraId="516F5D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84FB2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647FA8B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107995D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375DC2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7B8C95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5B4A39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39325014" w14:textId="77777777" w:rsidTr="00B6440E">
        <w:trPr>
          <w:trHeight w:val="240"/>
        </w:trPr>
        <w:tc>
          <w:tcPr>
            <w:tcW w:w="2268" w:type="dxa"/>
            <w:shd w:val="clear" w:color="auto" w:fill="auto"/>
            <w:noWrap/>
          </w:tcPr>
          <w:p w14:paraId="2E07EED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 priónica</w:t>
            </w:r>
          </w:p>
        </w:tc>
        <w:tc>
          <w:tcPr>
            <w:tcW w:w="771" w:type="dxa"/>
            <w:shd w:val="clear" w:color="auto" w:fill="auto"/>
            <w:vAlign w:val="bottom"/>
          </w:tcPr>
          <w:p w14:paraId="01629B4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656" w:type="dxa"/>
            <w:shd w:val="clear" w:color="auto" w:fill="auto"/>
            <w:vAlign w:val="bottom"/>
          </w:tcPr>
          <w:p w14:paraId="3EEBBF3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755" w:type="dxa"/>
            <w:shd w:val="clear" w:color="auto" w:fill="auto"/>
            <w:vAlign w:val="bottom"/>
          </w:tcPr>
          <w:p w14:paraId="7513AB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w:t>
            </w:r>
          </w:p>
        </w:tc>
        <w:tc>
          <w:tcPr>
            <w:tcW w:w="754" w:type="dxa"/>
            <w:shd w:val="clear" w:color="auto" w:fill="auto"/>
            <w:noWrap/>
            <w:vAlign w:val="bottom"/>
          </w:tcPr>
          <w:p w14:paraId="0EADD3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755" w:type="dxa"/>
            <w:shd w:val="clear" w:color="auto" w:fill="auto"/>
            <w:noWrap/>
            <w:vAlign w:val="bottom"/>
          </w:tcPr>
          <w:p w14:paraId="3D8882C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755" w:type="dxa"/>
            <w:shd w:val="clear" w:color="auto" w:fill="auto"/>
            <w:noWrap/>
            <w:vAlign w:val="bottom"/>
          </w:tcPr>
          <w:p w14:paraId="390D1F0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656" w:type="dxa"/>
            <w:shd w:val="clear" w:color="auto" w:fill="auto"/>
            <w:vAlign w:val="bottom"/>
          </w:tcPr>
          <w:p w14:paraId="476CEFA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680417" w:rsidRPr="00DA21FF" w14:paraId="20324049" w14:textId="77777777" w:rsidTr="00B6440E">
        <w:trPr>
          <w:trHeight w:val="240"/>
        </w:trPr>
        <w:tc>
          <w:tcPr>
            <w:tcW w:w="2268" w:type="dxa"/>
            <w:shd w:val="clear" w:color="auto" w:fill="auto"/>
            <w:noWrap/>
          </w:tcPr>
          <w:p w14:paraId="5A36DF8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Infección por </w:t>
            </w:r>
            <w:proofErr w:type="spellStart"/>
            <w:r w:rsidRPr="00DA21FF">
              <w:rPr>
                <w:sz w:val="18"/>
              </w:rPr>
              <w:t>PRP</w:t>
            </w:r>
            <w:proofErr w:type="spellEnd"/>
            <w:r w:rsidRPr="00DA21FF">
              <w:rPr>
                <w:sz w:val="18"/>
              </w:rPr>
              <w:t xml:space="preserve"> /portador de la </w:t>
            </w:r>
            <w:proofErr w:type="spellStart"/>
            <w:r w:rsidRPr="00DA21FF">
              <w:rPr>
                <w:sz w:val="18"/>
              </w:rPr>
              <w:t>PRP</w:t>
            </w:r>
            <w:proofErr w:type="spellEnd"/>
            <w:r w:rsidRPr="00DA21FF">
              <w:rPr>
                <w:sz w:val="18"/>
              </w:rPr>
              <w:t xml:space="preserve"> </w:t>
            </w:r>
          </w:p>
        </w:tc>
        <w:tc>
          <w:tcPr>
            <w:tcW w:w="771" w:type="dxa"/>
            <w:shd w:val="clear" w:color="auto" w:fill="auto"/>
            <w:vAlign w:val="bottom"/>
          </w:tcPr>
          <w:p w14:paraId="0629930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656" w:type="dxa"/>
            <w:shd w:val="clear" w:color="auto" w:fill="auto"/>
            <w:vAlign w:val="bottom"/>
          </w:tcPr>
          <w:p w14:paraId="03FA90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755" w:type="dxa"/>
            <w:shd w:val="clear" w:color="auto" w:fill="auto"/>
            <w:vAlign w:val="bottom"/>
          </w:tcPr>
          <w:p w14:paraId="3E75C72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754" w:type="dxa"/>
            <w:shd w:val="clear" w:color="auto" w:fill="auto"/>
            <w:noWrap/>
            <w:vAlign w:val="bottom"/>
          </w:tcPr>
          <w:p w14:paraId="4766CB8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p>
        </w:tc>
        <w:tc>
          <w:tcPr>
            <w:tcW w:w="755" w:type="dxa"/>
            <w:shd w:val="clear" w:color="auto" w:fill="auto"/>
            <w:noWrap/>
            <w:vAlign w:val="bottom"/>
          </w:tcPr>
          <w:p w14:paraId="4D9A22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755" w:type="dxa"/>
            <w:shd w:val="clear" w:color="auto" w:fill="auto"/>
            <w:noWrap/>
            <w:vAlign w:val="bottom"/>
          </w:tcPr>
          <w:p w14:paraId="2D3CA81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c>
          <w:tcPr>
            <w:tcW w:w="656" w:type="dxa"/>
            <w:shd w:val="clear" w:color="auto" w:fill="auto"/>
            <w:vAlign w:val="bottom"/>
          </w:tcPr>
          <w:p w14:paraId="0B0A2B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r>
      <w:tr w:rsidR="00680417" w:rsidRPr="00DA21FF" w14:paraId="69542C10" w14:textId="77777777" w:rsidTr="00B6440E">
        <w:trPr>
          <w:trHeight w:val="240"/>
        </w:trPr>
        <w:tc>
          <w:tcPr>
            <w:tcW w:w="2268" w:type="dxa"/>
            <w:shd w:val="clear" w:color="auto" w:fill="auto"/>
            <w:noWrap/>
          </w:tcPr>
          <w:p w14:paraId="42D8F20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Rabia</w:t>
            </w:r>
          </w:p>
        </w:tc>
        <w:tc>
          <w:tcPr>
            <w:tcW w:w="771" w:type="dxa"/>
            <w:shd w:val="clear" w:color="auto" w:fill="auto"/>
            <w:vAlign w:val="bottom"/>
          </w:tcPr>
          <w:p w14:paraId="17C907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16232CA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5E747D7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4" w:type="dxa"/>
            <w:shd w:val="clear" w:color="auto" w:fill="auto"/>
            <w:noWrap/>
            <w:vAlign w:val="bottom"/>
          </w:tcPr>
          <w:p w14:paraId="35FF5C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209B2B9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7BE3D9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6F09E2F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0AD2516D" w14:textId="77777777" w:rsidTr="00B6440E">
        <w:trPr>
          <w:trHeight w:val="240"/>
        </w:trPr>
        <w:tc>
          <w:tcPr>
            <w:tcW w:w="2268" w:type="dxa"/>
            <w:shd w:val="clear" w:color="auto" w:fill="auto"/>
            <w:noWrap/>
          </w:tcPr>
          <w:p w14:paraId="5D2B4D0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Bacilos gramnegativos portadores de </w:t>
            </w:r>
            <w:proofErr w:type="spellStart"/>
            <w:r w:rsidRPr="00DA21FF">
              <w:rPr>
                <w:sz w:val="18"/>
              </w:rPr>
              <w:t>BLEE</w:t>
            </w:r>
            <w:proofErr w:type="spellEnd"/>
          </w:p>
        </w:tc>
        <w:tc>
          <w:tcPr>
            <w:tcW w:w="771" w:type="dxa"/>
            <w:shd w:val="clear" w:color="auto" w:fill="auto"/>
            <w:vAlign w:val="bottom"/>
          </w:tcPr>
          <w:p w14:paraId="613729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c>
          <w:tcPr>
            <w:tcW w:w="656" w:type="dxa"/>
            <w:shd w:val="clear" w:color="auto" w:fill="auto"/>
            <w:vAlign w:val="bottom"/>
          </w:tcPr>
          <w:p w14:paraId="1C39A4A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w:t>
            </w:r>
          </w:p>
        </w:tc>
        <w:tc>
          <w:tcPr>
            <w:tcW w:w="755" w:type="dxa"/>
            <w:shd w:val="clear" w:color="auto" w:fill="auto"/>
            <w:vAlign w:val="bottom"/>
          </w:tcPr>
          <w:p w14:paraId="6A6D8C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111</w:t>
            </w:r>
          </w:p>
        </w:tc>
        <w:tc>
          <w:tcPr>
            <w:tcW w:w="754" w:type="dxa"/>
            <w:shd w:val="clear" w:color="auto" w:fill="auto"/>
            <w:noWrap/>
            <w:vAlign w:val="bottom"/>
          </w:tcPr>
          <w:p w14:paraId="07C360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w:t>
            </w:r>
          </w:p>
        </w:tc>
        <w:tc>
          <w:tcPr>
            <w:tcW w:w="755" w:type="dxa"/>
            <w:shd w:val="clear" w:color="auto" w:fill="auto"/>
            <w:noWrap/>
            <w:vAlign w:val="bottom"/>
          </w:tcPr>
          <w:p w14:paraId="6D5F74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w:t>
            </w:r>
          </w:p>
        </w:tc>
        <w:tc>
          <w:tcPr>
            <w:tcW w:w="755" w:type="dxa"/>
            <w:shd w:val="clear" w:color="auto" w:fill="auto"/>
            <w:noWrap/>
            <w:vAlign w:val="bottom"/>
          </w:tcPr>
          <w:p w14:paraId="0214AF6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247</w:t>
            </w:r>
          </w:p>
        </w:tc>
        <w:tc>
          <w:tcPr>
            <w:tcW w:w="656" w:type="dxa"/>
            <w:shd w:val="clear" w:color="auto" w:fill="auto"/>
            <w:vAlign w:val="bottom"/>
          </w:tcPr>
          <w:p w14:paraId="6E9951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370</w:t>
            </w:r>
          </w:p>
        </w:tc>
      </w:tr>
      <w:tr w:rsidR="00680417" w:rsidRPr="00DA21FF" w14:paraId="6D4D6B28" w14:textId="77777777" w:rsidTr="00B6440E">
        <w:trPr>
          <w:trHeight w:val="240"/>
        </w:trPr>
        <w:tc>
          <w:tcPr>
            <w:tcW w:w="2268" w:type="dxa"/>
            <w:shd w:val="clear" w:color="auto" w:fill="auto"/>
            <w:noWrap/>
          </w:tcPr>
          <w:p w14:paraId="418A6C7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Rubéola</w:t>
            </w:r>
          </w:p>
        </w:tc>
        <w:tc>
          <w:tcPr>
            <w:tcW w:w="771" w:type="dxa"/>
            <w:shd w:val="clear" w:color="auto" w:fill="auto"/>
            <w:vAlign w:val="bottom"/>
          </w:tcPr>
          <w:p w14:paraId="767099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58AF56C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59A1481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4" w:type="dxa"/>
            <w:shd w:val="clear" w:color="auto" w:fill="auto"/>
            <w:noWrap/>
            <w:vAlign w:val="bottom"/>
          </w:tcPr>
          <w:p w14:paraId="1B5789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c>
          <w:tcPr>
            <w:tcW w:w="755" w:type="dxa"/>
            <w:shd w:val="clear" w:color="auto" w:fill="auto"/>
            <w:noWrap/>
            <w:vAlign w:val="bottom"/>
          </w:tcPr>
          <w:p w14:paraId="08502E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07133C8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08061B2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4370109A" w14:textId="77777777" w:rsidTr="00B6440E">
        <w:trPr>
          <w:trHeight w:val="240"/>
        </w:trPr>
        <w:tc>
          <w:tcPr>
            <w:tcW w:w="2268" w:type="dxa"/>
            <w:shd w:val="clear" w:color="auto" w:fill="auto"/>
            <w:noWrap/>
          </w:tcPr>
          <w:p w14:paraId="4E14C74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Salmonelosis</w:t>
            </w:r>
          </w:p>
        </w:tc>
        <w:tc>
          <w:tcPr>
            <w:tcW w:w="771" w:type="dxa"/>
            <w:shd w:val="clear" w:color="auto" w:fill="auto"/>
            <w:vAlign w:val="bottom"/>
          </w:tcPr>
          <w:p w14:paraId="0E2CED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992</w:t>
            </w:r>
          </w:p>
        </w:tc>
        <w:tc>
          <w:tcPr>
            <w:tcW w:w="656" w:type="dxa"/>
            <w:shd w:val="clear" w:color="auto" w:fill="auto"/>
            <w:vAlign w:val="bottom"/>
          </w:tcPr>
          <w:p w14:paraId="6CAD3A2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962</w:t>
            </w:r>
          </w:p>
        </w:tc>
        <w:tc>
          <w:tcPr>
            <w:tcW w:w="755" w:type="dxa"/>
            <w:shd w:val="clear" w:color="auto" w:fill="auto"/>
            <w:vAlign w:val="bottom"/>
          </w:tcPr>
          <w:p w14:paraId="4C9CDD55" w14:textId="426BFCE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094</w:t>
            </w:r>
          </w:p>
        </w:tc>
        <w:tc>
          <w:tcPr>
            <w:tcW w:w="754" w:type="dxa"/>
            <w:shd w:val="clear" w:color="auto" w:fill="auto"/>
            <w:noWrap/>
            <w:vAlign w:val="bottom"/>
          </w:tcPr>
          <w:p w14:paraId="38E3E6C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440</w:t>
            </w:r>
          </w:p>
        </w:tc>
        <w:tc>
          <w:tcPr>
            <w:tcW w:w="755" w:type="dxa"/>
            <w:shd w:val="clear" w:color="auto" w:fill="auto"/>
            <w:noWrap/>
            <w:vAlign w:val="bottom"/>
          </w:tcPr>
          <w:p w14:paraId="1A189B5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390</w:t>
            </w:r>
          </w:p>
        </w:tc>
        <w:tc>
          <w:tcPr>
            <w:tcW w:w="755" w:type="dxa"/>
            <w:shd w:val="clear" w:color="auto" w:fill="auto"/>
            <w:noWrap/>
            <w:vAlign w:val="bottom"/>
          </w:tcPr>
          <w:p w14:paraId="3D0CEE1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712</w:t>
            </w:r>
          </w:p>
        </w:tc>
        <w:tc>
          <w:tcPr>
            <w:tcW w:w="656" w:type="dxa"/>
            <w:shd w:val="clear" w:color="auto" w:fill="auto"/>
            <w:vAlign w:val="bottom"/>
          </w:tcPr>
          <w:p w14:paraId="3415CD4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757</w:t>
            </w:r>
          </w:p>
        </w:tc>
      </w:tr>
      <w:tr w:rsidR="00680417" w:rsidRPr="00DA21FF" w14:paraId="64B3FC7C" w14:textId="77777777" w:rsidTr="00B6440E">
        <w:trPr>
          <w:trHeight w:val="240"/>
        </w:trPr>
        <w:tc>
          <w:tcPr>
            <w:tcW w:w="2268" w:type="dxa"/>
            <w:shd w:val="clear" w:color="auto" w:fill="auto"/>
            <w:noWrap/>
          </w:tcPr>
          <w:p w14:paraId="3D39C38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SRAS</w:t>
            </w:r>
            <w:proofErr w:type="spellEnd"/>
          </w:p>
        </w:tc>
        <w:tc>
          <w:tcPr>
            <w:tcW w:w="771" w:type="dxa"/>
            <w:shd w:val="clear" w:color="auto" w:fill="auto"/>
            <w:vAlign w:val="bottom"/>
          </w:tcPr>
          <w:p w14:paraId="6C0FEFB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A6CCE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vAlign w:val="bottom"/>
          </w:tcPr>
          <w:p w14:paraId="7B32184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4BDAA5F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1E1D37D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61F30CE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44434B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66C2E338" w14:textId="77777777" w:rsidTr="00B6440E">
        <w:trPr>
          <w:trHeight w:val="240"/>
        </w:trPr>
        <w:tc>
          <w:tcPr>
            <w:tcW w:w="2268" w:type="dxa"/>
            <w:shd w:val="clear" w:color="auto" w:fill="auto"/>
            <w:noWrap/>
          </w:tcPr>
          <w:p w14:paraId="67EA077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Sigelosis</w:t>
            </w:r>
            <w:proofErr w:type="spellEnd"/>
          </w:p>
        </w:tc>
        <w:tc>
          <w:tcPr>
            <w:tcW w:w="771" w:type="dxa"/>
            <w:shd w:val="clear" w:color="auto" w:fill="auto"/>
            <w:vAlign w:val="bottom"/>
          </w:tcPr>
          <w:p w14:paraId="182D926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115</w:t>
            </w:r>
          </w:p>
        </w:tc>
        <w:tc>
          <w:tcPr>
            <w:tcW w:w="656" w:type="dxa"/>
            <w:shd w:val="clear" w:color="auto" w:fill="auto"/>
            <w:vAlign w:val="bottom"/>
          </w:tcPr>
          <w:p w14:paraId="27569DB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102</w:t>
            </w:r>
          </w:p>
        </w:tc>
        <w:tc>
          <w:tcPr>
            <w:tcW w:w="755" w:type="dxa"/>
            <w:shd w:val="clear" w:color="auto" w:fill="auto"/>
            <w:vAlign w:val="bottom"/>
          </w:tcPr>
          <w:p w14:paraId="40EE1C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133</w:t>
            </w:r>
          </w:p>
        </w:tc>
        <w:tc>
          <w:tcPr>
            <w:tcW w:w="754" w:type="dxa"/>
            <w:shd w:val="clear" w:color="auto" w:fill="auto"/>
            <w:noWrap/>
            <w:vAlign w:val="bottom"/>
          </w:tcPr>
          <w:p w14:paraId="09B8CD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c>
          <w:tcPr>
            <w:tcW w:w="755" w:type="dxa"/>
            <w:shd w:val="clear" w:color="auto" w:fill="auto"/>
            <w:noWrap/>
            <w:vAlign w:val="bottom"/>
          </w:tcPr>
          <w:p w14:paraId="119DD5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c>
          <w:tcPr>
            <w:tcW w:w="755" w:type="dxa"/>
            <w:shd w:val="clear" w:color="auto" w:fill="auto"/>
            <w:noWrap/>
            <w:vAlign w:val="bottom"/>
          </w:tcPr>
          <w:p w14:paraId="6F1212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w:t>
            </w:r>
          </w:p>
        </w:tc>
        <w:tc>
          <w:tcPr>
            <w:tcW w:w="656" w:type="dxa"/>
            <w:shd w:val="clear" w:color="auto" w:fill="auto"/>
            <w:vAlign w:val="bottom"/>
          </w:tcPr>
          <w:p w14:paraId="23574A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129</w:t>
            </w:r>
          </w:p>
        </w:tc>
      </w:tr>
      <w:tr w:rsidR="00680417" w:rsidRPr="00DA21FF" w14:paraId="42A2B993" w14:textId="77777777" w:rsidTr="00B6440E">
        <w:trPr>
          <w:trHeight w:val="240"/>
        </w:trPr>
        <w:tc>
          <w:tcPr>
            <w:tcW w:w="2268" w:type="dxa"/>
            <w:shd w:val="clear" w:color="auto" w:fill="auto"/>
            <w:noWrap/>
          </w:tcPr>
          <w:p w14:paraId="5D93CD6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Sífilis</w:t>
            </w:r>
          </w:p>
        </w:tc>
        <w:tc>
          <w:tcPr>
            <w:tcW w:w="771" w:type="dxa"/>
            <w:shd w:val="clear" w:color="auto" w:fill="auto"/>
            <w:vAlign w:val="bottom"/>
          </w:tcPr>
          <w:p w14:paraId="0A3B13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224</w:t>
            </w:r>
          </w:p>
        </w:tc>
        <w:tc>
          <w:tcPr>
            <w:tcW w:w="656" w:type="dxa"/>
            <w:shd w:val="clear" w:color="auto" w:fill="auto"/>
            <w:vAlign w:val="bottom"/>
          </w:tcPr>
          <w:p w14:paraId="177A1C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231</w:t>
            </w:r>
          </w:p>
        </w:tc>
        <w:tc>
          <w:tcPr>
            <w:tcW w:w="755" w:type="dxa"/>
            <w:shd w:val="clear" w:color="auto" w:fill="auto"/>
            <w:vAlign w:val="bottom"/>
          </w:tcPr>
          <w:p w14:paraId="42A2AF0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206</w:t>
            </w:r>
          </w:p>
        </w:tc>
        <w:tc>
          <w:tcPr>
            <w:tcW w:w="754" w:type="dxa"/>
            <w:shd w:val="clear" w:color="auto" w:fill="auto"/>
            <w:noWrap/>
            <w:vAlign w:val="bottom"/>
          </w:tcPr>
          <w:p w14:paraId="7620DF4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288</w:t>
            </w:r>
          </w:p>
        </w:tc>
        <w:tc>
          <w:tcPr>
            <w:tcW w:w="755" w:type="dxa"/>
            <w:shd w:val="clear" w:color="auto" w:fill="auto"/>
            <w:noWrap/>
            <w:vAlign w:val="bottom"/>
          </w:tcPr>
          <w:p w14:paraId="6621A04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164</w:t>
            </w:r>
          </w:p>
        </w:tc>
        <w:tc>
          <w:tcPr>
            <w:tcW w:w="755" w:type="dxa"/>
            <w:shd w:val="clear" w:color="auto" w:fill="auto"/>
            <w:noWrap/>
            <w:vAlign w:val="bottom"/>
          </w:tcPr>
          <w:p w14:paraId="330F5B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195</w:t>
            </w:r>
          </w:p>
        </w:tc>
        <w:tc>
          <w:tcPr>
            <w:tcW w:w="656" w:type="dxa"/>
            <w:shd w:val="clear" w:color="auto" w:fill="auto"/>
            <w:vAlign w:val="bottom"/>
          </w:tcPr>
          <w:p w14:paraId="6F41994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208</w:t>
            </w:r>
          </w:p>
        </w:tc>
      </w:tr>
      <w:tr w:rsidR="00680417" w:rsidRPr="00DA21FF" w14:paraId="6E3D9719" w14:textId="77777777" w:rsidTr="00B6440E">
        <w:trPr>
          <w:trHeight w:val="240"/>
        </w:trPr>
        <w:tc>
          <w:tcPr>
            <w:tcW w:w="2268" w:type="dxa"/>
            <w:shd w:val="clear" w:color="auto" w:fill="auto"/>
            <w:noWrap/>
          </w:tcPr>
          <w:p w14:paraId="77B6027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Enfermedades estreptocócicas del grupo A</w:t>
            </w:r>
          </w:p>
        </w:tc>
        <w:tc>
          <w:tcPr>
            <w:tcW w:w="771" w:type="dxa"/>
            <w:shd w:val="clear" w:color="auto" w:fill="auto"/>
            <w:vAlign w:val="bottom"/>
          </w:tcPr>
          <w:p w14:paraId="1C893C5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253</w:t>
            </w:r>
          </w:p>
        </w:tc>
        <w:tc>
          <w:tcPr>
            <w:tcW w:w="656" w:type="dxa"/>
            <w:shd w:val="clear" w:color="auto" w:fill="auto"/>
            <w:vAlign w:val="bottom"/>
          </w:tcPr>
          <w:p w14:paraId="57DC969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236</w:t>
            </w:r>
          </w:p>
        </w:tc>
        <w:tc>
          <w:tcPr>
            <w:tcW w:w="755" w:type="dxa"/>
            <w:shd w:val="clear" w:color="auto" w:fill="auto"/>
            <w:vAlign w:val="bottom"/>
          </w:tcPr>
          <w:p w14:paraId="4489250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226</w:t>
            </w:r>
          </w:p>
        </w:tc>
        <w:tc>
          <w:tcPr>
            <w:tcW w:w="754" w:type="dxa"/>
            <w:shd w:val="clear" w:color="auto" w:fill="auto"/>
            <w:noWrap/>
            <w:vAlign w:val="bottom"/>
          </w:tcPr>
          <w:p w14:paraId="5C5E23A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164</w:t>
            </w:r>
          </w:p>
        </w:tc>
        <w:tc>
          <w:tcPr>
            <w:tcW w:w="755" w:type="dxa"/>
            <w:shd w:val="clear" w:color="auto" w:fill="auto"/>
            <w:noWrap/>
            <w:vAlign w:val="bottom"/>
          </w:tcPr>
          <w:p w14:paraId="228BB58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w:t>
            </w:r>
          </w:p>
        </w:tc>
        <w:tc>
          <w:tcPr>
            <w:tcW w:w="755" w:type="dxa"/>
            <w:shd w:val="clear" w:color="auto" w:fill="auto"/>
            <w:noWrap/>
            <w:vAlign w:val="bottom"/>
          </w:tcPr>
          <w:p w14:paraId="64BF1A4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156</w:t>
            </w:r>
          </w:p>
        </w:tc>
        <w:tc>
          <w:tcPr>
            <w:tcW w:w="656" w:type="dxa"/>
            <w:shd w:val="clear" w:color="auto" w:fill="auto"/>
            <w:vAlign w:val="bottom"/>
          </w:tcPr>
          <w:p w14:paraId="125F549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502</w:t>
            </w:r>
          </w:p>
        </w:tc>
      </w:tr>
      <w:tr w:rsidR="00680417" w:rsidRPr="00DA21FF" w14:paraId="3AA500A6" w14:textId="77777777" w:rsidTr="00B6440E">
        <w:trPr>
          <w:trHeight w:val="240"/>
        </w:trPr>
        <w:tc>
          <w:tcPr>
            <w:tcW w:w="2268" w:type="dxa"/>
            <w:shd w:val="clear" w:color="auto" w:fill="auto"/>
            <w:noWrap/>
          </w:tcPr>
          <w:p w14:paraId="4BDA7D4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Enfermedades estreptocócicas del grupo B</w:t>
            </w:r>
          </w:p>
        </w:tc>
        <w:tc>
          <w:tcPr>
            <w:tcW w:w="771" w:type="dxa"/>
            <w:shd w:val="clear" w:color="auto" w:fill="auto"/>
            <w:vAlign w:val="bottom"/>
          </w:tcPr>
          <w:p w14:paraId="1805463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230</w:t>
            </w:r>
          </w:p>
        </w:tc>
        <w:tc>
          <w:tcPr>
            <w:tcW w:w="656" w:type="dxa"/>
            <w:shd w:val="clear" w:color="auto" w:fill="auto"/>
            <w:vAlign w:val="bottom"/>
          </w:tcPr>
          <w:p w14:paraId="1D64818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260</w:t>
            </w:r>
          </w:p>
        </w:tc>
        <w:tc>
          <w:tcPr>
            <w:tcW w:w="755" w:type="dxa"/>
            <w:shd w:val="clear" w:color="auto" w:fill="auto"/>
            <w:vAlign w:val="bottom"/>
          </w:tcPr>
          <w:p w14:paraId="33C908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316</w:t>
            </w:r>
          </w:p>
        </w:tc>
        <w:tc>
          <w:tcPr>
            <w:tcW w:w="754" w:type="dxa"/>
            <w:shd w:val="clear" w:color="auto" w:fill="auto"/>
            <w:noWrap/>
            <w:vAlign w:val="bottom"/>
          </w:tcPr>
          <w:p w14:paraId="425A0F7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283</w:t>
            </w:r>
          </w:p>
        </w:tc>
        <w:tc>
          <w:tcPr>
            <w:tcW w:w="755" w:type="dxa"/>
            <w:shd w:val="clear" w:color="auto" w:fill="auto"/>
            <w:noWrap/>
            <w:vAlign w:val="bottom"/>
          </w:tcPr>
          <w:p w14:paraId="141141C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316</w:t>
            </w:r>
          </w:p>
        </w:tc>
        <w:tc>
          <w:tcPr>
            <w:tcW w:w="755" w:type="dxa"/>
            <w:shd w:val="clear" w:color="auto" w:fill="auto"/>
            <w:noWrap/>
            <w:vAlign w:val="bottom"/>
          </w:tcPr>
          <w:p w14:paraId="7515ED9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332</w:t>
            </w:r>
          </w:p>
        </w:tc>
        <w:tc>
          <w:tcPr>
            <w:tcW w:w="656" w:type="dxa"/>
            <w:shd w:val="clear" w:color="auto" w:fill="auto"/>
            <w:vAlign w:val="bottom"/>
          </w:tcPr>
          <w:p w14:paraId="6548F32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287</w:t>
            </w:r>
          </w:p>
        </w:tc>
      </w:tr>
      <w:tr w:rsidR="00680417" w:rsidRPr="00DA21FF" w14:paraId="79FF4734" w14:textId="77777777" w:rsidTr="00B6440E">
        <w:trPr>
          <w:trHeight w:val="240"/>
        </w:trPr>
        <w:tc>
          <w:tcPr>
            <w:tcW w:w="2268" w:type="dxa"/>
            <w:shd w:val="clear" w:color="auto" w:fill="auto"/>
            <w:noWrap/>
          </w:tcPr>
          <w:p w14:paraId="6716C635" w14:textId="78F8F253"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Infecciones por H. </w:t>
            </w:r>
            <w:proofErr w:type="spellStart"/>
            <w:r w:rsidRPr="00DA21FF">
              <w:rPr>
                <w:sz w:val="18"/>
              </w:rPr>
              <w:t>influenzae</w:t>
            </w:r>
            <w:proofErr w:type="spellEnd"/>
          </w:p>
        </w:tc>
        <w:tc>
          <w:tcPr>
            <w:tcW w:w="771" w:type="dxa"/>
            <w:shd w:val="clear" w:color="auto" w:fill="auto"/>
            <w:vAlign w:val="bottom"/>
          </w:tcPr>
          <w:p w14:paraId="6FBEBA4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120</w:t>
            </w:r>
          </w:p>
        </w:tc>
        <w:tc>
          <w:tcPr>
            <w:tcW w:w="656" w:type="dxa"/>
            <w:shd w:val="clear" w:color="auto" w:fill="auto"/>
            <w:vAlign w:val="bottom"/>
          </w:tcPr>
          <w:p w14:paraId="02FD9D5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w:t>
            </w:r>
          </w:p>
        </w:tc>
        <w:tc>
          <w:tcPr>
            <w:tcW w:w="755" w:type="dxa"/>
            <w:shd w:val="clear" w:color="auto" w:fill="auto"/>
            <w:vAlign w:val="bottom"/>
          </w:tcPr>
          <w:p w14:paraId="5689371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98</w:t>
            </w:r>
          </w:p>
        </w:tc>
        <w:tc>
          <w:tcPr>
            <w:tcW w:w="754" w:type="dxa"/>
            <w:shd w:val="clear" w:color="auto" w:fill="auto"/>
            <w:noWrap/>
            <w:vAlign w:val="bottom"/>
          </w:tcPr>
          <w:p w14:paraId="69145C0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w:t>
            </w:r>
          </w:p>
        </w:tc>
        <w:tc>
          <w:tcPr>
            <w:tcW w:w="755" w:type="dxa"/>
            <w:shd w:val="clear" w:color="auto" w:fill="auto"/>
            <w:noWrap/>
            <w:vAlign w:val="bottom"/>
          </w:tcPr>
          <w:p w14:paraId="4D1C73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w:t>
            </w:r>
          </w:p>
        </w:tc>
        <w:tc>
          <w:tcPr>
            <w:tcW w:w="755" w:type="dxa"/>
            <w:shd w:val="clear" w:color="auto" w:fill="auto"/>
            <w:noWrap/>
            <w:vAlign w:val="bottom"/>
          </w:tcPr>
          <w:p w14:paraId="579A37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133</w:t>
            </w:r>
          </w:p>
        </w:tc>
        <w:tc>
          <w:tcPr>
            <w:tcW w:w="656" w:type="dxa"/>
            <w:shd w:val="clear" w:color="auto" w:fill="auto"/>
            <w:vAlign w:val="bottom"/>
          </w:tcPr>
          <w:p w14:paraId="524D493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126</w:t>
            </w:r>
          </w:p>
        </w:tc>
      </w:tr>
      <w:tr w:rsidR="00680417" w:rsidRPr="00DA21FF" w14:paraId="0F81E84D" w14:textId="77777777" w:rsidTr="00B6440E">
        <w:trPr>
          <w:trHeight w:val="240"/>
        </w:trPr>
        <w:tc>
          <w:tcPr>
            <w:tcW w:w="2268" w:type="dxa"/>
            <w:shd w:val="clear" w:color="auto" w:fill="auto"/>
            <w:noWrap/>
          </w:tcPr>
          <w:p w14:paraId="515B8FE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Enfermedades meningocócicas</w:t>
            </w:r>
          </w:p>
        </w:tc>
        <w:tc>
          <w:tcPr>
            <w:tcW w:w="771" w:type="dxa"/>
            <w:shd w:val="clear" w:color="auto" w:fill="auto"/>
            <w:vAlign w:val="bottom"/>
          </w:tcPr>
          <w:p w14:paraId="40AB53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w:t>
            </w:r>
          </w:p>
        </w:tc>
        <w:tc>
          <w:tcPr>
            <w:tcW w:w="656" w:type="dxa"/>
            <w:shd w:val="clear" w:color="auto" w:fill="auto"/>
            <w:vAlign w:val="bottom"/>
          </w:tcPr>
          <w:p w14:paraId="07A0C8C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c>
          <w:tcPr>
            <w:tcW w:w="755" w:type="dxa"/>
            <w:shd w:val="clear" w:color="auto" w:fill="auto"/>
            <w:vAlign w:val="bottom"/>
          </w:tcPr>
          <w:p w14:paraId="3E43E93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w:t>
            </w:r>
          </w:p>
        </w:tc>
        <w:tc>
          <w:tcPr>
            <w:tcW w:w="754" w:type="dxa"/>
            <w:shd w:val="clear" w:color="auto" w:fill="auto"/>
            <w:noWrap/>
            <w:vAlign w:val="bottom"/>
          </w:tcPr>
          <w:p w14:paraId="4E57AC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p>
        </w:tc>
        <w:tc>
          <w:tcPr>
            <w:tcW w:w="755" w:type="dxa"/>
            <w:shd w:val="clear" w:color="auto" w:fill="auto"/>
            <w:noWrap/>
            <w:vAlign w:val="bottom"/>
          </w:tcPr>
          <w:p w14:paraId="1487D7F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w:t>
            </w:r>
          </w:p>
        </w:tc>
        <w:tc>
          <w:tcPr>
            <w:tcW w:w="755" w:type="dxa"/>
            <w:shd w:val="clear" w:color="auto" w:fill="auto"/>
            <w:noWrap/>
            <w:vAlign w:val="bottom"/>
          </w:tcPr>
          <w:p w14:paraId="3A75E3C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656" w:type="dxa"/>
            <w:shd w:val="clear" w:color="auto" w:fill="auto"/>
            <w:vAlign w:val="bottom"/>
          </w:tcPr>
          <w:p w14:paraId="57AFD4C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w:t>
            </w:r>
          </w:p>
        </w:tc>
      </w:tr>
      <w:tr w:rsidR="00680417" w:rsidRPr="00DA21FF" w14:paraId="039D4D5D" w14:textId="77777777" w:rsidTr="00B6440E">
        <w:trPr>
          <w:trHeight w:val="240"/>
        </w:trPr>
        <w:tc>
          <w:tcPr>
            <w:tcW w:w="2268" w:type="dxa"/>
            <w:shd w:val="clear" w:color="auto" w:fill="auto"/>
            <w:noWrap/>
          </w:tcPr>
          <w:p w14:paraId="05B992F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Enfermedades neumocócicas</w:t>
            </w:r>
          </w:p>
        </w:tc>
        <w:tc>
          <w:tcPr>
            <w:tcW w:w="771" w:type="dxa"/>
            <w:shd w:val="clear" w:color="auto" w:fill="auto"/>
            <w:vAlign w:val="bottom"/>
          </w:tcPr>
          <w:p w14:paraId="3B46C72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560</w:t>
            </w:r>
          </w:p>
        </w:tc>
        <w:tc>
          <w:tcPr>
            <w:tcW w:w="656" w:type="dxa"/>
            <w:shd w:val="clear" w:color="auto" w:fill="auto"/>
            <w:vAlign w:val="bottom"/>
          </w:tcPr>
          <w:p w14:paraId="2553AF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594</w:t>
            </w:r>
          </w:p>
        </w:tc>
        <w:tc>
          <w:tcPr>
            <w:tcW w:w="755" w:type="dxa"/>
            <w:shd w:val="clear" w:color="auto" w:fill="auto"/>
            <w:vAlign w:val="bottom"/>
          </w:tcPr>
          <w:p w14:paraId="1680135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609</w:t>
            </w:r>
          </w:p>
        </w:tc>
        <w:tc>
          <w:tcPr>
            <w:tcW w:w="754" w:type="dxa"/>
            <w:shd w:val="clear" w:color="auto" w:fill="auto"/>
            <w:noWrap/>
            <w:vAlign w:val="bottom"/>
          </w:tcPr>
          <w:p w14:paraId="4A72F50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294</w:t>
            </w:r>
          </w:p>
        </w:tc>
        <w:tc>
          <w:tcPr>
            <w:tcW w:w="755" w:type="dxa"/>
            <w:shd w:val="clear" w:color="auto" w:fill="auto"/>
            <w:noWrap/>
            <w:vAlign w:val="bottom"/>
          </w:tcPr>
          <w:p w14:paraId="372DFFA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319</w:t>
            </w:r>
          </w:p>
        </w:tc>
        <w:tc>
          <w:tcPr>
            <w:tcW w:w="755" w:type="dxa"/>
            <w:shd w:val="clear" w:color="auto" w:fill="auto"/>
            <w:noWrap/>
            <w:vAlign w:val="bottom"/>
          </w:tcPr>
          <w:p w14:paraId="7AB49C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539</w:t>
            </w:r>
          </w:p>
        </w:tc>
        <w:tc>
          <w:tcPr>
            <w:tcW w:w="656" w:type="dxa"/>
            <w:shd w:val="clear" w:color="auto" w:fill="auto"/>
            <w:vAlign w:val="bottom"/>
          </w:tcPr>
          <w:p w14:paraId="7DDC32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613</w:t>
            </w:r>
          </w:p>
        </w:tc>
      </w:tr>
      <w:tr w:rsidR="00680417" w:rsidRPr="00DA21FF" w14:paraId="3A147FD9" w14:textId="77777777" w:rsidTr="00B6440E">
        <w:trPr>
          <w:trHeight w:val="240"/>
        </w:trPr>
        <w:tc>
          <w:tcPr>
            <w:tcW w:w="2268" w:type="dxa"/>
            <w:shd w:val="clear" w:color="auto" w:fill="auto"/>
            <w:noWrap/>
          </w:tcPr>
          <w:p w14:paraId="44AD8B7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Tétanos</w:t>
            </w:r>
          </w:p>
        </w:tc>
        <w:tc>
          <w:tcPr>
            <w:tcW w:w="771" w:type="dxa"/>
            <w:shd w:val="clear" w:color="auto" w:fill="auto"/>
            <w:vAlign w:val="bottom"/>
          </w:tcPr>
          <w:p w14:paraId="50CCA4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55E20C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c>
          <w:tcPr>
            <w:tcW w:w="755" w:type="dxa"/>
            <w:shd w:val="clear" w:color="auto" w:fill="auto"/>
            <w:vAlign w:val="bottom"/>
          </w:tcPr>
          <w:p w14:paraId="5C1873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4" w:type="dxa"/>
            <w:shd w:val="clear" w:color="auto" w:fill="auto"/>
            <w:noWrap/>
            <w:vAlign w:val="bottom"/>
          </w:tcPr>
          <w:p w14:paraId="311363B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4FE647F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55" w:type="dxa"/>
            <w:shd w:val="clear" w:color="auto" w:fill="auto"/>
            <w:noWrap/>
            <w:vAlign w:val="bottom"/>
          </w:tcPr>
          <w:p w14:paraId="506498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656" w:type="dxa"/>
            <w:shd w:val="clear" w:color="auto" w:fill="auto"/>
            <w:vAlign w:val="bottom"/>
          </w:tcPr>
          <w:p w14:paraId="3E2F5D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r>
      <w:tr w:rsidR="00680417" w:rsidRPr="00DA21FF" w14:paraId="48D5DB7B" w14:textId="77777777" w:rsidTr="00B6440E">
        <w:trPr>
          <w:trHeight w:val="240"/>
        </w:trPr>
        <w:tc>
          <w:tcPr>
            <w:tcW w:w="2268" w:type="dxa"/>
            <w:shd w:val="clear" w:color="auto" w:fill="auto"/>
            <w:noWrap/>
          </w:tcPr>
          <w:p w14:paraId="3F797EE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Tuberculosis</w:t>
            </w:r>
          </w:p>
        </w:tc>
        <w:tc>
          <w:tcPr>
            <w:tcW w:w="771" w:type="dxa"/>
            <w:shd w:val="clear" w:color="auto" w:fill="auto"/>
            <w:vAlign w:val="bottom"/>
          </w:tcPr>
          <w:p w14:paraId="330619F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261</w:t>
            </w:r>
          </w:p>
        </w:tc>
        <w:tc>
          <w:tcPr>
            <w:tcW w:w="656" w:type="dxa"/>
            <w:shd w:val="clear" w:color="auto" w:fill="auto"/>
            <w:vAlign w:val="bottom"/>
          </w:tcPr>
          <w:p w14:paraId="0C1E0A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208</w:t>
            </w:r>
          </w:p>
        </w:tc>
        <w:tc>
          <w:tcPr>
            <w:tcW w:w="755" w:type="dxa"/>
            <w:shd w:val="clear" w:color="auto" w:fill="auto"/>
            <w:vAlign w:val="bottom"/>
          </w:tcPr>
          <w:p w14:paraId="77978C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166</w:t>
            </w:r>
          </w:p>
        </w:tc>
        <w:tc>
          <w:tcPr>
            <w:tcW w:w="754" w:type="dxa"/>
            <w:shd w:val="clear" w:color="auto" w:fill="auto"/>
            <w:noWrap/>
            <w:vAlign w:val="bottom"/>
          </w:tcPr>
          <w:p w14:paraId="0BF43F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157</w:t>
            </w:r>
          </w:p>
        </w:tc>
        <w:tc>
          <w:tcPr>
            <w:tcW w:w="755" w:type="dxa"/>
            <w:shd w:val="clear" w:color="auto" w:fill="auto"/>
            <w:noWrap/>
            <w:vAlign w:val="bottom"/>
          </w:tcPr>
          <w:p w14:paraId="3433A5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155</w:t>
            </w:r>
          </w:p>
        </w:tc>
        <w:tc>
          <w:tcPr>
            <w:tcW w:w="755" w:type="dxa"/>
            <w:shd w:val="clear" w:color="auto" w:fill="auto"/>
            <w:noWrap/>
            <w:vAlign w:val="bottom"/>
          </w:tcPr>
          <w:p w14:paraId="3C6E6C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173</w:t>
            </w:r>
          </w:p>
        </w:tc>
        <w:tc>
          <w:tcPr>
            <w:tcW w:w="656" w:type="dxa"/>
            <w:shd w:val="clear" w:color="auto" w:fill="auto"/>
            <w:vAlign w:val="bottom"/>
          </w:tcPr>
          <w:p w14:paraId="7334BA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153</w:t>
            </w:r>
          </w:p>
        </w:tc>
      </w:tr>
      <w:tr w:rsidR="00680417" w:rsidRPr="00DA21FF" w14:paraId="6FF97E74" w14:textId="77777777" w:rsidTr="00B6440E">
        <w:trPr>
          <w:trHeight w:val="240"/>
        </w:trPr>
        <w:tc>
          <w:tcPr>
            <w:tcW w:w="2268" w:type="dxa"/>
            <w:shd w:val="clear" w:color="auto" w:fill="auto"/>
            <w:noWrap/>
          </w:tcPr>
          <w:p w14:paraId="4F51E6C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Tularemia</w:t>
            </w:r>
            <w:proofErr w:type="spellEnd"/>
          </w:p>
        </w:tc>
        <w:tc>
          <w:tcPr>
            <w:tcW w:w="771" w:type="dxa"/>
            <w:shd w:val="clear" w:color="auto" w:fill="auto"/>
            <w:vAlign w:val="bottom"/>
          </w:tcPr>
          <w:p w14:paraId="141066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w:t>
            </w:r>
          </w:p>
        </w:tc>
        <w:tc>
          <w:tcPr>
            <w:tcW w:w="656" w:type="dxa"/>
            <w:shd w:val="clear" w:color="auto" w:fill="auto"/>
            <w:vAlign w:val="bottom"/>
          </w:tcPr>
          <w:p w14:paraId="544B14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w:t>
            </w:r>
          </w:p>
        </w:tc>
        <w:tc>
          <w:tcPr>
            <w:tcW w:w="755" w:type="dxa"/>
            <w:shd w:val="clear" w:color="auto" w:fill="auto"/>
            <w:vAlign w:val="bottom"/>
          </w:tcPr>
          <w:p w14:paraId="5F690A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183</w:t>
            </w:r>
          </w:p>
        </w:tc>
        <w:tc>
          <w:tcPr>
            <w:tcW w:w="754" w:type="dxa"/>
            <w:shd w:val="clear" w:color="auto" w:fill="auto"/>
            <w:noWrap/>
            <w:vAlign w:val="bottom"/>
          </w:tcPr>
          <w:p w14:paraId="5BC7CC5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99</w:t>
            </w:r>
          </w:p>
        </w:tc>
        <w:tc>
          <w:tcPr>
            <w:tcW w:w="755" w:type="dxa"/>
            <w:shd w:val="clear" w:color="auto" w:fill="auto"/>
            <w:noWrap/>
            <w:vAlign w:val="bottom"/>
          </w:tcPr>
          <w:p w14:paraId="1AF834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95</w:t>
            </w:r>
          </w:p>
        </w:tc>
        <w:tc>
          <w:tcPr>
            <w:tcW w:w="755" w:type="dxa"/>
            <w:shd w:val="clear" w:color="auto" w:fill="auto"/>
            <w:noWrap/>
            <w:vAlign w:val="bottom"/>
          </w:tcPr>
          <w:p w14:paraId="3F1513D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w:t>
            </w:r>
          </w:p>
        </w:tc>
        <w:tc>
          <w:tcPr>
            <w:tcW w:w="656" w:type="dxa"/>
            <w:shd w:val="clear" w:color="auto" w:fill="auto"/>
            <w:vAlign w:val="bottom"/>
          </w:tcPr>
          <w:p w14:paraId="26A701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149</w:t>
            </w:r>
          </w:p>
        </w:tc>
      </w:tr>
      <w:tr w:rsidR="00680417" w:rsidRPr="00DA21FF" w14:paraId="03B423AA" w14:textId="77777777" w:rsidTr="00B6440E">
        <w:trPr>
          <w:trHeight w:val="240"/>
        </w:trPr>
        <w:tc>
          <w:tcPr>
            <w:tcW w:w="2268" w:type="dxa"/>
            <w:shd w:val="clear" w:color="auto" w:fill="auto"/>
            <w:noWrap/>
          </w:tcPr>
          <w:p w14:paraId="5175121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Fiebre tifoidea</w:t>
            </w:r>
          </w:p>
        </w:tc>
        <w:tc>
          <w:tcPr>
            <w:tcW w:w="771" w:type="dxa"/>
            <w:shd w:val="clear" w:color="auto" w:fill="auto"/>
            <w:vAlign w:val="bottom"/>
          </w:tcPr>
          <w:p w14:paraId="1343D03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656" w:type="dxa"/>
            <w:shd w:val="clear" w:color="auto" w:fill="auto"/>
            <w:vAlign w:val="bottom"/>
          </w:tcPr>
          <w:p w14:paraId="2B97182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p>
        </w:tc>
        <w:tc>
          <w:tcPr>
            <w:tcW w:w="755" w:type="dxa"/>
            <w:shd w:val="clear" w:color="auto" w:fill="auto"/>
            <w:vAlign w:val="bottom"/>
          </w:tcPr>
          <w:p w14:paraId="5E878C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c>
          <w:tcPr>
            <w:tcW w:w="754" w:type="dxa"/>
            <w:shd w:val="clear" w:color="auto" w:fill="auto"/>
            <w:noWrap/>
            <w:vAlign w:val="bottom"/>
          </w:tcPr>
          <w:p w14:paraId="11346A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c>
          <w:tcPr>
            <w:tcW w:w="755" w:type="dxa"/>
            <w:shd w:val="clear" w:color="auto" w:fill="auto"/>
            <w:noWrap/>
            <w:vAlign w:val="bottom"/>
          </w:tcPr>
          <w:p w14:paraId="22E0FE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w:t>
            </w:r>
          </w:p>
        </w:tc>
        <w:tc>
          <w:tcPr>
            <w:tcW w:w="755" w:type="dxa"/>
            <w:shd w:val="clear" w:color="auto" w:fill="auto"/>
            <w:noWrap/>
            <w:vAlign w:val="bottom"/>
          </w:tcPr>
          <w:p w14:paraId="2C7D10C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c>
          <w:tcPr>
            <w:tcW w:w="656" w:type="dxa"/>
            <w:shd w:val="clear" w:color="auto" w:fill="auto"/>
            <w:vAlign w:val="bottom"/>
          </w:tcPr>
          <w:p w14:paraId="54F986C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w:t>
            </w:r>
          </w:p>
        </w:tc>
      </w:tr>
      <w:tr w:rsidR="00680417" w:rsidRPr="00DA21FF" w14:paraId="4879B986" w14:textId="77777777" w:rsidTr="00B6440E">
        <w:trPr>
          <w:trHeight w:val="240"/>
        </w:trPr>
        <w:tc>
          <w:tcPr>
            <w:tcW w:w="2268" w:type="dxa"/>
            <w:shd w:val="clear" w:color="auto" w:fill="auto"/>
            <w:noWrap/>
          </w:tcPr>
          <w:p w14:paraId="30C8DA0B" w14:textId="2BFA1F09"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 xml:space="preserve">Infección por </w:t>
            </w:r>
            <w:proofErr w:type="spellStart"/>
            <w:r w:rsidRPr="00DA21FF">
              <w:rPr>
                <w:sz w:val="18"/>
              </w:rPr>
              <w:t>ERV</w:t>
            </w:r>
            <w:proofErr w:type="spellEnd"/>
            <w:r w:rsidRPr="00DA21FF">
              <w:rPr>
                <w:sz w:val="18"/>
              </w:rPr>
              <w:t>/portador de</w:t>
            </w:r>
            <w:r w:rsidR="000725E8">
              <w:rPr>
                <w:sz w:val="18"/>
              </w:rPr>
              <w:t> </w:t>
            </w:r>
            <w:proofErr w:type="spellStart"/>
            <w:r w:rsidRPr="00DA21FF">
              <w:rPr>
                <w:sz w:val="18"/>
              </w:rPr>
              <w:t>ERV</w:t>
            </w:r>
            <w:proofErr w:type="spellEnd"/>
            <w:r w:rsidRPr="00DA21FF">
              <w:rPr>
                <w:sz w:val="18"/>
              </w:rPr>
              <w:t xml:space="preserve"> </w:t>
            </w:r>
          </w:p>
        </w:tc>
        <w:tc>
          <w:tcPr>
            <w:tcW w:w="771" w:type="dxa"/>
            <w:shd w:val="clear" w:color="auto" w:fill="auto"/>
            <w:vAlign w:val="bottom"/>
          </w:tcPr>
          <w:p w14:paraId="2461B50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376</w:t>
            </w:r>
          </w:p>
        </w:tc>
        <w:tc>
          <w:tcPr>
            <w:tcW w:w="656" w:type="dxa"/>
            <w:shd w:val="clear" w:color="auto" w:fill="auto"/>
            <w:vAlign w:val="bottom"/>
          </w:tcPr>
          <w:p w14:paraId="536BCA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257</w:t>
            </w:r>
          </w:p>
        </w:tc>
        <w:tc>
          <w:tcPr>
            <w:tcW w:w="755" w:type="dxa"/>
            <w:shd w:val="clear" w:color="auto" w:fill="auto"/>
            <w:vAlign w:val="bottom"/>
          </w:tcPr>
          <w:p w14:paraId="6951F53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205</w:t>
            </w:r>
          </w:p>
        </w:tc>
        <w:tc>
          <w:tcPr>
            <w:tcW w:w="754" w:type="dxa"/>
            <w:shd w:val="clear" w:color="auto" w:fill="auto"/>
            <w:noWrap/>
            <w:vAlign w:val="bottom"/>
          </w:tcPr>
          <w:p w14:paraId="08385D8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w:t>
            </w:r>
          </w:p>
        </w:tc>
        <w:tc>
          <w:tcPr>
            <w:tcW w:w="755" w:type="dxa"/>
            <w:shd w:val="clear" w:color="auto" w:fill="auto"/>
            <w:noWrap/>
            <w:vAlign w:val="bottom"/>
          </w:tcPr>
          <w:p w14:paraId="7567C5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c>
          <w:tcPr>
            <w:tcW w:w="755" w:type="dxa"/>
            <w:shd w:val="clear" w:color="auto" w:fill="auto"/>
            <w:noWrap/>
            <w:vAlign w:val="bottom"/>
          </w:tcPr>
          <w:p w14:paraId="2907FD1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w:t>
            </w:r>
          </w:p>
        </w:tc>
        <w:tc>
          <w:tcPr>
            <w:tcW w:w="656" w:type="dxa"/>
            <w:shd w:val="clear" w:color="auto" w:fill="auto"/>
            <w:vAlign w:val="bottom"/>
          </w:tcPr>
          <w:p w14:paraId="32858CD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w:t>
            </w:r>
          </w:p>
        </w:tc>
      </w:tr>
      <w:tr w:rsidR="00680417" w:rsidRPr="00DA21FF" w14:paraId="354F44B9" w14:textId="77777777" w:rsidTr="00B6440E">
        <w:trPr>
          <w:trHeight w:val="240"/>
        </w:trPr>
        <w:tc>
          <w:tcPr>
            <w:tcW w:w="2268" w:type="dxa"/>
            <w:tcBorders>
              <w:bottom w:val="single" w:sz="12" w:space="0" w:color="auto"/>
            </w:tcBorders>
            <w:shd w:val="clear" w:color="auto" w:fill="auto"/>
            <w:noWrap/>
          </w:tcPr>
          <w:p w14:paraId="00CF2F3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roofErr w:type="spellStart"/>
            <w:r w:rsidRPr="00DA21FF">
              <w:rPr>
                <w:sz w:val="18"/>
              </w:rPr>
              <w:t>Yersiniosis</w:t>
            </w:r>
            <w:proofErr w:type="spellEnd"/>
          </w:p>
        </w:tc>
        <w:tc>
          <w:tcPr>
            <w:tcW w:w="771" w:type="dxa"/>
            <w:tcBorders>
              <w:bottom w:val="single" w:sz="12" w:space="0" w:color="auto"/>
            </w:tcBorders>
            <w:shd w:val="clear" w:color="auto" w:fill="auto"/>
            <w:vAlign w:val="bottom"/>
          </w:tcPr>
          <w:p w14:paraId="2752E2D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w:t>
            </w:r>
          </w:p>
        </w:tc>
        <w:tc>
          <w:tcPr>
            <w:tcW w:w="656" w:type="dxa"/>
            <w:tcBorders>
              <w:bottom w:val="single" w:sz="12" w:space="0" w:color="auto"/>
            </w:tcBorders>
            <w:shd w:val="clear" w:color="auto" w:fill="auto"/>
            <w:vAlign w:val="bottom"/>
          </w:tcPr>
          <w:p w14:paraId="31D428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105</w:t>
            </w:r>
          </w:p>
        </w:tc>
        <w:tc>
          <w:tcPr>
            <w:tcW w:w="755" w:type="dxa"/>
            <w:tcBorders>
              <w:bottom w:val="single" w:sz="12" w:space="0" w:color="auto"/>
            </w:tcBorders>
            <w:shd w:val="clear" w:color="auto" w:fill="auto"/>
            <w:vAlign w:val="bottom"/>
          </w:tcPr>
          <w:p w14:paraId="3318C05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w:t>
            </w:r>
          </w:p>
        </w:tc>
        <w:tc>
          <w:tcPr>
            <w:tcW w:w="754" w:type="dxa"/>
            <w:tcBorders>
              <w:bottom w:val="single" w:sz="12" w:space="0" w:color="auto"/>
            </w:tcBorders>
            <w:shd w:val="clear" w:color="auto" w:fill="auto"/>
            <w:noWrap/>
            <w:vAlign w:val="bottom"/>
          </w:tcPr>
          <w:p w14:paraId="57974AF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w:t>
            </w:r>
          </w:p>
        </w:tc>
        <w:tc>
          <w:tcPr>
            <w:tcW w:w="755" w:type="dxa"/>
            <w:tcBorders>
              <w:bottom w:val="single" w:sz="12" w:space="0" w:color="auto"/>
            </w:tcBorders>
            <w:shd w:val="clear" w:color="auto" w:fill="auto"/>
            <w:noWrap/>
            <w:vAlign w:val="bottom"/>
          </w:tcPr>
          <w:p w14:paraId="6224C6C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w:t>
            </w:r>
          </w:p>
        </w:tc>
        <w:tc>
          <w:tcPr>
            <w:tcW w:w="755" w:type="dxa"/>
            <w:tcBorders>
              <w:bottom w:val="single" w:sz="12" w:space="0" w:color="auto"/>
            </w:tcBorders>
            <w:shd w:val="clear" w:color="auto" w:fill="auto"/>
            <w:noWrap/>
            <w:vAlign w:val="bottom"/>
          </w:tcPr>
          <w:p w14:paraId="37E9BF6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117</w:t>
            </w:r>
          </w:p>
        </w:tc>
        <w:tc>
          <w:tcPr>
            <w:tcW w:w="656" w:type="dxa"/>
            <w:tcBorders>
              <w:bottom w:val="single" w:sz="12" w:space="0" w:color="auto"/>
            </w:tcBorders>
            <w:shd w:val="clear" w:color="auto" w:fill="auto"/>
            <w:vAlign w:val="bottom"/>
          </w:tcPr>
          <w:p w14:paraId="1D6135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86</w:t>
            </w:r>
          </w:p>
        </w:tc>
      </w:tr>
    </w:tbl>
    <w:p w14:paraId="3D0C4E64" w14:textId="77777777" w:rsidR="00DA21FF" w:rsidRPr="00DA21FF" w:rsidRDefault="00DA21FF" w:rsidP="007D17C6">
      <w:pPr>
        <w:pStyle w:val="SingleTxtG"/>
        <w:keepNext/>
        <w:spacing w:before="240"/>
        <w:rPr>
          <w:lang w:val="en-GB"/>
        </w:rPr>
      </w:pPr>
      <w:r w:rsidRPr="00DA21FF">
        <w:lastRenderedPageBreak/>
        <w:t xml:space="preserve">35. </w:t>
      </w:r>
      <w:r w:rsidRPr="00DA21FF">
        <w:tab/>
        <w:t xml:space="preserve">El cuadro siguiente muestra las </w:t>
      </w:r>
      <w:r w:rsidRPr="00373B5F">
        <w:rPr>
          <w:u w:val="single"/>
        </w:rPr>
        <w:t>diez principales causas de muerte</w:t>
      </w:r>
      <w:r w:rsidRPr="00DA21FF">
        <w:t xml:space="preserve"> en Noruega.</w:t>
      </w:r>
    </w:p>
    <w:tbl>
      <w:tblPr>
        <w:tblW w:w="7482" w:type="dxa"/>
        <w:tblInd w:w="1134" w:type="dxa"/>
        <w:tblBorders>
          <w:top w:val="single" w:sz="4" w:space="0" w:color="auto"/>
        </w:tblBorders>
        <w:tblCellMar>
          <w:left w:w="0" w:type="dxa"/>
          <w:right w:w="0" w:type="dxa"/>
        </w:tblCellMar>
        <w:tblLook w:val="04A0" w:firstRow="1" w:lastRow="0" w:firstColumn="1" w:lastColumn="0" w:noHBand="0" w:noVBand="1"/>
      </w:tblPr>
      <w:tblGrid>
        <w:gridCol w:w="3718"/>
        <w:gridCol w:w="587"/>
        <w:gridCol w:w="658"/>
        <w:gridCol w:w="657"/>
        <w:gridCol w:w="658"/>
        <w:gridCol w:w="658"/>
        <w:gridCol w:w="658"/>
      </w:tblGrid>
      <w:tr w:rsidR="00680417" w:rsidRPr="00680417" w14:paraId="7FD01E30" w14:textId="77777777" w:rsidTr="00680417">
        <w:trPr>
          <w:trHeight w:val="240"/>
          <w:tblHeader/>
        </w:trPr>
        <w:tc>
          <w:tcPr>
            <w:tcW w:w="3702" w:type="dxa"/>
            <w:tcBorders>
              <w:top w:val="single" w:sz="4" w:space="0" w:color="auto"/>
              <w:bottom w:val="single" w:sz="12" w:space="0" w:color="auto"/>
            </w:tcBorders>
            <w:shd w:val="clear" w:color="auto" w:fill="auto"/>
            <w:noWrap/>
            <w:vAlign w:val="bottom"/>
            <w:hideMark/>
          </w:tcPr>
          <w:p w14:paraId="1C281C5C" w14:textId="77777777" w:rsidR="00DA21FF" w:rsidRPr="00DA21FF" w:rsidRDefault="00DA21FF" w:rsidP="007D17C6">
            <w:pPr>
              <w:pStyle w:val="SingleTxtG"/>
              <w:keepNext/>
              <w:tabs>
                <w:tab w:val="clear" w:pos="1701"/>
                <w:tab w:val="clear" w:pos="2268"/>
                <w:tab w:val="clear" w:pos="2835"/>
              </w:tabs>
              <w:spacing w:before="80" w:after="80" w:line="200" w:lineRule="exact"/>
              <w:ind w:left="0" w:right="0"/>
              <w:jc w:val="left"/>
              <w:rPr>
                <w:i/>
                <w:iCs/>
                <w:sz w:val="16"/>
                <w:lang w:val="en-GB"/>
              </w:rPr>
            </w:pPr>
            <w:r w:rsidRPr="00DA21FF">
              <w:rPr>
                <w:i/>
                <w:iCs/>
                <w:sz w:val="16"/>
              </w:rPr>
              <w:t>Causa subyacente de la muerte*</w:t>
            </w:r>
          </w:p>
        </w:tc>
        <w:tc>
          <w:tcPr>
            <w:tcW w:w="571" w:type="dxa"/>
            <w:tcBorders>
              <w:top w:val="single" w:sz="4" w:space="0" w:color="auto"/>
              <w:bottom w:val="single" w:sz="12" w:space="0" w:color="auto"/>
            </w:tcBorders>
            <w:shd w:val="clear" w:color="auto" w:fill="auto"/>
            <w:noWrap/>
            <w:vAlign w:val="bottom"/>
            <w:hideMark/>
          </w:tcPr>
          <w:p w14:paraId="49D4BA95"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2017</w:t>
            </w:r>
          </w:p>
        </w:tc>
        <w:tc>
          <w:tcPr>
            <w:tcW w:w="642" w:type="dxa"/>
            <w:tcBorders>
              <w:top w:val="single" w:sz="4" w:space="0" w:color="auto"/>
              <w:bottom w:val="single" w:sz="12" w:space="0" w:color="auto"/>
            </w:tcBorders>
            <w:shd w:val="clear" w:color="auto" w:fill="auto"/>
            <w:noWrap/>
            <w:vAlign w:val="bottom"/>
            <w:hideMark/>
          </w:tcPr>
          <w:p w14:paraId="0106B2B6"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2018</w:t>
            </w:r>
          </w:p>
        </w:tc>
        <w:tc>
          <w:tcPr>
            <w:tcW w:w="641" w:type="dxa"/>
            <w:tcBorders>
              <w:top w:val="single" w:sz="4" w:space="0" w:color="auto"/>
              <w:bottom w:val="single" w:sz="12" w:space="0" w:color="auto"/>
            </w:tcBorders>
            <w:shd w:val="clear" w:color="auto" w:fill="auto"/>
            <w:noWrap/>
            <w:vAlign w:val="bottom"/>
            <w:hideMark/>
          </w:tcPr>
          <w:p w14:paraId="790295A7"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2019</w:t>
            </w:r>
          </w:p>
        </w:tc>
        <w:tc>
          <w:tcPr>
            <w:tcW w:w="642" w:type="dxa"/>
            <w:tcBorders>
              <w:top w:val="single" w:sz="4" w:space="0" w:color="auto"/>
              <w:bottom w:val="single" w:sz="12" w:space="0" w:color="auto"/>
            </w:tcBorders>
            <w:shd w:val="clear" w:color="auto" w:fill="auto"/>
            <w:noWrap/>
            <w:vAlign w:val="bottom"/>
            <w:hideMark/>
          </w:tcPr>
          <w:p w14:paraId="733427F2"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2020</w:t>
            </w:r>
          </w:p>
        </w:tc>
        <w:tc>
          <w:tcPr>
            <w:tcW w:w="642" w:type="dxa"/>
            <w:tcBorders>
              <w:top w:val="single" w:sz="4" w:space="0" w:color="auto"/>
              <w:bottom w:val="single" w:sz="12" w:space="0" w:color="auto"/>
            </w:tcBorders>
            <w:shd w:val="clear" w:color="auto" w:fill="auto"/>
            <w:noWrap/>
            <w:vAlign w:val="bottom"/>
            <w:hideMark/>
          </w:tcPr>
          <w:p w14:paraId="32ED5318"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2021</w:t>
            </w:r>
          </w:p>
        </w:tc>
        <w:tc>
          <w:tcPr>
            <w:tcW w:w="642" w:type="dxa"/>
            <w:tcBorders>
              <w:top w:val="single" w:sz="4" w:space="0" w:color="auto"/>
              <w:bottom w:val="single" w:sz="12" w:space="0" w:color="auto"/>
            </w:tcBorders>
            <w:shd w:val="clear" w:color="auto" w:fill="auto"/>
            <w:noWrap/>
            <w:vAlign w:val="bottom"/>
            <w:hideMark/>
          </w:tcPr>
          <w:p w14:paraId="55999403" w14:textId="77777777" w:rsidR="00DA21FF" w:rsidRPr="00DA21FF" w:rsidRDefault="00DA21FF" w:rsidP="007D17C6">
            <w:pPr>
              <w:pStyle w:val="SingleTxtG"/>
              <w:keepNext/>
              <w:tabs>
                <w:tab w:val="clear" w:pos="1701"/>
                <w:tab w:val="clear" w:pos="2268"/>
                <w:tab w:val="clear" w:pos="2835"/>
              </w:tabs>
              <w:spacing w:before="80" w:after="80" w:line="200" w:lineRule="exact"/>
              <w:ind w:left="113" w:right="0"/>
              <w:jc w:val="right"/>
              <w:rPr>
                <w:i/>
                <w:iCs/>
                <w:sz w:val="16"/>
                <w:lang w:val="en-GB"/>
              </w:rPr>
            </w:pPr>
            <w:r w:rsidRPr="00DA21FF">
              <w:rPr>
                <w:i/>
                <w:iCs/>
                <w:sz w:val="16"/>
              </w:rPr>
              <w:t>2022</w:t>
            </w:r>
          </w:p>
        </w:tc>
      </w:tr>
      <w:tr w:rsidR="00680417" w:rsidRPr="00DA21FF" w14:paraId="72E7AE29" w14:textId="77777777" w:rsidTr="00680417">
        <w:trPr>
          <w:trHeight w:val="240"/>
        </w:trPr>
        <w:tc>
          <w:tcPr>
            <w:tcW w:w="3702" w:type="dxa"/>
            <w:shd w:val="clear" w:color="auto" w:fill="auto"/>
            <w:noWrap/>
            <w:hideMark/>
          </w:tcPr>
          <w:p w14:paraId="1C9AB61D" w14:textId="77777777" w:rsidR="00DA21FF" w:rsidRPr="00DA21FF" w:rsidRDefault="00DA21FF" w:rsidP="007D17C6">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COVID-19 (</w:t>
            </w:r>
            <w:proofErr w:type="spellStart"/>
            <w:r w:rsidRPr="00DA21FF">
              <w:rPr>
                <w:sz w:val="18"/>
              </w:rPr>
              <w:t>U07</w:t>
            </w:r>
            <w:proofErr w:type="spellEnd"/>
            <w:r w:rsidRPr="00DA21FF">
              <w:rPr>
                <w:sz w:val="18"/>
              </w:rPr>
              <w:t>)</w:t>
            </w:r>
          </w:p>
        </w:tc>
        <w:tc>
          <w:tcPr>
            <w:tcW w:w="571" w:type="dxa"/>
            <w:shd w:val="clear" w:color="auto" w:fill="auto"/>
            <w:noWrap/>
            <w:vAlign w:val="bottom"/>
            <w:hideMark/>
          </w:tcPr>
          <w:p w14:paraId="76494342"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73A63B2D"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1" w:type="dxa"/>
            <w:shd w:val="clear" w:color="auto" w:fill="auto"/>
            <w:noWrap/>
            <w:vAlign w:val="bottom"/>
            <w:hideMark/>
          </w:tcPr>
          <w:p w14:paraId="4B392575"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6A5ED9EF"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413</w:t>
            </w:r>
          </w:p>
        </w:tc>
        <w:tc>
          <w:tcPr>
            <w:tcW w:w="642" w:type="dxa"/>
            <w:shd w:val="clear" w:color="auto" w:fill="auto"/>
            <w:noWrap/>
            <w:vAlign w:val="bottom"/>
            <w:hideMark/>
          </w:tcPr>
          <w:p w14:paraId="53DB9D42"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828</w:t>
            </w:r>
          </w:p>
        </w:tc>
        <w:tc>
          <w:tcPr>
            <w:tcW w:w="642" w:type="dxa"/>
            <w:shd w:val="clear" w:color="auto" w:fill="auto"/>
            <w:noWrap/>
            <w:vAlign w:val="bottom"/>
            <w:hideMark/>
          </w:tcPr>
          <w:p w14:paraId="2B2CDB59" w14:textId="3258A310"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820</w:t>
            </w:r>
          </w:p>
        </w:tc>
      </w:tr>
      <w:tr w:rsidR="00680417" w:rsidRPr="00DA21FF" w14:paraId="66181B4B" w14:textId="77777777" w:rsidTr="00680417">
        <w:trPr>
          <w:trHeight w:val="240"/>
        </w:trPr>
        <w:tc>
          <w:tcPr>
            <w:tcW w:w="3702" w:type="dxa"/>
            <w:shd w:val="clear" w:color="auto" w:fill="auto"/>
            <w:noWrap/>
          </w:tcPr>
          <w:p w14:paraId="3D114A04" w14:textId="77777777" w:rsidR="00DA21FF" w:rsidRPr="00DA21FF" w:rsidRDefault="00DA21FF" w:rsidP="007D17C6">
            <w:pPr>
              <w:pStyle w:val="SingleTxtG"/>
              <w:keepNext/>
              <w:tabs>
                <w:tab w:val="clear" w:pos="1701"/>
                <w:tab w:val="clear" w:pos="2268"/>
                <w:tab w:val="clear" w:pos="2835"/>
              </w:tabs>
              <w:spacing w:before="40" w:after="40" w:line="220" w:lineRule="exact"/>
              <w:ind w:left="284" w:right="0"/>
              <w:jc w:val="left"/>
              <w:rPr>
                <w:sz w:val="18"/>
                <w:lang w:val="en-GB"/>
              </w:rPr>
            </w:pPr>
            <w:r w:rsidRPr="00DA21FF">
              <w:rPr>
                <w:sz w:val="18"/>
              </w:rPr>
              <w:t>Mujeres</w:t>
            </w:r>
          </w:p>
        </w:tc>
        <w:tc>
          <w:tcPr>
            <w:tcW w:w="571" w:type="dxa"/>
            <w:shd w:val="clear" w:color="auto" w:fill="auto"/>
            <w:noWrap/>
            <w:vAlign w:val="bottom"/>
            <w:hideMark/>
          </w:tcPr>
          <w:p w14:paraId="5B513D50"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56AA194D"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1" w:type="dxa"/>
            <w:shd w:val="clear" w:color="auto" w:fill="auto"/>
            <w:noWrap/>
            <w:vAlign w:val="bottom"/>
            <w:hideMark/>
          </w:tcPr>
          <w:p w14:paraId="569986BF"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5AD33D2E"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196</w:t>
            </w:r>
          </w:p>
        </w:tc>
        <w:tc>
          <w:tcPr>
            <w:tcW w:w="642" w:type="dxa"/>
            <w:shd w:val="clear" w:color="auto" w:fill="auto"/>
            <w:noWrap/>
            <w:vAlign w:val="bottom"/>
            <w:hideMark/>
          </w:tcPr>
          <w:p w14:paraId="74DEE7D9"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348</w:t>
            </w:r>
          </w:p>
        </w:tc>
        <w:tc>
          <w:tcPr>
            <w:tcW w:w="642" w:type="dxa"/>
            <w:shd w:val="clear" w:color="auto" w:fill="auto"/>
            <w:noWrap/>
            <w:vAlign w:val="bottom"/>
            <w:hideMark/>
          </w:tcPr>
          <w:p w14:paraId="26715D61" w14:textId="43F96461"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329</w:t>
            </w:r>
          </w:p>
        </w:tc>
      </w:tr>
      <w:tr w:rsidR="00680417" w:rsidRPr="00DA21FF" w14:paraId="761A4A49" w14:textId="77777777" w:rsidTr="00680417">
        <w:trPr>
          <w:trHeight w:val="240"/>
        </w:trPr>
        <w:tc>
          <w:tcPr>
            <w:tcW w:w="3702" w:type="dxa"/>
            <w:shd w:val="clear" w:color="auto" w:fill="auto"/>
            <w:noWrap/>
          </w:tcPr>
          <w:p w14:paraId="45DBE9E8" w14:textId="77777777" w:rsidR="00DA21FF" w:rsidRPr="00DA21FF" w:rsidRDefault="00DA21FF" w:rsidP="007D17C6">
            <w:pPr>
              <w:pStyle w:val="SingleTxtG"/>
              <w:keepNext/>
              <w:tabs>
                <w:tab w:val="clear" w:pos="1701"/>
                <w:tab w:val="clear" w:pos="2268"/>
                <w:tab w:val="clear" w:pos="2835"/>
              </w:tabs>
              <w:spacing w:before="40" w:after="40" w:line="220" w:lineRule="exact"/>
              <w:ind w:left="284" w:right="0"/>
              <w:jc w:val="left"/>
              <w:rPr>
                <w:sz w:val="18"/>
                <w:lang w:val="en-GB"/>
              </w:rPr>
            </w:pPr>
            <w:r w:rsidRPr="00DA21FF">
              <w:rPr>
                <w:sz w:val="18"/>
              </w:rPr>
              <w:t>Hombres</w:t>
            </w:r>
          </w:p>
        </w:tc>
        <w:tc>
          <w:tcPr>
            <w:tcW w:w="571" w:type="dxa"/>
            <w:shd w:val="clear" w:color="auto" w:fill="auto"/>
            <w:noWrap/>
            <w:vAlign w:val="bottom"/>
            <w:hideMark/>
          </w:tcPr>
          <w:p w14:paraId="20A94512"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18CB8A93"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1" w:type="dxa"/>
            <w:shd w:val="clear" w:color="auto" w:fill="auto"/>
            <w:noWrap/>
            <w:vAlign w:val="bottom"/>
            <w:hideMark/>
          </w:tcPr>
          <w:p w14:paraId="538FE45F"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0</w:t>
            </w:r>
          </w:p>
        </w:tc>
        <w:tc>
          <w:tcPr>
            <w:tcW w:w="642" w:type="dxa"/>
            <w:shd w:val="clear" w:color="auto" w:fill="auto"/>
            <w:noWrap/>
            <w:vAlign w:val="bottom"/>
            <w:hideMark/>
          </w:tcPr>
          <w:p w14:paraId="5238E87A"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217</w:t>
            </w:r>
          </w:p>
        </w:tc>
        <w:tc>
          <w:tcPr>
            <w:tcW w:w="642" w:type="dxa"/>
            <w:shd w:val="clear" w:color="auto" w:fill="auto"/>
            <w:noWrap/>
            <w:vAlign w:val="bottom"/>
            <w:hideMark/>
          </w:tcPr>
          <w:p w14:paraId="6C3B7399" w14:textId="77777777"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480</w:t>
            </w:r>
          </w:p>
        </w:tc>
        <w:tc>
          <w:tcPr>
            <w:tcW w:w="642" w:type="dxa"/>
            <w:shd w:val="clear" w:color="auto" w:fill="auto"/>
            <w:noWrap/>
            <w:vAlign w:val="bottom"/>
            <w:hideMark/>
          </w:tcPr>
          <w:p w14:paraId="3FCEA846" w14:textId="1FAB7CAE" w:rsidR="00DA21FF" w:rsidRPr="00DA21FF" w:rsidRDefault="00DA21FF" w:rsidP="007D17C6">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491</w:t>
            </w:r>
          </w:p>
        </w:tc>
      </w:tr>
      <w:tr w:rsidR="00680417" w:rsidRPr="00DA21FF" w14:paraId="3F8E0FBC" w14:textId="77777777" w:rsidTr="00680417">
        <w:trPr>
          <w:trHeight w:val="240"/>
        </w:trPr>
        <w:tc>
          <w:tcPr>
            <w:tcW w:w="3702" w:type="dxa"/>
            <w:shd w:val="clear" w:color="auto" w:fill="auto"/>
            <w:noWrap/>
            <w:hideMark/>
          </w:tcPr>
          <w:p w14:paraId="69A0CFF3" w14:textId="77777777" w:rsidR="00DA21FF" w:rsidRPr="00DA21FF" w:rsidRDefault="00DA21FF" w:rsidP="00B6440E">
            <w:pPr>
              <w:pStyle w:val="SingleTxtG"/>
              <w:keepNext/>
              <w:tabs>
                <w:tab w:val="clear" w:pos="1701"/>
                <w:tab w:val="clear" w:pos="2268"/>
                <w:tab w:val="clear" w:pos="2835"/>
              </w:tabs>
              <w:spacing w:before="40" w:after="40" w:line="220" w:lineRule="exact"/>
              <w:ind w:left="0" w:right="0"/>
              <w:jc w:val="left"/>
              <w:rPr>
                <w:sz w:val="18"/>
                <w:lang w:val="en-GB"/>
              </w:rPr>
            </w:pPr>
            <w:r w:rsidRPr="00DA21FF">
              <w:rPr>
                <w:sz w:val="18"/>
              </w:rPr>
              <w:t>Demencia no especificada (</w:t>
            </w:r>
            <w:proofErr w:type="spellStart"/>
            <w:r w:rsidRPr="00DA21FF">
              <w:rPr>
                <w:sz w:val="18"/>
              </w:rPr>
              <w:t>F03</w:t>
            </w:r>
            <w:proofErr w:type="spellEnd"/>
            <w:r w:rsidRPr="00DA21FF">
              <w:rPr>
                <w:sz w:val="18"/>
              </w:rPr>
              <w:t>)</w:t>
            </w:r>
          </w:p>
        </w:tc>
        <w:tc>
          <w:tcPr>
            <w:tcW w:w="571" w:type="dxa"/>
            <w:shd w:val="clear" w:color="auto" w:fill="auto"/>
            <w:noWrap/>
            <w:vAlign w:val="bottom"/>
            <w:hideMark/>
          </w:tcPr>
          <w:p w14:paraId="595679D0" w14:textId="379D66EB"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511</w:t>
            </w:r>
          </w:p>
        </w:tc>
        <w:tc>
          <w:tcPr>
            <w:tcW w:w="642" w:type="dxa"/>
            <w:shd w:val="clear" w:color="auto" w:fill="auto"/>
            <w:noWrap/>
            <w:vAlign w:val="bottom"/>
            <w:hideMark/>
          </w:tcPr>
          <w:p w14:paraId="658C06EA" w14:textId="15CEF97C"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695</w:t>
            </w:r>
          </w:p>
        </w:tc>
        <w:tc>
          <w:tcPr>
            <w:tcW w:w="641" w:type="dxa"/>
            <w:shd w:val="clear" w:color="auto" w:fill="auto"/>
            <w:noWrap/>
            <w:vAlign w:val="bottom"/>
            <w:hideMark/>
          </w:tcPr>
          <w:p w14:paraId="47F21D7E" w14:textId="4E3412F9"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645</w:t>
            </w:r>
          </w:p>
        </w:tc>
        <w:tc>
          <w:tcPr>
            <w:tcW w:w="642" w:type="dxa"/>
            <w:shd w:val="clear" w:color="auto" w:fill="auto"/>
            <w:noWrap/>
            <w:vAlign w:val="bottom"/>
            <w:hideMark/>
          </w:tcPr>
          <w:p w14:paraId="2E62467D" w14:textId="34B3D98A"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214</w:t>
            </w:r>
          </w:p>
        </w:tc>
        <w:tc>
          <w:tcPr>
            <w:tcW w:w="642" w:type="dxa"/>
            <w:shd w:val="clear" w:color="auto" w:fill="auto"/>
            <w:noWrap/>
            <w:vAlign w:val="bottom"/>
            <w:hideMark/>
          </w:tcPr>
          <w:p w14:paraId="0B36E97A" w14:textId="00FF80AF"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028</w:t>
            </w:r>
          </w:p>
        </w:tc>
        <w:tc>
          <w:tcPr>
            <w:tcW w:w="642" w:type="dxa"/>
            <w:shd w:val="clear" w:color="auto" w:fill="auto"/>
            <w:noWrap/>
            <w:vAlign w:val="bottom"/>
            <w:hideMark/>
          </w:tcPr>
          <w:p w14:paraId="54A7AC69" w14:textId="2873E94C" w:rsidR="00DA21FF" w:rsidRPr="00DA21FF" w:rsidRDefault="00DA21FF" w:rsidP="00B6440E">
            <w:pPr>
              <w:pStyle w:val="SingleTxtG"/>
              <w:keepNext/>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340</w:t>
            </w:r>
          </w:p>
        </w:tc>
      </w:tr>
      <w:tr w:rsidR="00680417" w:rsidRPr="00DA21FF" w14:paraId="2F49C5FA" w14:textId="77777777" w:rsidTr="00680417">
        <w:trPr>
          <w:trHeight w:val="240"/>
        </w:trPr>
        <w:tc>
          <w:tcPr>
            <w:tcW w:w="3702" w:type="dxa"/>
            <w:shd w:val="clear" w:color="auto" w:fill="auto"/>
            <w:noWrap/>
          </w:tcPr>
          <w:p w14:paraId="47FE8619"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0A6B4F04" w14:textId="343B7E6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738</w:t>
            </w:r>
          </w:p>
        </w:tc>
        <w:tc>
          <w:tcPr>
            <w:tcW w:w="642" w:type="dxa"/>
            <w:shd w:val="clear" w:color="auto" w:fill="auto"/>
            <w:noWrap/>
            <w:vAlign w:val="bottom"/>
            <w:hideMark/>
          </w:tcPr>
          <w:p w14:paraId="51C30F70" w14:textId="272070A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884</w:t>
            </w:r>
          </w:p>
        </w:tc>
        <w:tc>
          <w:tcPr>
            <w:tcW w:w="641" w:type="dxa"/>
            <w:shd w:val="clear" w:color="auto" w:fill="auto"/>
            <w:noWrap/>
            <w:vAlign w:val="bottom"/>
            <w:hideMark/>
          </w:tcPr>
          <w:p w14:paraId="4334245D" w14:textId="7164F6A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826</w:t>
            </w:r>
          </w:p>
        </w:tc>
        <w:tc>
          <w:tcPr>
            <w:tcW w:w="642" w:type="dxa"/>
            <w:shd w:val="clear" w:color="auto" w:fill="auto"/>
            <w:noWrap/>
            <w:vAlign w:val="bottom"/>
            <w:hideMark/>
          </w:tcPr>
          <w:p w14:paraId="4263D41C" w14:textId="46BD6FE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539</w:t>
            </w:r>
          </w:p>
        </w:tc>
        <w:tc>
          <w:tcPr>
            <w:tcW w:w="642" w:type="dxa"/>
            <w:shd w:val="clear" w:color="auto" w:fill="auto"/>
            <w:noWrap/>
            <w:vAlign w:val="bottom"/>
            <w:hideMark/>
          </w:tcPr>
          <w:p w14:paraId="0ACD053A" w14:textId="1899921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423</w:t>
            </w:r>
          </w:p>
        </w:tc>
        <w:tc>
          <w:tcPr>
            <w:tcW w:w="642" w:type="dxa"/>
            <w:shd w:val="clear" w:color="auto" w:fill="auto"/>
            <w:noWrap/>
            <w:vAlign w:val="bottom"/>
            <w:hideMark/>
          </w:tcPr>
          <w:p w14:paraId="764E2762" w14:textId="777AF24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635</w:t>
            </w:r>
          </w:p>
        </w:tc>
      </w:tr>
      <w:tr w:rsidR="00680417" w:rsidRPr="00DA21FF" w14:paraId="4A6B7F5B" w14:textId="77777777" w:rsidTr="00680417">
        <w:trPr>
          <w:trHeight w:val="240"/>
        </w:trPr>
        <w:tc>
          <w:tcPr>
            <w:tcW w:w="3702" w:type="dxa"/>
            <w:shd w:val="clear" w:color="auto" w:fill="auto"/>
            <w:noWrap/>
          </w:tcPr>
          <w:p w14:paraId="3C3CC689"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029950E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773</w:t>
            </w:r>
          </w:p>
        </w:tc>
        <w:tc>
          <w:tcPr>
            <w:tcW w:w="642" w:type="dxa"/>
            <w:shd w:val="clear" w:color="auto" w:fill="auto"/>
            <w:noWrap/>
            <w:vAlign w:val="bottom"/>
            <w:hideMark/>
          </w:tcPr>
          <w:p w14:paraId="4EC0C3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811</w:t>
            </w:r>
          </w:p>
        </w:tc>
        <w:tc>
          <w:tcPr>
            <w:tcW w:w="641" w:type="dxa"/>
            <w:shd w:val="clear" w:color="auto" w:fill="auto"/>
            <w:noWrap/>
            <w:vAlign w:val="bottom"/>
            <w:hideMark/>
          </w:tcPr>
          <w:p w14:paraId="540B42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819</w:t>
            </w:r>
          </w:p>
        </w:tc>
        <w:tc>
          <w:tcPr>
            <w:tcW w:w="642" w:type="dxa"/>
            <w:shd w:val="clear" w:color="auto" w:fill="auto"/>
            <w:noWrap/>
            <w:vAlign w:val="bottom"/>
            <w:hideMark/>
          </w:tcPr>
          <w:p w14:paraId="4F0314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675</w:t>
            </w:r>
          </w:p>
        </w:tc>
        <w:tc>
          <w:tcPr>
            <w:tcW w:w="642" w:type="dxa"/>
            <w:shd w:val="clear" w:color="auto" w:fill="auto"/>
            <w:noWrap/>
            <w:vAlign w:val="bottom"/>
            <w:hideMark/>
          </w:tcPr>
          <w:p w14:paraId="4426D6A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605</w:t>
            </w:r>
          </w:p>
        </w:tc>
        <w:tc>
          <w:tcPr>
            <w:tcW w:w="642" w:type="dxa"/>
            <w:shd w:val="clear" w:color="auto" w:fill="auto"/>
            <w:noWrap/>
            <w:vAlign w:val="bottom"/>
            <w:hideMark/>
          </w:tcPr>
          <w:p w14:paraId="2104A6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705</w:t>
            </w:r>
          </w:p>
        </w:tc>
      </w:tr>
      <w:tr w:rsidR="00680417" w:rsidRPr="00DA21FF" w14:paraId="44D065DB" w14:textId="77777777" w:rsidTr="00680417">
        <w:trPr>
          <w:trHeight w:val="240"/>
        </w:trPr>
        <w:tc>
          <w:tcPr>
            <w:tcW w:w="3702" w:type="dxa"/>
            <w:shd w:val="clear" w:color="auto" w:fill="auto"/>
            <w:noWrap/>
            <w:hideMark/>
          </w:tcPr>
          <w:p w14:paraId="19019B2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Otras enfermedades pulmonares obstructivas crónicas (</w:t>
            </w:r>
            <w:proofErr w:type="spellStart"/>
            <w:r w:rsidRPr="00DA21FF">
              <w:rPr>
                <w:sz w:val="18"/>
              </w:rPr>
              <w:t>J44</w:t>
            </w:r>
            <w:proofErr w:type="spellEnd"/>
            <w:r w:rsidRPr="00DA21FF">
              <w:rPr>
                <w:sz w:val="18"/>
              </w:rPr>
              <w:t>)</w:t>
            </w:r>
          </w:p>
        </w:tc>
        <w:tc>
          <w:tcPr>
            <w:tcW w:w="571" w:type="dxa"/>
            <w:shd w:val="clear" w:color="auto" w:fill="auto"/>
            <w:noWrap/>
            <w:vAlign w:val="bottom"/>
            <w:hideMark/>
          </w:tcPr>
          <w:p w14:paraId="6DAAF45F" w14:textId="3B49A17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094</w:t>
            </w:r>
          </w:p>
        </w:tc>
        <w:tc>
          <w:tcPr>
            <w:tcW w:w="642" w:type="dxa"/>
            <w:shd w:val="clear" w:color="auto" w:fill="auto"/>
            <w:noWrap/>
            <w:vAlign w:val="bottom"/>
            <w:hideMark/>
          </w:tcPr>
          <w:p w14:paraId="526DD759" w14:textId="14A32F9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088</w:t>
            </w:r>
          </w:p>
        </w:tc>
        <w:tc>
          <w:tcPr>
            <w:tcW w:w="641" w:type="dxa"/>
            <w:shd w:val="clear" w:color="auto" w:fill="auto"/>
            <w:noWrap/>
            <w:vAlign w:val="bottom"/>
            <w:hideMark/>
          </w:tcPr>
          <w:p w14:paraId="5AEB4E77" w14:textId="59EB088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048</w:t>
            </w:r>
          </w:p>
        </w:tc>
        <w:tc>
          <w:tcPr>
            <w:tcW w:w="642" w:type="dxa"/>
            <w:shd w:val="clear" w:color="auto" w:fill="auto"/>
            <w:noWrap/>
            <w:vAlign w:val="bottom"/>
            <w:hideMark/>
          </w:tcPr>
          <w:p w14:paraId="102E22F8" w14:textId="277F9D2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907</w:t>
            </w:r>
          </w:p>
        </w:tc>
        <w:tc>
          <w:tcPr>
            <w:tcW w:w="642" w:type="dxa"/>
            <w:shd w:val="clear" w:color="auto" w:fill="auto"/>
            <w:noWrap/>
            <w:vAlign w:val="bottom"/>
            <w:hideMark/>
          </w:tcPr>
          <w:p w14:paraId="5500419C" w14:textId="3AF6B0E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085</w:t>
            </w:r>
          </w:p>
        </w:tc>
        <w:tc>
          <w:tcPr>
            <w:tcW w:w="642" w:type="dxa"/>
            <w:shd w:val="clear" w:color="auto" w:fill="auto"/>
            <w:noWrap/>
            <w:vAlign w:val="bottom"/>
            <w:hideMark/>
          </w:tcPr>
          <w:p w14:paraId="05E1DC63" w14:textId="472D3B8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234</w:t>
            </w:r>
          </w:p>
        </w:tc>
      </w:tr>
      <w:tr w:rsidR="00680417" w:rsidRPr="00DA21FF" w14:paraId="535692BF" w14:textId="77777777" w:rsidTr="00680417">
        <w:trPr>
          <w:trHeight w:val="240"/>
        </w:trPr>
        <w:tc>
          <w:tcPr>
            <w:tcW w:w="3702" w:type="dxa"/>
            <w:shd w:val="clear" w:color="auto" w:fill="auto"/>
            <w:noWrap/>
          </w:tcPr>
          <w:p w14:paraId="09E05CA0"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7F4E2656" w14:textId="48B6D34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114</w:t>
            </w:r>
          </w:p>
        </w:tc>
        <w:tc>
          <w:tcPr>
            <w:tcW w:w="642" w:type="dxa"/>
            <w:shd w:val="clear" w:color="auto" w:fill="auto"/>
            <w:noWrap/>
            <w:vAlign w:val="bottom"/>
            <w:hideMark/>
          </w:tcPr>
          <w:p w14:paraId="7421A4A1" w14:textId="0495C34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083</w:t>
            </w:r>
          </w:p>
        </w:tc>
        <w:tc>
          <w:tcPr>
            <w:tcW w:w="641" w:type="dxa"/>
            <w:shd w:val="clear" w:color="auto" w:fill="auto"/>
            <w:noWrap/>
            <w:vAlign w:val="bottom"/>
            <w:hideMark/>
          </w:tcPr>
          <w:p w14:paraId="49B5AA33" w14:textId="14DD12A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102</w:t>
            </w:r>
          </w:p>
        </w:tc>
        <w:tc>
          <w:tcPr>
            <w:tcW w:w="642" w:type="dxa"/>
            <w:shd w:val="clear" w:color="auto" w:fill="auto"/>
            <w:noWrap/>
            <w:vAlign w:val="bottom"/>
            <w:hideMark/>
          </w:tcPr>
          <w:p w14:paraId="594F4E27" w14:textId="080EEB9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003</w:t>
            </w:r>
          </w:p>
        </w:tc>
        <w:tc>
          <w:tcPr>
            <w:tcW w:w="642" w:type="dxa"/>
            <w:shd w:val="clear" w:color="auto" w:fill="auto"/>
            <w:noWrap/>
            <w:vAlign w:val="bottom"/>
            <w:hideMark/>
          </w:tcPr>
          <w:p w14:paraId="52761006" w14:textId="6B74229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139</w:t>
            </w:r>
          </w:p>
        </w:tc>
        <w:tc>
          <w:tcPr>
            <w:tcW w:w="642" w:type="dxa"/>
            <w:shd w:val="clear" w:color="auto" w:fill="auto"/>
            <w:noWrap/>
            <w:vAlign w:val="bottom"/>
            <w:hideMark/>
          </w:tcPr>
          <w:p w14:paraId="16519890" w14:textId="1C59B7E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220</w:t>
            </w:r>
          </w:p>
        </w:tc>
      </w:tr>
      <w:tr w:rsidR="00680417" w:rsidRPr="00DA21FF" w14:paraId="4A4CAD50" w14:textId="77777777" w:rsidTr="00680417">
        <w:trPr>
          <w:trHeight w:val="240"/>
        </w:trPr>
        <w:tc>
          <w:tcPr>
            <w:tcW w:w="3702" w:type="dxa"/>
            <w:shd w:val="clear" w:color="auto" w:fill="auto"/>
            <w:noWrap/>
          </w:tcPr>
          <w:p w14:paraId="3B487956"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6663AAD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980</w:t>
            </w:r>
          </w:p>
        </w:tc>
        <w:tc>
          <w:tcPr>
            <w:tcW w:w="642" w:type="dxa"/>
            <w:shd w:val="clear" w:color="auto" w:fill="auto"/>
            <w:noWrap/>
            <w:vAlign w:val="bottom"/>
            <w:hideMark/>
          </w:tcPr>
          <w:p w14:paraId="189CCDD9" w14:textId="7C0E43E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005</w:t>
            </w:r>
          </w:p>
        </w:tc>
        <w:tc>
          <w:tcPr>
            <w:tcW w:w="641" w:type="dxa"/>
            <w:shd w:val="clear" w:color="auto" w:fill="auto"/>
            <w:noWrap/>
            <w:vAlign w:val="bottom"/>
            <w:hideMark/>
          </w:tcPr>
          <w:p w14:paraId="5291C0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946</w:t>
            </w:r>
          </w:p>
        </w:tc>
        <w:tc>
          <w:tcPr>
            <w:tcW w:w="642" w:type="dxa"/>
            <w:shd w:val="clear" w:color="auto" w:fill="auto"/>
            <w:noWrap/>
            <w:vAlign w:val="bottom"/>
            <w:hideMark/>
          </w:tcPr>
          <w:p w14:paraId="3CA4BA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904</w:t>
            </w:r>
          </w:p>
        </w:tc>
        <w:tc>
          <w:tcPr>
            <w:tcW w:w="642" w:type="dxa"/>
            <w:shd w:val="clear" w:color="auto" w:fill="auto"/>
            <w:noWrap/>
            <w:vAlign w:val="bottom"/>
            <w:hideMark/>
          </w:tcPr>
          <w:p w14:paraId="168D8A0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946</w:t>
            </w:r>
          </w:p>
        </w:tc>
        <w:tc>
          <w:tcPr>
            <w:tcW w:w="642" w:type="dxa"/>
            <w:shd w:val="clear" w:color="auto" w:fill="auto"/>
            <w:noWrap/>
            <w:vAlign w:val="bottom"/>
            <w:hideMark/>
          </w:tcPr>
          <w:p w14:paraId="4EF5E485" w14:textId="12ADAA3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014</w:t>
            </w:r>
          </w:p>
        </w:tc>
      </w:tr>
      <w:tr w:rsidR="00680417" w:rsidRPr="00DA21FF" w14:paraId="49C8CF19" w14:textId="77777777" w:rsidTr="00680417">
        <w:trPr>
          <w:trHeight w:val="240"/>
        </w:trPr>
        <w:tc>
          <w:tcPr>
            <w:tcW w:w="3702" w:type="dxa"/>
            <w:shd w:val="clear" w:color="auto" w:fill="auto"/>
            <w:noWrap/>
            <w:hideMark/>
          </w:tcPr>
          <w:p w14:paraId="7AA1BE9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Neoplasia maligna de bronquio y pulmón (</w:t>
            </w:r>
            <w:proofErr w:type="spellStart"/>
            <w:r w:rsidRPr="00DA21FF">
              <w:rPr>
                <w:sz w:val="18"/>
              </w:rPr>
              <w:t>C34</w:t>
            </w:r>
            <w:proofErr w:type="spellEnd"/>
            <w:r w:rsidRPr="00DA21FF">
              <w:rPr>
                <w:sz w:val="18"/>
              </w:rPr>
              <w:t>)</w:t>
            </w:r>
          </w:p>
        </w:tc>
        <w:tc>
          <w:tcPr>
            <w:tcW w:w="571" w:type="dxa"/>
            <w:shd w:val="clear" w:color="auto" w:fill="auto"/>
            <w:noWrap/>
            <w:vAlign w:val="bottom"/>
            <w:hideMark/>
          </w:tcPr>
          <w:p w14:paraId="2A19693E" w14:textId="4C41264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141</w:t>
            </w:r>
          </w:p>
        </w:tc>
        <w:tc>
          <w:tcPr>
            <w:tcW w:w="642" w:type="dxa"/>
            <w:shd w:val="clear" w:color="auto" w:fill="auto"/>
            <w:noWrap/>
            <w:vAlign w:val="bottom"/>
            <w:hideMark/>
          </w:tcPr>
          <w:p w14:paraId="2BE746F7" w14:textId="2766636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203</w:t>
            </w:r>
          </w:p>
        </w:tc>
        <w:tc>
          <w:tcPr>
            <w:tcW w:w="641" w:type="dxa"/>
            <w:shd w:val="clear" w:color="auto" w:fill="auto"/>
            <w:noWrap/>
            <w:vAlign w:val="bottom"/>
            <w:hideMark/>
          </w:tcPr>
          <w:p w14:paraId="629A4A98" w14:textId="33819F6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151</w:t>
            </w:r>
          </w:p>
        </w:tc>
        <w:tc>
          <w:tcPr>
            <w:tcW w:w="642" w:type="dxa"/>
            <w:shd w:val="clear" w:color="auto" w:fill="auto"/>
            <w:noWrap/>
            <w:vAlign w:val="bottom"/>
            <w:hideMark/>
          </w:tcPr>
          <w:p w14:paraId="542C9364" w14:textId="04AB2E2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186</w:t>
            </w:r>
          </w:p>
        </w:tc>
        <w:tc>
          <w:tcPr>
            <w:tcW w:w="642" w:type="dxa"/>
            <w:shd w:val="clear" w:color="auto" w:fill="auto"/>
            <w:noWrap/>
            <w:vAlign w:val="bottom"/>
            <w:hideMark/>
          </w:tcPr>
          <w:p w14:paraId="4D1F4BED" w14:textId="0E1231E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204</w:t>
            </w:r>
          </w:p>
        </w:tc>
        <w:tc>
          <w:tcPr>
            <w:tcW w:w="642" w:type="dxa"/>
            <w:shd w:val="clear" w:color="auto" w:fill="auto"/>
            <w:noWrap/>
            <w:vAlign w:val="bottom"/>
            <w:hideMark/>
          </w:tcPr>
          <w:p w14:paraId="44B0B2D1" w14:textId="316DDD3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203</w:t>
            </w:r>
          </w:p>
        </w:tc>
      </w:tr>
      <w:tr w:rsidR="00680417" w:rsidRPr="00DA21FF" w14:paraId="5E8EB0AF" w14:textId="77777777" w:rsidTr="00680417">
        <w:trPr>
          <w:trHeight w:val="240"/>
        </w:trPr>
        <w:tc>
          <w:tcPr>
            <w:tcW w:w="3702" w:type="dxa"/>
            <w:shd w:val="clear" w:color="auto" w:fill="auto"/>
            <w:noWrap/>
          </w:tcPr>
          <w:p w14:paraId="37BDBD63"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051747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976</w:t>
            </w:r>
          </w:p>
        </w:tc>
        <w:tc>
          <w:tcPr>
            <w:tcW w:w="642" w:type="dxa"/>
            <w:shd w:val="clear" w:color="auto" w:fill="auto"/>
            <w:noWrap/>
            <w:vAlign w:val="bottom"/>
            <w:hideMark/>
          </w:tcPr>
          <w:p w14:paraId="691EA661" w14:textId="6E8F157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038</w:t>
            </w:r>
          </w:p>
        </w:tc>
        <w:tc>
          <w:tcPr>
            <w:tcW w:w="641" w:type="dxa"/>
            <w:shd w:val="clear" w:color="auto" w:fill="auto"/>
            <w:noWrap/>
            <w:vAlign w:val="bottom"/>
            <w:hideMark/>
          </w:tcPr>
          <w:p w14:paraId="57E1CFDF" w14:textId="4B1CD88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042</w:t>
            </w:r>
          </w:p>
        </w:tc>
        <w:tc>
          <w:tcPr>
            <w:tcW w:w="642" w:type="dxa"/>
            <w:shd w:val="clear" w:color="auto" w:fill="auto"/>
            <w:noWrap/>
            <w:vAlign w:val="bottom"/>
            <w:hideMark/>
          </w:tcPr>
          <w:p w14:paraId="0CF088CA" w14:textId="714258E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017</w:t>
            </w:r>
          </w:p>
        </w:tc>
        <w:tc>
          <w:tcPr>
            <w:tcW w:w="642" w:type="dxa"/>
            <w:shd w:val="clear" w:color="auto" w:fill="auto"/>
            <w:noWrap/>
            <w:vAlign w:val="bottom"/>
            <w:hideMark/>
          </w:tcPr>
          <w:p w14:paraId="02BC5AA5" w14:textId="1CF2343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046</w:t>
            </w:r>
          </w:p>
        </w:tc>
        <w:tc>
          <w:tcPr>
            <w:tcW w:w="642" w:type="dxa"/>
            <w:shd w:val="clear" w:color="auto" w:fill="auto"/>
            <w:noWrap/>
            <w:vAlign w:val="bottom"/>
            <w:hideMark/>
          </w:tcPr>
          <w:p w14:paraId="0EEE1455" w14:textId="03D2AD5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010</w:t>
            </w:r>
          </w:p>
        </w:tc>
      </w:tr>
      <w:tr w:rsidR="00680417" w:rsidRPr="00DA21FF" w14:paraId="60A13CD3" w14:textId="77777777" w:rsidTr="00680417">
        <w:trPr>
          <w:trHeight w:val="240"/>
        </w:trPr>
        <w:tc>
          <w:tcPr>
            <w:tcW w:w="3702" w:type="dxa"/>
            <w:shd w:val="clear" w:color="auto" w:fill="auto"/>
            <w:noWrap/>
          </w:tcPr>
          <w:p w14:paraId="231D1613"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2DE48AFB" w14:textId="40A31C8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165</w:t>
            </w:r>
          </w:p>
        </w:tc>
        <w:tc>
          <w:tcPr>
            <w:tcW w:w="642" w:type="dxa"/>
            <w:shd w:val="clear" w:color="auto" w:fill="auto"/>
            <w:noWrap/>
            <w:vAlign w:val="bottom"/>
            <w:hideMark/>
          </w:tcPr>
          <w:p w14:paraId="33B47BE0" w14:textId="578FDCA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165</w:t>
            </w:r>
          </w:p>
        </w:tc>
        <w:tc>
          <w:tcPr>
            <w:tcW w:w="641" w:type="dxa"/>
            <w:shd w:val="clear" w:color="auto" w:fill="auto"/>
            <w:noWrap/>
            <w:vAlign w:val="bottom"/>
            <w:hideMark/>
          </w:tcPr>
          <w:p w14:paraId="2E011F29" w14:textId="2117BA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109</w:t>
            </w:r>
          </w:p>
        </w:tc>
        <w:tc>
          <w:tcPr>
            <w:tcW w:w="642" w:type="dxa"/>
            <w:shd w:val="clear" w:color="auto" w:fill="auto"/>
            <w:noWrap/>
            <w:vAlign w:val="bottom"/>
            <w:hideMark/>
          </w:tcPr>
          <w:p w14:paraId="7C15391D" w14:textId="4622A3B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169</w:t>
            </w:r>
          </w:p>
        </w:tc>
        <w:tc>
          <w:tcPr>
            <w:tcW w:w="642" w:type="dxa"/>
            <w:shd w:val="clear" w:color="auto" w:fill="auto"/>
            <w:noWrap/>
            <w:vAlign w:val="bottom"/>
            <w:hideMark/>
          </w:tcPr>
          <w:p w14:paraId="553D09D7" w14:textId="59FFEAD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158</w:t>
            </w:r>
          </w:p>
        </w:tc>
        <w:tc>
          <w:tcPr>
            <w:tcW w:w="642" w:type="dxa"/>
            <w:shd w:val="clear" w:color="auto" w:fill="auto"/>
            <w:noWrap/>
            <w:vAlign w:val="bottom"/>
            <w:hideMark/>
          </w:tcPr>
          <w:p w14:paraId="21AF6422" w14:textId="335AA2A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193</w:t>
            </w:r>
          </w:p>
        </w:tc>
      </w:tr>
      <w:tr w:rsidR="00680417" w:rsidRPr="00DA21FF" w14:paraId="375E0C83" w14:textId="77777777" w:rsidTr="00680417">
        <w:trPr>
          <w:trHeight w:val="240"/>
        </w:trPr>
        <w:tc>
          <w:tcPr>
            <w:tcW w:w="3702" w:type="dxa"/>
            <w:shd w:val="clear" w:color="auto" w:fill="auto"/>
            <w:noWrap/>
            <w:hideMark/>
          </w:tcPr>
          <w:p w14:paraId="24A747A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Cardiopatía isquémica crónica (</w:t>
            </w:r>
            <w:proofErr w:type="spellStart"/>
            <w:r w:rsidRPr="00DA21FF">
              <w:rPr>
                <w:sz w:val="18"/>
              </w:rPr>
              <w:t>I25</w:t>
            </w:r>
            <w:proofErr w:type="spellEnd"/>
            <w:r w:rsidRPr="00DA21FF">
              <w:rPr>
                <w:sz w:val="18"/>
              </w:rPr>
              <w:t>)</w:t>
            </w:r>
          </w:p>
        </w:tc>
        <w:tc>
          <w:tcPr>
            <w:tcW w:w="571" w:type="dxa"/>
            <w:shd w:val="clear" w:color="auto" w:fill="auto"/>
            <w:noWrap/>
            <w:vAlign w:val="bottom"/>
            <w:hideMark/>
          </w:tcPr>
          <w:p w14:paraId="40742204" w14:textId="2BFDB76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331</w:t>
            </w:r>
          </w:p>
        </w:tc>
        <w:tc>
          <w:tcPr>
            <w:tcW w:w="642" w:type="dxa"/>
            <w:shd w:val="clear" w:color="auto" w:fill="auto"/>
            <w:noWrap/>
            <w:vAlign w:val="bottom"/>
            <w:hideMark/>
          </w:tcPr>
          <w:p w14:paraId="4249B936" w14:textId="1B5D878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357</w:t>
            </w:r>
          </w:p>
        </w:tc>
        <w:tc>
          <w:tcPr>
            <w:tcW w:w="641" w:type="dxa"/>
            <w:shd w:val="clear" w:color="auto" w:fill="auto"/>
            <w:noWrap/>
            <w:vAlign w:val="bottom"/>
            <w:hideMark/>
          </w:tcPr>
          <w:p w14:paraId="21532A94" w14:textId="2591E13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324</w:t>
            </w:r>
          </w:p>
        </w:tc>
        <w:tc>
          <w:tcPr>
            <w:tcW w:w="642" w:type="dxa"/>
            <w:shd w:val="clear" w:color="auto" w:fill="auto"/>
            <w:noWrap/>
            <w:vAlign w:val="bottom"/>
            <w:hideMark/>
          </w:tcPr>
          <w:p w14:paraId="0E954111" w14:textId="4C44488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490</w:t>
            </w:r>
          </w:p>
        </w:tc>
        <w:tc>
          <w:tcPr>
            <w:tcW w:w="642" w:type="dxa"/>
            <w:shd w:val="clear" w:color="auto" w:fill="auto"/>
            <w:noWrap/>
            <w:vAlign w:val="bottom"/>
            <w:hideMark/>
          </w:tcPr>
          <w:p w14:paraId="0EEDDFBA" w14:textId="7B0ADA9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780</w:t>
            </w:r>
          </w:p>
        </w:tc>
        <w:tc>
          <w:tcPr>
            <w:tcW w:w="642" w:type="dxa"/>
            <w:shd w:val="clear" w:color="auto" w:fill="auto"/>
            <w:noWrap/>
            <w:vAlign w:val="bottom"/>
            <w:hideMark/>
          </w:tcPr>
          <w:p w14:paraId="56AC9F09" w14:textId="0FB2413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878</w:t>
            </w:r>
          </w:p>
        </w:tc>
      </w:tr>
      <w:tr w:rsidR="00680417" w:rsidRPr="00DA21FF" w14:paraId="70069195" w14:textId="77777777" w:rsidTr="00680417">
        <w:trPr>
          <w:trHeight w:val="240"/>
        </w:trPr>
        <w:tc>
          <w:tcPr>
            <w:tcW w:w="3702" w:type="dxa"/>
            <w:shd w:val="clear" w:color="auto" w:fill="auto"/>
            <w:noWrap/>
          </w:tcPr>
          <w:p w14:paraId="2E12DB2D"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246F222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516</w:t>
            </w:r>
          </w:p>
        </w:tc>
        <w:tc>
          <w:tcPr>
            <w:tcW w:w="642" w:type="dxa"/>
            <w:shd w:val="clear" w:color="auto" w:fill="auto"/>
            <w:noWrap/>
            <w:vAlign w:val="bottom"/>
            <w:hideMark/>
          </w:tcPr>
          <w:p w14:paraId="567E96C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537</w:t>
            </w:r>
          </w:p>
        </w:tc>
        <w:tc>
          <w:tcPr>
            <w:tcW w:w="641" w:type="dxa"/>
            <w:shd w:val="clear" w:color="auto" w:fill="auto"/>
            <w:noWrap/>
            <w:vAlign w:val="bottom"/>
            <w:hideMark/>
          </w:tcPr>
          <w:p w14:paraId="516B0AE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493</w:t>
            </w:r>
          </w:p>
        </w:tc>
        <w:tc>
          <w:tcPr>
            <w:tcW w:w="642" w:type="dxa"/>
            <w:shd w:val="clear" w:color="auto" w:fill="auto"/>
            <w:noWrap/>
            <w:vAlign w:val="bottom"/>
            <w:hideMark/>
          </w:tcPr>
          <w:p w14:paraId="128D81F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581</w:t>
            </w:r>
          </w:p>
        </w:tc>
        <w:tc>
          <w:tcPr>
            <w:tcW w:w="642" w:type="dxa"/>
            <w:shd w:val="clear" w:color="auto" w:fill="auto"/>
            <w:noWrap/>
            <w:vAlign w:val="bottom"/>
            <w:hideMark/>
          </w:tcPr>
          <w:p w14:paraId="59BF3F2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715</w:t>
            </w:r>
          </w:p>
        </w:tc>
        <w:tc>
          <w:tcPr>
            <w:tcW w:w="642" w:type="dxa"/>
            <w:shd w:val="clear" w:color="auto" w:fill="auto"/>
            <w:noWrap/>
            <w:vAlign w:val="bottom"/>
            <w:hideMark/>
          </w:tcPr>
          <w:p w14:paraId="18E6F9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727</w:t>
            </w:r>
          </w:p>
        </w:tc>
      </w:tr>
      <w:tr w:rsidR="00680417" w:rsidRPr="00DA21FF" w14:paraId="16CA85C3" w14:textId="77777777" w:rsidTr="00680417">
        <w:trPr>
          <w:trHeight w:val="240"/>
        </w:trPr>
        <w:tc>
          <w:tcPr>
            <w:tcW w:w="3702" w:type="dxa"/>
            <w:shd w:val="clear" w:color="auto" w:fill="auto"/>
            <w:noWrap/>
          </w:tcPr>
          <w:p w14:paraId="470BF27F"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3062C53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815</w:t>
            </w:r>
          </w:p>
        </w:tc>
        <w:tc>
          <w:tcPr>
            <w:tcW w:w="642" w:type="dxa"/>
            <w:shd w:val="clear" w:color="auto" w:fill="auto"/>
            <w:noWrap/>
            <w:vAlign w:val="bottom"/>
            <w:hideMark/>
          </w:tcPr>
          <w:p w14:paraId="583553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820</w:t>
            </w:r>
          </w:p>
        </w:tc>
        <w:tc>
          <w:tcPr>
            <w:tcW w:w="641" w:type="dxa"/>
            <w:shd w:val="clear" w:color="auto" w:fill="auto"/>
            <w:noWrap/>
            <w:vAlign w:val="bottom"/>
            <w:hideMark/>
          </w:tcPr>
          <w:p w14:paraId="10C30C0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831</w:t>
            </w:r>
          </w:p>
        </w:tc>
        <w:tc>
          <w:tcPr>
            <w:tcW w:w="642" w:type="dxa"/>
            <w:shd w:val="clear" w:color="auto" w:fill="auto"/>
            <w:noWrap/>
            <w:vAlign w:val="bottom"/>
            <w:hideMark/>
          </w:tcPr>
          <w:p w14:paraId="25B0553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909</w:t>
            </w:r>
          </w:p>
        </w:tc>
        <w:tc>
          <w:tcPr>
            <w:tcW w:w="642" w:type="dxa"/>
            <w:shd w:val="clear" w:color="auto" w:fill="auto"/>
            <w:noWrap/>
            <w:vAlign w:val="bottom"/>
            <w:hideMark/>
          </w:tcPr>
          <w:p w14:paraId="78C2B496" w14:textId="0128B75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065</w:t>
            </w:r>
          </w:p>
        </w:tc>
        <w:tc>
          <w:tcPr>
            <w:tcW w:w="642" w:type="dxa"/>
            <w:shd w:val="clear" w:color="auto" w:fill="auto"/>
            <w:noWrap/>
            <w:vAlign w:val="bottom"/>
            <w:hideMark/>
          </w:tcPr>
          <w:p w14:paraId="6096DDDE" w14:textId="3C21A73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151</w:t>
            </w:r>
          </w:p>
        </w:tc>
      </w:tr>
      <w:tr w:rsidR="00680417" w:rsidRPr="00DA21FF" w14:paraId="631D3B57" w14:textId="77777777" w:rsidTr="00680417">
        <w:trPr>
          <w:trHeight w:val="240"/>
        </w:trPr>
        <w:tc>
          <w:tcPr>
            <w:tcW w:w="3702" w:type="dxa"/>
            <w:shd w:val="clear" w:color="auto" w:fill="auto"/>
            <w:noWrap/>
            <w:hideMark/>
          </w:tcPr>
          <w:p w14:paraId="727A43D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Infarto agudo de miocardio (</w:t>
            </w:r>
            <w:proofErr w:type="spellStart"/>
            <w:r w:rsidRPr="00DA21FF">
              <w:rPr>
                <w:sz w:val="18"/>
              </w:rPr>
              <w:t>I21</w:t>
            </w:r>
            <w:proofErr w:type="spellEnd"/>
            <w:r w:rsidRPr="00DA21FF">
              <w:rPr>
                <w:sz w:val="18"/>
              </w:rPr>
              <w:t>)</w:t>
            </w:r>
          </w:p>
        </w:tc>
        <w:tc>
          <w:tcPr>
            <w:tcW w:w="571" w:type="dxa"/>
            <w:shd w:val="clear" w:color="auto" w:fill="auto"/>
            <w:noWrap/>
            <w:vAlign w:val="bottom"/>
            <w:hideMark/>
          </w:tcPr>
          <w:p w14:paraId="578932D8" w14:textId="11F68C2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r w:rsidR="00B6440E">
              <w:rPr>
                <w:sz w:val="18"/>
              </w:rPr>
              <w:t xml:space="preserve"> </w:t>
            </w:r>
            <w:r w:rsidRPr="00DA21FF">
              <w:rPr>
                <w:sz w:val="18"/>
              </w:rPr>
              <w:t>131</w:t>
            </w:r>
          </w:p>
        </w:tc>
        <w:tc>
          <w:tcPr>
            <w:tcW w:w="642" w:type="dxa"/>
            <w:shd w:val="clear" w:color="auto" w:fill="auto"/>
            <w:noWrap/>
            <w:vAlign w:val="bottom"/>
            <w:hideMark/>
          </w:tcPr>
          <w:p w14:paraId="45707B09" w14:textId="51CDE85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976</w:t>
            </w:r>
          </w:p>
        </w:tc>
        <w:tc>
          <w:tcPr>
            <w:tcW w:w="641" w:type="dxa"/>
            <w:shd w:val="clear" w:color="auto" w:fill="auto"/>
            <w:noWrap/>
            <w:vAlign w:val="bottom"/>
            <w:hideMark/>
          </w:tcPr>
          <w:p w14:paraId="072CD7B3" w14:textId="3826C8D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812</w:t>
            </w:r>
          </w:p>
        </w:tc>
        <w:tc>
          <w:tcPr>
            <w:tcW w:w="642" w:type="dxa"/>
            <w:shd w:val="clear" w:color="auto" w:fill="auto"/>
            <w:noWrap/>
            <w:vAlign w:val="bottom"/>
            <w:hideMark/>
          </w:tcPr>
          <w:p w14:paraId="5E5B8FD2" w14:textId="417591D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576</w:t>
            </w:r>
          </w:p>
        </w:tc>
        <w:tc>
          <w:tcPr>
            <w:tcW w:w="642" w:type="dxa"/>
            <w:shd w:val="clear" w:color="auto" w:fill="auto"/>
            <w:noWrap/>
            <w:vAlign w:val="bottom"/>
            <w:hideMark/>
          </w:tcPr>
          <w:p w14:paraId="79A9420E" w14:textId="1096A05C"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607</w:t>
            </w:r>
          </w:p>
        </w:tc>
        <w:tc>
          <w:tcPr>
            <w:tcW w:w="642" w:type="dxa"/>
            <w:shd w:val="clear" w:color="auto" w:fill="auto"/>
            <w:noWrap/>
            <w:vAlign w:val="bottom"/>
            <w:hideMark/>
          </w:tcPr>
          <w:p w14:paraId="6D57F9F6" w14:textId="7B63833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429</w:t>
            </w:r>
          </w:p>
        </w:tc>
      </w:tr>
      <w:tr w:rsidR="00680417" w:rsidRPr="00DA21FF" w14:paraId="2E7A49D8" w14:textId="77777777" w:rsidTr="00680417">
        <w:trPr>
          <w:trHeight w:val="240"/>
        </w:trPr>
        <w:tc>
          <w:tcPr>
            <w:tcW w:w="3702" w:type="dxa"/>
            <w:shd w:val="clear" w:color="auto" w:fill="auto"/>
            <w:noWrap/>
          </w:tcPr>
          <w:p w14:paraId="737A64E0"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397CD1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984</w:t>
            </w:r>
          </w:p>
        </w:tc>
        <w:tc>
          <w:tcPr>
            <w:tcW w:w="642" w:type="dxa"/>
            <w:shd w:val="clear" w:color="auto" w:fill="auto"/>
            <w:noWrap/>
            <w:vAlign w:val="bottom"/>
            <w:hideMark/>
          </w:tcPr>
          <w:p w14:paraId="047533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880</w:t>
            </w:r>
          </w:p>
        </w:tc>
        <w:tc>
          <w:tcPr>
            <w:tcW w:w="641" w:type="dxa"/>
            <w:shd w:val="clear" w:color="auto" w:fill="auto"/>
            <w:noWrap/>
            <w:vAlign w:val="bottom"/>
            <w:hideMark/>
          </w:tcPr>
          <w:p w14:paraId="1F44F9B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818</w:t>
            </w:r>
          </w:p>
        </w:tc>
        <w:tc>
          <w:tcPr>
            <w:tcW w:w="642" w:type="dxa"/>
            <w:shd w:val="clear" w:color="auto" w:fill="auto"/>
            <w:noWrap/>
            <w:vAlign w:val="bottom"/>
            <w:hideMark/>
          </w:tcPr>
          <w:p w14:paraId="342C70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719</w:t>
            </w:r>
          </w:p>
        </w:tc>
        <w:tc>
          <w:tcPr>
            <w:tcW w:w="642" w:type="dxa"/>
            <w:shd w:val="clear" w:color="auto" w:fill="auto"/>
            <w:noWrap/>
            <w:vAlign w:val="bottom"/>
            <w:hideMark/>
          </w:tcPr>
          <w:p w14:paraId="27E64B8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664</w:t>
            </w:r>
          </w:p>
        </w:tc>
        <w:tc>
          <w:tcPr>
            <w:tcW w:w="642" w:type="dxa"/>
            <w:shd w:val="clear" w:color="auto" w:fill="auto"/>
            <w:noWrap/>
            <w:vAlign w:val="bottom"/>
            <w:hideMark/>
          </w:tcPr>
          <w:p w14:paraId="48EC5B6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545</w:t>
            </w:r>
          </w:p>
        </w:tc>
      </w:tr>
      <w:tr w:rsidR="00680417" w:rsidRPr="00DA21FF" w14:paraId="79FBF9F9" w14:textId="77777777" w:rsidTr="00680417">
        <w:trPr>
          <w:trHeight w:val="240"/>
        </w:trPr>
        <w:tc>
          <w:tcPr>
            <w:tcW w:w="3702" w:type="dxa"/>
            <w:shd w:val="clear" w:color="auto" w:fill="auto"/>
            <w:noWrap/>
          </w:tcPr>
          <w:p w14:paraId="246FA063"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6968C34A" w14:textId="0A03E60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147</w:t>
            </w:r>
          </w:p>
        </w:tc>
        <w:tc>
          <w:tcPr>
            <w:tcW w:w="642" w:type="dxa"/>
            <w:shd w:val="clear" w:color="auto" w:fill="auto"/>
            <w:noWrap/>
            <w:vAlign w:val="bottom"/>
            <w:hideMark/>
          </w:tcPr>
          <w:p w14:paraId="7318D91A" w14:textId="3D5EEE5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096</w:t>
            </w:r>
          </w:p>
        </w:tc>
        <w:tc>
          <w:tcPr>
            <w:tcW w:w="641" w:type="dxa"/>
            <w:shd w:val="clear" w:color="auto" w:fill="auto"/>
            <w:noWrap/>
            <w:vAlign w:val="bottom"/>
            <w:hideMark/>
          </w:tcPr>
          <w:p w14:paraId="1B4DB7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994</w:t>
            </w:r>
          </w:p>
        </w:tc>
        <w:tc>
          <w:tcPr>
            <w:tcW w:w="642" w:type="dxa"/>
            <w:shd w:val="clear" w:color="auto" w:fill="auto"/>
            <w:noWrap/>
            <w:vAlign w:val="bottom"/>
            <w:hideMark/>
          </w:tcPr>
          <w:p w14:paraId="0F93E8E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857</w:t>
            </w:r>
          </w:p>
        </w:tc>
        <w:tc>
          <w:tcPr>
            <w:tcW w:w="642" w:type="dxa"/>
            <w:shd w:val="clear" w:color="auto" w:fill="auto"/>
            <w:noWrap/>
            <w:vAlign w:val="bottom"/>
            <w:hideMark/>
          </w:tcPr>
          <w:p w14:paraId="385B18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943</w:t>
            </w:r>
          </w:p>
        </w:tc>
        <w:tc>
          <w:tcPr>
            <w:tcW w:w="642" w:type="dxa"/>
            <w:shd w:val="clear" w:color="auto" w:fill="auto"/>
            <w:noWrap/>
            <w:vAlign w:val="bottom"/>
            <w:hideMark/>
          </w:tcPr>
          <w:p w14:paraId="19DACD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884</w:t>
            </w:r>
          </w:p>
        </w:tc>
      </w:tr>
      <w:tr w:rsidR="00680417" w:rsidRPr="00DA21FF" w14:paraId="0208EE08" w14:textId="77777777" w:rsidTr="00680417">
        <w:trPr>
          <w:trHeight w:val="240"/>
        </w:trPr>
        <w:tc>
          <w:tcPr>
            <w:tcW w:w="3702" w:type="dxa"/>
            <w:shd w:val="clear" w:color="auto" w:fill="auto"/>
            <w:noWrap/>
            <w:hideMark/>
          </w:tcPr>
          <w:p w14:paraId="52B1ABE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Enfermedad de Alzheimer (</w:t>
            </w:r>
            <w:proofErr w:type="spellStart"/>
            <w:r w:rsidRPr="00DA21FF">
              <w:rPr>
                <w:sz w:val="18"/>
              </w:rPr>
              <w:t>G30</w:t>
            </w:r>
            <w:proofErr w:type="spellEnd"/>
            <w:r w:rsidRPr="00DA21FF">
              <w:rPr>
                <w:sz w:val="18"/>
              </w:rPr>
              <w:t>)</w:t>
            </w:r>
          </w:p>
        </w:tc>
        <w:tc>
          <w:tcPr>
            <w:tcW w:w="571" w:type="dxa"/>
            <w:shd w:val="clear" w:color="auto" w:fill="auto"/>
            <w:noWrap/>
            <w:vAlign w:val="bottom"/>
            <w:hideMark/>
          </w:tcPr>
          <w:p w14:paraId="051BE2A2" w14:textId="1B326FC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108</w:t>
            </w:r>
          </w:p>
        </w:tc>
        <w:tc>
          <w:tcPr>
            <w:tcW w:w="642" w:type="dxa"/>
            <w:shd w:val="clear" w:color="auto" w:fill="auto"/>
            <w:noWrap/>
            <w:vAlign w:val="bottom"/>
            <w:hideMark/>
          </w:tcPr>
          <w:p w14:paraId="19D2190D" w14:textId="1CBC378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041</w:t>
            </w:r>
          </w:p>
        </w:tc>
        <w:tc>
          <w:tcPr>
            <w:tcW w:w="641" w:type="dxa"/>
            <w:shd w:val="clear" w:color="auto" w:fill="auto"/>
            <w:noWrap/>
            <w:vAlign w:val="bottom"/>
            <w:hideMark/>
          </w:tcPr>
          <w:p w14:paraId="2C17C40B" w14:textId="4F5B730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124</w:t>
            </w:r>
          </w:p>
        </w:tc>
        <w:tc>
          <w:tcPr>
            <w:tcW w:w="642" w:type="dxa"/>
            <w:shd w:val="clear" w:color="auto" w:fill="auto"/>
            <w:noWrap/>
            <w:vAlign w:val="bottom"/>
            <w:hideMark/>
          </w:tcPr>
          <w:p w14:paraId="26C895F1" w14:textId="152A4B9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292</w:t>
            </w:r>
          </w:p>
        </w:tc>
        <w:tc>
          <w:tcPr>
            <w:tcW w:w="642" w:type="dxa"/>
            <w:shd w:val="clear" w:color="auto" w:fill="auto"/>
            <w:noWrap/>
            <w:vAlign w:val="bottom"/>
            <w:hideMark/>
          </w:tcPr>
          <w:p w14:paraId="782CFE03" w14:textId="6000D3E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405</w:t>
            </w:r>
          </w:p>
        </w:tc>
        <w:tc>
          <w:tcPr>
            <w:tcW w:w="642" w:type="dxa"/>
            <w:shd w:val="clear" w:color="auto" w:fill="auto"/>
            <w:noWrap/>
            <w:vAlign w:val="bottom"/>
            <w:hideMark/>
          </w:tcPr>
          <w:p w14:paraId="7119B385" w14:textId="63E87B1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390</w:t>
            </w:r>
          </w:p>
        </w:tc>
      </w:tr>
      <w:tr w:rsidR="00680417" w:rsidRPr="00DA21FF" w14:paraId="547D6A5B" w14:textId="77777777" w:rsidTr="00680417">
        <w:trPr>
          <w:trHeight w:val="240"/>
        </w:trPr>
        <w:tc>
          <w:tcPr>
            <w:tcW w:w="3702" w:type="dxa"/>
            <w:shd w:val="clear" w:color="auto" w:fill="auto"/>
            <w:noWrap/>
          </w:tcPr>
          <w:p w14:paraId="2BA04DFF"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3FDD061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739</w:t>
            </w:r>
          </w:p>
        </w:tc>
        <w:tc>
          <w:tcPr>
            <w:tcW w:w="642" w:type="dxa"/>
            <w:shd w:val="clear" w:color="auto" w:fill="auto"/>
            <w:noWrap/>
            <w:vAlign w:val="bottom"/>
            <w:hideMark/>
          </w:tcPr>
          <w:p w14:paraId="1D401BD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690</w:t>
            </w:r>
          </w:p>
        </w:tc>
        <w:tc>
          <w:tcPr>
            <w:tcW w:w="641" w:type="dxa"/>
            <w:shd w:val="clear" w:color="auto" w:fill="auto"/>
            <w:noWrap/>
            <w:vAlign w:val="bottom"/>
            <w:hideMark/>
          </w:tcPr>
          <w:p w14:paraId="3F77EA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725</w:t>
            </w:r>
          </w:p>
        </w:tc>
        <w:tc>
          <w:tcPr>
            <w:tcW w:w="642" w:type="dxa"/>
            <w:shd w:val="clear" w:color="auto" w:fill="auto"/>
            <w:noWrap/>
            <w:vAlign w:val="bottom"/>
            <w:hideMark/>
          </w:tcPr>
          <w:p w14:paraId="767A9E4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830</w:t>
            </w:r>
          </w:p>
        </w:tc>
        <w:tc>
          <w:tcPr>
            <w:tcW w:w="642" w:type="dxa"/>
            <w:shd w:val="clear" w:color="auto" w:fill="auto"/>
            <w:noWrap/>
            <w:vAlign w:val="bottom"/>
            <w:hideMark/>
          </w:tcPr>
          <w:p w14:paraId="591773F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930</w:t>
            </w:r>
          </w:p>
        </w:tc>
        <w:tc>
          <w:tcPr>
            <w:tcW w:w="642" w:type="dxa"/>
            <w:shd w:val="clear" w:color="auto" w:fill="auto"/>
            <w:noWrap/>
            <w:vAlign w:val="bottom"/>
            <w:hideMark/>
          </w:tcPr>
          <w:p w14:paraId="73C7D6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917</w:t>
            </w:r>
          </w:p>
        </w:tc>
      </w:tr>
      <w:tr w:rsidR="00680417" w:rsidRPr="00DA21FF" w14:paraId="2774DC97" w14:textId="77777777" w:rsidTr="00680417">
        <w:trPr>
          <w:trHeight w:val="240"/>
        </w:trPr>
        <w:tc>
          <w:tcPr>
            <w:tcW w:w="3702" w:type="dxa"/>
            <w:shd w:val="clear" w:color="auto" w:fill="auto"/>
            <w:noWrap/>
          </w:tcPr>
          <w:p w14:paraId="6A660E2E"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683AF4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369</w:t>
            </w:r>
          </w:p>
        </w:tc>
        <w:tc>
          <w:tcPr>
            <w:tcW w:w="642" w:type="dxa"/>
            <w:shd w:val="clear" w:color="auto" w:fill="auto"/>
            <w:noWrap/>
            <w:vAlign w:val="bottom"/>
            <w:hideMark/>
          </w:tcPr>
          <w:p w14:paraId="38CFDF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351</w:t>
            </w:r>
          </w:p>
        </w:tc>
        <w:tc>
          <w:tcPr>
            <w:tcW w:w="641" w:type="dxa"/>
            <w:shd w:val="clear" w:color="auto" w:fill="auto"/>
            <w:noWrap/>
            <w:vAlign w:val="bottom"/>
            <w:hideMark/>
          </w:tcPr>
          <w:p w14:paraId="19B0CF7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399</w:t>
            </w:r>
          </w:p>
        </w:tc>
        <w:tc>
          <w:tcPr>
            <w:tcW w:w="642" w:type="dxa"/>
            <w:shd w:val="clear" w:color="auto" w:fill="auto"/>
            <w:noWrap/>
            <w:vAlign w:val="bottom"/>
            <w:hideMark/>
          </w:tcPr>
          <w:p w14:paraId="2F1391B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462</w:t>
            </w:r>
          </w:p>
        </w:tc>
        <w:tc>
          <w:tcPr>
            <w:tcW w:w="642" w:type="dxa"/>
            <w:shd w:val="clear" w:color="auto" w:fill="auto"/>
            <w:noWrap/>
            <w:vAlign w:val="bottom"/>
            <w:hideMark/>
          </w:tcPr>
          <w:p w14:paraId="1CCB28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475</w:t>
            </w:r>
          </w:p>
        </w:tc>
        <w:tc>
          <w:tcPr>
            <w:tcW w:w="642" w:type="dxa"/>
            <w:shd w:val="clear" w:color="auto" w:fill="auto"/>
            <w:noWrap/>
            <w:vAlign w:val="bottom"/>
            <w:hideMark/>
          </w:tcPr>
          <w:p w14:paraId="38EAEC3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473</w:t>
            </w:r>
          </w:p>
        </w:tc>
      </w:tr>
      <w:tr w:rsidR="00680417" w:rsidRPr="00DA21FF" w14:paraId="73FA9BBA" w14:textId="77777777" w:rsidTr="00680417">
        <w:trPr>
          <w:trHeight w:val="240"/>
        </w:trPr>
        <w:tc>
          <w:tcPr>
            <w:tcW w:w="3702" w:type="dxa"/>
            <w:shd w:val="clear" w:color="auto" w:fill="auto"/>
            <w:noWrap/>
            <w:hideMark/>
          </w:tcPr>
          <w:p w14:paraId="493F41D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Neoplasia maligna de colon (</w:t>
            </w:r>
            <w:proofErr w:type="spellStart"/>
            <w:r w:rsidRPr="00DA21FF">
              <w:rPr>
                <w:sz w:val="18"/>
              </w:rPr>
              <w:t>C18</w:t>
            </w:r>
            <w:proofErr w:type="spellEnd"/>
            <w:r w:rsidRPr="00DA21FF">
              <w:rPr>
                <w:sz w:val="18"/>
              </w:rPr>
              <w:t>)</w:t>
            </w:r>
          </w:p>
        </w:tc>
        <w:tc>
          <w:tcPr>
            <w:tcW w:w="571" w:type="dxa"/>
            <w:shd w:val="clear" w:color="auto" w:fill="auto"/>
            <w:noWrap/>
            <w:vAlign w:val="bottom"/>
            <w:hideMark/>
          </w:tcPr>
          <w:p w14:paraId="1ACD4BF8" w14:textId="64F63216"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200</w:t>
            </w:r>
          </w:p>
        </w:tc>
        <w:tc>
          <w:tcPr>
            <w:tcW w:w="642" w:type="dxa"/>
            <w:shd w:val="clear" w:color="auto" w:fill="auto"/>
            <w:noWrap/>
            <w:vAlign w:val="bottom"/>
            <w:hideMark/>
          </w:tcPr>
          <w:p w14:paraId="50E8166D" w14:textId="2ED5EC7D"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182</w:t>
            </w:r>
          </w:p>
        </w:tc>
        <w:tc>
          <w:tcPr>
            <w:tcW w:w="641" w:type="dxa"/>
            <w:shd w:val="clear" w:color="auto" w:fill="auto"/>
            <w:noWrap/>
            <w:vAlign w:val="bottom"/>
            <w:hideMark/>
          </w:tcPr>
          <w:p w14:paraId="72B12950" w14:textId="6BB25A85"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135</w:t>
            </w:r>
          </w:p>
        </w:tc>
        <w:tc>
          <w:tcPr>
            <w:tcW w:w="642" w:type="dxa"/>
            <w:shd w:val="clear" w:color="auto" w:fill="auto"/>
            <w:noWrap/>
            <w:vAlign w:val="bottom"/>
            <w:hideMark/>
          </w:tcPr>
          <w:p w14:paraId="118ADA7A" w14:textId="3762289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168</w:t>
            </w:r>
          </w:p>
        </w:tc>
        <w:tc>
          <w:tcPr>
            <w:tcW w:w="642" w:type="dxa"/>
            <w:shd w:val="clear" w:color="auto" w:fill="auto"/>
            <w:noWrap/>
            <w:vAlign w:val="bottom"/>
            <w:hideMark/>
          </w:tcPr>
          <w:p w14:paraId="16EC29E7" w14:textId="2ED90A84"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247</w:t>
            </w:r>
          </w:p>
        </w:tc>
        <w:tc>
          <w:tcPr>
            <w:tcW w:w="642" w:type="dxa"/>
            <w:shd w:val="clear" w:color="auto" w:fill="auto"/>
            <w:noWrap/>
            <w:vAlign w:val="bottom"/>
            <w:hideMark/>
          </w:tcPr>
          <w:p w14:paraId="7D104381" w14:textId="452D1D28"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166</w:t>
            </w:r>
          </w:p>
        </w:tc>
      </w:tr>
      <w:tr w:rsidR="00680417" w:rsidRPr="00DA21FF" w14:paraId="1037532D" w14:textId="77777777" w:rsidTr="00680417">
        <w:trPr>
          <w:trHeight w:val="240"/>
        </w:trPr>
        <w:tc>
          <w:tcPr>
            <w:tcW w:w="3702" w:type="dxa"/>
            <w:shd w:val="clear" w:color="auto" w:fill="auto"/>
            <w:noWrap/>
          </w:tcPr>
          <w:p w14:paraId="7035361D"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4469E70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616</w:t>
            </w:r>
          </w:p>
        </w:tc>
        <w:tc>
          <w:tcPr>
            <w:tcW w:w="642" w:type="dxa"/>
            <w:shd w:val="clear" w:color="auto" w:fill="auto"/>
            <w:noWrap/>
            <w:vAlign w:val="bottom"/>
            <w:hideMark/>
          </w:tcPr>
          <w:p w14:paraId="2DCFDD9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601</w:t>
            </w:r>
          </w:p>
        </w:tc>
        <w:tc>
          <w:tcPr>
            <w:tcW w:w="641" w:type="dxa"/>
            <w:shd w:val="clear" w:color="auto" w:fill="auto"/>
            <w:noWrap/>
            <w:vAlign w:val="bottom"/>
            <w:hideMark/>
          </w:tcPr>
          <w:p w14:paraId="1A73D31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600</w:t>
            </w:r>
          </w:p>
        </w:tc>
        <w:tc>
          <w:tcPr>
            <w:tcW w:w="642" w:type="dxa"/>
            <w:shd w:val="clear" w:color="auto" w:fill="auto"/>
            <w:noWrap/>
            <w:vAlign w:val="bottom"/>
            <w:hideMark/>
          </w:tcPr>
          <w:p w14:paraId="6876549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631</w:t>
            </w:r>
          </w:p>
        </w:tc>
        <w:tc>
          <w:tcPr>
            <w:tcW w:w="642" w:type="dxa"/>
            <w:shd w:val="clear" w:color="auto" w:fill="auto"/>
            <w:noWrap/>
            <w:vAlign w:val="bottom"/>
            <w:hideMark/>
          </w:tcPr>
          <w:p w14:paraId="1E986E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653</w:t>
            </w:r>
          </w:p>
        </w:tc>
        <w:tc>
          <w:tcPr>
            <w:tcW w:w="642" w:type="dxa"/>
            <w:shd w:val="clear" w:color="auto" w:fill="auto"/>
            <w:noWrap/>
            <w:vAlign w:val="bottom"/>
            <w:hideMark/>
          </w:tcPr>
          <w:p w14:paraId="58DC22F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593</w:t>
            </w:r>
          </w:p>
        </w:tc>
      </w:tr>
      <w:tr w:rsidR="00680417" w:rsidRPr="00DA21FF" w14:paraId="14503FC5" w14:textId="77777777" w:rsidTr="00680417">
        <w:trPr>
          <w:trHeight w:val="240"/>
        </w:trPr>
        <w:tc>
          <w:tcPr>
            <w:tcW w:w="3702" w:type="dxa"/>
            <w:shd w:val="clear" w:color="auto" w:fill="auto"/>
            <w:noWrap/>
          </w:tcPr>
          <w:p w14:paraId="357EA437"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566E94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584</w:t>
            </w:r>
          </w:p>
        </w:tc>
        <w:tc>
          <w:tcPr>
            <w:tcW w:w="642" w:type="dxa"/>
            <w:shd w:val="clear" w:color="auto" w:fill="auto"/>
            <w:noWrap/>
            <w:vAlign w:val="bottom"/>
            <w:hideMark/>
          </w:tcPr>
          <w:p w14:paraId="6B4A30E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581</w:t>
            </w:r>
          </w:p>
        </w:tc>
        <w:tc>
          <w:tcPr>
            <w:tcW w:w="641" w:type="dxa"/>
            <w:shd w:val="clear" w:color="auto" w:fill="auto"/>
            <w:noWrap/>
            <w:vAlign w:val="bottom"/>
            <w:hideMark/>
          </w:tcPr>
          <w:p w14:paraId="1843AE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535</w:t>
            </w:r>
          </w:p>
        </w:tc>
        <w:tc>
          <w:tcPr>
            <w:tcW w:w="642" w:type="dxa"/>
            <w:shd w:val="clear" w:color="auto" w:fill="auto"/>
            <w:noWrap/>
            <w:vAlign w:val="bottom"/>
            <w:hideMark/>
          </w:tcPr>
          <w:p w14:paraId="778BD80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537</w:t>
            </w:r>
          </w:p>
        </w:tc>
        <w:tc>
          <w:tcPr>
            <w:tcW w:w="642" w:type="dxa"/>
            <w:shd w:val="clear" w:color="auto" w:fill="auto"/>
            <w:noWrap/>
            <w:vAlign w:val="bottom"/>
            <w:hideMark/>
          </w:tcPr>
          <w:p w14:paraId="4AEC1E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594</w:t>
            </w:r>
          </w:p>
        </w:tc>
        <w:tc>
          <w:tcPr>
            <w:tcW w:w="642" w:type="dxa"/>
            <w:shd w:val="clear" w:color="auto" w:fill="auto"/>
            <w:noWrap/>
            <w:vAlign w:val="bottom"/>
            <w:hideMark/>
          </w:tcPr>
          <w:p w14:paraId="5F4C7C7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573</w:t>
            </w:r>
          </w:p>
        </w:tc>
      </w:tr>
      <w:tr w:rsidR="00680417" w:rsidRPr="00DA21FF" w14:paraId="42932E11" w14:textId="77777777" w:rsidTr="00680417">
        <w:trPr>
          <w:trHeight w:val="240"/>
        </w:trPr>
        <w:tc>
          <w:tcPr>
            <w:tcW w:w="3702" w:type="dxa"/>
            <w:shd w:val="clear" w:color="auto" w:fill="auto"/>
            <w:noWrap/>
            <w:hideMark/>
          </w:tcPr>
          <w:p w14:paraId="65AB2E2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Insuficiencia cardíaca (</w:t>
            </w:r>
            <w:proofErr w:type="spellStart"/>
            <w:r w:rsidRPr="00DA21FF">
              <w:rPr>
                <w:sz w:val="18"/>
              </w:rPr>
              <w:t>I50</w:t>
            </w:r>
            <w:proofErr w:type="spellEnd"/>
            <w:r w:rsidRPr="00DA21FF">
              <w:rPr>
                <w:sz w:val="18"/>
              </w:rPr>
              <w:t>)</w:t>
            </w:r>
          </w:p>
        </w:tc>
        <w:tc>
          <w:tcPr>
            <w:tcW w:w="571" w:type="dxa"/>
            <w:shd w:val="clear" w:color="auto" w:fill="auto"/>
            <w:noWrap/>
            <w:vAlign w:val="bottom"/>
            <w:hideMark/>
          </w:tcPr>
          <w:p w14:paraId="7317445E" w14:textId="7DD876B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200</w:t>
            </w:r>
          </w:p>
        </w:tc>
        <w:tc>
          <w:tcPr>
            <w:tcW w:w="642" w:type="dxa"/>
            <w:shd w:val="clear" w:color="auto" w:fill="auto"/>
            <w:noWrap/>
            <w:vAlign w:val="bottom"/>
            <w:hideMark/>
          </w:tcPr>
          <w:p w14:paraId="5EA6CA0D" w14:textId="7BDD585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161</w:t>
            </w:r>
          </w:p>
        </w:tc>
        <w:tc>
          <w:tcPr>
            <w:tcW w:w="641" w:type="dxa"/>
            <w:shd w:val="clear" w:color="auto" w:fill="auto"/>
            <w:noWrap/>
            <w:vAlign w:val="bottom"/>
            <w:hideMark/>
          </w:tcPr>
          <w:p w14:paraId="3FA230F6" w14:textId="34463552"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126</w:t>
            </w:r>
          </w:p>
        </w:tc>
        <w:tc>
          <w:tcPr>
            <w:tcW w:w="642" w:type="dxa"/>
            <w:shd w:val="clear" w:color="auto" w:fill="auto"/>
            <w:noWrap/>
            <w:vAlign w:val="bottom"/>
            <w:hideMark/>
          </w:tcPr>
          <w:p w14:paraId="4C3D17D8" w14:textId="18C21149"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003</w:t>
            </w:r>
          </w:p>
        </w:tc>
        <w:tc>
          <w:tcPr>
            <w:tcW w:w="642" w:type="dxa"/>
            <w:shd w:val="clear" w:color="auto" w:fill="auto"/>
            <w:noWrap/>
            <w:vAlign w:val="bottom"/>
            <w:hideMark/>
          </w:tcPr>
          <w:p w14:paraId="5EC8A870" w14:textId="5C35094E"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056</w:t>
            </w:r>
          </w:p>
        </w:tc>
        <w:tc>
          <w:tcPr>
            <w:tcW w:w="642" w:type="dxa"/>
            <w:shd w:val="clear" w:color="auto" w:fill="auto"/>
            <w:noWrap/>
            <w:vAlign w:val="bottom"/>
            <w:hideMark/>
          </w:tcPr>
          <w:p w14:paraId="52F2AAE6" w14:textId="5ECAE01A"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r w:rsidR="00B6440E">
              <w:rPr>
                <w:sz w:val="18"/>
              </w:rPr>
              <w:t xml:space="preserve"> </w:t>
            </w:r>
            <w:r w:rsidRPr="00DA21FF">
              <w:rPr>
                <w:sz w:val="18"/>
              </w:rPr>
              <w:t>100</w:t>
            </w:r>
          </w:p>
        </w:tc>
      </w:tr>
      <w:tr w:rsidR="00680417" w:rsidRPr="00DA21FF" w14:paraId="1BC092C1" w14:textId="77777777" w:rsidTr="00680417">
        <w:trPr>
          <w:trHeight w:val="240"/>
        </w:trPr>
        <w:tc>
          <w:tcPr>
            <w:tcW w:w="3702" w:type="dxa"/>
            <w:shd w:val="clear" w:color="auto" w:fill="auto"/>
            <w:noWrap/>
          </w:tcPr>
          <w:p w14:paraId="235B2D53"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Mujeres</w:t>
            </w:r>
          </w:p>
        </w:tc>
        <w:tc>
          <w:tcPr>
            <w:tcW w:w="571" w:type="dxa"/>
            <w:shd w:val="clear" w:color="auto" w:fill="auto"/>
            <w:noWrap/>
            <w:vAlign w:val="bottom"/>
            <w:hideMark/>
          </w:tcPr>
          <w:p w14:paraId="7BE699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719</w:t>
            </w:r>
          </w:p>
        </w:tc>
        <w:tc>
          <w:tcPr>
            <w:tcW w:w="642" w:type="dxa"/>
            <w:shd w:val="clear" w:color="auto" w:fill="auto"/>
            <w:noWrap/>
            <w:vAlign w:val="bottom"/>
            <w:hideMark/>
          </w:tcPr>
          <w:p w14:paraId="58920CC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725</w:t>
            </w:r>
          </w:p>
        </w:tc>
        <w:tc>
          <w:tcPr>
            <w:tcW w:w="641" w:type="dxa"/>
            <w:shd w:val="clear" w:color="auto" w:fill="auto"/>
            <w:noWrap/>
            <w:vAlign w:val="bottom"/>
            <w:hideMark/>
          </w:tcPr>
          <w:p w14:paraId="760046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670</w:t>
            </w:r>
          </w:p>
        </w:tc>
        <w:tc>
          <w:tcPr>
            <w:tcW w:w="642" w:type="dxa"/>
            <w:shd w:val="clear" w:color="auto" w:fill="auto"/>
            <w:noWrap/>
            <w:vAlign w:val="bottom"/>
            <w:hideMark/>
          </w:tcPr>
          <w:p w14:paraId="039E203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568</w:t>
            </w:r>
          </w:p>
        </w:tc>
        <w:tc>
          <w:tcPr>
            <w:tcW w:w="642" w:type="dxa"/>
            <w:shd w:val="clear" w:color="auto" w:fill="auto"/>
            <w:noWrap/>
            <w:vAlign w:val="bottom"/>
            <w:hideMark/>
          </w:tcPr>
          <w:p w14:paraId="6446343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581</w:t>
            </w:r>
          </w:p>
        </w:tc>
        <w:tc>
          <w:tcPr>
            <w:tcW w:w="642" w:type="dxa"/>
            <w:shd w:val="clear" w:color="auto" w:fill="auto"/>
            <w:noWrap/>
            <w:vAlign w:val="bottom"/>
            <w:hideMark/>
          </w:tcPr>
          <w:p w14:paraId="744F280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604</w:t>
            </w:r>
          </w:p>
        </w:tc>
      </w:tr>
      <w:tr w:rsidR="00680417" w:rsidRPr="00DA21FF" w14:paraId="47AA2C1C" w14:textId="77777777" w:rsidTr="00680417">
        <w:trPr>
          <w:trHeight w:val="240"/>
        </w:trPr>
        <w:tc>
          <w:tcPr>
            <w:tcW w:w="3702" w:type="dxa"/>
            <w:shd w:val="clear" w:color="auto" w:fill="auto"/>
            <w:noWrap/>
          </w:tcPr>
          <w:p w14:paraId="45CABEB8"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rPr>
            </w:pPr>
            <w:r w:rsidRPr="00DA21FF">
              <w:rPr>
                <w:sz w:val="18"/>
              </w:rPr>
              <w:t>Hombres</w:t>
            </w:r>
          </w:p>
        </w:tc>
        <w:tc>
          <w:tcPr>
            <w:tcW w:w="571" w:type="dxa"/>
            <w:shd w:val="clear" w:color="auto" w:fill="auto"/>
            <w:noWrap/>
            <w:vAlign w:val="bottom"/>
            <w:hideMark/>
          </w:tcPr>
          <w:p w14:paraId="0E03731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481</w:t>
            </w:r>
          </w:p>
        </w:tc>
        <w:tc>
          <w:tcPr>
            <w:tcW w:w="642" w:type="dxa"/>
            <w:shd w:val="clear" w:color="auto" w:fill="auto"/>
            <w:noWrap/>
            <w:vAlign w:val="bottom"/>
            <w:hideMark/>
          </w:tcPr>
          <w:p w14:paraId="3561D4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436</w:t>
            </w:r>
          </w:p>
        </w:tc>
        <w:tc>
          <w:tcPr>
            <w:tcW w:w="641" w:type="dxa"/>
            <w:shd w:val="clear" w:color="auto" w:fill="auto"/>
            <w:noWrap/>
            <w:vAlign w:val="bottom"/>
            <w:hideMark/>
          </w:tcPr>
          <w:p w14:paraId="0525DC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456</w:t>
            </w:r>
          </w:p>
        </w:tc>
        <w:tc>
          <w:tcPr>
            <w:tcW w:w="642" w:type="dxa"/>
            <w:shd w:val="clear" w:color="auto" w:fill="auto"/>
            <w:noWrap/>
            <w:vAlign w:val="bottom"/>
            <w:hideMark/>
          </w:tcPr>
          <w:p w14:paraId="1891C20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435</w:t>
            </w:r>
          </w:p>
        </w:tc>
        <w:tc>
          <w:tcPr>
            <w:tcW w:w="642" w:type="dxa"/>
            <w:shd w:val="clear" w:color="auto" w:fill="auto"/>
            <w:noWrap/>
            <w:vAlign w:val="bottom"/>
            <w:hideMark/>
          </w:tcPr>
          <w:p w14:paraId="2ACD8D6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475</w:t>
            </w:r>
          </w:p>
        </w:tc>
        <w:tc>
          <w:tcPr>
            <w:tcW w:w="642" w:type="dxa"/>
            <w:shd w:val="clear" w:color="auto" w:fill="auto"/>
            <w:noWrap/>
            <w:vAlign w:val="bottom"/>
            <w:hideMark/>
          </w:tcPr>
          <w:p w14:paraId="2AB6F38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496</w:t>
            </w:r>
          </w:p>
        </w:tc>
      </w:tr>
      <w:tr w:rsidR="00680417" w:rsidRPr="00DA21FF" w14:paraId="2D18CDB9" w14:textId="77777777" w:rsidTr="00680417">
        <w:trPr>
          <w:trHeight w:val="240"/>
        </w:trPr>
        <w:tc>
          <w:tcPr>
            <w:tcW w:w="3702" w:type="dxa"/>
            <w:shd w:val="clear" w:color="auto" w:fill="auto"/>
            <w:noWrap/>
          </w:tcPr>
          <w:p w14:paraId="666AF76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Neoplasia maligna de próstata (</w:t>
            </w:r>
            <w:proofErr w:type="spellStart"/>
            <w:r w:rsidRPr="00DA21FF">
              <w:rPr>
                <w:sz w:val="18"/>
              </w:rPr>
              <w:t>C61</w:t>
            </w:r>
            <w:proofErr w:type="spellEnd"/>
            <w:r w:rsidRPr="00DA21FF">
              <w:rPr>
                <w:sz w:val="18"/>
              </w:rPr>
              <w:t>)</w:t>
            </w:r>
          </w:p>
        </w:tc>
        <w:tc>
          <w:tcPr>
            <w:tcW w:w="571" w:type="dxa"/>
            <w:shd w:val="clear" w:color="auto" w:fill="auto"/>
            <w:noWrap/>
            <w:vAlign w:val="bottom"/>
          </w:tcPr>
          <w:p w14:paraId="30A1097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936</w:t>
            </w:r>
          </w:p>
        </w:tc>
        <w:tc>
          <w:tcPr>
            <w:tcW w:w="642" w:type="dxa"/>
            <w:shd w:val="clear" w:color="auto" w:fill="auto"/>
            <w:noWrap/>
            <w:vAlign w:val="bottom"/>
          </w:tcPr>
          <w:p w14:paraId="2CF53A8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928</w:t>
            </w:r>
          </w:p>
        </w:tc>
        <w:tc>
          <w:tcPr>
            <w:tcW w:w="641" w:type="dxa"/>
            <w:shd w:val="clear" w:color="auto" w:fill="auto"/>
            <w:noWrap/>
            <w:vAlign w:val="bottom"/>
          </w:tcPr>
          <w:p w14:paraId="56D22EA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961</w:t>
            </w:r>
          </w:p>
        </w:tc>
        <w:tc>
          <w:tcPr>
            <w:tcW w:w="642" w:type="dxa"/>
            <w:shd w:val="clear" w:color="auto" w:fill="auto"/>
            <w:noWrap/>
            <w:vAlign w:val="bottom"/>
          </w:tcPr>
          <w:p w14:paraId="58544A3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958</w:t>
            </w:r>
          </w:p>
        </w:tc>
        <w:tc>
          <w:tcPr>
            <w:tcW w:w="642" w:type="dxa"/>
            <w:shd w:val="clear" w:color="auto" w:fill="auto"/>
            <w:noWrap/>
            <w:vAlign w:val="bottom"/>
          </w:tcPr>
          <w:p w14:paraId="34B08E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895</w:t>
            </w:r>
          </w:p>
        </w:tc>
        <w:tc>
          <w:tcPr>
            <w:tcW w:w="642" w:type="dxa"/>
            <w:shd w:val="clear" w:color="auto" w:fill="auto"/>
            <w:noWrap/>
            <w:vAlign w:val="bottom"/>
          </w:tcPr>
          <w:p w14:paraId="74599E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973</w:t>
            </w:r>
          </w:p>
        </w:tc>
      </w:tr>
      <w:tr w:rsidR="00680417" w:rsidRPr="00DA21FF" w14:paraId="00E79703" w14:textId="77777777" w:rsidTr="00680417">
        <w:trPr>
          <w:trHeight w:val="240"/>
        </w:trPr>
        <w:tc>
          <w:tcPr>
            <w:tcW w:w="3702" w:type="dxa"/>
            <w:tcBorders>
              <w:bottom w:val="single" w:sz="12" w:space="0" w:color="auto"/>
            </w:tcBorders>
            <w:shd w:val="clear" w:color="auto" w:fill="auto"/>
            <w:noWrap/>
            <w:hideMark/>
          </w:tcPr>
          <w:p w14:paraId="2B990F58" w14:textId="77777777" w:rsidR="00DA21FF" w:rsidRPr="00DA21FF" w:rsidRDefault="00DA21FF" w:rsidP="00B6440E">
            <w:pPr>
              <w:pStyle w:val="SingleTxtG"/>
              <w:tabs>
                <w:tab w:val="clear" w:pos="1701"/>
                <w:tab w:val="clear" w:pos="2268"/>
                <w:tab w:val="clear" w:pos="2835"/>
              </w:tabs>
              <w:spacing w:before="40" w:after="40" w:line="220" w:lineRule="exact"/>
              <w:ind w:left="284" w:right="0"/>
              <w:jc w:val="left"/>
              <w:rPr>
                <w:sz w:val="18"/>
                <w:lang w:val="en-GB"/>
              </w:rPr>
            </w:pPr>
            <w:r w:rsidRPr="00DA21FF">
              <w:rPr>
                <w:sz w:val="18"/>
              </w:rPr>
              <w:t>Hombres</w:t>
            </w:r>
          </w:p>
        </w:tc>
        <w:tc>
          <w:tcPr>
            <w:tcW w:w="571" w:type="dxa"/>
            <w:tcBorders>
              <w:bottom w:val="single" w:sz="12" w:space="0" w:color="auto"/>
            </w:tcBorders>
            <w:shd w:val="clear" w:color="auto" w:fill="auto"/>
            <w:noWrap/>
            <w:vAlign w:val="bottom"/>
            <w:hideMark/>
          </w:tcPr>
          <w:p w14:paraId="29EE74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936</w:t>
            </w:r>
          </w:p>
        </w:tc>
        <w:tc>
          <w:tcPr>
            <w:tcW w:w="642" w:type="dxa"/>
            <w:tcBorders>
              <w:bottom w:val="single" w:sz="12" w:space="0" w:color="auto"/>
            </w:tcBorders>
            <w:shd w:val="clear" w:color="auto" w:fill="auto"/>
            <w:noWrap/>
            <w:vAlign w:val="bottom"/>
            <w:hideMark/>
          </w:tcPr>
          <w:p w14:paraId="3BF2117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928</w:t>
            </w:r>
          </w:p>
        </w:tc>
        <w:tc>
          <w:tcPr>
            <w:tcW w:w="641" w:type="dxa"/>
            <w:tcBorders>
              <w:bottom w:val="single" w:sz="12" w:space="0" w:color="auto"/>
            </w:tcBorders>
            <w:shd w:val="clear" w:color="auto" w:fill="auto"/>
            <w:noWrap/>
            <w:vAlign w:val="bottom"/>
            <w:hideMark/>
          </w:tcPr>
          <w:p w14:paraId="5095A0C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961</w:t>
            </w:r>
          </w:p>
        </w:tc>
        <w:tc>
          <w:tcPr>
            <w:tcW w:w="642" w:type="dxa"/>
            <w:tcBorders>
              <w:bottom w:val="single" w:sz="12" w:space="0" w:color="auto"/>
            </w:tcBorders>
            <w:shd w:val="clear" w:color="auto" w:fill="auto"/>
            <w:noWrap/>
            <w:vAlign w:val="bottom"/>
            <w:hideMark/>
          </w:tcPr>
          <w:p w14:paraId="1744FC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958</w:t>
            </w:r>
          </w:p>
        </w:tc>
        <w:tc>
          <w:tcPr>
            <w:tcW w:w="642" w:type="dxa"/>
            <w:tcBorders>
              <w:bottom w:val="single" w:sz="12" w:space="0" w:color="auto"/>
            </w:tcBorders>
            <w:shd w:val="clear" w:color="auto" w:fill="auto"/>
            <w:noWrap/>
            <w:vAlign w:val="bottom"/>
            <w:hideMark/>
          </w:tcPr>
          <w:p w14:paraId="4CA06B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895</w:t>
            </w:r>
          </w:p>
        </w:tc>
        <w:tc>
          <w:tcPr>
            <w:tcW w:w="642" w:type="dxa"/>
            <w:tcBorders>
              <w:bottom w:val="single" w:sz="12" w:space="0" w:color="auto"/>
            </w:tcBorders>
            <w:shd w:val="clear" w:color="auto" w:fill="auto"/>
            <w:noWrap/>
            <w:vAlign w:val="bottom"/>
            <w:hideMark/>
          </w:tcPr>
          <w:p w14:paraId="415BFC3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973</w:t>
            </w:r>
          </w:p>
        </w:tc>
      </w:tr>
    </w:tbl>
    <w:p w14:paraId="4F98F713" w14:textId="69CF7759" w:rsidR="00DA21FF" w:rsidRPr="00DA21FF" w:rsidRDefault="00DA21FF" w:rsidP="00EF4A70">
      <w:pPr>
        <w:pStyle w:val="SingleTxtG"/>
        <w:spacing w:before="120" w:after="240"/>
        <w:ind w:firstLine="170"/>
        <w:jc w:val="left"/>
        <w:rPr>
          <w:sz w:val="18"/>
          <w:szCs w:val="18"/>
          <w:lang w:val="en-GB"/>
        </w:rPr>
      </w:pPr>
      <w:r w:rsidRPr="00DA21FF">
        <w:rPr>
          <w:sz w:val="18"/>
          <w:szCs w:val="18"/>
        </w:rPr>
        <w:t xml:space="preserve">* </w:t>
      </w:r>
      <w:r w:rsidR="00EF4A70">
        <w:rPr>
          <w:sz w:val="18"/>
          <w:szCs w:val="18"/>
        </w:rPr>
        <w:t xml:space="preserve"> </w:t>
      </w:r>
      <w:r w:rsidRPr="00DA21FF">
        <w:rPr>
          <w:sz w:val="18"/>
          <w:szCs w:val="18"/>
        </w:rPr>
        <w:t>Basada en el código de tres caracteres de la CIE-10.</w:t>
      </w:r>
    </w:p>
    <w:p w14:paraId="3A4B7B75" w14:textId="77777777" w:rsidR="00DA21FF" w:rsidRPr="00DA21FF" w:rsidRDefault="00DA21FF" w:rsidP="00DA21FF">
      <w:pPr>
        <w:pStyle w:val="SingleTxtG"/>
        <w:rPr>
          <w:lang w:val="en-GB"/>
        </w:rPr>
      </w:pPr>
      <w:bookmarkStart w:id="22" w:name="_Hlk163394685"/>
      <w:r w:rsidRPr="00DA21FF">
        <w:t xml:space="preserve">36. </w:t>
      </w:r>
      <w:r w:rsidRPr="00DA21FF">
        <w:tab/>
        <w:t xml:space="preserve">El cuadro siguiente muestra los </w:t>
      </w:r>
      <w:r w:rsidRPr="00373B5F">
        <w:rPr>
          <w:u w:val="single"/>
        </w:rPr>
        <w:t>nuevos casos de tuberculosis por cada 100.000 personas</w:t>
      </w:r>
      <w:r w:rsidRPr="00DA21FF">
        <w:t xml:space="preserve"> para el período 2017-2023.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188"/>
        <w:gridCol w:w="884"/>
        <w:gridCol w:w="883"/>
        <w:gridCol w:w="883"/>
        <w:gridCol w:w="883"/>
        <w:gridCol w:w="883"/>
        <w:gridCol w:w="883"/>
        <w:gridCol w:w="883"/>
      </w:tblGrid>
      <w:tr w:rsidR="00680417" w:rsidRPr="00680417" w14:paraId="6E7EFCAB" w14:textId="77777777" w:rsidTr="00680417">
        <w:trPr>
          <w:trHeight w:val="240"/>
          <w:tblHeader/>
        </w:trPr>
        <w:tc>
          <w:tcPr>
            <w:tcW w:w="1024" w:type="dxa"/>
            <w:shd w:val="clear" w:color="auto" w:fill="auto"/>
            <w:vAlign w:val="bottom"/>
            <w:hideMark/>
          </w:tcPr>
          <w:p w14:paraId="7CCBF77D"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iCs/>
                <w:sz w:val="16"/>
                <w:lang w:val="en-GB"/>
              </w:rPr>
            </w:pPr>
            <w:r w:rsidRPr="00DA21FF">
              <w:rPr>
                <w:i/>
                <w:iCs/>
                <w:sz w:val="16"/>
              </w:rPr>
              <w:t>Año</w:t>
            </w:r>
          </w:p>
        </w:tc>
        <w:tc>
          <w:tcPr>
            <w:tcW w:w="762" w:type="dxa"/>
            <w:shd w:val="clear" w:color="auto" w:fill="auto"/>
            <w:vAlign w:val="bottom"/>
            <w:hideMark/>
          </w:tcPr>
          <w:p w14:paraId="37E27B4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2017</w:t>
            </w:r>
          </w:p>
        </w:tc>
        <w:tc>
          <w:tcPr>
            <w:tcW w:w="762" w:type="dxa"/>
            <w:shd w:val="clear" w:color="auto" w:fill="auto"/>
            <w:vAlign w:val="bottom"/>
            <w:hideMark/>
          </w:tcPr>
          <w:p w14:paraId="069F6EC4"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2018</w:t>
            </w:r>
          </w:p>
        </w:tc>
        <w:tc>
          <w:tcPr>
            <w:tcW w:w="762" w:type="dxa"/>
            <w:shd w:val="clear" w:color="auto" w:fill="auto"/>
            <w:vAlign w:val="bottom"/>
            <w:hideMark/>
          </w:tcPr>
          <w:p w14:paraId="2D691C3D"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2019</w:t>
            </w:r>
          </w:p>
        </w:tc>
        <w:tc>
          <w:tcPr>
            <w:tcW w:w="762" w:type="dxa"/>
            <w:shd w:val="clear" w:color="auto" w:fill="auto"/>
            <w:vAlign w:val="bottom"/>
            <w:hideMark/>
          </w:tcPr>
          <w:p w14:paraId="346D0B21"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2020</w:t>
            </w:r>
          </w:p>
        </w:tc>
        <w:tc>
          <w:tcPr>
            <w:tcW w:w="762" w:type="dxa"/>
            <w:shd w:val="clear" w:color="auto" w:fill="auto"/>
            <w:vAlign w:val="bottom"/>
            <w:hideMark/>
          </w:tcPr>
          <w:p w14:paraId="5650C8F4"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2021</w:t>
            </w:r>
          </w:p>
        </w:tc>
        <w:tc>
          <w:tcPr>
            <w:tcW w:w="762" w:type="dxa"/>
            <w:shd w:val="clear" w:color="auto" w:fill="auto"/>
            <w:vAlign w:val="bottom"/>
            <w:hideMark/>
          </w:tcPr>
          <w:p w14:paraId="743A1BEB"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2022</w:t>
            </w:r>
          </w:p>
        </w:tc>
        <w:tc>
          <w:tcPr>
            <w:tcW w:w="762" w:type="dxa"/>
            <w:shd w:val="clear" w:color="auto" w:fill="auto"/>
            <w:vAlign w:val="bottom"/>
            <w:hideMark/>
          </w:tcPr>
          <w:p w14:paraId="744DFA0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iCs/>
                <w:sz w:val="16"/>
                <w:lang w:val="en-GB"/>
              </w:rPr>
            </w:pPr>
            <w:r w:rsidRPr="00DA21FF">
              <w:rPr>
                <w:i/>
                <w:iCs/>
                <w:sz w:val="16"/>
              </w:rPr>
              <w:t>2023</w:t>
            </w:r>
          </w:p>
        </w:tc>
      </w:tr>
      <w:tr w:rsidR="00680417" w:rsidRPr="00DA21FF" w14:paraId="74B7E031" w14:textId="77777777" w:rsidTr="00680417">
        <w:trPr>
          <w:trHeight w:val="240"/>
        </w:trPr>
        <w:tc>
          <w:tcPr>
            <w:tcW w:w="1024" w:type="dxa"/>
            <w:shd w:val="clear" w:color="auto" w:fill="auto"/>
          </w:tcPr>
          <w:p w14:paraId="18B029A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62" w:type="dxa"/>
            <w:shd w:val="clear" w:color="auto" w:fill="auto"/>
            <w:vAlign w:val="bottom"/>
          </w:tcPr>
          <w:p w14:paraId="3939C2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c>
          <w:tcPr>
            <w:tcW w:w="762" w:type="dxa"/>
            <w:shd w:val="clear" w:color="auto" w:fill="auto"/>
            <w:vAlign w:val="bottom"/>
          </w:tcPr>
          <w:p w14:paraId="77E99C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c>
          <w:tcPr>
            <w:tcW w:w="762" w:type="dxa"/>
            <w:shd w:val="clear" w:color="auto" w:fill="auto"/>
            <w:vAlign w:val="bottom"/>
          </w:tcPr>
          <w:p w14:paraId="583313D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762" w:type="dxa"/>
            <w:shd w:val="clear" w:color="auto" w:fill="auto"/>
            <w:vAlign w:val="bottom"/>
          </w:tcPr>
          <w:p w14:paraId="3A8BEA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c>
          <w:tcPr>
            <w:tcW w:w="762" w:type="dxa"/>
            <w:shd w:val="clear" w:color="auto" w:fill="auto"/>
            <w:vAlign w:val="bottom"/>
          </w:tcPr>
          <w:p w14:paraId="24AE40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c>
          <w:tcPr>
            <w:tcW w:w="762" w:type="dxa"/>
            <w:shd w:val="clear" w:color="auto" w:fill="auto"/>
            <w:vAlign w:val="bottom"/>
          </w:tcPr>
          <w:p w14:paraId="4BEB739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w:t>
            </w:r>
          </w:p>
        </w:tc>
        <w:tc>
          <w:tcPr>
            <w:tcW w:w="762" w:type="dxa"/>
            <w:shd w:val="clear" w:color="auto" w:fill="auto"/>
            <w:vAlign w:val="bottom"/>
          </w:tcPr>
          <w:p w14:paraId="22BE2C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r>
    </w:tbl>
    <w:p w14:paraId="4D20A8CB" w14:textId="09003B58" w:rsidR="00DA21FF" w:rsidRPr="00DA21FF" w:rsidRDefault="003F4F34" w:rsidP="007D17C6">
      <w:pPr>
        <w:pStyle w:val="H23G"/>
        <w:rPr>
          <w:lang w:val="en-GB"/>
        </w:rPr>
      </w:pPr>
      <w:r>
        <w:lastRenderedPageBreak/>
        <w:tab/>
      </w:r>
      <w:r w:rsidR="00DA21FF" w:rsidRPr="00DA21FF">
        <w:t>e)</w:t>
      </w:r>
      <w:r w:rsidR="00DA21FF" w:rsidRPr="00DA21FF">
        <w:tab/>
        <w:t>Educación y formación</w:t>
      </w:r>
    </w:p>
    <w:p w14:paraId="78F84A49" w14:textId="77777777" w:rsidR="00DA21FF" w:rsidRDefault="00DA21FF" w:rsidP="007D17C6">
      <w:pPr>
        <w:pStyle w:val="SingleTxtG"/>
        <w:keepNext/>
      </w:pPr>
      <w:r w:rsidRPr="00DA21FF">
        <w:t>37.</w:t>
      </w:r>
      <w:r w:rsidRPr="00DA21FF">
        <w:tab/>
        <w:t xml:space="preserve">La siguiente figura ilustra el </w:t>
      </w:r>
      <w:r w:rsidRPr="00373B5F">
        <w:rPr>
          <w:u w:val="single"/>
        </w:rPr>
        <w:t>sistema educativo noruego</w:t>
      </w:r>
      <w:r w:rsidRPr="00DA21FF">
        <w:t>.</w:t>
      </w:r>
    </w:p>
    <w:p w14:paraId="59F84F23" w14:textId="674FE870" w:rsidR="00E95817" w:rsidRDefault="00E95817" w:rsidP="00142722">
      <w:pPr>
        <w:pStyle w:val="SingleTxtG"/>
        <w:keepNext/>
        <w:spacing w:after="0"/>
        <w:rPr>
          <w:b/>
          <w:bCs/>
        </w:rPr>
      </w:pPr>
      <w:r w:rsidRPr="00C76A82">
        <w:rPr>
          <w:noProof/>
        </w:rPr>
        <w:drawing>
          <wp:inline distT="0" distB="0" distL="0" distR="0" wp14:anchorId="7F9500A0" wp14:editId="518B919C">
            <wp:extent cx="4126230" cy="4030276"/>
            <wp:effectExtent l="0" t="0" r="762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4168797" cy="4071853"/>
                    </a:xfrm>
                    <a:prstGeom prst="rect">
                      <a:avLst/>
                    </a:prstGeom>
                  </pic:spPr>
                </pic:pic>
              </a:graphicData>
            </a:graphic>
          </wp:inline>
        </w:drawing>
      </w:r>
    </w:p>
    <w:p w14:paraId="1A6EA008" w14:textId="16AA8216" w:rsidR="00DA21FF" w:rsidRPr="00DA21FF" w:rsidRDefault="00DA21FF" w:rsidP="003F4F34">
      <w:pPr>
        <w:pStyle w:val="SingleTxtG"/>
        <w:spacing w:before="240"/>
        <w:rPr>
          <w:lang w:val="en-GB"/>
        </w:rPr>
      </w:pPr>
      <w:r w:rsidRPr="00DA21FF">
        <w:t>38.</w:t>
      </w:r>
      <w:r w:rsidRPr="00DA21FF">
        <w:tab/>
        <w:t xml:space="preserve">La </w:t>
      </w:r>
      <w:r w:rsidRPr="00373B5F">
        <w:rPr>
          <w:u w:val="single"/>
        </w:rPr>
        <w:t>educación primaria y secundaria inferior</w:t>
      </w:r>
      <w:r w:rsidRPr="00DA21FF">
        <w:t xml:space="preserve"> (nivel escolar básico) es obligatoria. En</w:t>
      </w:r>
      <w:r w:rsidR="00A27CAD">
        <w:t> </w:t>
      </w:r>
      <w:r w:rsidRPr="00DA21FF">
        <w:t>2022, el 75,4 % de los niños y el 77,3 % de las niñas de 16 años y mayores habían alcanzado la educación secundaria alta o un nivel superior. El 24,6 % de los niños y el 22,8</w:t>
      </w:r>
      <w:r w:rsidR="00A27CAD">
        <w:t> </w:t>
      </w:r>
      <w:r w:rsidRPr="00DA21FF">
        <w:t>% de las niñas solo habían alcanzado el nivel escolar básico, frente al 45,2 % y el 52,2 %, respectivamente, en 1980. La proporción de población con educación terciaria ha aumentado considerablemente en los 40 últimos años.</w:t>
      </w:r>
    </w:p>
    <w:p w14:paraId="20FE1957" w14:textId="232AA5AA" w:rsidR="00DA21FF" w:rsidRPr="00DA21FF" w:rsidRDefault="00DA21FF" w:rsidP="003F1C60">
      <w:pPr>
        <w:pStyle w:val="H23G"/>
        <w:rPr>
          <w:lang w:val="en-GB"/>
        </w:rPr>
      </w:pPr>
      <w:r w:rsidRPr="00DA21FF">
        <w:tab/>
      </w:r>
      <w:r w:rsidR="003F1C60">
        <w:tab/>
      </w:r>
      <w:r w:rsidRPr="00DA21FF">
        <w:t>Nivel de estudios más alto de la población de 16 años y mayor</w:t>
      </w:r>
      <w:r w:rsidRPr="000E2249">
        <w:rPr>
          <w:b w:val="0"/>
          <w:bCs/>
          <w:sz w:val="18"/>
          <w:szCs w:val="18"/>
          <w:vertAlign w:val="superscript"/>
        </w:rPr>
        <w:footnoteReference w:id="8"/>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92"/>
        <w:gridCol w:w="2323"/>
        <w:gridCol w:w="482"/>
        <w:gridCol w:w="539"/>
        <w:gridCol w:w="539"/>
        <w:gridCol w:w="539"/>
        <w:gridCol w:w="539"/>
        <w:gridCol w:w="539"/>
        <w:gridCol w:w="539"/>
        <w:gridCol w:w="539"/>
      </w:tblGrid>
      <w:tr w:rsidR="00680417" w:rsidRPr="00680417" w14:paraId="4C712FB5" w14:textId="77777777" w:rsidTr="00680417">
        <w:trPr>
          <w:trHeight w:val="240"/>
          <w:tblHeader/>
        </w:trPr>
        <w:tc>
          <w:tcPr>
            <w:tcW w:w="794" w:type="dxa"/>
            <w:tcBorders>
              <w:top w:val="single" w:sz="4" w:space="0" w:color="auto"/>
              <w:bottom w:val="single" w:sz="12" w:space="0" w:color="auto"/>
            </w:tcBorders>
            <w:shd w:val="clear" w:color="auto" w:fill="auto"/>
            <w:vAlign w:val="bottom"/>
          </w:tcPr>
          <w:p w14:paraId="4F1EEE8E"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2325" w:type="dxa"/>
            <w:tcBorders>
              <w:top w:val="single" w:sz="4" w:space="0" w:color="auto"/>
              <w:bottom w:val="single" w:sz="12" w:space="0" w:color="auto"/>
            </w:tcBorders>
            <w:shd w:val="clear" w:color="auto" w:fill="auto"/>
            <w:vAlign w:val="bottom"/>
          </w:tcPr>
          <w:p w14:paraId="70B29027" w14:textId="77777777" w:rsidR="00DA21FF" w:rsidRPr="00DA21FF" w:rsidRDefault="00DA21FF" w:rsidP="00E95817">
            <w:pPr>
              <w:pStyle w:val="SingleTxtG"/>
              <w:tabs>
                <w:tab w:val="clear" w:pos="1701"/>
                <w:tab w:val="clear" w:pos="2268"/>
                <w:tab w:val="clear" w:pos="2835"/>
              </w:tabs>
              <w:spacing w:before="80" w:after="80" w:line="200" w:lineRule="exact"/>
              <w:ind w:left="0" w:right="0"/>
              <w:jc w:val="left"/>
              <w:rPr>
                <w:i/>
                <w:sz w:val="16"/>
                <w:lang w:val="en-GB"/>
              </w:rPr>
            </w:pPr>
          </w:p>
        </w:tc>
        <w:tc>
          <w:tcPr>
            <w:tcW w:w="482" w:type="dxa"/>
            <w:tcBorders>
              <w:top w:val="single" w:sz="4" w:space="0" w:color="auto"/>
              <w:bottom w:val="single" w:sz="12" w:space="0" w:color="auto"/>
            </w:tcBorders>
            <w:shd w:val="clear" w:color="auto" w:fill="auto"/>
            <w:vAlign w:val="bottom"/>
          </w:tcPr>
          <w:p w14:paraId="0D512ED1"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1980</w:t>
            </w:r>
          </w:p>
        </w:tc>
        <w:tc>
          <w:tcPr>
            <w:tcW w:w="539" w:type="dxa"/>
            <w:tcBorders>
              <w:top w:val="single" w:sz="4" w:space="0" w:color="auto"/>
              <w:bottom w:val="single" w:sz="12" w:space="0" w:color="auto"/>
            </w:tcBorders>
            <w:shd w:val="clear" w:color="auto" w:fill="auto"/>
            <w:vAlign w:val="bottom"/>
          </w:tcPr>
          <w:p w14:paraId="7E7DCB2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1990</w:t>
            </w:r>
          </w:p>
        </w:tc>
        <w:tc>
          <w:tcPr>
            <w:tcW w:w="539" w:type="dxa"/>
            <w:tcBorders>
              <w:top w:val="single" w:sz="4" w:space="0" w:color="auto"/>
              <w:bottom w:val="single" w:sz="12" w:space="0" w:color="auto"/>
            </w:tcBorders>
            <w:shd w:val="clear" w:color="auto" w:fill="auto"/>
            <w:vAlign w:val="bottom"/>
          </w:tcPr>
          <w:p w14:paraId="3AE6D4E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2000</w:t>
            </w:r>
          </w:p>
        </w:tc>
        <w:tc>
          <w:tcPr>
            <w:tcW w:w="539" w:type="dxa"/>
            <w:tcBorders>
              <w:top w:val="single" w:sz="4" w:space="0" w:color="auto"/>
              <w:bottom w:val="single" w:sz="12" w:space="0" w:color="auto"/>
            </w:tcBorders>
            <w:shd w:val="clear" w:color="auto" w:fill="auto"/>
            <w:vAlign w:val="bottom"/>
          </w:tcPr>
          <w:p w14:paraId="448398C9"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2005</w:t>
            </w:r>
          </w:p>
        </w:tc>
        <w:tc>
          <w:tcPr>
            <w:tcW w:w="539" w:type="dxa"/>
            <w:tcBorders>
              <w:top w:val="single" w:sz="4" w:space="0" w:color="auto"/>
              <w:bottom w:val="single" w:sz="12" w:space="0" w:color="auto"/>
            </w:tcBorders>
            <w:shd w:val="clear" w:color="auto" w:fill="auto"/>
            <w:vAlign w:val="bottom"/>
          </w:tcPr>
          <w:p w14:paraId="0789273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2010</w:t>
            </w:r>
          </w:p>
        </w:tc>
        <w:tc>
          <w:tcPr>
            <w:tcW w:w="539" w:type="dxa"/>
            <w:tcBorders>
              <w:top w:val="single" w:sz="4" w:space="0" w:color="auto"/>
              <w:bottom w:val="single" w:sz="12" w:space="0" w:color="auto"/>
            </w:tcBorders>
            <w:shd w:val="clear" w:color="auto" w:fill="auto"/>
            <w:vAlign w:val="bottom"/>
          </w:tcPr>
          <w:p w14:paraId="33B16A4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2015</w:t>
            </w:r>
          </w:p>
        </w:tc>
        <w:tc>
          <w:tcPr>
            <w:tcW w:w="539" w:type="dxa"/>
            <w:tcBorders>
              <w:top w:val="single" w:sz="4" w:space="0" w:color="auto"/>
              <w:bottom w:val="single" w:sz="12" w:space="0" w:color="auto"/>
            </w:tcBorders>
            <w:shd w:val="clear" w:color="auto" w:fill="auto"/>
            <w:vAlign w:val="bottom"/>
          </w:tcPr>
          <w:p w14:paraId="3846F9B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539" w:type="dxa"/>
            <w:tcBorders>
              <w:top w:val="single" w:sz="4" w:space="0" w:color="auto"/>
              <w:bottom w:val="single" w:sz="12" w:space="0" w:color="auto"/>
            </w:tcBorders>
            <w:shd w:val="clear" w:color="auto" w:fill="auto"/>
            <w:vAlign w:val="bottom"/>
          </w:tcPr>
          <w:p w14:paraId="15E6A5BE"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r>
      <w:tr w:rsidR="00680417" w:rsidRPr="00DA21FF" w14:paraId="087D86F3" w14:textId="77777777" w:rsidTr="00680417">
        <w:trPr>
          <w:trHeight w:val="240"/>
        </w:trPr>
        <w:tc>
          <w:tcPr>
            <w:tcW w:w="794" w:type="dxa"/>
            <w:tcBorders>
              <w:top w:val="single" w:sz="12" w:space="0" w:color="auto"/>
            </w:tcBorders>
            <w:shd w:val="clear" w:color="auto" w:fill="auto"/>
          </w:tcPr>
          <w:p w14:paraId="2D4009B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Niños</w:t>
            </w:r>
          </w:p>
        </w:tc>
        <w:tc>
          <w:tcPr>
            <w:tcW w:w="2325" w:type="dxa"/>
            <w:tcBorders>
              <w:top w:val="single" w:sz="12" w:space="0" w:color="auto"/>
            </w:tcBorders>
            <w:shd w:val="clear" w:color="auto" w:fill="auto"/>
            <w:vAlign w:val="bottom"/>
          </w:tcPr>
          <w:p w14:paraId="0CC2B9CF"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Nivel escolar básico</w:t>
            </w:r>
          </w:p>
        </w:tc>
        <w:tc>
          <w:tcPr>
            <w:tcW w:w="482" w:type="dxa"/>
            <w:tcBorders>
              <w:top w:val="single" w:sz="12" w:space="0" w:color="auto"/>
            </w:tcBorders>
            <w:shd w:val="clear" w:color="auto" w:fill="auto"/>
            <w:vAlign w:val="bottom"/>
          </w:tcPr>
          <w:p w14:paraId="255EF06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45,2</w:t>
            </w:r>
          </w:p>
        </w:tc>
        <w:tc>
          <w:tcPr>
            <w:tcW w:w="539" w:type="dxa"/>
            <w:tcBorders>
              <w:top w:val="single" w:sz="12" w:space="0" w:color="auto"/>
            </w:tcBorders>
            <w:shd w:val="clear" w:color="auto" w:fill="auto"/>
            <w:vAlign w:val="bottom"/>
          </w:tcPr>
          <w:p w14:paraId="463852D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38,3</w:t>
            </w:r>
          </w:p>
        </w:tc>
        <w:tc>
          <w:tcPr>
            <w:tcW w:w="539" w:type="dxa"/>
            <w:tcBorders>
              <w:top w:val="single" w:sz="12" w:space="0" w:color="auto"/>
            </w:tcBorders>
            <w:shd w:val="clear" w:color="auto" w:fill="auto"/>
            <w:vAlign w:val="bottom"/>
          </w:tcPr>
          <w:p w14:paraId="79CFC6C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31,4</w:t>
            </w:r>
          </w:p>
        </w:tc>
        <w:tc>
          <w:tcPr>
            <w:tcW w:w="539" w:type="dxa"/>
            <w:tcBorders>
              <w:top w:val="single" w:sz="12" w:space="0" w:color="auto"/>
            </w:tcBorders>
            <w:shd w:val="clear" w:color="auto" w:fill="auto"/>
            <w:vAlign w:val="bottom"/>
          </w:tcPr>
          <w:p w14:paraId="33094F4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w:t>
            </w:r>
          </w:p>
        </w:tc>
        <w:tc>
          <w:tcPr>
            <w:tcW w:w="539" w:type="dxa"/>
            <w:tcBorders>
              <w:top w:val="single" w:sz="12" w:space="0" w:color="auto"/>
            </w:tcBorders>
            <w:shd w:val="clear" w:color="auto" w:fill="auto"/>
            <w:vAlign w:val="bottom"/>
          </w:tcPr>
          <w:p w14:paraId="07333D3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28,6</w:t>
            </w:r>
          </w:p>
        </w:tc>
        <w:tc>
          <w:tcPr>
            <w:tcW w:w="539" w:type="dxa"/>
            <w:tcBorders>
              <w:top w:val="single" w:sz="12" w:space="0" w:color="auto"/>
            </w:tcBorders>
            <w:shd w:val="clear" w:color="auto" w:fill="auto"/>
            <w:vAlign w:val="bottom"/>
          </w:tcPr>
          <w:p w14:paraId="53C072C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27,1</w:t>
            </w:r>
          </w:p>
        </w:tc>
        <w:tc>
          <w:tcPr>
            <w:tcW w:w="539" w:type="dxa"/>
            <w:tcBorders>
              <w:top w:val="single" w:sz="12" w:space="0" w:color="auto"/>
            </w:tcBorders>
            <w:shd w:val="clear" w:color="auto" w:fill="auto"/>
            <w:vAlign w:val="bottom"/>
          </w:tcPr>
          <w:p w14:paraId="1900D3B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25,5</w:t>
            </w:r>
          </w:p>
        </w:tc>
        <w:tc>
          <w:tcPr>
            <w:tcW w:w="539" w:type="dxa"/>
            <w:tcBorders>
              <w:top w:val="single" w:sz="12" w:space="0" w:color="auto"/>
            </w:tcBorders>
            <w:shd w:val="clear" w:color="auto" w:fill="auto"/>
            <w:vAlign w:val="bottom"/>
          </w:tcPr>
          <w:p w14:paraId="4FC660D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24,6</w:t>
            </w:r>
          </w:p>
        </w:tc>
      </w:tr>
      <w:tr w:rsidR="00680417" w:rsidRPr="00DA21FF" w14:paraId="44207229" w14:textId="77777777" w:rsidTr="00680417">
        <w:trPr>
          <w:trHeight w:val="240"/>
        </w:trPr>
        <w:tc>
          <w:tcPr>
            <w:tcW w:w="794" w:type="dxa"/>
            <w:shd w:val="clear" w:color="auto" w:fill="auto"/>
          </w:tcPr>
          <w:p w14:paraId="52AEDB4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lang w:val="en-GB"/>
              </w:rPr>
              <w:t xml:space="preserve"> </w:t>
            </w:r>
          </w:p>
        </w:tc>
        <w:tc>
          <w:tcPr>
            <w:tcW w:w="2325" w:type="dxa"/>
            <w:shd w:val="clear" w:color="auto" w:fill="auto"/>
            <w:vAlign w:val="bottom"/>
          </w:tcPr>
          <w:p w14:paraId="191E8204"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secundaria alta*</w:t>
            </w:r>
          </w:p>
        </w:tc>
        <w:tc>
          <w:tcPr>
            <w:tcW w:w="482" w:type="dxa"/>
            <w:shd w:val="clear" w:color="auto" w:fill="auto"/>
            <w:vAlign w:val="bottom"/>
          </w:tcPr>
          <w:p w14:paraId="426EA3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41,6</w:t>
            </w:r>
          </w:p>
        </w:tc>
        <w:tc>
          <w:tcPr>
            <w:tcW w:w="539" w:type="dxa"/>
            <w:shd w:val="clear" w:color="auto" w:fill="auto"/>
            <w:vAlign w:val="bottom"/>
          </w:tcPr>
          <w:p w14:paraId="298DD8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44,8</w:t>
            </w:r>
          </w:p>
        </w:tc>
        <w:tc>
          <w:tcPr>
            <w:tcW w:w="539" w:type="dxa"/>
            <w:shd w:val="clear" w:color="auto" w:fill="auto"/>
            <w:vAlign w:val="bottom"/>
          </w:tcPr>
          <w:p w14:paraId="41B173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46,5</w:t>
            </w:r>
          </w:p>
        </w:tc>
        <w:tc>
          <w:tcPr>
            <w:tcW w:w="539" w:type="dxa"/>
            <w:shd w:val="clear" w:color="auto" w:fill="auto"/>
            <w:vAlign w:val="bottom"/>
          </w:tcPr>
          <w:p w14:paraId="4FAE6C5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w:t>
            </w:r>
          </w:p>
        </w:tc>
        <w:tc>
          <w:tcPr>
            <w:tcW w:w="539" w:type="dxa"/>
            <w:shd w:val="clear" w:color="auto" w:fill="auto"/>
            <w:vAlign w:val="bottom"/>
          </w:tcPr>
          <w:p w14:paraId="717E1E1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45,3</w:t>
            </w:r>
          </w:p>
        </w:tc>
        <w:tc>
          <w:tcPr>
            <w:tcW w:w="539" w:type="dxa"/>
            <w:shd w:val="clear" w:color="auto" w:fill="auto"/>
            <w:vAlign w:val="bottom"/>
          </w:tcPr>
          <w:p w14:paraId="0E54465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44,1</w:t>
            </w:r>
          </w:p>
        </w:tc>
        <w:tc>
          <w:tcPr>
            <w:tcW w:w="539" w:type="dxa"/>
            <w:shd w:val="clear" w:color="auto" w:fill="auto"/>
            <w:vAlign w:val="bottom"/>
          </w:tcPr>
          <w:p w14:paraId="521A91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39,9</w:t>
            </w:r>
          </w:p>
        </w:tc>
        <w:tc>
          <w:tcPr>
            <w:tcW w:w="539" w:type="dxa"/>
            <w:shd w:val="clear" w:color="auto" w:fill="auto"/>
            <w:vAlign w:val="bottom"/>
          </w:tcPr>
          <w:p w14:paraId="603AA0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39,6</w:t>
            </w:r>
          </w:p>
        </w:tc>
      </w:tr>
      <w:tr w:rsidR="00680417" w:rsidRPr="00DA21FF" w14:paraId="3FD8A7E7" w14:textId="77777777" w:rsidTr="00680417">
        <w:trPr>
          <w:trHeight w:val="240"/>
        </w:trPr>
        <w:tc>
          <w:tcPr>
            <w:tcW w:w="794" w:type="dxa"/>
            <w:shd w:val="clear" w:color="auto" w:fill="auto"/>
          </w:tcPr>
          <w:p w14:paraId="2BC85A2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40363F30"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Intermedio (formación profesional superior)</w:t>
            </w:r>
          </w:p>
        </w:tc>
        <w:tc>
          <w:tcPr>
            <w:tcW w:w="482" w:type="dxa"/>
            <w:shd w:val="clear" w:color="auto" w:fill="auto"/>
            <w:vAlign w:val="bottom"/>
          </w:tcPr>
          <w:p w14:paraId="7C22EB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62BD0FB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0A1167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58B4E42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2EA20E6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1A0E61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34AD0F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w:t>
            </w:r>
          </w:p>
        </w:tc>
        <w:tc>
          <w:tcPr>
            <w:tcW w:w="539" w:type="dxa"/>
            <w:shd w:val="clear" w:color="auto" w:fill="auto"/>
            <w:vAlign w:val="bottom"/>
          </w:tcPr>
          <w:p w14:paraId="6E369A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r>
      <w:tr w:rsidR="00680417" w:rsidRPr="00DA21FF" w14:paraId="64659DC9" w14:textId="77777777" w:rsidTr="00680417">
        <w:trPr>
          <w:trHeight w:val="240"/>
        </w:trPr>
        <w:tc>
          <w:tcPr>
            <w:tcW w:w="794" w:type="dxa"/>
            <w:shd w:val="clear" w:color="auto" w:fill="auto"/>
          </w:tcPr>
          <w:p w14:paraId="75AE26A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350DB76D"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terciaria corta**</w:t>
            </w:r>
          </w:p>
        </w:tc>
        <w:tc>
          <w:tcPr>
            <w:tcW w:w="482" w:type="dxa"/>
            <w:shd w:val="clear" w:color="auto" w:fill="auto"/>
            <w:vAlign w:val="bottom"/>
          </w:tcPr>
          <w:p w14:paraId="6A4293A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8,9</w:t>
            </w:r>
          </w:p>
        </w:tc>
        <w:tc>
          <w:tcPr>
            <w:tcW w:w="539" w:type="dxa"/>
            <w:shd w:val="clear" w:color="auto" w:fill="auto"/>
            <w:vAlign w:val="bottom"/>
          </w:tcPr>
          <w:p w14:paraId="172783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11,7</w:t>
            </w:r>
          </w:p>
        </w:tc>
        <w:tc>
          <w:tcPr>
            <w:tcW w:w="539" w:type="dxa"/>
            <w:shd w:val="clear" w:color="auto" w:fill="auto"/>
            <w:vAlign w:val="bottom"/>
          </w:tcPr>
          <w:p w14:paraId="61F3500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15,3</w:t>
            </w:r>
          </w:p>
        </w:tc>
        <w:tc>
          <w:tcPr>
            <w:tcW w:w="539" w:type="dxa"/>
            <w:shd w:val="clear" w:color="auto" w:fill="auto"/>
            <w:vAlign w:val="bottom"/>
          </w:tcPr>
          <w:p w14:paraId="4E52D22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16,5</w:t>
            </w:r>
          </w:p>
        </w:tc>
        <w:tc>
          <w:tcPr>
            <w:tcW w:w="539" w:type="dxa"/>
            <w:shd w:val="clear" w:color="auto" w:fill="auto"/>
            <w:vAlign w:val="bottom"/>
          </w:tcPr>
          <w:p w14:paraId="5A54C3F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17,6</w:t>
            </w:r>
          </w:p>
        </w:tc>
        <w:tc>
          <w:tcPr>
            <w:tcW w:w="539" w:type="dxa"/>
            <w:shd w:val="clear" w:color="auto" w:fill="auto"/>
            <w:vAlign w:val="bottom"/>
          </w:tcPr>
          <w:p w14:paraId="00EE8B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18,7</w:t>
            </w:r>
          </w:p>
        </w:tc>
        <w:tc>
          <w:tcPr>
            <w:tcW w:w="539" w:type="dxa"/>
            <w:shd w:val="clear" w:color="auto" w:fill="auto"/>
            <w:vAlign w:val="bottom"/>
          </w:tcPr>
          <w:p w14:paraId="5A5C7E3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19,9</w:t>
            </w:r>
          </w:p>
        </w:tc>
        <w:tc>
          <w:tcPr>
            <w:tcW w:w="539" w:type="dxa"/>
            <w:shd w:val="clear" w:color="auto" w:fill="auto"/>
            <w:vAlign w:val="bottom"/>
          </w:tcPr>
          <w:p w14:paraId="29635F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20,3</w:t>
            </w:r>
          </w:p>
        </w:tc>
      </w:tr>
      <w:tr w:rsidR="00680417" w:rsidRPr="00DA21FF" w14:paraId="62E442CF" w14:textId="77777777" w:rsidTr="00680417">
        <w:trPr>
          <w:trHeight w:val="240"/>
        </w:trPr>
        <w:tc>
          <w:tcPr>
            <w:tcW w:w="794" w:type="dxa"/>
            <w:shd w:val="clear" w:color="auto" w:fill="auto"/>
          </w:tcPr>
          <w:p w14:paraId="2963090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575F1A2D"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terciaria larga***</w:t>
            </w:r>
          </w:p>
        </w:tc>
        <w:tc>
          <w:tcPr>
            <w:tcW w:w="482" w:type="dxa"/>
            <w:shd w:val="clear" w:color="auto" w:fill="auto"/>
            <w:vAlign w:val="bottom"/>
          </w:tcPr>
          <w:p w14:paraId="767C24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w:t>
            </w:r>
          </w:p>
        </w:tc>
        <w:tc>
          <w:tcPr>
            <w:tcW w:w="539" w:type="dxa"/>
            <w:shd w:val="clear" w:color="auto" w:fill="auto"/>
            <w:vAlign w:val="bottom"/>
          </w:tcPr>
          <w:p w14:paraId="1382385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w:t>
            </w:r>
          </w:p>
        </w:tc>
        <w:tc>
          <w:tcPr>
            <w:tcW w:w="539" w:type="dxa"/>
            <w:shd w:val="clear" w:color="auto" w:fill="auto"/>
            <w:vAlign w:val="bottom"/>
          </w:tcPr>
          <w:p w14:paraId="05B91A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w:t>
            </w:r>
          </w:p>
        </w:tc>
        <w:tc>
          <w:tcPr>
            <w:tcW w:w="539" w:type="dxa"/>
            <w:shd w:val="clear" w:color="auto" w:fill="auto"/>
            <w:vAlign w:val="bottom"/>
          </w:tcPr>
          <w:p w14:paraId="294354B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w:t>
            </w:r>
          </w:p>
        </w:tc>
        <w:tc>
          <w:tcPr>
            <w:tcW w:w="539" w:type="dxa"/>
            <w:shd w:val="clear" w:color="auto" w:fill="auto"/>
            <w:vAlign w:val="bottom"/>
          </w:tcPr>
          <w:p w14:paraId="171505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w:t>
            </w:r>
          </w:p>
        </w:tc>
        <w:tc>
          <w:tcPr>
            <w:tcW w:w="539" w:type="dxa"/>
            <w:shd w:val="clear" w:color="auto" w:fill="auto"/>
            <w:vAlign w:val="bottom"/>
          </w:tcPr>
          <w:p w14:paraId="1C83111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539" w:type="dxa"/>
            <w:shd w:val="clear" w:color="auto" w:fill="auto"/>
            <w:vAlign w:val="bottom"/>
          </w:tcPr>
          <w:p w14:paraId="6B32BC5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10,9</w:t>
            </w:r>
          </w:p>
        </w:tc>
        <w:tc>
          <w:tcPr>
            <w:tcW w:w="539" w:type="dxa"/>
            <w:shd w:val="clear" w:color="auto" w:fill="auto"/>
            <w:vAlign w:val="bottom"/>
          </w:tcPr>
          <w:p w14:paraId="14718AB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11,6</w:t>
            </w:r>
          </w:p>
        </w:tc>
      </w:tr>
      <w:tr w:rsidR="00680417" w:rsidRPr="00DA21FF" w14:paraId="63A78865" w14:textId="77777777" w:rsidTr="00680417">
        <w:trPr>
          <w:trHeight w:val="240"/>
        </w:trPr>
        <w:tc>
          <w:tcPr>
            <w:tcW w:w="794" w:type="dxa"/>
            <w:shd w:val="clear" w:color="auto" w:fill="auto"/>
          </w:tcPr>
          <w:p w14:paraId="69E3EA5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Niñas</w:t>
            </w:r>
          </w:p>
        </w:tc>
        <w:tc>
          <w:tcPr>
            <w:tcW w:w="2325" w:type="dxa"/>
            <w:shd w:val="clear" w:color="auto" w:fill="auto"/>
            <w:vAlign w:val="bottom"/>
          </w:tcPr>
          <w:p w14:paraId="67A2286E"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Nivel escolar básico</w:t>
            </w:r>
          </w:p>
        </w:tc>
        <w:tc>
          <w:tcPr>
            <w:tcW w:w="482" w:type="dxa"/>
            <w:shd w:val="clear" w:color="auto" w:fill="auto"/>
            <w:vAlign w:val="bottom"/>
          </w:tcPr>
          <w:p w14:paraId="52F5E47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52,2</w:t>
            </w:r>
          </w:p>
        </w:tc>
        <w:tc>
          <w:tcPr>
            <w:tcW w:w="539" w:type="dxa"/>
            <w:shd w:val="clear" w:color="auto" w:fill="auto"/>
            <w:vAlign w:val="bottom"/>
          </w:tcPr>
          <w:p w14:paraId="3E4AA7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44,6</w:t>
            </w:r>
          </w:p>
        </w:tc>
        <w:tc>
          <w:tcPr>
            <w:tcW w:w="539" w:type="dxa"/>
            <w:shd w:val="clear" w:color="auto" w:fill="auto"/>
            <w:vAlign w:val="bottom"/>
          </w:tcPr>
          <w:p w14:paraId="510DDC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35,9</w:t>
            </w:r>
          </w:p>
        </w:tc>
        <w:tc>
          <w:tcPr>
            <w:tcW w:w="539" w:type="dxa"/>
            <w:shd w:val="clear" w:color="auto" w:fill="auto"/>
            <w:vAlign w:val="bottom"/>
          </w:tcPr>
          <w:p w14:paraId="1BC19AA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32,4</w:t>
            </w:r>
          </w:p>
        </w:tc>
        <w:tc>
          <w:tcPr>
            <w:tcW w:w="539" w:type="dxa"/>
            <w:shd w:val="clear" w:color="auto" w:fill="auto"/>
            <w:vAlign w:val="bottom"/>
          </w:tcPr>
          <w:p w14:paraId="6D56BDE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29,6</w:t>
            </w:r>
          </w:p>
        </w:tc>
        <w:tc>
          <w:tcPr>
            <w:tcW w:w="539" w:type="dxa"/>
            <w:shd w:val="clear" w:color="auto" w:fill="auto"/>
            <w:vAlign w:val="bottom"/>
          </w:tcPr>
          <w:p w14:paraId="33C01A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26,7</w:t>
            </w:r>
          </w:p>
        </w:tc>
        <w:tc>
          <w:tcPr>
            <w:tcW w:w="539" w:type="dxa"/>
            <w:shd w:val="clear" w:color="auto" w:fill="auto"/>
            <w:vAlign w:val="bottom"/>
          </w:tcPr>
          <w:p w14:paraId="6BC40F1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24,0</w:t>
            </w:r>
          </w:p>
        </w:tc>
        <w:tc>
          <w:tcPr>
            <w:tcW w:w="539" w:type="dxa"/>
            <w:shd w:val="clear" w:color="auto" w:fill="auto"/>
            <w:vAlign w:val="bottom"/>
          </w:tcPr>
          <w:p w14:paraId="5B83A0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22,8</w:t>
            </w:r>
          </w:p>
        </w:tc>
      </w:tr>
      <w:tr w:rsidR="00680417" w:rsidRPr="00DA21FF" w14:paraId="4344A1C3" w14:textId="77777777" w:rsidTr="00680417">
        <w:trPr>
          <w:trHeight w:val="240"/>
        </w:trPr>
        <w:tc>
          <w:tcPr>
            <w:tcW w:w="794" w:type="dxa"/>
            <w:shd w:val="clear" w:color="auto" w:fill="auto"/>
          </w:tcPr>
          <w:p w14:paraId="2D28800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05C4779F"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secundaria alta*</w:t>
            </w:r>
          </w:p>
        </w:tc>
        <w:tc>
          <w:tcPr>
            <w:tcW w:w="482" w:type="dxa"/>
            <w:shd w:val="clear" w:color="auto" w:fill="auto"/>
            <w:vAlign w:val="bottom"/>
          </w:tcPr>
          <w:p w14:paraId="5D2DB1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38,3</w:t>
            </w:r>
          </w:p>
        </w:tc>
        <w:tc>
          <w:tcPr>
            <w:tcW w:w="539" w:type="dxa"/>
            <w:shd w:val="clear" w:color="auto" w:fill="auto"/>
            <w:vAlign w:val="bottom"/>
          </w:tcPr>
          <w:p w14:paraId="3D006CA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41,1</w:t>
            </w:r>
          </w:p>
        </w:tc>
        <w:tc>
          <w:tcPr>
            <w:tcW w:w="539" w:type="dxa"/>
            <w:shd w:val="clear" w:color="auto" w:fill="auto"/>
            <w:vAlign w:val="bottom"/>
          </w:tcPr>
          <w:p w14:paraId="5455DA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42,1</w:t>
            </w:r>
          </w:p>
        </w:tc>
        <w:tc>
          <w:tcPr>
            <w:tcW w:w="539" w:type="dxa"/>
            <w:shd w:val="clear" w:color="auto" w:fill="auto"/>
            <w:vAlign w:val="bottom"/>
          </w:tcPr>
          <w:p w14:paraId="7C9ED19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41,3</w:t>
            </w:r>
          </w:p>
        </w:tc>
        <w:tc>
          <w:tcPr>
            <w:tcW w:w="539" w:type="dxa"/>
            <w:shd w:val="clear" w:color="auto" w:fill="auto"/>
            <w:vAlign w:val="bottom"/>
          </w:tcPr>
          <w:p w14:paraId="73DAD23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39,9</w:t>
            </w:r>
          </w:p>
        </w:tc>
        <w:tc>
          <w:tcPr>
            <w:tcW w:w="539" w:type="dxa"/>
            <w:shd w:val="clear" w:color="auto" w:fill="auto"/>
            <w:vAlign w:val="bottom"/>
          </w:tcPr>
          <w:p w14:paraId="2CBF4B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37,7</w:t>
            </w:r>
          </w:p>
        </w:tc>
        <w:tc>
          <w:tcPr>
            <w:tcW w:w="539" w:type="dxa"/>
            <w:shd w:val="clear" w:color="auto" w:fill="auto"/>
            <w:vAlign w:val="bottom"/>
          </w:tcPr>
          <w:p w14:paraId="41BA2DD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34,0</w:t>
            </w:r>
          </w:p>
        </w:tc>
        <w:tc>
          <w:tcPr>
            <w:tcW w:w="539" w:type="dxa"/>
            <w:shd w:val="clear" w:color="auto" w:fill="auto"/>
            <w:vAlign w:val="bottom"/>
          </w:tcPr>
          <w:p w14:paraId="1E7D2D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33,0</w:t>
            </w:r>
          </w:p>
        </w:tc>
      </w:tr>
      <w:tr w:rsidR="00680417" w:rsidRPr="00DA21FF" w14:paraId="2065B8C7" w14:textId="77777777" w:rsidTr="00680417">
        <w:trPr>
          <w:trHeight w:val="240"/>
        </w:trPr>
        <w:tc>
          <w:tcPr>
            <w:tcW w:w="794" w:type="dxa"/>
            <w:shd w:val="clear" w:color="auto" w:fill="auto"/>
          </w:tcPr>
          <w:p w14:paraId="3AFE96A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53E62BDB"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Intermedio (formación profesional superior)</w:t>
            </w:r>
          </w:p>
        </w:tc>
        <w:tc>
          <w:tcPr>
            <w:tcW w:w="482" w:type="dxa"/>
            <w:shd w:val="clear" w:color="auto" w:fill="auto"/>
            <w:vAlign w:val="bottom"/>
          </w:tcPr>
          <w:p w14:paraId="402D4A5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24891C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3B24DB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0FF50F6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475C3E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38DA7A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539" w:type="dxa"/>
            <w:shd w:val="clear" w:color="auto" w:fill="auto"/>
            <w:vAlign w:val="bottom"/>
          </w:tcPr>
          <w:p w14:paraId="309B6C0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c>
          <w:tcPr>
            <w:tcW w:w="539" w:type="dxa"/>
            <w:shd w:val="clear" w:color="auto" w:fill="auto"/>
            <w:vAlign w:val="bottom"/>
          </w:tcPr>
          <w:p w14:paraId="558D14D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w:t>
            </w:r>
          </w:p>
        </w:tc>
      </w:tr>
      <w:tr w:rsidR="00680417" w:rsidRPr="00DA21FF" w14:paraId="05FDCECF" w14:textId="77777777" w:rsidTr="00680417">
        <w:trPr>
          <w:trHeight w:val="240"/>
        </w:trPr>
        <w:tc>
          <w:tcPr>
            <w:tcW w:w="794" w:type="dxa"/>
            <w:shd w:val="clear" w:color="auto" w:fill="auto"/>
          </w:tcPr>
          <w:p w14:paraId="796E6C0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shd w:val="clear" w:color="auto" w:fill="auto"/>
            <w:vAlign w:val="bottom"/>
          </w:tcPr>
          <w:p w14:paraId="1C3247AB"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terciaria corta**</w:t>
            </w:r>
          </w:p>
        </w:tc>
        <w:tc>
          <w:tcPr>
            <w:tcW w:w="482" w:type="dxa"/>
            <w:shd w:val="clear" w:color="auto" w:fill="auto"/>
            <w:vAlign w:val="bottom"/>
          </w:tcPr>
          <w:p w14:paraId="4FF434C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w:t>
            </w:r>
          </w:p>
        </w:tc>
        <w:tc>
          <w:tcPr>
            <w:tcW w:w="539" w:type="dxa"/>
            <w:shd w:val="clear" w:color="auto" w:fill="auto"/>
            <w:vAlign w:val="bottom"/>
          </w:tcPr>
          <w:p w14:paraId="66997EF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12,9</w:t>
            </w:r>
          </w:p>
        </w:tc>
        <w:tc>
          <w:tcPr>
            <w:tcW w:w="539" w:type="dxa"/>
            <w:shd w:val="clear" w:color="auto" w:fill="auto"/>
            <w:vAlign w:val="bottom"/>
          </w:tcPr>
          <w:p w14:paraId="29A8F7A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19,1</w:t>
            </w:r>
          </w:p>
        </w:tc>
        <w:tc>
          <w:tcPr>
            <w:tcW w:w="539" w:type="dxa"/>
            <w:shd w:val="clear" w:color="auto" w:fill="auto"/>
            <w:vAlign w:val="bottom"/>
          </w:tcPr>
          <w:p w14:paraId="523118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22,3</w:t>
            </w:r>
          </w:p>
        </w:tc>
        <w:tc>
          <w:tcPr>
            <w:tcW w:w="539" w:type="dxa"/>
            <w:shd w:val="clear" w:color="auto" w:fill="auto"/>
            <w:vAlign w:val="bottom"/>
          </w:tcPr>
          <w:p w14:paraId="4089DDD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24,9</w:t>
            </w:r>
          </w:p>
        </w:tc>
        <w:tc>
          <w:tcPr>
            <w:tcW w:w="539" w:type="dxa"/>
            <w:shd w:val="clear" w:color="auto" w:fill="auto"/>
            <w:vAlign w:val="bottom"/>
          </w:tcPr>
          <w:p w14:paraId="041000F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27,3</w:t>
            </w:r>
          </w:p>
        </w:tc>
        <w:tc>
          <w:tcPr>
            <w:tcW w:w="539" w:type="dxa"/>
            <w:shd w:val="clear" w:color="auto" w:fill="auto"/>
            <w:vAlign w:val="bottom"/>
          </w:tcPr>
          <w:p w14:paraId="750182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29,5</w:t>
            </w:r>
          </w:p>
        </w:tc>
        <w:tc>
          <w:tcPr>
            <w:tcW w:w="539" w:type="dxa"/>
            <w:shd w:val="clear" w:color="auto" w:fill="auto"/>
            <w:vAlign w:val="bottom"/>
          </w:tcPr>
          <w:p w14:paraId="5607D83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30,3</w:t>
            </w:r>
          </w:p>
        </w:tc>
      </w:tr>
      <w:tr w:rsidR="00680417" w:rsidRPr="00DA21FF" w14:paraId="27CFB738" w14:textId="77777777" w:rsidTr="00680417">
        <w:trPr>
          <w:trHeight w:val="240"/>
        </w:trPr>
        <w:tc>
          <w:tcPr>
            <w:tcW w:w="794" w:type="dxa"/>
            <w:tcBorders>
              <w:bottom w:val="single" w:sz="12" w:space="0" w:color="auto"/>
            </w:tcBorders>
            <w:shd w:val="clear" w:color="auto" w:fill="auto"/>
          </w:tcPr>
          <w:p w14:paraId="74F38A1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2325" w:type="dxa"/>
            <w:tcBorders>
              <w:bottom w:val="single" w:sz="12" w:space="0" w:color="auto"/>
            </w:tcBorders>
            <w:shd w:val="clear" w:color="auto" w:fill="auto"/>
            <w:vAlign w:val="bottom"/>
          </w:tcPr>
          <w:p w14:paraId="3E05FC69" w14:textId="77777777" w:rsidR="00DA21FF" w:rsidRPr="00DA21FF" w:rsidRDefault="00DA21FF" w:rsidP="00E958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Educación terciaria larga***</w:t>
            </w:r>
          </w:p>
        </w:tc>
        <w:tc>
          <w:tcPr>
            <w:tcW w:w="482" w:type="dxa"/>
            <w:tcBorders>
              <w:bottom w:val="single" w:sz="12" w:space="0" w:color="auto"/>
            </w:tcBorders>
            <w:shd w:val="clear" w:color="auto" w:fill="auto"/>
            <w:vAlign w:val="bottom"/>
          </w:tcPr>
          <w:p w14:paraId="06B110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0,7</w:t>
            </w:r>
          </w:p>
        </w:tc>
        <w:tc>
          <w:tcPr>
            <w:tcW w:w="539" w:type="dxa"/>
            <w:tcBorders>
              <w:bottom w:val="single" w:sz="12" w:space="0" w:color="auto"/>
            </w:tcBorders>
            <w:shd w:val="clear" w:color="auto" w:fill="auto"/>
            <w:vAlign w:val="bottom"/>
          </w:tcPr>
          <w:p w14:paraId="51D0F07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w:t>
            </w:r>
          </w:p>
        </w:tc>
        <w:tc>
          <w:tcPr>
            <w:tcW w:w="539" w:type="dxa"/>
            <w:tcBorders>
              <w:bottom w:val="single" w:sz="12" w:space="0" w:color="auto"/>
            </w:tcBorders>
            <w:shd w:val="clear" w:color="auto" w:fill="auto"/>
            <w:vAlign w:val="bottom"/>
          </w:tcPr>
          <w:p w14:paraId="57A67D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c>
          <w:tcPr>
            <w:tcW w:w="539" w:type="dxa"/>
            <w:tcBorders>
              <w:bottom w:val="single" w:sz="12" w:space="0" w:color="auto"/>
            </w:tcBorders>
            <w:shd w:val="clear" w:color="auto" w:fill="auto"/>
            <w:vAlign w:val="bottom"/>
          </w:tcPr>
          <w:p w14:paraId="2922761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539" w:type="dxa"/>
            <w:tcBorders>
              <w:bottom w:val="single" w:sz="12" w:space="0" w:color="auto"/>
            </w:tcBorders>
            <w:shd w:val="clear" w:color="auto" w:fill="auto"/>
            <w:vAlign w:val="bottom"/>
          </w:tcPr>
          <w:p w14:paraId="2A18951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w:t>
            </w:r>
          </w:p>
        </w:tc>
        <w:tc>
          <w:tcPr>
            <w:tcW w:w="539" w:type="dxa"/>
            <w:tcBorders>
              <w:bottom w:val="single" w:sz="12" w:space="0" w:color="auto"/>
            </w:tcBorders>
            <w:shd w:val="clear" w:color="auto" w:fill="auto"/>
            <w:vAlign w:val="bottom"/>
          </w:tcPr>
          <w:p w14:paraId="0C1C533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w:t>
            </w:r>
          </w:p>
        </w:tc>
        <w:tc>
          <w:tcPr>
            <w:tcW w:w="539" w:type="dxa"/>
            <w:tcBorders>
              <w:bottom w:val="single" w:sz="12" w:space="0" w:color="auto"/>
            </w:tcBorders>
            <w:shd w:val="clear" w:color="auto" w:fill="auto"/>
            <w:vAlign w:val="bottom"/>
          </w:tcPr>
          <w:p w14:paraId="35B075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10,3</w:t>
            </w:r>
          </w:p>
        </w:tc>
        <w:tc>
          <w:tcPr>
            <w:tcW w:w="539" w:type="dxa"/>
            <w:tcBorders>
              <w:bottom w:val="single" w:sz="12" w:space="0" w:color="auto"/>
            </w:tcBorders>
            <w:shd w:val="clear" w:color="auto" w:fill="auto"/>
            <w:vAlign w:val="bottom"/>
          </w:tcPr>
          <w:p w14:paraId="4DA0AB1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11,6</w:t>
            </w:r>
          </w:p>
        </w:tc>
      </w:tr>
    </w:tbl>
    <w:p w14:paraId="66B4A579" w14:textId="77777777" w:rsidR="00DA21FF" w:rsidRPr="003F1C60" w:rsidRDefault="00DA21FF" w:rsidP="003F1C60">
      <w:pPr>
        <w:pStyle w:val="SingleTxtG"/>
        <w:spacing w:before="120" w:after="0"/>
        <w:ind w:firstLine="170"/>
        <w:jc w:val="left"/>
        <w:rPr>
          <w:sz w:val="18"/>
          <w:szCs w:val="18"/>
          <w:lang w:val="en-GB"/>
        </w:rPr>
      </w:pPr>
      <w:r w:rsidRPr="003F1C60">
        <w:rPr>
          <w:i/>
          <w:sz w:val="18"/>
          <w:szCs w:val="18"/>
        </w:rPr>
        <w:t>Fuente:</w:t>
      </w:r>
      <w:r w:rsidRPr="003F1C60">
        <w:rPr>
          <w:sz w:val="18"/>
          <w:szCs w:val="18"/>
        </w:rPr>
        <w:t xml:space="preserve"> Instituto Nacional de Estadística de Noruega.</w:t>
      </w:r>
    </w:p>
    <w:p w14:paraId="3B3D13C2" w14:textId="00616DB6" w:rsidR="00DA21FF" w:rsidRPr="003F1C60" w:rsidRDefault="00DA21FF" w:rsidP="003F1C60">
      <w:pPr>
        <w:pStyle w:val="SingleTxtG"/>
        <w:spacing w:after="0"/>
        <w:ind w:firstLine="170"/>
        <w:jc w:val="left"/>
        <w:rPr>
          <w:sz w:val="18"/>
          <w:szCs w:val="18"/>
          <w:lang w:val="en-GB"/>
        </w:rPr>
      </w:pPr>
      <w:r w:rsidRPr="003F1C60">
        <w:rPr>
          <w:sz w:val="18"/>
          <w:szCs w:val="18"/>
        </w:rPr>
        <w:lastRenderedPageBreak/>
        <w:t>*</w:t>
      </w:r>
      <w:r w:rsidR="003F1C60">
        <w:rPr>
          <w:sz w:val="18"/>
          <w:szCs w:val="18"/>
        </w:rPr>
        <w:t xml:space="preserve">  </w:t>
      </w:r>
      <w:r w:rsidRPr="003F1C60">
        <w:rPr>
          <w:sz w:val="18"/>
          <w:szCs w:val="18"/>
        </w:rPr>
        <w:t>Educación secundaria alta: hasta 2015 inclusive, las cifras incluyen cursos de nivel intermedio (por ejemplo, formación profesional superior) basados en el nivel secundario alto completado pero no acreditados como educación terciaria.</w:t>
      </w:r>
    </w:p>
    <w:p w14:paraId="312BDC88" w14:textId="389EC63D" w:rsidR="00DA21FF" w:rsidRPr="003F1C60" w:rsidRDefault="00DA21FF" w:rsidP="003F1C60">
      <w:pPr>
        <w:pStyle w:val="SingleTxtG"/>
        <w:spacing w:after="0"/>
        <w:ind w:firstLine="170"/>
        <w:jc w:val="left"/>
        <w:rPr>
          <w:sz w:val="18"/>
          <w:szCs w:val="18"/>
          <w:lang w:val="en-GB"/>
        </w:rPr>
      </w:pPr>
      <w:r w:rsidRPr="003F1C60">
        <w:rPr>
          <w:sz w:val="18"/>
          <w:szCs w:val="18"/>
        </w:rPr>
        <w:t>**</w:t>
      </w:r>
      <w:r w:rsidR="003F1C60">
        <w:rPr>
          <w:sz w:val="18"/>
          <w:szCs w:val="18"/>
        </w:rPr>
        <w:t xml:space="preserve">  </w:t>
      </w:r>
      <w:r w:rsidRPr="003F1C60">
        <w:rPr>
          <w:sz w:val="18"/>
          <w:szCs w:val="18"/>
        </w:rPr>
        <w:t>Educación terciaria, corta: comprende la educación superior de hasta cuatro años de duración, inclusive.</w:t>
      </w:r>
    </w:p>
    <w:p w14:paraId="7AB82C30" w14:textId="51B6E6D0" w:rsidR="00DA21FF" w:rsidRPr="003F1C60" w:rsidRDefault="00DA21FF" w:rsidP="003F1C60">
      <w:pPr>
        <w:pStyle w:val="SingleTxtG"/>
        <w:spacing w:after="240"/>
        <w:ind w:firstLine="170"/>
        <w:jc w:val="left"/>
        <w:rPr>
          <w:sz w:val="18"/>
          <w:szCs w:val="18"/>
          <w:lang w:val="en-GB"/>
        </w:rPr>
      </w:pPr>
      <w:r w:rsidRPr="003F1C60">
        <w:rPr>
          <w:sz w:val="18"/>
          <w:szCs w:val="18"/>
        </w:rPr>
        <w:t>***</w:t>
      </w:r>
      <w:r w:rsidR="003F1C60">
        <w:rPr>
          <w:sz w:val="18"/>
          <w:szCs w:val="18"/>
        </w:rPr>
        <w:t xml:space="preserve">  </w:t>
      </w:r>
      <w:r w:rsidRPr="003F1C60">
        <w:rPr>
          <w:sz w:val="18"/>
          <w:szCs w:val="18"/>
        </w:rPr>
        <w:t>Enseñanza terciaria, larga: comprende la enseñanza superior de más de cuatro años de duración.</w:t>
      </w:r>
    </w:p>
    <w:p w14:paraId="06842507" w14:textId="43EAA338" w:rsidR="00DA21FF" w:rsidRPr="00DA21FF" w:rsidRDefault="00DA21FF" w:rsidP="003F1C60">
      <w:pPr>
        <w:pStyle w:val="H23G"/>
        <w:rPr>
          <w:lang w:val="en-GB"/>
        </w:rPr>
      </w:pPr>
      <w:r w:rsidRPr="00DA21FF">
        <w:tab/>
      </w:r>
      <w:r w:rsidR="003F1C60">
        <w:tab/>
      </w:r>
      <w:r w:rsidRPr="00DA21FF">
        <w:t>Enseñanza preescolar</w:t>
      </w:r>
    </w:p>
    <w:p w14:paraId="168D2D20" w14:textId="77777777" w:rsidR="00DA21FF" w:rsidRPr="00DA21FF" w:rsidRDefault="00DA21FF" w:rsidP="00DA21FF">
      <w:pPr>
        <w:pStyle w:val="SingleTxtG"/>
        <w:rPr>
          <w:lang w:val="en-GB"/>
        </w:rPr>
      </w:pPr>
      <w:r w:rsidRPr="00DA21FF">
        <w:t>39.</w:t>
      </w:r>
      <w:r w:rsidRPr="00DA21FF">
        <w:tab/>
        <w:t xml:space="preserve">El </w:t>
      </w:r>
      <w:r w:rsidRPr="00373B5F">
        <w:rPr>
          <w:u w:val="single"/>
        </w:rPr>
        <w:t>derecho</w:t>
      </w:r>
      <w:r w:rsidRPr="00DA21FF">
        <w:t xml:space="preserve"> individual </w:t>
      </w:r>
      <w:r w:rsidRPr="00373B5F">
        <w:rPr>
          <w:u w:val="single"/>
        </w:rPr>
        <w:t>a la enseñanza preescolar</w:t>
      </w:r>
      <w:r w:rsidRPr="00DA21FF">
        <w:t xml:space="preserve"> se estableció por ley en 2009, a raíz de la Reforma de la Enseñanza Preescolar (2004-2009). Desde entonces, los niños tienen derecho a matricularse a tiempo completo en un centro de enseñanza preescolar a partir de 1 año de edad (41 horas semanales o más). La Reforma de la Enseñanza Preescolar también supuso la introducción de un costo máximo (pago por los padres) y la equiparación económica de los centros de enseñanza preescolar municipales y privados.</w:t>
      </w:r>
    </w:p>
    <w:p w14:paraId="4108E537" w14:textId="77777777" w:rsidR="00DA21FF" w:rsidRPr="007D17C6" w:rsidRDefault="00DA21FF" w:rsidP="00DA21FF">
      <w:pPr>
        <w:pStyle w:val="SingleTxtG"/>
        <w:rPr>
          <w:spacing w:val="-2"/>
          <w:lang w:val="en-GB"/>
        </w:rPr>
      </w:pPr>
      <w:r w:rsidRPr="007D17C6">
        <w:rPr>
          <w:spacing w:val="-2"/>
        </w:rPr>
        <w:t>40.</w:t>
      </w:r>
      <w:r w:rsidRPr="007D17C6">
        <w:rPr>
          <w:spacing w:val="-2"/>
        </w:rPr>
        <w:tab/>
        <w:t>El Gobierno tiene la responsabilidad general del desarrollo de la política del sector, y el funcionamiento de los centros de enseñanza preescolar está incluido en las subvenciones globales generales a los municipios. Los gobernadores de condado aplican la política de educación preescolar través de sus actividades, que incluyen tareas administrativas, supervisión y directrices para los municipios. Los municipios son responsables de la creación y el funcionamiento de los centros de enseñanza preescolar municipales, así como de la autorización y supervisión de los centros de enseñanza preescolar públicos y privados del municipio.</w:t>
      </w:r>
    </w:p>
    <w:p w14:paraId="0D4E387D" w14:textId="77777777" w:rsidR="00DA21FF" w:rsidRPr="00DA21FF" w:rsidRDefault="00DA21FF" w:rsidP="00DA21FF">
      <w:pPr>
        <w:pStyle w:val="SingleTxtG"/>
        <w:rPr>
          <w:lang w:val="en-GB"/>
        </w:rPr>
      </w:pPr>
      <w:r w:rsidRPr="00DA21FF">
        <w:t>41.</w:t>
      </w:r>
      <w:r w:rsidRPr="00DA21FF">
        <w:tab/>
        <w:t xml:space="preserve">En 2023, el 88,6 % de los niños de 1 a 2 años y el 97,2 % de los niños de 3 a 5 años asistían a centros de enseñanza preescolar. Los niños pertenecientes a minorías presentan niveles de matriculación algo más bajos que los demás niños, especialmente en los grupos de edad más jóvenes. </w:t>
      </w:r>
    </w:p>
    <w:p w14:paraId="0CD9CE28" w14:textId="491C7898" w:rsidR="00DA21FF" w:rsidRPr="00DA21FF" w:rsidRDefault="003F1C60" w:rsidP="003F1C60">
      <w:pPr>
        <w:pStyle w:val="H23G"/>
        <w:rPr>
          <w:lang w:val="en-GB"/>
        </w:rPr>
      </w:pPr>
      <w:r>
        <w:tab/>
      </w:r>
      <w:r w:rsidR="00DA21FF" w:rsidRPr="00DA21FF">
        <w:tab/>
        <w:t xml:space="preserve">Porcentaje de niños escolarizados en centros de enseñanza preescolar </w:t>
      </w:r>
      <w:r>
        <w:br/>
      </w:r>
      <w:r w:rsidR="00DA21FF" w:rsidRPr="00DA21FF">
        <w:t>por grupos de edad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46"/>
        <w:gridCol w:w="1156"/>
        <w:gridCol w:w="1734"/>
        <w:gridCol w:w="1734"/>
      </w:tblGrid>
      <w:tr w:rsidR="00680417" w:rsidRPr="00680417" w14:paraId="71112314" w14:textId="77777777" w:rsidTr="00680417">
        <w:trPr>
          <w:trHeight w:val="240"/>
          <w:tblHeader/>
        </w:trPr>
        <w:tc>
          <w:tcPr>
            <w:tcW w:w="2746" w:type="dxa"/>
            <w:tcBorders>
              <w:top w:val="single" w:sz="4" w:space="0" w:color="auto"/>
              <w:bottom w:val="single" w:sz="12" w:space="0" w:color="auto"/>
            </w:tcBorders>
            <w:shd w:val="clear" w:color="auto" w:fill="auto"/>
            <w:vAlign w:val="bottom"/>
          </w:tcPr>
          <w:p w14:paraId="1AC69798"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w:t>
            </w:r>
          </w:p>
        </w:tc>
        <w:tc>
          <w:tcPr>
            <w:tcW w:w="1156" w:type="dxa"/>
            <w:tcBorders>
              <w:top w:val="single" w:sz="4" w:space="0" w:color="auto"/>
              <w:bottom w:val="single" w:sz="12" w:space="0" w:color="auto"/>
            </w:tcBorders>
            <w:shd w:val="clear" w:color="auto" w:fill="auto"/>
            <w:vAlign w:val="bottom"/>
          </w:tcPr>
          <w:p w14:paraId="4FB26B7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 a 5 años</w:t>
            </w:r>
          </w:p>
        </w:tc>
        <w:tc>
          <w:tcPr>
            <w:tcW w:w="1734" w:type="dxa"/>
            <w:tcBorders>
              <w:top w:val="single" w:sz="4" w:space="0" w:color="auto"/>
              <w:bottom w:val="single" w:sz="12" w:space="0" w:color="auto"/>
            </w:tcBorders>
            <w:shd w:val="clear" w:color="auto" w:fill="auto"/>
            <w:vAlign w:val="bottom"/>
          </w:tcPr>
          <w:p w14:paraId="0AD2D9B5"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 a 2 años</w:t>
            </w:r>
          </w:p>
        </w:tc>
        <w:tc>
          <w:tcPr>
            <w:tcW w:w="1734" w:type="dxa"/>
            <w:tcBorders>
              <w:top w:val="single" w:sz="4" w:space="0" w:color="auto"/>
              <w:bottom w:val="single" w:sz="12" w:space="0" w:color="auto"/>
            </w:tcBorders>
            <w:shd w:val="clear" w:color="auto" w:fill="auto"/>
            <w:vAlign w:val="bottom"/>
          </w:tcPr>
          <w:p w14:paraId="55F69DD0"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3 a 5 años</w:t>
            </w:r>
          </w:p>
        </w:tc>
      </w:tr>
      <w:tr w:rsidR="00680417" w:rsidRPr="00DA21FF" w14:paraId="0F8BB960" w14:textId="77777777" w:rsidTr="00680417">
        <w:trPr>
          <w:trHeight w:val="240"/>
        </w:trPr>
        <w:tc>
          <w:tcPr>
            <w:tcW w:w="2746" w:type="dxa"/>
            <w:shd w:val="clear" w:color="auto" w:fill="auto"/>
          </w:tcPr>
          <w:p w14:paraId="6154F9A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2006</w:t>
            </w:r>
          </w:p>
        </w:tc>
        <w:tc>
          <w:tcPr>
            <w:tcW w:w="1156" w:type="dxa"/>
            <w:shd w:val="clear" w:color="auto" w:fill="auto"/>
            <w:vAlign w:val="bottom"/>
          </w:tcPr>
          <w:p w14:paraId="13FB197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80,3</w:t>
            </w:r>
          </w:p>
        </w:tc>
        <w:tc>
          <w:tcPr>
            <w:tcW w:w="1734" w:type="dxa"/>
            <w:shd w:val="clear" w:color="auto" w:fill="auto"/>
            <w:vAlign w:val="bottom"/>
          </w:tcPr>
          <w:p w14:paraId="230BFB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61,8</w:t>
            </w:r>
          </w:p>
        </w:tc>
        <w:tc>
          <w:tcPr>
            <w:tcW w:w="1734" w:type="dxa"/>
            <w:shd w:val="clear" w:color="auto" w:fill="auto"/>
            <w:vAlign w:val="bottom"/>
          </w:tcPr>
          <w:p w14:paraId="1DC4520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92,8</w:t>
            </w:r>
          </w:p>
        </w:tc>
      </w:tr>
      <w:tr w:rsidR="00680417" w:rsidRPr="00DA21FF" w14:paraId="7A07FE64" w14:textId="77777777" w:rsidTr="00680417">
        <w:trPr>
          <w:trHeight w:val="240"/>
        </w:trPr>
        <w:tc>
          <w:tcPr>
            <w:tcW w:w="2746" w:type="dxa"/>
            <w:shd w:val="clear" w:color="auto" w:fill="auto"/>
          </w:tcPr>
          <w:p w14:paraId="7E5361C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2012</w:t>
            </w:r>
          </w:p>
        </w:tc>
        <w:tc>
          <w:tcPr>
            <w:tcW w:w="1156" w:type="dxa"/>
            <w:shd w:val="clear" w:color="auto" w:fill="auto"/>
            <w:vAlign w:val="bottom"/>
          </w:tcPr>
          <w:p w14:paraId="5FDA06B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90,1</w:t>
            </w:r>
          </w:p>
        </w:tc>
        <w:tc>
          <w:tcPr>
            <w:tcW w:w="1734" w:type="dxa"/>
            <w:shd w:val="clear" w:color="auto" w:fill="auto"/>
            <w:vAlign w:val="bottom"/>
          </w:tcPr>
          <w:p w14:paraId="4A3FD5E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80,2</w:t>
            </w:r>
          </w:p>
        </w:tc>
        <w:tc>
          <w:tcPr>
            <w:tcW w:w="1734" w:type="dxa"/>
            <w:shd w:val="clear" w:color="auto" w:fill="auto"/>
            <w:vAlign w:val="bottom"/>
          </w:tcPr>
          <w:p w14:paraId="0DFE90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96,6</w:t>
            </w:r>
          </w:p>
        </w:tc>
      </w:tr>
      <w:tr w:rsidR="00680417" w:rsidRPr="00DA21FF" w14:paraId="4F45AF2C" w14:textId="77777777" w:rsidTr="00680417">
        <w:trPr>
          <w:trHeight w:val="240"/>
        </w:trPr>
        <w:tc>
          <w:tcPr>
            <w:tcW w:w="2746" w:type="dxa"/>
            <w:shd w:val="clear" w:color="auto" w:fill="auto"/>
          </w:tcPr>
          <w:p w14:paraId="1FB7448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2015</w:t>
            </w:r>
          </w:p>
        </w:tc>
        <w:tc>
          <w:tcPr>
            <w:tcW w:w="1156" w:type="dxa"/>
            <w:shd w:val="clear" w:color="auto" w:fill="auto"/>
            <w:vAlign w:val="bottom"/>
          </w:tcPr>
          <w:p w14:paraId="54CDC9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90,4</w:t>
            </w:r>
          </w:p>
        </w:tc>
        <w:tc>
          <w:tcPr>
            <w:tcW w:w="1734" w:type="dxa"/>
            <w:shd w:val="clear" w:color="auto" w:fill="auto"/>
            <w:vAlign w:val="bottom"/>
          </w:tcPr>
          <w:p w14:paraId="75C11C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80,6</w:t>
            </w:r>
          </w:p>
        </w:tc>
        <w:tc>
          <w:tcPr>
            <w:tcW w:w="1734" w:type="dxa"/>
            <w:shd w:val="clear" w:color="auto" w:fill="auto"/>
            <w:vAlign w:val="bottom"/>
          </w:tcPr>
          <w:p w14:paraId="0C6D11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96,6</w:t>
            </w:r>
          </w:p>
        </w:tc>
      </w:tr>
      <w:tr w:rsidR="00680417" w:rsidRPr="00DA21FF" w14:paraId="4541307F" w14:textId="77777777" w:rsidTr="00680417">
        <w:trPr>
          <w:trHeight w:val="240"/>
        </w:trPr>
        <w:tc>
          <w:tcPr>
            <w:tcW w:w="2746" w:type="dxa"/>
            <w:shd w:val="clear" w:color="auto" w:fill="auto"/>
          </w:tcPr>
          <w:p w14:paraId="3F5E09F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2020</w:t>
            </w:r>
          </w:p>
        </w:tc>
        <w:tc>
          <w:tcPr>
            <w:tcW w:w="1156" w:type="dxa"/>
            <w:shd w:val="clear" w:color="auto" w:fill="auto"/>
            <w:vAlign w:val="bottom"/>
          </w:tcPr>
          <w:p w14:paraId="15B23B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92,7</w:t>
            </w:r>
          </w:p>
        </w:tc>
        <w:tc>
          <w:tcPr>
            <w:tcW w:w="1734" w:type="dxa"/>
            <w:shd w:val="clear" w:color="auto" w:fill="auto"/>
            <w:vAlign w:val="bottom"/>
          </w:tcPr>
          <w:p w14:paraId="719DA7F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85,4</w:t>
            </w:r>
          </w:p>
        </w:tc>
        <w:tc>
          <w:tcPr>
            <w:tcW w:w="1734" w:type="dxa"/>
            <w:shd w:val="clear" w:color="auto" w:fill="auto"/>
            <w:vAlign w:val="bottom"/>
          </w:tcPr>
          <w:p w14:paraId="4842C9B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97,3</w:t>
            </w:r>
          </w:p>
        </w:tc>
      </w:tr>
      <w:tr w:rsidR="00680417" w:rsidRPr="00DA21FF" w14:paraId="211FCCCE" w14:textId="77777777" w:rsidTr="00680417">
        <w:trPr>
          <w:trHeight w:val="240"/>
        </w:trPr>
        <w:tc>
          <w:tcPr>
            <w:tcW w:w="2746" w:type="dxa"/>
            <w:tcBorders>
              <w:bottom w:val="single" w:sz="12" w:space="0" w:color="auto"/>
            </w:tcBorders>
            <w:shd w:val="clear" w:color="auto" w:fill="auto"/>
          </w:tcPr>
          <w:p w14:paraId="70EE48C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2023</w:t>
            </w:r>
          </w:p>
        </w:tc>
        <w:tc>
          <w:tcPr>
            <w:tcW w:w="1156" w:type="dxa"/>
            <w:tcBorders>
              <w:bottom w:val="single" w:sz="12" w:space="0" w:color="auto"/>
            </w:tcBorders>
            <w:shd w:val="clear" w:color="auto" w:fill="auto"/>
            <w:vAlign w:val="bottom"/>
          </w:tcPr>
          <w:p w14:paraId="006A25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93,8</w:t>
            </w:r>
          </w:p>
        </w:tc>
        <w:tc>
          <w:tcPr>
            <w:tcW w:w="1734" w:type="dxa"/>
            <w:tcBorders>
              <w:bottom w:val="single" w:sz="12" w:space="0" w:color="auto"/>
            </w:tcBorders>
            <w:shd w:val="clear" w:color="auto" w:fill="auto"/>
            <w:vAlign w:val="bottom"/>
          </w:tcPr>
          <w:p w14:paraId="03299BB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88,6</w:t>
            </w:r>
          </w:p>
        </w:tc>
        <w:tc>
          <w:tcPr>
            <w:tcW w:w="1734" w:type="dxa"/>
            <w:tcBorders>
              <w:bottom w:val="single" w:sz="12" w:space="0" w:color="auto"/>
            </w:tcBorders>
            <w:shd w:val="clear" w:color="auto" w:fill="auto"/>
            <w:vAlign w:val="bottom"/>
          </w:tcPr>
          <w:p w14:paraId="6E467C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97,2</w:t>
            </w:r>
          </w:p>
        </w:tc>
      </w:tr>
    </w:tbl>
    <w:p w14:paraId="5C00C158" w14:textId="77777777" w:rsidR="00DA21FF" w:rsidRPr="003F1C60" w:rsidRDefault="00DA21FF" w:rsidP="003F1C60">
      <w:pPr>
        <w:pStyle w:val="SingleTxtG"/>
        <w:spacing w:before="120" w:after="240"/>
        <w:ind w:left="1304"/>
        <w:jc w:val="left"/>
        <w:rPr>
          <w:sz w:val="18"/>
          <w:szCs w:val="18"/>
          <w:lang w:val="en-GB"/>
        </w:rPr>
      </w:pPr>
      <w:r w:rsidRPr="003F1C60">
        <w:rPr>
          <w:i/>
          <w:sz w:val="18"/>
          <w:szCs w:val="18"/>
        </w:rPr>
        <w:t>Fuente:</w:t>
      </w:r>
      <w:r w:rsidRPr="003F1C60">
        <w:rPr>
          <w:sz w:val="18"/>
          <w:szCs w:val="18"/>
        </w:rPr>
        <w:t xml:space="preserve"> Instituto Nacional de Estadística de Noruega.</w:t>
      </w:r>
    </w:p>
    <w:p w14:paraId="240623E3" w14:textId="7EF10318" w:rsidR="00DA21FF" w:rsidRPr="00DA21FF" w:rsidRDefault="00DA21FF" w:rsidP="003F1C60">
      <w:pPr>
        <w:pStyle w:val="H23G"/>
        <w:rPr>
          <w:lang w:val="en-GB"/>
        </w:rPr>
      </w:pPr>
      <w:r w:rsidRPr="00DA21FF">
        <w:tab/>
      </w:r>
      <w:r w:rsidR="003F1C60">
        <w:tab/>
      </w:r>
      <w:r w:rsidRPr="00DA21FF">
        <w:t>Enseñanza y formación primaria y secundaria</w:t>
      </w:r>
    </w:p>
    <w:p w14:paraId="1A9B89EB" w14:textId="77777777" w:rsidR="00DA21FF" w:rsidRPr="00DA21FF" w:rsidRDefault="00DA21FF" w:rsidP="00DA21FF">
      <w:pPr>
        <w:pStyle w:val="SingleTxtG"/>
        <w:rPr>
          <w:lang w:val="en-GB"/>
        </w:rPr>
      </w:pPr>
      <w:r w:rsidRPr="00DA21FF">
        <w:t>42.</w:t>
      </w:r>
      <w:r w:rsidRPr="00DA21FF">
        <w:tab/>
        <w:t xml:space="preserve">La </w:t>
      </w:r>
      <w:r w:rsidRPr="00373B5F">
        <w:rPr>
          <w:u w:val="single"/>
        </w:rPr>
        <w:t>educación primaria y la educación secundaria inferior</w:t>
      </w:r>
      <w:r w:rsidRPr="00DA21FF">
        <w:t xml:space="preserve"> son obligatorias y abarcan la educación de los niños de 6 a 15 años, del 1º al 10º curso. El Gobierno tiene la responsabilidad general del desarrollo de las políticas, que administran los municipios. Los municipios están obligados a ofrecer atención antes y después del horario escolar a los alumnos del 1º al 4º curso y a los niños con necesidades especiales del 1º al 7º curso. La </w:t>
      </w:r>
      <w:r w:rsidRPr="00373B5F">
        <w:rPr>
          <w:u w:val="single"/>
        </w:rPr>
        <w:t>educación y formación secundaria alta</w:t>
      </w:r>
      <w:r w:rsidRPr="00DA21FF">
        <w:t xml:space="preserve"> comprende normalmente tres años de educación general o cuatro años de formación profesional tras los 10 años de educación obligatoria. La norma para el aprendizaje es dos años de formación profesional en la educación secundaria alta seguidos de dos años de aprendizaje. Las autoridades de condado administran la educación y formación secundaria alta.</w:t>
      </w:r>
    </w:p>
    <w:p w14:paraId="5C06B6AA" w14:textId="77777777" w:rsidR="00DA21FF" w:rsidRPr="00DA21FF" w:rsidRDefault="00DA21FF" w:rsidP="00DA21FF">
      <w:pPr>
        <w:pStyle w:val="SingleTxtG"/>
        <w:rPr>
          <w:lang w:val="en-GB"/>
        </w:rPr>
      </w:pPr>
      <w:r w:rsidRPr="00DA21FF">
        <w:t xml:space="preserve">43. </w:t>
      </w:r>
      <w:r w:rsidRPr="00DA21FF">
        <w:tab/>
        <w:t xml:space="preserve">El 93,1 % del grupo de edad de 16 a 18 años asiste a educación secundaria y formación superior alta, sin diferencias importantes entre sexos (2022). El 52 % de los alumnos de primer curso asisten a un programa de formación profesional (2023). El 68,8 % completa su educación en un plazo de tres a cuatro años y, después de cinco años, la tasa de finalización aumenta al 81 % (2016-2022). Las tasas de finalización son más bajas en el caso de los </w:t>
      </w:r>
      <w:r w:rsidRPr="00DA21FF">
        <w:lastRenderedPageBreak/>
        <w:t>alumnos varones y en el de los alumnos que inician la formación profesional. Las tasas han aumentado en los últimos 20 años, pero siguen siendo algo más bajas en el caso de los alumnos varones y de los que cursan formación profesional.</w:t>
      </w:r>
    </w:p>
    <w:p w14:paraId="089A7DBD" w14:textId="57799D40" w:rsidR="00DA21FF" w:rsidRPr="00DA21FF" w:rsidRDefault="003F1C60" w:rsidP="003F1C60">
      <w:pPr>
        <w:pStyle w:val="H23G"/>
        <w:rPr>
          <w:lang w:val="en-GB"/>
        </w:rPr>
      </w:pPr>
      <w:r>
        <w:tab/>
      </w:r>
      <w:r w:rsidR="00DA21FF" w:rsidRPr="00DA21FF">
        <w:tab/>
        <w:t xml:space="preserve">Alumnos, aprendices y pasantes en educación secundaria alta como porcentaje </w:t>
      </w:r>
      <w:r>
        <w:br/>
      </w:r>
      <w:r w:rsidR="00DA21FF" w:rsidRPr="00DA21FF">
        <w:t>de las cohortes registradas de 16 a 18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954"/>
        <w:gridCol w:w="1099"/>
        <w:gridCol w:w="1099"/>
        <w:gridCol w:w="1099"/>
      </w:tblGrid>
      <w:tr w:rsidR="00680417" w:rsidRPr="00680417" w14:paraId="52D30935" w14:textId="77777777" w:rsidTr="00E95817">
        <w:trPr>
          <w:trHeight w:val="240"/>
          <w:tblHeader/>
        </w:trPr>
        <w:tc>
          <w:tcPr>
            <w:tcW w:w="3119" w:type="dxa"/>
            <w:tcBorders>
              <w:top w:val="single" w:sz="4" w:space="0" w:color="auto"/>
              <w:bottom w:val="single" w:sz="12" w:space="0" w:color="auto"/>
            </w:tcBorders>
            <w:shd w:val="clear" w:color="auto" w:fill="auto"/>
            <w:vAlign w:val="bottom"/>
          </w:tcPr>
          <w:p w14:paraId="29D6774E"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954" w:type="dxa"/>
            <w:tcBorders>
              <w:top w:val="single" w:sz="4" w:space="0" w:color="auto"/>
              <w:bottom w:val="single" w:sz="12" w:space="0" w:color="auto"/>
            </w:tcBorders>
            <w:shd w:val="clear" w:color="auto" w:fill="auto"/>
            <w:vAlign w:val="bottom"/>
          </w:tcPr>
          <w:p w14:paraId="23ABB54B"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2010</w:t>
            </w:r>
            <w:r w:rsidRPr="00DA21FF">
              <w:rPr>
                <w:i/>
                <w:sz w:val="16"/>
              </w:rPr>
              <w:t xml:space="preserve"> </w:t>
            </w:r>
          </w:p>
        </w:tc>
        <w:tc>
          <w:tcPr>
            <w:tcW w:w="1099" w:type="dxa"/>
            <w:tcBorders>
              <w:top w:val="single" w:sz="4" w:space="0" w:color="auto"/>
              <w:bottom w:val="single" w:sz="12" w:space="0" w:color="auto"/>
            </w:tcBorders>
            <w:shd w:val="clear" w:color="auto" w:fill="auto"/>
            <w:vAlign w:val="bottom"/>
          </w:tcPr>
          <w:p w14:paraId="0D56BC71"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2015</w:t>
            </w:r>
            <w:r w:rsidRPr="00DA21FF">
              <w:rPr>
                <w:i/>
                <w:sz w:val="16"/>
              </w:rPr>
              <w:t xml:space="preserve"> </w:t>
            </w:r>
          </w:p>
        </w:tc>
        <w:tc>
          <w:tcPr>
            <w:tcW w:w="1099" w:type="dxa"/>
            <w:tcBorders>
              <w:top w:val="single" w:sz="4" w:space="0" w:color="auto"/>
              <w:bottom w:val="single" w:sz="12" w:space="0" w:color="auto"/>
            </w:tcBorders>
            <w:shd w:val="clear" w:color="auto" w:fill="auto"/>
            <w:vAlign w:val="bottom"/>
          </w:tcPr>
          <w:p w14:paraId="5387E56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c>
          <w:tcPr>
            <w:tcW w:w="1099" w:type="dxa"/>
            <w:tcBorders>
              <w:top w:val="single" w:sz="4" w:space="0" w:color="auto"/>
              <w:bottom w:val="single" w:sz="12" w:space="0" w:color="auto"/>
            </w:tcBorders>
            <w:shd w:val="clear" w:color="auto" w:fill="auto"/>
            <w:vAlign w:val="bottom"/>
          </w:tcPr>
          <w:p w14:paraId="1F77D27F"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2022</w:t>
            </w:r>
          </w:p>
        </w:tc>
      </w:tr>
      <w:tr w:rsidR="00680417" w:rsidRPr="00E95817" w14:paraId="51760BDD" w14:textId="77777777" w:rsidTr="00E95817">
        <w:trPr>
          <w:trHeight w:val="240"/>
        </w:trPr>
        <w:tc>
          <w:tcPr>
            <w:tcW w:w="3119" w:type="dxa"/>
            <w:tcBorders>
              <w:top w:val="single" w:sz="12" w:space="0" w:color="auto"/>
              <w:bottom w:val="single" w:sz="4" w:space="0" w:color="auto"/>
            </w:tcBorders>
            <w:shd w:val="clear" w:color="auto" w:fill="auto"/>
          </w:tcPr>
          <w:p w14:paraId="05152381" w14:textId="77777777" w:rsidR="00DA21FF" w:rsidRPr="00E95817" w:rsidRDefault="00DA21FF" w:rsidP="00E95817">
            <w:pPr>
              <w:pStyle w:val="SingleTxtG"/>
              <w:tabs>
                <w:tab w:val="clear" w:pos="1701"/>
                <w:tab w:val="clear" w:pos="2268"/>
                <w:tab w:val="clear" w:pos="2835"/>
              </w:tabs>
              <w:spacing w:before="80" w:after="80" w:line="220" w:lineRule="exact"/>
              <w:ind w:left="284" w:right="0"/>
              <w:jc w:val="left"/>
              <w:rPr>
                <w:b/>
                <w:sz w:val="18"/>
                <w:lang w:val="en-GB"/>
              </w:rPr>
            </w:pPr>
            <w:r w:rsidRPr="00E95817">
              <w:rPr>
                <w:b/>
                <w:sz w:val="18"/>
              </w:rPr>
              <w:t>Población total</w:t>
            </w:r>
          </w:p>
        </w:tc>
        <w:tc>
          <w:tcPr>
            <w:tcW w:w="954" w:type="dxa"/>
            <w:tcBorders>
              <w:top w:val="single" w:sz="12" w:space="0" w:color="auto"/>
              <w:bottom w:val="single" w:sz="4" w:space="0" w:color="auto"/>
            </w:tcBorders>
            <w:shd w:val="clear" w:color="auto" w:fill="auto"/>
            <w:vAlign w:val="bottom"/>
          </w:tcPr>
          <w:p w14:paraId="16FFB8E6" w14:textId="77777777" w:rsidR="00DA21FF" w:rsidRPr="00E95817" w:rsidRDefault="00DA21FF" w:rsidP="00E95817">
            <w:pPr>
              <w:pStyle w:val="SingleTxtG"/>
              <w:tabs>
                <w:tab w:val="clear" w:pos="1701"/>
                <w:tab w:val="clear" w:pos="2268"/>
                <w:tab w:val="clear" w:pos="2835"/>
              </w:tabs>
              <w:spacing w:before="80" w:after="80" w:line="220" w:lineRule="exact"/>
              <w:ind w:left="113" w:right="0"/>
              <w:jc w:val="right"/>
              <w:rPr>
                <w:b/>
                <w:sz w:val="18"/>
                <w:lang w:val="en-GB"/>
              </w:rPr>
            </w:pPr>
            <w:r w:rsidRPr="00E95817">
              <w:rPr>
                <w:b/>
                <w:sz w:val="18"/>
              </w:rPr>
              <w:t>91,0</w:t>
            </w:r>
          </w:p>
        </w:tc>
        <w:tc>
          <w:tcPr>
            <w:tcW w:w="1099" w:type="dxa"/>
            <w:tcBorders>
              <w:top w:val="single" w:sz="12" w:space="0" w:color="auto"/>
              <w:bottom w:val="single" w:sz="4" w:space="0" w:color="auto"/>
            </w:tcBorders>
            <w:shd w:val="clear" w:color="auto" w:fill="auto"/>
            <w:vAlign w:val="bottom"/>
          </w:tcPr>
          <w:p w14:paraId="6B650966" w14:textId="77777777" w:rsidR="00DA21FF" w:rsidRPr="00E95817" w:rsidRDefault="00DA21FF" w:rsidP="00E95817">
            <w:pPr>
              <w:pStyle w:val="SingleTxtG"/>
              <w:tabs>
                <w:tab w:val="clear" w:pos="1701"/>
                <w:tab w:val="clear" w:pos="2268"/>
                <w:tab w:val="clear" w:pos="2835"/>
              </w:tabs>
              <w:spacing w:before="80" w:after="80" w:line="220" w:lineRule="exact"/>
              <w:ind w:left="113" w:right="0"/>
              <w:jc w:val="right"/>
              <w:rPr>
                <w:b/>
                <w:sz w:val="18"/>
                <w:lang w:val="en-GB"/>
              </w:rPr>
            </w:pPr>
            <w:r w:rsidRPr="00E95817">
              <w:rPr>
                <w:b/>
                <w:sz w:val="18"/>
              </w:rPr>
              <w:t>92,2</w:t>
            </w:r>
          </w:p>
        </w:tc>
        <w:tc>
          <w:tcPr>
            <w:tcW w:w="1099" w:type="dxa"/>
            <w:tcBorders>
              <w:top w:val="single" w:sz="12" w:space="0" w:color="auto"/>
              <w:bottom w:val="single" w:sz="4" w:space="0" w:color="auto"/>
            </w:tcBorders>
            <w:shd w:val="clear" w:color="auto" w:fill="auto"/>
            <w:vAlign w:val="bottom"/>
          </w:tcPr>
          <w:p w14:paraId="1E267096" w14:textId="77777777" w:rsidR="00DA21FF" w:rsidRPr="00E95817" w:rsidRDefault="00DA21FF" w:rsidP="00E95817">
            <w:pPr>
              <w:pStyle w:val="SingleTxtG"/>
              <w:tabs>
                <w:tab w:val="clear" w:pos="1701"/>
                <w:tab w:val="clear" w:pos="2268"/>
                <w:tab w:val="clear" w:pos="2835"/>
              </w:tabs>
              <w:spacing w:before="80" w:after="80" w:line="220" w:lineRule="exact"/>
              <w:ind w:left="113" w:right="0"/>
              <w:jc w:val="right"/>
              <w:rPr>
                <w:b/>
                <w:sz w:val="18"/>
                <w:lang w:val="en-GB"/>
              </w:rPr>
            </w:pPr>
            <w:r w:rsidRPr="00E95817">
              <w:rPr>
                <w:b/>
                <w:sz w:val="18"/>
              </w:rPr>
              <w:t>94,3</w:t>
            </w:r>
          </w:p>
        </w:tc>
        <w:tc>
          <w:tcPr>
            <w:tcW w:w="1099" w:type="dxa"/>
            <w:tcBorders>
              <w:top w:val="single" w:sz="12" w:space="0" w:color="auto"/>
              <w:bottom w:val="single" w:sz="4" w:space="0" w:color="auto"/>
            </w:tcBorders>
            <w:shd w:val="clear" w:color="auto" w:fill="auto"/>
            <w:vAlign w:val="bottom"/>
          </w:tcPr>
          <w:p w14:paraId="43B9FEF0" w14:textId="77777777" w:rsidR="00DA21FF" w:rsidRPr="00E95817" w:rsidRDefault="00DA21FF" w:rsidP="00E95817">
            <w:pPr>
              <w:pStyle w:val="SingleTxtG"/>
              <w:tabs>
                <w:tab w:val="clear" w:pos="1701"/>
                <w:tab w:val="clear" w:pos="2268"/>
                <w:tab w:val="clear" w:pos="2835"/>
              </w:tabs>
              <w:spacing w:before="80" w:after="80" w:line="220" w:lineRule="exact"/>
              <w:ind w:left="113" w:right="0"/>
              <w:jc w:val="right"/>
              <w:rPr>
                <w:b/>
                <w:sz w:val="18"/>
                <w:lang w:val="en-GB"/>
              </w:rPr>
            </w:pPr>
            <w:r w:rsidRPr="00E95817">
              <w:rPr>
                <w:b/>
                <w:sz w:val="18"/>
              </w:rPr>
              <w:t>93,1</w:t>
            </w:r>
          </w:p>
        </w:tc>
      </w:tr>
      <w:tr w:rsidR="00680417" w:rsidRPr="00DA21FF" w14:paraId="7AA020E9" w14:textId="77777777" w:rsidTr="00E95817">
        <w:trPr>
          <w:trHeight w:val="240"/>
        </w:trPr>
        <w:tc>
          <w:tcPr>
            <w:tcW w:w="3119" w:type="dxa"/>
            <w:tcBorders>
              <w:top w:val="single" w:sz="4" w:space="0" w:color="auto"/>
            </w:tcBorders>
            <w:shd w:val="clear" w:color="auto" w:fill="auto"/>
          </w:tcPr>
          <w:p w14:paraId="38B1EC7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Inmigrantes</w:t>
            </w:r>
          </w:p>
        </w:tc>
        <w:tc>
          <w:tcPr>
            <w:tcW w:w="954" w:type="dxa"/>
            <w:tcBorders>
              <w:top w:val="single" w:sz="4" w:space="0" w:color="auto"/>
            </w:tcBorders>
            <w:shd w:val="clear" w:color="auto" w:fill="auto"/>
            <w:vAlign w:val="bottom"/>
          </w:tcPr>
          <w:p w14:paraId="1CCA2A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64,4</w:t>
            </w:r>
          </w:p>
        </w:tc>
        <w:tc>
          <w:tcPr>
            <w:tcW w:w="1099" w:type="dxa"/>
            <w:tcBorders>
              <w:top w:val="single" w:sz="4" w:space="0" w:color="auto"/>
            </w:tcBorders>
            <w:shd w:val="clear" w:color="auto" w:fill="auto"/>
            <w:vAlign w:val="bottom"/>
          </w:tcPr>
          <w:p w14:paraId="12D378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78,1</w:t>
            </w:r>
          </w:p>
        </w:tc>
        <w:tc>
          <w:tcPr>
            <w:tcW w:w="1099" w:type="dxa"/>
            <w:tcBorders>
              <w:top w:val="single" w:sz="4" w:space="0" w:color="auto"/>
            </w:tcBorders>
            <w:shd w:val="clear" w:color="auto" w:fill="auto"/>
            <w:vAlign w:val="bottom"/>
          </w:tcPr>
          <w:p w14:paraId="55C392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82,3</w:t>
            </w:r>
          </w:p>
        </w:tc>
        <w:tc>
          <w:tcPr>
            <w:tcW w:w="1099" w:type="dxa"/>
            <w:tcBorders>
              <w:top w:val="single" w:sz="4" w:space="0" w:color="auto"/>
            </w:tcBorders>
            <w:shd w:val="clear" w:color="auto" w:fill="auto"/>
            <w:vAlign w:val="bottom"/>
          </w:tcPr>
          <w:p w14:paraId="4AD579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83,2</w:t>
            </w:r>
          </w:p>
        </w:tc>
      </w:tr>
      <w:tr w:rsidR="00680417" w:rsidRPr="00DA21FF" w14:paraId="50A5E163" w14:textId="77777777" w:rsidTr="003F1C60">
        <w:trPr>
          <w:trHeight w:val="240"/>
        </w:trPr>
        <w:tc>
          <w:tcPr>
            <w:tcW w:w="3119" w:type="dxa"/>
            <w:tcBorders>
              <w:bottom w:val="single" w:sz="12" w:space="0" w:color="auto"/>
            </w:tcBorders>
            <w:shd w:val="clear" w:color="auto" w:fill="auto"/>
          </w:tcPr>
          <w:p w14:paraId="6C1B946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Nacido en Noruega de padres inmigrantes</w:t>
            </w:r>
          </w:p>
        </w:tc>
        <w:tc>
          <w:tcPr>
            <w:tcW w:w="954" w:type="dxa"/>
            <w:tcBorders>
              <w:bottom w:val="single" w:sz="12" w:space="0" w:color="auto"/>
            </w:tcBorders>
            <w:shd w:val="clear" w:color="auto" w:fill="auto"/>
            <w:vAlign w:val="bottom"/>
          </w:tcPr>
          <w:p w14:paraId="791A680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90,1</w:t>
            </w:r>
          </w:p>
        </w:tc>
        <w:tc>
          <w:tcPr>
            <w:tcW w:w="1099" w:type="dxa"/>
            <w:tcBorders>
              <w:bottom w:val="single" w:sz="12" w:space="0" w:color="auto"/>
            </w:tcBorders>
            <w:shd w:val="clear" w:color="auto" w:fill="auto"/>
            <w:vAlign w:val="bottom"/>
          </w:tcPr>
          <w:p w14:paraId="0515983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92,5</w:t>
            </w:r>
          </w:p>
        </w:tc>
        <w:tc>
          <w:tcPr>
            <w:tcW w:w="1099" w:type="dxa"/>
            <w:tcBorders>
              <w:bottom w:val="single" w:sz="12" w:space="0" w:color="auto"/>
            </w:tcBorders>
            <w:shd w:val="clear" w:color="auto" w:fill="auto"/>
            <w:vAlign w:val="bottom"/>
          </w:tcPr>
          <w:p w14:paraId="287CDDA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93,6</w:t>
            </w:r>
          </w:p>
        </w:tc>
        <w:tc>
          <w:tcPr>
            <w:tcW w:w="1099" w:type="dxa"/>
            <w:tcBorders>
              <w:bottom w:val="single" w:sz="12" w:space="0" w:color="auto"/>
            </w:tcBorders>
            <w:shd w:val="clear" w:color="auto" w:fill="auto"/>
            <w:vAlign w:val="bottom"/>
          </w:tcPr>
          <w:p w14:paraId="594F420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94,0</w:t>
            </w:r>
          </w:p>
        </w:tc>
      </w:tr>
    </w:tbl>
    <w:p w14:paraId="06C465B1" w14:textId="77777777" w:rsidR="00DA21FF" w:rsidRPr="003F1C60" w:rsidRDefault="00DA21FF" w:rsidP="003F1C60">
      <w:pPr>
        <w:pStyle w:val="SingleTxtG"/>
        <w:spacing w:before="120" w:after="240"/>
        <w:ind w:left="1304"/>
        <w:jc w:val="left"/>
        <w:rPr>
          <w:sz w:val="18"/>
          <w:szCs w:val="18"/>
        </w:rPr>
      </w:pPr>
      <w:r w:rsidRPr="003F1C60">
        <w:rPr>
          <w:i/>
          <w:sz w:val="18"/>
          <w:szCs w:val="18"/>
        </w:rPr>
        <w:t>Fuente:</w:t>
      </w:r>
      <w:r w:rsidRPr="003F1C60">
        <w:rPr>
          <w:sz w:val="18"/>
          <w:szCs w:val="18"/>
        </w:rPr>
        <w:t xml:space="preserve"> Instituto Nacional de Estadística de Noruega.</w:t>
      </w:r>
    </w:p>
    <w:p w14:paraId="377DD8CB" w14:textId="7A4D6273" w:rsidR="00DA21FF" w:rsidRPr="00DA21FF" w:rsidRDefault="00DA21FF" w:rsidP="003F1C60">
      <w:pPr>
        <w:pStyle w:val="H23G"/>
        <w:rPr>
          <w:lang w:val="en-GB"/>
        </w:rPr>
      </w:pPr>
      <w:r w:rsidRPr="00DA21FF">
        <w:tab/>
      </w:r>
      <w:r w:rsidR="003F1C60">
        <w:tab/>
      </w:r>
      <w:r w:rsidRPr="00DA21FF">
        <w:t>Educación superior</w:t>
      </w:r>
    </w:p>
    <w:p w14:paraId="71F2C500" w14:textId="5A5915A1" w:rsidR="00DA21FF" w:rsidRPr="00DA21FF" w:rsidRDefault="00DA21FF" w:rsidP="00DA21FF">
      <w:pPr>
        <w:pStyle w:val="SingleTxtG"/>
        <w:rPr>
          <w:lang w:val="en-GB"/>
        </w:rPr>
      </w:pPr>
      <w:r w:rsidRPr="00DA21FF">
        <w:t>44.</w:t>
      </w:r>
      <w:r w:rsidRPr="00DA21FF">
        <w:tab/>
        <w:t xml:space="preserve">La </w:t>
      </w:r>
      <w:r w:rsidRPr="00373B5F">
        <w:rPr>
          <w:u w:val="single"/>
        </w:rPr>
        <w:t>educación superior</w:t>
      </w:r>
      <w:r w:rsidRPr="00DA21FF">
        <w:t xml:space="preserve"> la imparten en gran medida instituciones estatales organizadas directamente por el Ministerio de Educación e Investigación del que dependen. En 2023, el</w:t>
      </w:r>
      <w:r w:rsidR="000725E8">
        <w:t> </w:t>
      </w:r>
      <w:r w:rsidRPr="00DA21FF">
        <w:t>83 % de los estudiantes noruegos asistían a centros de enseñanza superior estatales (públicos). La educación superior pública es gratuita tanto para los estudiantes noruegos como para los de países de la UE/</w:t>
      </w:r>
      <w:proofErr w:type="spellStart"/>
      <w:r w:rsidRPr="00DA21FF">
        <w:t>EEE</w:t>
      </w:r>
      <w:proofErr w:type="spellEnd"/>
      <w:r w:rsidRPr="00DA21FF">
        <w:t>. La mayoría de los centros privados de educación superior reciben subvenciones públicas para sufragar parte o la totalidad de los costos de la oferta educativa. Los estudiantes de centros de enseñanza superior a los que se les cobra derechos de matrícula tienen derecho a una ayuda del Fondo Estatal de Préstamos Educativos, para cubrir dichos derechos, de conformidad con la normativa establecida. Cada institución de enseñanza superior tiene un consejo de administración, que es responsable de la dirección y organización de las operaciones. Las instituciones acreditadas gozan de amplia autonomía académica. Las universidades están acreditadas para establecer libremente programas de estudio en todas las disciplinas y a todos los niveles, desde el título de grado hasta el nivel de doctorado, mientras que otras instituciones de enseñanza superior acreditadas solo son libres de establecer programas a todos los niveles en las disciplinas en las que están acreditadas para ofrecer programas de doctorado. En otras disciplinas, tienen que solicitar la acreditación de maestrías y programas de doctorado a la Agencia Noruega para el Aseguramiento de la Calidad en la Educación (</w:t>
      </w:r>
      <w:proofErr w:type="spellStart"/>
      <w:r w:rsidRPr="00DA21FF">
        <w:t>NOKUT</w:t>
      </w:r>
      <w:proofErr w:type="spellEnd"/>
      <w:r w:rsidRPr="00DA21FF">
        <w:t xml:space="preserve">). Los proveedores privados sin acreditación institucional deben solicitar a la </w:t>
      </w:r>
      <w:proofErr w:type="spellStart"/>
      <w:r w:rsidRPr="00DA21FF">
        <w:t>NOKUT</w:t>
      </w:r>
      <w:proofErr w:type="spellEnd"/>
      <w:r w:rsidRPr="00DA21FF">
        <w:t xml:space="preserve"> la acreditación de todos los nuevos programas, incluidos los de nivel de título de grado.</w:t>
      </w:r>
    </w:p>
    <w:p w14:paraId="097C885D" w14:textId="77777777" w:rsidR="00DA21FF" w:rsidRPr="00DA21FF" w:rsidRDefault="00DA21FF" w:rsidP="003F1C60">
      <w:pPr>
        <w:pStyle w:val="H23G"/>
        <w:rPr>
          <w:lang w:val="en-GB"/>
        </w:rPr>
      </w:pPr>
      <w:r w:rsidRPr="00DA21FF">
        <w:tab/>
      </w:r>
      <w:r w:rsidRPr="00DA21FF">
        <w:tab/>
        <w:t xml:space="preserve">Estudiantes de educación superior en Noruega y en el extranjero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
        <w:gridCol w:w="4292"/>
        <w:gridCol w:w="979"/>
        <w:gridCol w:w="753"/>
        <w:gridCol w:w="753"/>
        <w:gridCol w:w="753"/>
      </w:tblGrid>
      <w:tr w:rsidR="00680417" w:rsidRPr="00680417" w14:paraId="3BD12701" w14:textId="77777777" w:rsidTr="00680417">
        <w:trPr>
          <w:trHeight w:val="240"/>
          <w:tblHeader/>
        </w:trPr>
        <w:tc>
          <w:tcPr>
            <w:tcW w:w="4307" w:type="dxa"/>
            <w:gridSpan w:val="2"/>
            <w:tcBorders>
              <w:top w:val="single" w:sz="4" w:space="0" w:color="auto"/>
              <w:bottom w:val="single" w:sz="12" w:space="0" w:color="auto"/>
            </w:tcBorders>
            <w:shd w:val="clear" w:color="auto" w:fill="auto"/>
            <w:noWrap/>
            <w:vAlign w:val="bottom"/>
            <w:hideMark/>
          </w:tcPr>
          <w:p w14:paraId="098818E7"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1021" w:type="dxa"/>
            <w:tcBorders>
              <w:top w:val="single" w:sz="4" w:space="0" w:color="auto"/>
              <w:bottom w:val="single" w:sz="12" w:space="0" w:color="auto"/>
            </w:tcBorders>
            <w:shd w:val="clear" w:color="auto" w:fill="auto"/>
            <w:vAlign w:val="bottom"/>
          </w:tcPr>
          <w:p w14:paraId="45300379"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p>
        </w:tc>
        <w:tc>
          <w:tcPr>
            <w:tcW w:w="737" w:type="dxa"/>
            <w:tcBorders>
              <w:top w:val="single" w:sz="4" w:space="0" w:color="auto"/>
              <w:bottom w:val="single" w:sz="12" w:space="0" w:color="auto"/>
            </w:tcBorders>
            <w:shd w:val="clear" w:color="auto" w:fill="auto"/>
            <w:noWrap/>
            <w:vAlign w:val="bottom"/>
            <w:hideMark/>
          </w:tcPr>
          <w:p w14:paraId="5E022394"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2006</w:t>
            </w:r>
          </w:p>
        </w:tc>
        <w:tc>
          <w:tcPr>
            <w:tcW w:w="737" w:type="dxa"/>
            <w:tcBorders>
              <w:top w:val="single" w:sz="4" w:space="0" w:color="auto"/>
              <w:bottom w:val="single" w:sz="12" w:space="0" w:color="auto"/>
            </w:tcBorders>
            <w:shd w:val="clear" w:color="auto" w:fill="auto"/>
            <w:noWrap/>
            <w:vAlign w:val="bottom"/>
            <w:hideMark/>
          </w:tcPr>
          <w:p w14:paraId="131BD0D1"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2015</w:t>
            </w:r>
          </w:p>
        </w:tc>
        <w:tc>
          <w:tcPr>
            <w:tcW w:w="737" w:type="dxa"/>
            <w:tcBorders>
              <w:top w:val="single" w:sz="4" w:space="0" w:color="auto"/>
              <w:bottom w:val="single" w:sz="12" w:space="0" w:color="auto"/>
            </w:tcBorders>
            <w:shd w:val="clear" w:color="auto" w:fill="auto"/>
            <w:noWrap/>
            <w:vAlign w:val="bottom"/>
            <w:hideMark/>
          </w:tcPr>
          <w:p w14:paraId="2D26928E"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2023</w:t>
            </w:r>
          </w:p>
        </w:tc>
      </w:tr>
      <w:tr w:rsidR="00680417" w:rsidRPr="003F1C60" w14:paraId="04618CDB" w14:textId="77777777" w:rsidTr="003F1C60">
        <w:trPr>
          <w:trHeight w:val="240"/>
        </w:trPr>
        <w:tc>
          <w:tcPr>
            <w:tcW w:w="4307" w:type="dxa"/>
            <w:gridSpan w:val="2"/>
            <w:tcBorders>
              <w:top w:val="single" w:sz="12" w:space="0" w:color="auto"/>
              <w:bottom w:val="single" w:sz="4" w:space="0" w:color="auto"/>
            </w:tcBorders>
            <w:shd w:val="clear" w:color="auto" w:fill="auto"/>
            <w:noWrap/>
            <w:hideMark/>
          </w:tcPr>
          <w:p w14:paraId="61D22DE6" w14:textId="77777777"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r w:rsidRPr="003F1C60">
              <w:rPr>
                <w:b/>
                <w:bCs/>
                <w:sz w:val="18"/>
              </w:rPr>
              <w:t>Estudiantes de educación superior</w:t>
            </w:r>
          </w:p>
        </w:tc>
        <w:tc>
          <w:tcPr>
            <w:tcW w:w="1021" w:type="dxa"/>
            <w:tcBorders>
              <w:top w:val="single" w:sz="12" w:space="0" w:color="auto"/>
              <w:bottom w:val="single" w:sz="4" w:space="0" w:color="auto"/>
            </w:tcBorders>
            <w:shd w:val="clear" w:color="auto" w:fill="auto"/>
            <w:vAlign w:val="bottom"/>
          </w:tcPr>
          <w:p w14:paraId="5737B6E8"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37" w:type="dxa"/>
            <w:tcBorders>
              <w:top w:val="single" w:sz="12" w:space="0" w:color="auto"/>
              <w:bottom w:val="single" w:sz="4" w:space="0" w:color="auto"/>
            </w:tcBorders>
            <w:shd w:val="clear" w:color="auto" w:fill="auto"/>
            <w:noWrap/>
            <w:vAlign w:val="bottom"/>
            <w:hideMark/>
          </w:tcPr>
          <w:p w14:paraId="0F70C0C5"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37" w:type="dxa"/>
            <w:tcBorders>
              <w:top w:val="single" w:sz="12" w:space="0" w:color="auto"/>
              <w:bottom w:val="single" w:sz="4" w:space="0" w:color="auto"/>
            </w:tcBorders>
            <w:shd w:val="clear" w:color="auto" w:fill="auto"/>
            <w:noWrap/>
            <w:vAlign w:val="bottom"/>
            <w:hideMark/>
          </w:tcPr>
          <w:p w14:paraId="739FFAEA"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37" w:type="dxa"/>
            <w:tcBorders>
              <w:top w:val="single" w:sz="12" w:space="0" w:color="auto"/>
              <w:bottom w:val="single" w:sz="4" w:space="0" w:color="auto"/>
            </w:tcBorders>
            <w:shd w:val="clear" w:color="auto" w:fill="auto"/>
            <w:noWrap/>
            <w:vAlign w:val="bottom"/>
            <w:hideMark/>
          </w:tcPr>
          <w:p w14:paraId="5B69C96F"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r>
      <w:tr w:rsidR="00680417" w:rsidRPr="003F1C60" w14:paraId="65C1DD71" w14:textId="77777777" w:rsidTr="003F1C60">
        <w:trPr>
          <w:trHeight w:val="240"/>
        </w:trPr>
        <w:tc>
          <w:tcPr>
            <w:tcW w:w="4307" w:type="dxa"/>
            <w:gridSpan w:val="2"/>
            <w:tcBorders>
              <w:top w:val="single" w:sz="4" w:space="0" w:color="auto"/>
              <w:bottom w:val="single" w:sz="4" w:space="0" w:color="auto"/>
            </w:tcBorders>
            <w:shd w:val="clear" w:color="auto" w:fill="auto"/>
            <w:noWrap/>
            <w:hideMark/>
          </w:tcPr>
          <w:p w14:paraId="2D6565C2" w14:textId="77777777" w:rsidR="00DA21FF" w:rsidRPr="003F1C60" w:rsidRDefault="00DA21FF" w:rsidP="003F1C60">
            <w:pPr>
              <w:pStyle w:val="SingleTxtG"/>
              <w:tabs>
                <w:tab w:val="clear" w:pos="1701"/>
                <w:tab w:val="clear" w:pos="2268"/>
                <w:tab w:val="clear" w:pos="2835"/>
              </w:tabs>
              <w:spacing w:before="80" w:after="80" w:line="220" w:lineRule="exact"/>
              <w:ind w:left="284" w:right="0"/>
              <w:jc w:val="left"/>
              <w:rPr>
                <w:b/>
                <w:sz w:val="18"/>
                <w:lang w:val="en-GB"/>
              </w:rPr>
            </w:pPr>
            <w:r w:rsidRPr="003F1C60">
              <w:rPr>
                <w:b/>
                <w:sz w:val="18"/>
              </w:rPr>
              <w:t>Total</w:t>
            </w:r>
          </w:p>
        </w:tc>
        <w:tc>
          <w:tcPr>
            <w:tcW w:w="1021" w:type="dxa"/>
            <w:tcBorders>
              <w:top w:val="single" w:sz="4" w:space="0" w:color="auto"/>
              <w:bottom w:val="single" w:sz="4" w:space="0" w:color="auto"/>
            </w:tcBorders>
            <w:shd w:val="clear" w:color="auto" w:fill="auto"/>
            <w:vAlign w:val="bottom"/>
          </w:tcPr>
          <w:p w14:paraId="25FD7FCC" w14:textId="7777777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p>
        </w:tc>
        <w:tc>
          <w:tcPr>
            <w:tcW w:w="737" w:type="dxa"/>
            <w:tcBorders>
              <w:top w:val="single" w:sz="4" w:space="0" w:color="auto"/>
              <w:bottom w:val="single" w:sz="4" w:space="0" w:color="auto"/>
            </w:tcBorders>
            <w:shd w:val="clear" w:color="auto" w:fill="auto"/>
            <w:noWrap/>
            <w:vAlign w:val="bottom"/>
            <w:hideMark/>
          </w:tcPr>
          <w:p w14:paraId="091C710E" w14:textId="33753956"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222</w:t>
            </w:r>
            <w:r w:rsidR="003F1C60">
              <w:rPr>
                <w:b/>
                <w:sz w:val="18"/>
              </w:rPr>
              <w:t xml:space="preserve"> </w:t>
            </w:r>
            <w:r w:rsidRPr="003F1C60">
              <w:rPr>
                <w:b/>
                <w:sz w:val="18"/>
              </w:rPr>
              <w:t>975</w:t>
            </w:r>
          </w:p>
        </w:tc>
        <w:tc>
          <w:tcPr>
            <w:tcW w:w="737" w:type="dxa"/>
            <w:tcBorders>
              <w:top w:val="single" w:sz="4" w:space="0" w:color="auto"/>
              <w:bottom w:val="single" w:sz="4" w:space="0" w:color="auto"/>
            </w:tcBorders>
            <w:shd w:val="clear" w:color="auto" w:fill="auto"/>
            <w:noWrap/>
            <w:vAlign w:val="bottom"/>
            <w:hideMark/>
          </w:tcPr>
          <w:p w14:paraId="2329E58D" w14:textId="3ECFDEB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283</w:t>
            </w:r>
            <w:r w:rsidR="003F1C60">
              <w:rPr>
                <w:b/>
                <w:sz w:val="18"/>
              </w:rPr>
              <w:t xml:space="preserve"> </w:t>
            </w:r>
            <w:r w:rsidRPr="003F1C60">
              <w:rPr>
                <w:b/>
                <w:sz w:val="18"/>
              </w:rPr>
              <w:t>115</w:t>
            </w:r>
          </w:p>
        </w:tc>
        <w:tc>
          <w:tcPr>
            <w:tcW w:w="737" w:type="dxa"/>
            <w:tcBorders>
              <w:top w:val="single" w:sz="4" w:space="0" w:color="auto"/>
              <w:bottom w:val="single" w:sz="4" w:space="0" w:color="auto"/>
            </w:tcBorders>
            <w:shd w:val="clear" w:color="auto" w:fill="auto"/>
            <w:noWrap/>
            <w:vAlign w:val="bottom"/>
            <w:hideMark/>
          </w:tcPr>
          <w:p w14:paraId="1958264B" w14:textId="5C4E2210"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311</w:t>
            </w:r>
            <w:r w:rsidR="003F1C60">
              <w:rPr>
                <w:b/>
                <w:sz w:val="18"/>
              </w:rPr>
              <w:t xml:space="preserve"> </w:t>
            </w:r>
            <w:r w:rsidRPr="003F1C60">
              <w:rPr>
                <w:b/>
                <w:sz w:val="18"/>
              </w:rPr>
              <w:t>765</w:t>
            </w:r>
          </w:p>
        </w:tc>
      </w:tr>
      <w:tr w:rsidR="00680417" w:rsidRPr="00DA21FF" w14:paraId="280DB7A4" w14:textId="77777777" w:rsidTr="003F1C60">
        <w:trPr>
          <w:trHeight w:val="240"/>
        </w:trPr>
        <w:tc>
          <w:tcPr>
            <w:tcW w:w="4307" w:type="dxa"/>
            <w:gridSpan w:val="2"/>
            <w:tcBorders>
              <w:top w:val="single" w:sz="4" w:space="0" w:color="auto"/>
              <w:bottom w:val="nil"/>
            </w:tcBorders>
            <w:shd w:val="clear" w:color="auto" w:fill="auto"/>
            <w:noWrap/>
            <w:hideMark/>
          </w:tcPr>
          <w:p w14:paraId="59591BD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1021" w:type="dxa"/>
            <w:tcBorders>
              <w:top w:val="single" w:sz="4" w:space="0" w:color="auto"/>
              <w:bottom w:val="nil"/>
            </w:tcBorders>
            <w:shd w:val="clear" w:color="auto" w:fill="auto"/>
            <w:vAlign w:val="bottom"/>
          </w:tcPr>
          <w:p w14:paraId="4A8E784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top w:val="single" w:sz="4" w:space="0" w:color="auto"/>
              <w:bottom w:val="nil"/>
            </w:tcBorders>
            <w:shd w:val="clear" w:color="auto" w:fill="auto"/>
            <w:noWrap/>
            <w:vAlign w:val="bottom"/>
            <w:hideMark/>
          </w:tcPr>
          <w:p w14:paraId="56A9F059" w14:textId="3E113893"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w:t>
            </w:r>
            <w:r w:rsidR="003F1C60">
              <w:rPr>
                <w:sz w:val="18"/>
              </w:rPr>
              <w:t xml:space="preserve"> </w:t>
            </w:r>
            <w:r w:rsidRPr="00DA21FF">
              <w:rPr>
                <w:sz w:val="18"/>
              </w:rPr>
              <w:t>705</w:t>
            </w:r>
          </w:p>
        </w:tc>
        <w:tc>
          <w:tcPr>
            <w:tcW w:w="737" w:type="dxa"/>
            <w:tcBorders>
              <w:top w:val="single" w:sz="4" w:space="0" w:color="auto"/>
              <w:bottom w:val="nil"/>
            </w:tcBorders>
            <w:shd w:val="clear" w:color="auto" w:fill="auto"/>
            <w:noWrap/>
            <w:vAlign w:val="bottom"/>
            <w:hideMark/>
          </w:tcPr>
          <w:p w14:paraId="50766005" w14:textId="5EF0869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113</w:t>
            </w:r>
            <w:r w:rsidR="003F1C60">
              <w:rPr>
                <w:sz w:val="18"/>
              </w:rPr>
              <w:t xml:space="preserve"> </w:t>
            </w:r>
            <w:r w:rsidRPr="00DA21FF">
              <w:rPr>
                <w:sz w:val="18"/>
              </w:rPr>
              <w:t>833</w:t>
            </w:r>
          </w:p>
        </w:tc>
        <w:tc>
          <w:tcPr>
            <w:tcW w:w="737" w:type="dxa"/>
            <w:tcBorders>
              <w:top w:val="single" w:sz="4" w:space="0" w:color="auto"/>
              <w:bottom w:val="nil"/>
            </w:tcBorders>
            <w:shd w:val="clear" w:color="auto" w:fill="auto"/>
            <w:noWrap/>
            <w:vAlign w:val="bottom"/>
            <w:hideMark/>
          </w:tcPr>
          <w:p w14:paraId="684E89EA" w14:textId="53F67A70"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122</w:t>
            </w:r>
            <w:r w:rsidR="003F1C60">
              <w:rPr>
                <w:sz w:val="18"/>
              </w:rPr>
              <w:t xml:space="preserve"> </w:t>
            </w:r>
            <w:r w:rsidRPr="00DA21FF">
              <w:rPr>
                <w:sz w:val="18"/>
              </w:rPr>
              <w:t>827</w:t>
            </w:r>
          </w:p>
        </w:tc>
      </w:tr>
      <w:tr w:rsidR="00680417" w:rsidRPr="00DA21FF" w14:paraId="7C34947F" w14:textId="77777777" w:rsidTr="00E95817">
        <w:trPr>
          <w:trHeight w:val="240"/>
        </w:trPr>
        <w:tc>
          <w:tcPr>
            <w:tcW w:w="4307" w:type="dxa"/>
            <w:gridSpan w:val="2"/>
            <w:tcBorders>
              <w:top w:val="nil"/>
              <w:bottom w:val="single" w:sz="4" w:space="0" w:color="auto"/>
            </w:tcBorders>
            <w:shd w:val="clear" w:color="auto" w:fill="auto"/>
            <w:noWrap/>
            <w:hideMark/>
          </w:tcPr>
          <w:p w14:paraId="314ADC0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1021" w:type="dxa"/>
            <w:tcBorders>
              <w:top w:val="nil"/>
              <w:bottom w:val="single" w:sz="4" w:space="0" w:color="auto"/>
            </w:tcBorders>
            <w:shd w:val="clear" w:color="auto" w:fill="auto"/>
            <w:vAlign w:val="bottom"/>
          </w:tcPr>
          <w:p w14:paraId="1FE8D7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top w:val="nil"/>
              <w:bottom w:val="single" w:sz="4" w:space="0" w:color="auto"/>
            </w:tcBorders>
            <w:shd w:val="clear" w:color="auto" w:fill="auto"/>
            <w:noWrap/>
            <w:vAlign w:val="bottom"/>
            <w:hideMark/>
          </w:tcPr>
          <w:p w14:paraId="42AEC7ED" w14:textId="4623E9BB"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134</w:t>
            </w:r>
            <w:r w:rsidR="003F1C60">
              <w:rPr>
                <w:sz w:val="18"/>
              </w:rPr>
              <w:t xml:space="preserve"> </w:t>
            </w:r>
            <w:r w:rsidRPr="00DA21FF">
              <w:rPr>
                <w:sz w:val="18"/>
              </w:rPr>
              <w:t>270</w:t>
            </w:r>
          </w:p>
        </w:tc>
        <w:tc>
          <w:tcPr>
            <w:tcW w:w="737" w:type="dxa"/>
            <w:tcBorders>
              <w:top w:val="nil"/>
              <w:bottom w:val="single" w:sz="4" w:space="0" w:color="auto"/>
            </w:tcBorders>
            <w:shd w:val="clear" w:color="auto" w:fill="auto"/>
            <w:noWrap/>
            <w:vAlign w:val="bottom"/>
            <w:hideMark/>
          </w:tcPr>
          <w:p w14:paraId="4638AC3C" w14:textId="7768652F"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169</w:t>
            </w:r>
            <w:r w:rsidR="003F1C60">
              <w:rPr>
                <w:sz w:val="18"/>
              </w:rPr>
              <w:t xml:space="preserve"> </w:t>
            </w:r>
            <w:r w:rsidRPr="00DA21FF">
              <w:rPr>
                <w:sz w:val="18"/>
              </w:rPr>
              <w:t>282</w:t>
            </w:r>
          </w:p>
        </w:tc>
        <w:tc>
          <w:tcPr>
            <w:tcW w:w="737" w:type="dxa"/>
            <w:tcBorders>
              <w:top w:val="nil"/>
              <w:bottom w:val="single" w:sz="4" w:space="0" w:color="auto"/>
            </w:tcBorders>
            <w:shd w:val="clear" w:color="auto" w:fill="auto"/>
            <w:noWrap/>
            <w:vAlign w:val="bottom"/>
            <w:hideMark/>
          </w:tcPr>
          <w:p w14:paraId="07344B2C" w14:textId="17B256C1"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188</w:t>
            </w:r>
            <w:r w:rsidR="003F1C60">
              <w:rPr>
                <w:sz w:val="18"/>
              </w:rPr>
              <w:t xml:space="preserve"> </w:t>
            </w:r>
            <w:r w:rsidRPr="00DA21FF">
              <w:rPr>
                <w:sz w:val="18"/>
              </w:rPr>
              <w:t>938</w:t>
            </w:r>
          </w:p>
        </w:tc>
      </w:tr>
      <w:tr w:rsidR="00680417" w:rsidRPr="003F1C60" w14:paraId="7A33CEDE" w14:textId="77777777" w:rsidTr="00E95817">
        <w:trPr>
          <w:trHeight w:val="240"/>
        </w:trPr>
        <w:tc>
          <w:tcPr>
            <w:tcW w:w="7539" w:type="dxa"/>
            <w:gridSpan w:val="6"/>
            <w:tcBorders>
              <w:top w:val="single" w:sz="4" w:space="0" w:color="auto"/>
              <w:bottom w:val="single" w:sz="4" w:space="0" w:color="auto"/>
            </w:tcBorders>
            <w:shd w:val="clear" w:color="auto" w:fill="auto"/>
          </w:tcPr>
          <w:p w14:paraId="0831D137" w14:textId="77777777" w:rsidR="00DA21FF" w:rsidRPr="003F1C60" w:rsidRDefault="00DA21FF" w:rsidP="003F1C60">
            <w:pPr>
              <w:pStyle w:val="SingleTxtG"/>
              <w:keepNext/>
              <w:tabs>
                <w:tab w:val="clear" w:pos="1701"/>
                <w:tab w:val="clear" w:pos="2268"/>
                <w:tab w:val="clear" w:pos="2835"/>
              </w:tabs>
              <w:spacing w:before="40" w:after="40" w:line="220" w:lineRule="exact"/>
              <w:ind w:left="0" w:right="0"/>
              <w:jc w:val="left"/>
              <w:rPr>
                <w:b/>
                <w:bCs/>
                <w:iCs/>
                <w:sz w:val="18"/>
                <w:lang w:val="en-GB"/>
              </w:rPr>
            </w:pPr>
            <w:r w:rsidRPr="003F1C60">
              <w:rPr>
                <w:b/>
                <w:bCs/>
                <w:sz w:val="18"/>
              </w:rPr>
              <w:t>Porcentaje de personas de 19 a 24 años que cursan estudios superiores</w:t>
            </w:r>
          </w:p>
        </w:tc>
      </w:tr>
      <w:tr w:rsidR="00680417" w:rsidRPr="003F1C60" w14:paraId="1AD16049" w14:textId="77777777" w:rsidTr="003F1C60">
        <w:trPr>
          <w:trHeight w:val="240"/>
        </w:trPr>
        <w:tc>
          <w:tcPr>
            <w:tcW w:w="4307" w:type="dxa"/>
            <w:gridSpan w:val="2"/>
            <w:tcBorders>
              <w:top w:val="single" w:sz="4" w:space="0" w:color="auto"/>
              <w:bottom w:val="single" w:sz="4" w:space="0" w:color="auto"/>
            </w:tcBorders>
            <w:shd w:val="clear" w:color="auto" w:fill="auto"/>
            <w:noWrap/>
            <w:hideMark/>
          </w:tcPr>
          <w:p w14:paraId="30941B14" w14:textId="77777777" w:rsidR="00DA21FF" w:rsidRPr="003F1C60" w:rsidRDefault="00DA21FF" w:rsidP="003F1C60">
            <w:pPr>
              <w:pStyle w:val="SingleTxtG"/>
              <w:keepNext/>
              <w:tabs>
                <w:tab w:val="clear" w:pos="1701"/>
                <w:tab w:val="clear" w:pos="2268"/>
                <w:tab w:val="clear" w:pos="2835"/>
              </w:tabs>
              <w:spacing w:before="80" w:after="80" w:line="220" w:lineRule="exact"/>
              <w:ind w:left="284" w:right="0"/>
              <w:jc w:val="left"/>
              <w:rPr>
                <w:b/>
                <w:sz w:val="18"/>
                <w:lang w:val="en-GB"/>
              </w:rPr>
            </w:pPr>
            <w:r w:rsidRPr="003F1C60">
              <w:rPr>
                <w:b/>
                <w:sz w:val="18"/>
              </w:rPr>
              <w:t>Total</w:t>
            </w:r>
          </w:p>
        </w:tc>
        <w:tc>
          <w:tcPr>
            <w:tcW w:w="1021" w:type="dxa"/>
            <w:tcBorders>
              <w:top w:val="single" w:sz="4" w:space="0" w:color="auto"/>
              <w:bottom w:val="single" w:sz="4" w:space="0" w:color="auto"/>
            </w:tcBorders>
            <w:shd w:val="clear" w:color="auto" w:fill="auto"/>
            <w:vAlign w:val="bottom"/>
          </w:tcPr>
          <w:p w14:paraId="3CDF8EA1" w14:textId="77777777" w:rsidR="00DA21FF" w:rsidRPr="003F1C60" w:rsidRDefault="00DA21FF" w:rsidP="003F1C60">
            <w:pPr>
              <w:pStyle w:val="SingleTxtG"/>
              <w:keepNext/>
              <w:tabs>
                <w:tab w:val="clear" w:pos="1701"/>
                <w:tab w:val="clear" w:pos="2268"/>
                <w:tab w:val="clear" w:pos="2835"/>
              </w:tabs>
              <w:spacing w:before="80" w:after="80" w:line="220" w:lineRule="exact"/>
              <w:ind w:left="113" w:right="0"/>
              <w:jc w:val="right"/>
              <w:rPr>
                <w:b/>
                <w:sz w:val="18"/>
                <w:lang w:val="en-GB"/>
              </w:rPr>
            </w:pPr>
          </w:p>
        </w:tc>
        <w:tc>
          <w:tcPr>
            <w:tcW w:w="737" w:type="dxa"/>
            <w:tcBorders>
              <w:top w:val="single" w:sz="4" w:space="0" w:color="auto"/>
              <w:bottom w:val="single" w:sz="4" w:space="0" w:color="auto"/>
            </w:tcBorders>
            <w:shd w:val="clear" w:color="auto" w:fill="auto"/>
            <w:noWrap/>
            <w:vAlign w:val="bottom"/>
            <w:hideMark/>
          </w:tcPr>
          <w:p w14:paraId="676F9173" w14:textId="77777777" w:rsidR="00DA21FF" w:rsidRPr="003F1C60" w:rsidRDefault="00DA21FF" w:rsidP="003F1C60">
            <w:pPr>
              <w:pStyle w:val="SingleTxtG"/>
              <w:keepNext/>
              <w:tabs>
                <w:tab w:val="clear" w:pos="1701"/>
                <w:tab w:val="clear" w:pos="2268"/>
                <w:tab w:val="clear" w:pos="2835"/>
              </w:tabs>
              <w:spacing w:before="80" w:after="80" w:line="220" w:lineRule="exact"/>
              <w:ind w:left="113" w:right="0"/>
              <w:jc w:val="right"/>
              <w:rPr>
                <w:b/>
                <w:sz w:val="18"/>
                <w:lang w:val="en-GB"/>
              </w:rPr>
            </w:pPr>
            <w:r w:rsidRPr="003F1C60">
              <w:rPr>
                <w:b/>
                <w:sz w:val="18"/>
              </w:rPr>
              <w:t>30,6</w:t>
            </w:r>
          </w:p>
        </w:tc>
        <w:tc>
          <w:tcPr>
            <w:tcW w:w="737" w:type="dxa"/>
            <w:tcBorders>
              <w:top w:val="single" w:sz="4" w:space="0" w:color="auto"/>
              <w:bottom w:val="single" w:sz="4" w:space="0" w:color="auto"/>
            </w:tcBorders>
            <w:shd w:val="clear" w:color="auto" w:fill="auto"/>
            <w:noWrap/>
            <w:vAlign w:val="bottom"/>
            <w:hideMark/>
          </w:tcPr>
          <w:p w14:paraId="3E2BD63F" w14:textId="77777777" w:rsidR="00DA21FF" w:rsidRPr="003F1C60" w:rsidRDefault="00DA21FF" w:rsidP="003F1C60">
            <w:pPr>
              <w:pStyle w:val="SingleTxtG"/>
              <w:keepNext/>
              <w:tabs>
                <w:tab w:val="clear" w:pos="1701"/>
                <w:tab w:val="clear" w:pos="2268"/>
                <w:tab w:val="clear" w:pos="2835"/>
              </w:tabs>
              <w:spacing w:before="80" w:after="80" w:line="220" w:lineRule="exact"/>
              <w:ind w:left="113" w:right="0"/>
              <w:jc w:val="right"/>
              <w:rPr>
                <w:b/>
                <w:sz w:val="18"/>
                <w:lang w:val="en-GB"/>
              </w:rPr>
            </w:pPr>
            <w:r w:rsidRPr="003F1C60">
              <w:rPr>
                <w:b/>
                <w:sz w:val="18"/>
              </w:rPr>
              <w:t>34,9</w:t>
            </w:r>
          </w:p>
        </w:tc>
        <w:tc>
          <w:tcPr>
            <w:tcW w:w="737" w:type="dxa"/>
            <w:tcBorders>
              <w:top w:val="single" w:sz="4" w:space="0" w:color="auto"/>
              <w:bottom w:val="single" w:sz="4" w:space="0" w:color="auto"/>
            </w:tcBorders>
            <w:shd w:val="clear" w:color="auto" w:fill="auto"/>
            <w:noWrap/>
            <w:vAlign w:val="bottom"/>
            <w:hideMark/>
          </w:tcPr>
          <w:p w14:paraId="32C71730" w14:textId="77777777" w:rsidR="00DA21FF" w:rsidRPr="003F1C60" w:rsidRDefault="00DA21FF" w:rsidP="003F1C60">
            <w:pPr>
              <w:pStyle w:val="SingleTxtG"/>
              <w:keepNext/>
              <w:tabs>
                <w:tab w:val="clear" w:pos="1701"/>
                <w:tab w:val="clear" w:pos="2268"/>
                <w:tab w:val="clear" w:pos="2835"/>
              </w:tabs>
              <w:spacing w:before="80" w:after="80" w:line="220" w:lineRule="exact"/>
              <w:ind w:left="113" w:right="0"/>
              <w:jc w:val="right"/>
              <w:rPr>
                <w:b/>
                <w:sz w:val="18"/>
                <w:lang w:val="en-GB"/>
              </w:rPr>
            </w:pPr>
            <w:r w:rsidRPr="003F1C60">
              <w:rPr>
                <w:b/>
                <w:sz w:val="18"/>
              </w:rPr>
              <w:t>36,7</w:t>
            </w:r>
          </w:p>
        </w:tc>
      </w:tr>
      <w:tr w:rsidR="00680417" w:rsidRPr="00DA21FF" w14:paraId="3112F907" w14:textId="77777777" w:rsidTr="003F1C60">
        <w:trPr>
          <w:trHeight w:val="240"/>
        </w:trPr>
        <w:tc>
          <w:tcPr>
            <w:tcW w:w="4307" w:type="dxa"/>
            <w:gridSpan w:val="2"/>
            <w:tcBorders>
              <w:top w:val="single" w:sz="4" w:space="0" w:color="auto"/>
            </w:tcBorders>
            <w:shd w:val="clear" w:color="auto" w:fill="auto"/>
            <w:noWrap/>
            <w:hideMark/>
          </w:tcPr>
          <w:p w14:paraId="6D678DC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1021" w:type="dxa"/>
            <w:tcBorders>
              <w:top w:val="single" w:sz="4" w:space="0" w:color="auto"/>
            </w:tcBorders>
            <w:shd w:val="clear" w:color="auto" w:fill="auto"/>
            <w:vAlign w:val="bottom"/>
          </w:tcPr>
          <w:p w14:paraId="38B82E5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top w:val="single" w:sz="4" w:space="0" w:color="auto"/>
            </w:tcBorders>
            <w:shd w:val="clear" w:color="auto" w:fill="auto"/>
            <w:noWrap/>
            <w:vAlign w:val="bottom"/>
            <w:hideMark/>
          </w:tcPr>
          <w:p w14:paraId="0CD7A2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24,6</w:t>
            </w:r>
          </w:p>
        </w:tc>
        <w:tc>
          <w:tcPr>
            <w:tcW w:w="737" w:type="dxa"/>
            <w:tcBorders>
              <w:top w:val="single" w:sz="4" w:space="0" w:color="auto"/>
            </w:tcBorders>
            <w:shd w:val="clear" w:color="auto" w:fill="auto"/>
            <w:noWrap/>
            <w:vAlign w:val="bottom"/>
            <w:hideMark/>
          </w:tcPr>
          <w:p w14:paraId="478EF20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27,9</w:t>
            </w:r>
          </w:p>
        </w:tc>
        <w:tc>
          <w:tcPr>
            <w:tcW w:w="737" w:type="dxa"/>
            <w:tcBorders>
              <w:top w:val="single" w:sz="4" w:space="0" w:color="auto"/>
            </w:tcBorders>
            <w:shd w:val="clear" w:color="auto" w:fill="auto"/>
            <w:noWrap/>
            <w:vAlign w:val="bottom"/>
            <w:hideMark/>
          </w:tcPr>
          <w:p w14:paraId="51E74A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28,8</w:t>
            </w:r>
          </w:p>
        </w:tc>
      </w:tr>
      <w:tr w:rsidR="00680417" w:rsidRPr="00DA21FF" w14:paraId="10880D3F" w14:textId="77777777" w:rsidTr="003F1C60">
        <w:trPr>
          <w:trHeight w:val="240"/>
        </w:trPr>
        <w:tc>
          <w:tcPr>
            <w:tcW w:w="4307" w:type="dxa"/>
            <w:gridSpan w:val="2"/>
            <w:tcBorders>
              <w:bottom w:val="single" w:sz="4" w:space="0" w:color="auto"/>
            </w:tcBorders>
            <w:shd w:val="clear" w:color="auto" w:fill="auto"/>
            <w:noWrap/>
            <w:hideMark/>
          </w:tcPr>
          <w:p w14:paraId="3FE847C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1021" w:type="dxa"/>
            <w:tcBorders>
              <w:bottom w:val="single" w:sz="4" w:space="0" w:color="auto"/>
            </w:tcBorders>
            <w:shd w:val="clear" w:color="auto" w:fill="auto"/>
            <w:vAlign w:val="bottom"/>
          </w:tcPr>
          <w:p w14:paraId="4D1572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bottom w:val="single" w:sz="4" w:space="0" w:color="auto"/>
            </w:tcBorders>
            <w:shd w:val="clear" w:color="auto" w:fill="auto"/>
            <w:noWrap/>
            <w:vAlign w:val="bottom"/>
            <w:hideMark/>
          </w:tcPr>
          <w:p w14:paraId="4AC947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36,8</w:t>
            </w:r>
          </w:p>
        </w:tc>
        <w:tc>
          <w:tcPr>
            <w:tcW w:w="737" w:type="dxa"/>
            <w:tcBorders>
              <w:bottom w:val="single" w:sz="4" w:space="0" w:color="auto"/>
            </w:tcBorders>
            <w:shd w:val="clear" w:color="auto" w:fill="auto"/>
            <w:noWrap/>
            <w:vAlign w:val="bottom"/>
            <w:hideMark/>
          </w:tcPr>
          <w:p w14:paraId="26C77F6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42,3</w:t>
            </w:r>
          </w:p>
        </w:tc>
        <w:tc>
          <w:tcPr>
            <w:tcW w:w="737" w:type="dxa"/>
            <w:tcBorders>
              <w:bottom w:val="single" w:sz="4" w:space="0" w:color="auto"/>
            </w:tcBorders>
            <w:shd w:val="clear" w:color="auto" w:fill="auto"/>
            <w:noWrap/>
            <w:vAlign w:val="bottom"/>
            <w:hideMark/>
          </w:tcPr>
          <w:p w14:paraId="4E6EED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45,1</w:t>
            </w:r>
          </w:p>
        </w:tc>
      </w:tr>
      <w:tr w:rsidR="00680417" w:rsidRPr="003F1C60" w14:paraId="6045BE06" w14:textId="77777777" w:rsidTr="003F1C60">
        <w:trPr>
          <w:trHeight w:val="240"/>
        </w:trPr>
        <w:tc>
          <w:tcPr>
            <w:tcW w:w="25" w:type="dxa"/>
            <w:tcBorders>
              <w:top w:val="single" w:sz="4" w:space="0" w:color="auto"/>
              <w:bottom w:val="single" w:sz="4" w:space="0" w:color="auto"/>
            </w:tcBorders>
            <w:shd w:val="clear" w:color="auto" w:fill="auto"/>
          </w:tcPr>
          <w:p w14:paraId="4E70EC59" w14:textId="77777777"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p>
        </w:tc>
        <w:tc>
          <w:tcPr>
            <w:tcW w:w="7514" w:type="dxa"/>
            <w:gridSpan w:val="5"/>
            <w:tcBorders>
              <w:top w:val="single" w:sz="4" w:space="0" w:color="auto"/>
              <w:bottom w:val="single" w:sz="4" w:space="0" w:color="auto"/>
            </w:tcBorders>
            <w:shd w:val="clear" w:color="auto" w:fill="auto"/>
            <w:noWrap/>
            <w:hideMark/>
          </w:tcPr>
          <w:p w14:paraId="5D27F097" w14:textId="77777777"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r w:rsidRPr="003F1C60">
              <w:rPr>
                <w:b/>
                <w:bCs/>
                <w:sz w:val="18"/>
              </w:rPr>
              <w:t>Porcentaje de personas de 25 a 29 años que cursan estudios superiores</w:t>
            </w:r>
          </w:p>
        </w:tc>
      </w:tr>
      <w:tr w:rsidR="00680417" w:rsidRPr="003F1C60" w14:paraId="42015725" w14:textId="77777777" w:rsidTr="003F1C60">
        <w:trPr>
          <w:trHeight w:val="240"/>
        </w:trPr>
        <w:tc>
          <w:tcPr>
            <w:tcW w:w="4307" w:type="dxa"/>
            <w:gridSpan w:val="2"/>
            <w:tcBorders>
              <w:top w:val="single" w:sz="4" w:space="0" w:color="auto"/>
              <w:bottom w:val="single" w:sz="4" w:space="0" w:color="auto"/>
            </w:tcBorders>
            <w:shd w:val="clear" w:color="auto" w:fill="auto"/>
            <w:noWrap/>
            <w:hideMark/>
          </w:tcPr>
          <w:p w14:paraId="6E97DEF8" w14:textId="77777777" w:rsidR="00DA21FF" w:rsidRPr="003F1C60" w:rsidRDefault="00DA21FF" w:rsidP="003F1C60">
            <w:pPr>
              <w:pStyle w:val="SingleTxtG"/>
              <w:tabs>
                <w:tab w:val="clear" w:pos="1701"/>
                <w:tab w:val="clear" w:pos="2268"/>
                <w:tab w:val="clear" w:pos="2835"/>
              </w:tabs>
              <w:spacing w:before="80" w:after="80" w:line="220" w:lineRule="exact"/>
              <w:ind w:left="284" w:right="0"/>
              <w:jc w:val="left"/>
              <w:rPr>
                <w:b/>
                <w:sz w:val="18"/>
                <w:lang w:val="en-GB"/>
              </w:rPr>
            </w:pPr>
            <w:r w:rsidRPr="003F1C60">
              <w:rPr>
                <w:b/>
                <w:sz w:val="18"/>
              </w:rPr>
              <w:t>Total</w:t>
            </w:r>
          </w:p>
        </w:tc>
        <w:tc>
          <w:tcPr>
            <w:tcW w:w="1021" w:type="dxa"/>
            <w:tcBorders>
              <w:top w:val="single" w:sz="4" w:space="0" w:color="auto"/>
              <w:bottom w:val="single" w:sz="4" w:space="0" w:color="auto"/>
            </w:tcBorders>
            <w:shd w:val="clear" w:color="auto" w:fill="auto"/>
            <w:vAlign w:val="bottom"/>
          </w:tcPr>
          <w:p w14:paraId="5351B46C" w14:textId="7777777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p>
        </w:tc>
        <w:tc>
          <w:tcPr>
            <w:tcW w:w="737" w:type="dxa"/>
            <w:tcBorders>
              <w:top w:val="single" w:sz="4" w:space="0" w:color="auto"/>
              <w:bottom w:val="single" w:sz="4" w:space="0" w:color="auto"/>
            </w:tcBorders>
            <w:shd w:val="clear" w:color="auto" w:fill="auto"/>
            <w:noWrap/>
            <w:vAlign w:val="bottom"/>
            <w:hideMark/>
          </w:tcPr>
          <w:p w14:paraId="00837578" w14:textId="7777777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15,7</w:t>
            </w:r>
          </w:p>
        </w:tc>
        <w:tc>
          <w:tcPr>
            <w:tcW w:w="737" w:type="dxa"/>
            <w:tcBorders>
              <w:top w:val="single" w:sz="4" w:space="0" w:color="auto"/>
              <w:bottom w:val="single" w:sz="4" w:space="0" w:color="auto"/>
            </w:tcBorders>
            <w:shd w:val="clear" w:color="auto" w:fill="auto"/>
            <w:noWrap/>
            <w:vAlign w:val="bottom"/>
            <w:hideMark/>
          </w:tcPr>
          <w:p w14:paraId="4E3E3517" w14:textId="7777777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15,6</w:t>
            </w:r>
          </w:p>
        </w:tc>
        <w:tc>
          <w:tcPr>
            <w:tcW w:w="737" w:type="dxa"/>
            <w:tcBorders>
              <w:top w:val="single" w:sz="4" w:space="0" w:color="auto"/>
              <w:bottom w:val="single" w:sz="4" w:space="0" w:color="auto"/>
            </w:tcBorders>
            <w:shd w:val="clear" w:color="auto" w:fill="auto"/>
            <w:noWrap/>
            <w:vAlign w:val="bottom"/>
            <w:hideMark/>
          </w:tcPr>
          <w:p w14:paraId="43878B8C" w14:textId="77777777" w:rsidR="00DA21FF" w:rsidRPr="003F1C60"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3F1C60">
              <w:rPr>
                <w:b/>
                <w:sz w:val="18"/>
              </w:rPr>
              <w:t>17,0</w:t>
            </w:r>
          </w:p>
        </w:tc>
      </w:tr>
      <w:tr w:rsidR="00680417" w:rsidRPr="00DA21FF" w14:paraId="6FAF2BD4" w14:textId="77777777" w:rsidTr="003F1C60">
        <w:trPr>
          <w:trHeight w:val="240"/>
        </w:trPr>
        <w:tc>
          <w:tcPr>
            <w:tcW w:w="4307" w:type="dxa"/>
            <w:gridSpan w:val="2"/>
            <w:tcBorders>
              <w:top w:val="single" w:sz="4" w:space="0" w:color="auto"/>
            </w:tcBorders>
            <w:shd w:val="clear" w:color="auto" w:fill="auto"/>
            <w:noWrap/>
            <w:hideMark/>
          </w:tcPr>
          <w:p w14:paraId="487905C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1021" w:type="dxa"/>
            <w:tcBorders>
              <w:top w:val="single" w:sz="4" w:space="0" w:color="auto"/>
            </w:tcBorders>
            <w:shd w:val="clear" w:color="auto" w:fill="auto"/>
            <w:vAlign w:val="bottom"/>
          </w:tcPr>
          <w:p w14:paraId="65DE726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top w:val="single" w:sz="4" w:space="0" w:color="auto"/>
            </w:tcBorders>
            <w:shd w:val="clear" w:color="auto" w:fill="auto"/>
            <w:noWrap/>
            <w:vAlign w:val="bottom"/>
            <w:hideMark/>
          </w:tcPr>
          <w:p w14:paraId="21D71F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14,1</w:t>
            </w:r>
          </w:p>
        </w:tc>
        <w:tc>
          <w:tcPr>
            <w:tcW w:w="737" w:type="dxa"/>
            <w:tcBorders>
              <w:top w:val="single" w:sz="4" w:space="0" w:color="auto"/>
            </w:tcBorders>
            <w:shd w:val="clear" w:color="auto" w:fill="auto"/>
            <w:noWrap/>
            <w:vAlign w:val="bottom"/>
            <w:hideMark/>
          </w:tcPr>
          <w:p w14:paraId="54DD5B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13,7</w:t>
            </w:r>
          </w:p>
        </w:tc>
        <w:tc>
          <w:tcPr>
            <w:tcW w:w="737" w:type="dxa"/>
            <w:tcBorders>
              <w:top w:val="single" w:sz="4" w:space="0" w:color="auto"/>
            </w:tcBorders>
            <w:shd w:val="clear" w:color="auto" w:fill="auto"/>
            <w:noWrap/>
            <w:vAlign w:val="bottom"/>
            <w:hideMark/>
          </w:tcPr>
          <w:p w14:paraId="4B17EB6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14,6</w:t>
            </w:r>
          </w:p>
        </w:tc>
      </w:tr>
      <w:tr w:rsidR="00680417" w:rsidRPr="00DA21FF" w14:paraId="4E78D4A8" w14:textId="77777777" w:rsidTr="00680417">
        <w:trPr>
          <w:trHeight w:val="240"/>
        </w:trPr>
        <w:tc>
          <w:tcPr>
            <w:tcW w:w="4307" w:type="dxa"/>
            <w:gridSpan w:val="2"/>
            <w:tcBorders>
              <w:bottom w:val="single" w:sz="12" w:space="0" w:color="auto"/>
            </w:tcBorders>
            <w:shd w:val="clear" w:color="auto" w:fill="auto"/>
            <w:noWrap/>
            <w:hideMark/>
          </w:tcPr>
          <w:p w14:paraId="2E315A8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1021" w:type="dxa"/>
            <w:tcBorders>
              <w:bottom w:val="single" w:sz="12" w:space="0" w:color="auto"/>
            </w:tcBorders>
            <w:shd w:val="clear" w:color="auto" w:fill="auto"/>
            <w:vAlign w:val="bottom"/>
          </w:tcPr>
          <w:p w14:paraId="366BBAD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p>
        </w:tc>
        <w:tc>
          <w:tcPr>
            <w:tcW w:w="737" w:type="dxa"/>
            <w:tcBorders>
              <w:bottom w:val="single" w:sz="12" w:space="0" w:color="auto"/>
            </w:tcBorders>
            <w:shd w:val="clear" w:color="auto" w:fill="auto"/>
            <w:noWrap/>
            <w:vAlign w:val="bottom"/>
            <w:hideMark/>
          </w:tcPr>
          <w:p w14:paraId="5DEBF8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17,4</w:t>
            </w:r>
          </w:p>
        </w:tc>
        <w:tc>
          <w:tcPr>
            <w:tcW w:w="737" w:type="dxa"/>
            <w:tcBorders>
              <w:bottom w:val="single" w:sz="12" w:space="0" w:color="auto"/>
            </w:tcBorders>
            <w:shd w:val="clear" w:color="auto" w:fill="auto"/>
            <w:noWrap/>
            <w:vAlign w:val="bottom"/>
            <w:hideMark/>
          </w:tcPr>
          <w:p w14:paraId="40B05A5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17,6</w:t>
            </w:r>
          </w:p>
        </w:tc>
        <w:tc>
          <w:tcPr>
            <w:tcW w:w="737" w:type="dxa"/>
            <w:tcBorders>
              <w:bottom w:val="single" w:sz="12" w:space="0" w:color="auto"/>
            </w:tcBorders>
            <w:shd w:val="clear" w:color="auto" w:fill="auto"/>
            <w:noWrap/>
            <w:vAlign w:val="bottom"/>
            <w:hideMark/>
          </w:tcPr>
          <w:p w14:paraId="4885C23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19,6</w:t>
            </w:r>
          </w:p>
        </w:tc>
      </w:tr>
    </w:tbl>
    <w:p w14:paraId="0C83039B" w14:textId="77777777" w:rsidR="00DA21FF" w:rsidRPr="003F1C60" w:rsidRDefault="00DA21FF" w:rsidP="003F1C60">
      <w:pPr>
        <w:pStyle w:val="SingleTxtG"/>
        <w:spacing w:before="120" w:after="240"/>
        <w:ind w:left="1304"/>
        <w:jc w:val="left"/>
        <w:rPr>
          <w:sz w:val="18"/>
          <w:szCs w:val="18"/>
        </w:rPr>
      </w:pPr>
      <w:r w:rsidRPr="003F1C60">
        <w:rPr>
          <w:i/>
          <w:sz w:val="18"/>
          <w:szCs w:val="18"/>
        </w:rPr>
        <w:t>Fuente:</w:t>
      </w:r>
      <w:r w:rsidRPr="003F1C60">
        <w:rPr>
          <w:sz w:val="18"/>
          <w:szCs w:val="18"/>
        </w:rPr>
        <w:t xml:space="preserve"> Instituto Nacional de Estadística de Noruega.</w:t>
      </w:r>
    </w:p>
    <w:p w14:paraId="192E0B3B" w14:textId="3F6ADBF0" w:rsidR="00DA21FF" w:rsidRPr="00DA21FF" w:rsidRDefault="003F1C60" w:rsidP="003F1C60">
      <w:pPr>
        <w:pStyle w:val="H23G"/>
        <w:rPr>
          <w:lang w:val="en-GB"/>
        </w:rPr>
      </w:pPr>
      <w:r>
        <w:lastRenderedPageBreak/>
        <w:tab/>
      </w:r>
      <w:r w:rsidR="00DA21FF" w:rsidRPr="00DA21FF">
        <w:tab/>
        <w:t xml:space="preserve">Recién ingresados en la educación superior y titulados después de 8 años. </w:t>
      </w:r>
      <w:r>
        <w:br/>
      </w:r>
      <w:r w:rsidR="00DA21FF" w:rsidRPr="00DA21FF">
        <w:t>Números y porcentaje, intervalo</w:t>
      </w:r>
      <w:r w:rsidR="00DA21FF" w:rsidRPr="00653C36">
        <w:rPr>
          <w:b w:val="0"/>
          <w:bCs/>
          <w:sz w:val="18"/>
          <w:szCs w:val="18"/>
          <w:vertAlign w:val="superscript"/>
        </w:rPr>
        <w:footnoteReference w:id="9"/>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11"/>
        <w:gridCol w:w="679"/>
        <w:gridCol w:w="700"/>
        <w:gridCol w:w="680"/>
      </w:tblGrid>
      <w:tr w:rsidR="00680417" w:rsidRPr="00680417" w14:paraId="1472790B" w14:textId="77777777" w:rsidTr="003F1C60">
        <w:trPr>
          <w:trHeight w:val="240"/>
          <w:tblHeader/>
        </w:trPr>
        <w:tc>
          <w:tcPr>
            <w:tcW w:w="531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719992"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 académico y titulación obtenida</w:t>
            </w:r>
          </w:p>
        </w:tc>
        <w:tc>
          <w:tcPr>
            <w:tcW w:w="67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1D464A"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Total</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11E4CF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Hombres</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7B6F87"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Mujeres</w:t>
            </w:r>
          </w:p>
        </w:tc>
      </w:tr>
      <w:tr w:rsidR="00680417" w:rsidRPr="003F1C60" w14:paraId="10A8D2AE" w14:textId="77777777" w:rsidTr="003F1C60">
        <w:trPr>
          <w:trHeight w:val="240"/>
        </w:trPr>
        <w:tc>
          <w:tcPr>
            <w:tcW w:w="5311" w:type="dxa"/>
            <w:tcBorders>
              <w:top w:val="single" w:sz="12" w:space="0" w:color="auto"/>
              <w:bottom w:val="single" w:sz="4" w:space="0" w:color="auto"/>
            </w:tcBorders>
            <w:shd w:val="clear" w:color="auto" w:fill="auto"/>
            <w:tcMar>
              <w:top w:w="0" w:type="dxa"/>
              <w:left w:w="0" w:type="dxa"/>
              <w:bottom w:w="0" w:type="dxa"/>
              <w:right w:w="0" w:type="dxa"/>
            </w:tcMar>
            <w:hideMark/>
          </w:tcPr>
          <w:p w14:paraId="069A5D29" w14:textId="4C737496"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r w:rsidRPr="003F1C60">
              <w:rPr>
                <w:b/>
                <w:bCs/>
                <w:sz w:val="18"/>
              </w:rPr>
              <w:t>1998</w:t>
            </w:r>
            <w:r w:rsidR="003F1C60" w:rsidRPr="003F1C60">
              <w:rPr>
                <w:b/>
                <w:bCs/>
                <w:sz w:val="18"/>
              </w:rPr>
              <w:t>-</w:t>
            </w:r>
            <w:r w:rsidRPr="003F1C60">
              <w:rPr>
                <w:b/>
                <w:bCs/>
                <w:sz w:val="18"/>
              </w:rPr>
              <w:t>2006</w:t>
            </w:r>
          </w:p>
        </w:tc>
        <w:tc>
          <w:tcPr>
            <w:tcW w:w="679"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AF4B047"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0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81B9173"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4A7B3C7"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r>
      <w:tr w:rsidR="00680417" w:rsidRPr="00BF2258" w14:paraId="205ECB18" w14:textId="77777777" w:rsidTr="003F1C60">
        <w:trPr>
          <w:trHeight w:val="240"/>
        </w:trPr>
        <w:tc>
          <w:tcPr>
            <w:tcW w:w="5311" w:type="dxa"/>
            <w:tcBorders>
              <w:top w:val="single" w:sz="4" w:space="0" w:color="auto"/>
              <w:bottom w:val="single" w:sz="4" w:space="0" w:color="auto"/>
            </w:tcBorders>
            <w:shd w:val="clear" w:color="auto" w:fill="auto"/>
            <w:tcMar>
              <w:top w:w="0" w:type="dxa"/>
              <w:left w:w="0" w:type="dxa"/>
              <w:bottom w:w="0" w:type="dxa"/>
              <w:right w:w="0" w:type="dxa"/>
            </w:tcMar>
            <w:hideMark/>
          </w:tcPr>
          <w:p w14:paraId="37A71A94" w14:textId="77777777" w:rsidR="00DA21FF" w:rsidRPr="00BF2258" w:rsidRDefault="00DA21FF" w:rsidP="003F1C60">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lang w:val="en-GB"/>
              </w:rPr>
              <w:t>Total</w:t>
            </w:r>
          </w:p>
        </w:tc>
        <w:tc>
          <w:tcPr>
            <w:tcW w:w="67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0B3708A" w14:textId="16F51750"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36</w:t>
            </w:r>
            <w:r w:rsidR="003F1C60" w:rsidRPr="00BF2258">
              <w:rPr>
                <w:b/>
                <w:sz w:val="18"/>
              </w:rPr>
              <w:t xml:space="preserve"> </w:t>
            </w:r>
            <w:r w:rsidRPr="00BF2258">
              <w:rPr>
                <w:b/>
                <w:sz w:val="18"/>
              </w:rPr>
              <w:t>410</w:t>
            </w:r>
          </w:p>
        </w:tc>
        <w:tc>
          <w:tcPr>
            <w:tcW w:w="70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EF130A2" w14:textId="40164E1F"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14</w:t>
            </w:r>
            <w:r w:rsidR="003F1C60" w:rsidRPr="00BF2258">
              <w:rPr>
                <w:b/>
                <w:sz w:val="18"/>
              </w:rPr>
              <w:t xml:space="preserve"> </w:t>
            </w:r>
            <w:r w:rsidRPr="00BF2258">
              <w:rPr>
                <w:b/>
                <w:sz w:val="18"/>
              </w:rPr>
              <w:t>797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5E369CE" w14:textId="051FAF75"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21</w:t>
            </w:r>
            <w:r w:rsidR="003F1C60" w:rsidRPr="00BF2258">
              <w:rPr>
                <w:b/>
                <w:sz w:val="18"/>
              </w:rPr>
              <w:t xml:space="preserve"> </w:t>
            </w:r>
            <w:r w:rsidRPr="00BF2258">
              <w:rPr>
                <w:b/>
                <w:sz w:val="18"/>
              </w:rPr>
              <w:t>613</w:t>
            </w:r>
          </w:p>
        </w:tc>
      </w:tr>
      <w:tr w:rsidR="00680417" w:rsidRPr="00DA21FF" w14:paraId="63C5D342" w14:textId="77777777" w:rsidTr="003F1C60">
        <w:trPr>
          <w:trHeight w:val="240"/>
        </w:trPr>
        <w:tc>
          <w:tcPr>
            <w:tcW w:w="5311" w:type="dxa"/>
            <w:tcBorders>
              <w:top w:val="single" w:sz="4" w:space="0" w:color="auto"/>
            </w:tcBorders>
            <w:shd w:val="clear" w:color="auto" w:fill="auto"/>
            <w:tcMar>
              <w:top w:w="0" w:type="dxa"/>
              <w:left w:w="0" w:type="dxa"/>
              <w:bottom w:w="0" w:type="dxa"/>
              <w:right w:w="0" w:type="dxa"/>
            </w:tcMar>
            <w:hideMark/>
          </w:tcPr>
          <w:p w14:paraId="6FA2279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Doctorados (título de doctor)</w:t>
            </w:r>
          </w:p>
        </w:tc>
        <w:tc>
          <w:tcPr>
            <w:tcW w:w="679" w:type="dxa"/>
            <w:tcBorders>
              <w:top w:val="single" w:sz="4" w:space="0" w:color="auto"/>
            </w:tcBorders>
            <w:shd w:val="clear" w:color="auto" w:fill="auto"/>
            <w:tcMar>
              <w:top w:w="0" w:type="dxa"/>
              <w:left w:w="0" w:type="dxa"/>
              <w:bottom w:w="0" w:type="dxa"/>
              <w:right w:w="0" w:type="dxa"/>
            </w:tcMar>
            <w:vAlign w:val="bottom"/>
            <w:hideMark/>
          </w:tcPr>
          <w:p w14:paraId="3AD5BDD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w:t>
            </w:r>
          </w:p>
        </w:tc>
        <w:tc>
          <w:tcPr>
            <w:tcW w:w="700" w:type="dxa"/>
            <w:tcBorders>
              <w:top w:val="single" w:sz="4" w:space="0" w:color="auto"/>
            </w:tcBorders>
            <w:shd w:val="clear" w:color="auto" w:fill="auto"/>
            <w:tcMar>
              <w:top w:w="0" w:type="dxa"/>
              <w:left w:w="0" w:type="dxa"/>
              <w:bottom w:w="0" w:type="dxa"/>
              <w:right w:w="0" w:type="dxa"/>
            </w:tcMar>
            <w:vAlign w:val="bottom"/>
            <w:hideMark/>
          </w:tcPr>
          <w:p w14:paraId="34E005C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14A204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0,1</w:t>
            </w:r>
          </w:p>
        </w:tc>
      </w:tr>
      <w:tr w:rsidR="00680417" w:rsidRPr="00DA21FF" w14:paraId="4B00E131" w14:textId="77777777" w:rsidTr="003F1C60">
        <w:trPr>
          <w:trHeight w:val="240"/>
        </w:trPr>
        <w:tc>
          <w:tcPr>
            <w:tcW w:w="5311" w:type="dxa"/>
            <w:shd w:val="clear" w:color="auto" w:fill="auto"/>
            <w:tcMar>
              <w:top w:w="0" w:type="dxa"/>
              <w:left w:w="0" w:type="dxa"/>
              <w:bottom w:w="0" w:type="dxa"/>
              <w:right w:w="0" w:type="dxa"/>
            </w:tcMar>
            <w:hideMark/>
          </w:tcPr>
          <w:p w14:paraId="3746680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Titulados superiores de programas de más de 4 años</w:t>
            </w:r>
          </w:p>
        </w:tc>
        <w:tc>
          <w:tcPr>
            <w:tcW w:w="679" w:type="dxa"/>
            <w:shd w:val="clear" w:color="auto" w:fill="auto"/>
            <w:tcMar>
              <w:top w:w="0" w:type="dxa"/>
              <w:left w:w="0" w:type="dxa"/>
              <w:bottom w:w="0" w:type="dxa"/>
              <w:right w:w="0" w:type="dxa"/>
            </w:tcMar>
            <w:vAlign w:val="bottom"/>
            <w:hideMark/>
          </w:tcPr>
          <w:p w14:paraId="2312120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15,3</w:t>
            </w:r>
          </w:p>
        </w:tc>
        <w:tc>
          <w:tcPr>
            <w:tcW w:w="700" w:type="dxa"/>
            <w:shd w:val="clear" w:color="auto" w:fill="auto"/>
            <w:tcMar>
              <w:top w:w="0" w:type="dxa"/>
              <w:left w:w="0" w:type="dxa"/>
              <w:bottom w:w="0" w:type="dxa"/>
              <w:right w:w="0" w:type="dxa"/>
            </w:tcMar>
            <w:vAlign w:val="bottom"/>
            <w:hideMark/>
          </w:tcPr>
          <w:p w14:paraId="074ACB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19,2</w:t>
            </w:r>
          </w:p>
        </w:tc>
        <w:tc>
          <w:tcPr>
            <w:tcW w:w="680" w:type="dxa"/>
            <w:shd w:val="clear" w:color="auto" w:fill="auto"/>
            <w:tcMar>
              <w:top w:w="0" w:type="dxa"/>
              <w:left w:w="0" w:type="dxa"/>
              <w:bottom w:w="0" w:type="dxa"/>
              <w:right w:w="0" w:type="dxa"/>
            </w:tcMar>
            <w:vAlign w:val="bottom"/>
            <w:hideMark/>
          </w:tcPr>
          <w:p w14:paraId="5B64F4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12,6</w:t>
            </w:r>
          </w:p>
        </w:tc>
      </w:tr>
      <w:tr w:rsidR="00680417" w:rsidRPr="00DA21FF" w14:paraId="77FFFF2B" w14:textId="77777777" w:rsidTr="003F1C60">
        <w:trPr>
          <w:trHeight w:val="240"/>
        </w:trPr>
        <w:tc>
          <w:tcPr>
            <w:tcW w:w="5311" w:type="dxa"/>
            <w:shd w:val="clear" w:color="auto" w:fill="auto"/>
            <w:tcMar>
              <w:top w:w="0" w:type="dxa"/>
              <w:left w:w="0" w:type="dxa"/>
              <w:bottom w:w="0" w:type="dxa"/>
              <w:right w:w="0" w:type="dxa"/>
            </w:tcMar>
            <w:hideMark/>
          </w:tcPr>
          <w:p w14:paraId="7BCC037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Titulados superiores de programas de 2 a 4 años de duración</w:t>
            </w:r>
          </w:p>
        </w:tc>
        <w:tc>
          <w:tcPr>
            <w:tcW w:w="679" w:type="dxa"/>
            <w:shd w:val="clear" w:color="auto" w:fill="auto"/>
            <w:tcMar>
              <w:top w:w="0" w:type="dxa"/>
              <w:left w:w="0" w:type="dxa"/>
              <w:bottom w:w="0" w:type="dxa"/>
              <w:right w:w="0" w:type="dxa"/>
            </w:tcMar>
            <w:vAlign w:val="bottom"/>
            <w:hideMark/>
          </w:tcPr>
          <w:p w14:paraId="5CADF74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45,6</w:t>
            </w:r>
          </w:p>
        </w:tc>
        <w:tc>
          <w:tcPr>
            <w:tcW w:w="700" w:type="dxa"/>
            <w:shd w:val="clear" w:color="auto" w:fill="auto"/>
            <w:tcMar>
              <w:top w:w="0" w:type="dxa"/>
              <w:left w:w="0" w:type="dxa"/>
              <w:bottom w:w="0" w:type="dxa"/>
              <w:right w:w="0" w:type="dxa"/>
            </w:tcMar>
            <w:vAlign w:val="bottom"/>
            <w:hideMark/>
          </w:tcPr>
          <w:p w14:paraId="18F4FD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34,9</w:t>
            </w:r>
          </w:p>
        </w:tc>
        <w:tc>
          <w:tcPr>
            <w:tcW w:w="680" w:type="dxa"/>
            <w:shd w:val="clear" w:color="auto" w:fill="auto"/>
            <w:tcMar>
              <w:top w:w="0" w:type="dxa"/>
              <w:left w:w="0" w:type="dxa"/>
              <w:bottom w:w="0" w:type="dxa"/>
              <w:right w:w="0" w:type="dxa"/>
            </w:tcMar>
            <w:vAlign w:val="bottom"/>
            <w:hideMark/>
          </w:tcPr>
          <w:p w14:paraId="09A41D2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52,9</w:t>
            </w:r>
          </w:p>
        </w:tc>
      </w:tr>
      <w:tr w:rsidR="00680417" w:rsidRPr="00DA21FF" w14:paraId="671F46EA" w14:textId="77777777" w:rsidTr="003F1C60">
        <w:trPr>
          <w:trHeight w:val="240"/>
        </w:trPr>
        <w:tc>
          <w:tcPr>
            <w:tcW w:w="5311" w:type="dxa"/>
            <w:shd w:val="clear" w:color="auto" w:fill="auto"/>
            <w:tcMar>
              <w:top w:w="0" w:type="dxa"/>
              <w:left w:w="0" w:type="dxa"/>
              <w:bottom w:w="0" w:type="dxa"/>
              <w:right w:w="0" w:type="dxa"/>
            </w:tcMar>
            <w:hideMark/>
          </w:tcPr>
          <w:p w14:paraId="32ECFAD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Sin titulación</w:t>
            </w:r>
          </w:p>
        </w:tc>
        <w:tc>
          <w:tcPr>
            <w:tcW w:w="679" w:type="dxa"/>
            <w:shd w:val="clear" w:color="auto" w:fill="auto"/>
            <w:tcMar>
              <w:top w:w="0" w:type="dxa"/>
              <w:left w:w="0" w:type="dxa"/>
              <w:bottom w:w="0" w:type="dxa"/>
              <w:right w:w="0" w:type="dxa"/>
            </w:tcMar>
            <w:vAlign w:val="bottom"/>
            <w:hideMark/>
          </w:tcPr>
          <w:p w14:paraId="485F413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39,0</w:t>
            </w:r>
          </w:p>
        </w:tc>
        <w:tc>
          <w:tcPr>
            <w:tcW w:w="700" w:type="dxa"/>
            <w:shd w:val="clear" w:color="auto" w:fill="auto"/>
            <w:tcMar>
              <w:top w:w="0" w:type="dxa"/>
              <w:left w:w="0" w:type="dxa"/>
              <w:bottom w:w="0" w:type="dxa"/>
              <w:right w:w="0" w:type="dxa"/>
            </w:tcMar>
            <w:vAlign w:val="bottom"/>
            <w:hideMark/>
          </w:tcPr>
          <w:p w14:paraId="0955257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45,6</w:t>
            </w:r>
          </w:p>
        </w:tc>
        <w:tc>
          <w:tcPr>
            <w:tcW w:w="680" w:type="dxa"/>
            <w:shd w:val="clear" w:color="auto" w:fill="auto"/>
            <w:tcMar>
              <w:top w:w="0" w:type="dxa"/>
              <w:left w:w="0" w:type="dxa"/>
              <w:bottom w:w="0" w:type="dxa"/>
              <w:right w:w="0" w:type="dxa"/>
            </w:tcMar>
            <w:vAlign w:val="bottom"/>
            <w:hideMark/>
          </w:tcPr>
          <w:p w14:paraId="228BC55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34,4</w:t>
            </w:r>
          </w:p>
        </w:tc>
      </w:tr>
      <w:tr w:rsidR="00680417" w:rsidRPr="003F1C60" w14:paraId="54C4E5D8" w14:textId="77777777" w:rsidTr="003F1C60">
        <w:trPr>
          <w:trHeight w:val="240"/>
        </w:trPr>
        <w:tc>
          <w:tcPr>
            <w:tcW w:w="5311" w:type="dxa"/>
            <w:tcBorders>
              <w:top w:val="single" w:sz="4" w:space="0" w:color="auto"/>
              <w:bottom w:val="single" w:sz="4" w:space="0" w:color="auto"/>
            </w:tcBorders>
            <w:shd w:val="clear" w:color="auto" w:fill="auto"/>
            <w:tcMar>
              <w:top w:w="0" w:type="dxa"/>
              <w:left w:w="0" w:type="dxa"/>
              <w:bottom w:w="0" w:type="dxa"/>
              <w:right w:w="0" w:type="dxa"/>
            </w:tcMar>
            <w:hideMark/>
          </w:tcPr>
          <w:p w14:paraId="5A53793F" w14:textId="07FB6C20"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r w:rsidRPr="003F1C60">
              <w:rPr>
                <w:b/>
                <w:bCs/>
                <w:sz w:val="18"/>
              </w:rPr>
              <w:t>2006</w:t>
            </w:r>
            <w:r w:rsidR="003F1C60" w:rsidRPr="003F1C60">
              <w:rPr>
                <w:b/>
                <w:bCs/>
                <w:sz w:val="18"/>
              </w:rPr>
              <w:t>-</w:t>
            </w:r>
            <w:r w:rsidRPr="003F1C60">
              <w:rPr>
                <w:b/>
                <w:bCs/>
                <w:sz w:val="18"/>
              </w:rPr>
              <w:t>2014</w:t>
            </w:r>
          </w:p>
        </w:tc>
        <w:tc>
          <w:tcPr>
            <w:tcW w:w="67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F5F55C1"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0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769AE39"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C4D83C4"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r>
      <w:tr w:rsidR="00680417" w:rsidRPr="00BF2258" w14:paraId="5F1390E8" w14:textId="77777777" w:rsidTr="003F1C60">
        <w:trPr>
          <w:trHeight w:val="240"/>
        </w:trPr>
        <w:tc>
          <w:tcPr>
            <w:tcW w:w="5311" w:type="dxa"/>
            <w:tcBorders>
              <w:top w:val="single" w:sz="4" w:space="0" w:color="auto"/>
              <w:bottom w:val="single" w:sz="4" w:space="0" w:color="auto"/>
            </w:tcBorders>
            <w:shd w:val="clear" w:color="auto" w:fill="auto"/>
            <w:tcMar>
              <w:top w:w="0" w:type="dxa"/>
              <w:left w:w="0" w:type="dxa"/>
              <w:bottom w:w="0" w:type="dxa"/>
              <w:right w:w="0" w:type="dxa"/>
            </w:tcMar>
            <w:hideMark/>
          </w:tcPr>
          <w:p w14:paraId="20B28209" w14:textId="77777777" w:rsidR="00DA21FF" w:rsidRPr="00BF2258" w:rsidRDefault="00DA21FF" w:rsidP="003F1C60">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lang w:val="en-GB"/>
              </w:rPr>
              <w:t>Total</w:t>
            </w:r>
          </w:p>
        </w:tc>
        <w:tc>
          <w:tcPr>
            <w:tcW w:w="67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B3362B1" w14:textId="6BCFB2B1"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40</w:t>
            </w:r>
            <w:r w:rsidR="003F1C60" w:rsidRPr="00BF2258">
              <w:rPr>
                <w:b/>
                <w:sz w:val="18"/>
              </w:rPr>
              <w:t xml:space="preserve"> </w:t>
            </w:r>
            <w:r w:rsidRPr="00BF2258">
              <w:rPr>
                <w:b/>
                <w:sz w:val="18"/>
              </w:rPr>
              <w:t>120</w:t>
            </w:r>
          </w:p>
        </w:tc>
        <w:tc>
          <w:tcPr>
            <w:tcW w:w="70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D5E0ED1" w14:textId="1DE2D8F5"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16</w:t>
            </w:r>
            <w:r w:rsidR="003F1C60" w:rsidRPr="00BF2258">
              <w:rPr>
                <w:b/>
                <w:sz w:val="18"/>
              </w:rPr>
              <w:t xml:space="preserve"> </w:t>
            </w:r>
            <w:r w:rsidRPr="00BF2258">
              <w:rPr>
                <w:b/>
                <w:sz w:val="18"/>
              </w:rPr>
              <w:t>217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C6B6522" w14:textId="6F16C42A"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23</w:t>
            </w:r>
            <w:r w:rsidR="003F1C60" w:rsidRPr="00BF2258">
              <w:rPr>
                <w:b/>
                <w:sz w:val="18"/>
              </w:rPr>
              <w:t xml:space="preserve"> </w:t>
            </w:r>
            <w:r w:rsidRPr="00BF2258">
              <w:rPr>
                <w:b/>
                <w:sz w:val="18"/>
              </w:rPr>
              <w:t>903</w:t>
            </w:r>
          </w:p>
        </w:tc>
      </w:tr>
      <w:tr w:rsidR="00680417" w:rsidRPr="00DA21FF" w14:paraId="29384033" w14:textId="77777777" w:rsidTr="003F1C60">
        <w:trPr>
          <w:trHeight w:val="240"/>
        </w:trPr>
        <w:tc>
          <w:tcPr>
            <w:tcW w:w="5311" w:type="dxa"/>
            <w:tcBorders>
              <w:top w:val="single" w:sz="4" w:space="0" w:color="auto"/>
            </w:tcBorders>
            <w:shd w:val="clear" w:color="auto" w:fill="auto"/>
            <w:tcMar>
              <w:top w:w="0" w:type="dxa"/>
              <w:left w:w="0" w:type="dxa"/>
              <w:bottom w:w="0" w:type="dxa"/>
              <w:right w:w="0" w:type="dxa"/>
            </w:tcMar>
            <w:hideMark/>
          </w:tcPr>
          <w:p w14:paraId="0CAB0008"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Doctorados (título de doctor)</w:t>
            </w:r>
          </w:p>
        </w:tc>
        <w:tc>
          <w:tcPr>
            <w:tcW w:w="679" w:type="dxa"/>
            <w:tcBorders>
              <w:top w:val="single" w:sz="4" w:space="0" w:color="auto"/>
            </w:tcBorders>
            <w:shd w:val="clear" w:color="auto" w:fill="auto"/>
            <w:tcMar>
              <w:top w:w="0" w:type="dxa"/>
              <w:left w:w="0" w:type="dxa"/>
              <w:bottom w:w="0" w:type="dxa"/>
              <w:right w:w="0" w:type="dxa"/>
            </w:tcMar>
            <w:vAlign w:val="bottom"/>
            <w:hideMark/>
          </w:tcPr>
          <w:p w14:paraId="172CEE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0,4</w:t>
            </w:r>
          </w:p>
        </w:tc>
        <w:tc>
          <w:tcPr>
            <w:tcW w:w="700" w:type="dxa"/>
            <w:tcBorders>
              <w:top w:val="single" w:sz="4" w:space="0" w:color="auto"/>
            </w:tcBorders>
            <w:shd w:val="clear" w:color="auto" w:fill="auto"/>
            <w:tcMar>
              <w:top w:w="0" w:type="dxa"/>
              <w:left w:w="0" w:type="dxa"/>
              <w:bottom w:w="0" w:type="dxa"/>
              <w:right w:w="0" w:type="dxa"/>
            </w:tcMar>
            <w:vAlign w:val="bottom"/>
            <w:hideMark/>
          </w:tcPr>
          <w:p w14:paraId="31B4421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0,6</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B57FA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0,3</w:t>
            </w:r>
          </w:p>
        </w:tc>
      </w:tr>
      <w:tr w:rsidR="00680417" w:rsidRPr="00DA21FF" w14:paraId="788E69F4" w14:textId="77777777" w:rsidTr="003F1C60">
        <w:trPr>
          <w:trHeight w:val="240"/>
        </w:trPr>
        <w:tc>
          <w:tcPr>
            <w:tcW w:w="5311" w:type="dxa"/>
            <w:shd w:val="clear" w:color="auto" w:fill="auto"/>
            <w:tcMar>
              <w:top w:w="0" w:type="dxa"/>
              <w:left w:w="0" w:type="dxa"/>
              <w:bottom w:w="0" w:type="dxa"/>
              <w:right w:w="0" w:type="dxa"/>
            </w:tcMar>
            <w:hideMark/>
          </w:tcPr>
          <w:p w14:paraId="6E03A27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Titulados superiores de programas de más de 4 años</w:t>
            </w:r>
          </w:p>
        </w:tc>
        <w:tc>
          <w:tcPr>
            <w:tcW w:w="679" w:type="dxa"/>
            <w:shd w:val="clear" w:color="auto" w:fill="auto"/>
            <w:tcMar>
              <w:top w:w="0" w:type="dxa"/>
              <w:left w:w="0" w:type="dxa"/>
              <w:bottom w:w="0" w:type="dxa"/>
              <w:right w:w="0" w:type="dxa"/>
            </w:tcMar>
            <w:vAlign w:val="bottom"/>
            <w:hideMark/>
          </w:tcPr>
          <w:p w14:paraId="1C7D9DE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22,5</w:t>
            </w:r>
          </w:p>
        </w:tc>
        <w:tc>
          <w:tcPr>
            <w:tcW w:w="700" w:type="dxa"/>
            <w:shd w:val="clear" w:color="auto" w:fill="auto"/>
            <w:tcMar>
              <w:top w:w="0" w:type="dxa"/>
              <w:left w:w="0" w:type="dxa"/>
              <w:bottom w:w="0" w:type="dxa"/>
              <w:right w:w="0" w:type="dxa"/>
            </w:tcMar>
            <w:vAlign w:val="bottom"/>
            <w:hideMark/>
          </w:tcPr>
          <w:p w14:paraId="1A208B8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24,3</w:t>
            </w:r>
          </w:p>
        </w:tc>
        <w:tc>
          <w:tcPr>
            <w:tcW w:w="680" w:type="dxa"/>
            <w:shd w:val="clear" w:color="auto" w:fill="auto"/>
            <w:tcMar>
              <w:top w:w="0" w:type="dxa"/>
              <w:left w:w="0" w:type="dxa"/>
              <w:bottom w:w="0" w:type="dxa"/>
              <w:right w:w="0" w:type="dxa"/>
            </w:tcMar>
            <w:vAlign w:val="bottom"/>
            <w:hideMark/>
          </w:tcPr>
          <w:p w14:paraId="6D9497B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21,3</w:t>
            </w:r>
          </w:p>
        </w:tc>
      </w:tr>
      <w:tr w:rsidR="00680417" w:rsidRPr="00DA21FF" w14:paraId="062B7925" w14:textId="77777777" w:rsidTr="003F1C60">
        <w:trPr>
          <w:trHeight w:val="240"/>
        </w:trPr>
        <w:tc>
          <w:tcPr>
            <w:tcW w:w="5311" w:type="dxa"/>
            <w:shd w:val="clear" w:color="auto" w:fill="auto"/>
            <w:tcMar>
              <w:top w:w="0" w:type="dxa"/>
              <w:left w:w="0" w:type="dxa"/>
              <w:bottom w:w="0" w:type="dxa"/>
              <w:right w:w="0" w:type="dxa"/>
            </w:tcMar>
            <w:hideMark/>
          </w:tcPr>
          <w:p w14:paraId="0A83A15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Titulados superiores de programas de 2 a 4 años de duración</w:t>
            </w:r>
          </w:p>
        </w:tc>
        <w:tc>
          <w:tcPr>
            <w:tcW w:w="679" w:type="dxa"/>
            <w:shd w:val="clear" w:color="auto" w:fill="auto"/>
            <w:tcMar>
              <w:top w:w="0" w:type="dxa"/>
              <w:left w:w="0" w:type="dxa"/>
              <w:bottom w:w="0" w:type="dxa"/>
              <w:right w:w="0" w:type="dxa"/>
            </w:tcMar>
            <w:vAlign w:val="bottom"/>
            <w:hideMark/>
          </w:tcPr>
          <w:p w14:paraId="76D054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40,3</w:t>
            </w:r>
          </w:p>
        </w:tc>
        <w:tc>
          <w:tcPr>
            <w:tcW w:w="700" w:type="dxa"/>
            <w:shd w:val="clear" w:color="auto" w:fill="auto"/>
            <w:tcMar>
              <w:top w:w="0" w:type="dxa"/>
              <w:left w:w="0" w:type="dxa"/>
              <w:bottom w:w="0" w:type="dxa"/>
              <w:right w:w="0" w:type="dxa"/>
            </w:tcMar>
            <w:vAlign w:val="bottom"/>
            <w:hideMark/>
          </w:tcPr>
          <w:p w14:paraId="314C554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32,5</w:t>
            </w:r>
          </w:p>
        </w:tc>
        <w:tc>
          <w:tcPr>
            <w:tcW w:w="680" w:type="dxa"/>
            <w:shd w:val="clear" w:color="auto" w:fill="auto"/>
            <w:tcMar>
              <w:top w:w="0" w:type="dxa"/>
              <w:left w:w="0" w:type="dxa"/>
              <w:bottom w:w="0" w:type="dxa"/>
              <w:right w:w="0" w:type="dxa"/>
            </w:tcMar>
            <w:vAlign w:val="bottom"/>
            <w:hideMark/>
          </w:tcPr>
          <w:p w14:paraId="58711B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45,5</w:t>
            </w:r>
          </w:p>
        </w:tc>
      </w:tr>
      <w:tr w:rsidR="00680417" w:rsidRPr="00DA21FF" w14:paraId="05CA6AAF" w14:textId="77777777" w:rsidTr="000E2249">
        <w:trPr>
          <w:trHeight w:val="240"/>
        </w:trPr>
        <w:tc>
          <w:tcPr>
            <w:tcW w:w="5311" w:type="dxa"/>
            <w:tcBorders>
              <w:bottom w:val="single" w:sz="4" w:space="0" w:color="auto"/>
            </w:tcBorders>
            <w:shd w:val="clear" w:color="auto" w:fill="auto"/>
            <w:tcMar>
              <w:top w:w="0" w:type="dxa"/>
              <w:left w:w="0" w:type="dxa"/>
              <w:bottom w:w="0" w:type="dxa"/>
              <w:right w:w="0" w:type="dxa"/>
            </w:tcMar>
            <w:hideMark/>
          </w:tcPr>
          <w:p w14:paraId="4CD328F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Sin titulación</w:t>
            </w:r>
          </w:p>
        </w:tc>
        <w:tc>
          <w:tcPr>
            <w:tcW w:w="679" w:type="dxa"/>
            <w:tcBorders>
              <w:bottom w:val="single" w:sz="4" w:space="0" w:color="auto"/>
            </w:tcBorders>
            <w:shd w:val="clear" w:color="auto" w:fill="auto"/>
            <w:tcMar>
              <w:top w:w="0" w:type="dxa"/>
              <w:left w:w="0" w:type="dxa"/>
              <w:bottom w:w="0" w:type="dxa"/>
              <w:right w:w="0" w:type="dxa"/>
            </w:tcMar>
            <w:vAlign w:val="bottom"/>
            <w:hideMark/>
          </w:tcPr>
          <w:p w14:paraId="5BD7E2E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36,8</w:t>
            </w:r>
          </w:p>
        </w:tc>
        <w:tc>
          <w:tcPr>
            <w:tcW w:w="700" w:type="dxa"/>
            <w:tcBorders>
              <w:bottom w:val="single" w:sz="4" w:space="0" w:color="auto"/>
            </w:tcBorders>
            <w:shd w:val="clear" w:color="auto" w:fill="auto"/>
            <w:tcMar>
              <w:top w:w="0" w:type="dxa"/>
              <w:left w:w="0" w:type="dxa"/>
              <w:bottom w:w="0" w:type="dxa"/>
              <w:right w:w="0" w:type="dxa"/>
            </w:tcMar>
            <w:vAlign w:val="bottom"/>
            <w:hideMark/>
          </w:tcPr>
          <w:p w14:paraId="04296B5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42,6</w:t>
            </w:r>
          </w:p>
        </w:tc>
        <w:tc>
          <w:tcPr>
            <w:tcW w:w="680" w:type="dxa"/>
            <w:tcBorders>
              <w:bottom w:val="single" w:sz="4" w:space="0" w:color="auto"/>
            </w:tcBorders>
            <w:shd w:val="clear" w:color="auto" w:fill="auto"/>
            <w:tcMar>
              <w:top w:w="0" w:type="dxa"/>
              <w:left w:w="0" w:type="dxa"/>
              <w:bottom w:w="0" w:type="dxa"/>
              <w:right w:w="0" w:type="dxa"/>
            </w:tcMar>
            <w:vAlign w:val="bottom"/>
            <w:hideMark/>
          </w:tcPr>
          <w:p w14:paraId="4408199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33,0</w:t>
            </w:r>
          </w:p>
        </w:tc>
      </w:tr>
      <w:tr w:rsidR="00680417" w:rsidRPr="003F1C60" w14:paraId="6DB86FCF" w14:textId="77777777" w:rsidTr="000E2249">
        <w:trPr>
          <w:trHeight w:val="240"/>
        </w:trPr>
        <w:tc>
          <w:tcPr>
            <w:tcW w:w="5311" w:type="dxa"/>
            <w:tcBorders>
              <w:top w:val="single" w:sz="4" w:space="0" w:color="auto"/>
              <w:bottom w:val="single" w:sz="4" w:space="0" w:color="auto"/>
            </w:tcBorders>
            <w:shd w:val="clear" w:color="auto" w:fill="auto"/>
            <w:tcMar>
              <w:top w:w="0" w:type="dxa"/>
              <w:left w:w="0" w:type="dxa"/>
              <w:bottom w:w="0" w:type="dxa"/>
              <w:right w:w="0" w:type="dxa"/>
            </w:tcMar>
          </w:tcPr>
          <w:p w14:paraId="4ECAE453" w14:textId="022A11F2" w:rsidR="00DA21FF" w:rsidRPr="003F1C60" w:rsidRDefault="00DA21FF" w:rsidP="00680417">
            <w:pPr>
              <w:pStyle w:val="SingleTxtG"/>
              <w:tabs>
                <w:tab w:val="clear" w:pos="1701"/>
                <w:tab w:val="clear" w:pos="2268"/>
                <w:tab w:val="clear" w:pos="2835"/>
              </w:tabs>
              <w:spacing w:before="40" w:after="40" w:line="220" w:lineRule="exact"/>
              <w:ind w:left="0" w:right="0"/>
              <w:jc w:val="left"/>
              <w:rPr>
                <w:b/>
                <w:bCs/>
                <w:sz w:val="18"/>
                <w:lang w:val="en-GB"/>
              </w:rPr>
            </w:pPr>
            <w:r w:rsidRPr="003F1C60">
              <w:rPr>
                <w:b/>
                <w:bCs/>
                <w:sz w:val="18"/>
              </w:rPr>
              <w:t>2014</w:t>
            </w:r>
            <w:r w:rsidR="003F1C60" w:rsidRPr="003F1C60">
              <w:rPr>
                <w:b/>
                <w:bCs/>
                <w:sz w:val="18"/>
              </w:rPr>
              <w:t>-</w:t>
            </w:r>
            <w:r w:rsidRPr="003F1C60">
              <w:rPr>
                <w:b/>
                <w:bCs/>
                <w:sz w:val="18"/>
              </w:rPr>
              <w:t>2022</w:t>
            </w:r>
          </w:p>
        </w:tc>
        <w:tc>
          <w:tcPr>
            <w:tcW w:w="679"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8A634FE"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70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B4BE33D"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9599BBD" w14:textId="77777777" w:rsidR="00DA21FF" w:rsidRPr="003F1C60" w:rsidRDefault="00DA21FF" w:rsidP="00680417">
            <w:pPr>
              <w:pStyle w:val="SingleTxtG"/>
              <w:tabs>
                <w:tab w:val="clear" w:pos="1701"/>
                <w:tab w:val="clear" w:pos="2268"/>
                <w:tab w:val="clear" w:pos="2835"/>
              </w:tabs>
              <w:spacing w:before="40" w:after="40" w:line="220" w:lineRule="exact"/>
              <w:ind w:left="113" w:right="0"/>
              <w:jc w:val="right"/>
              <w:rPr>
                <w:b/>
                <w:bCs/>
                <w:sz w:val="18"/>
                <w:lang w:val="en-GB"/>
              </w:rPr>
            </w:pPr>
          </w:p>
        </w:tc>
      </w:tr>
      <w:tr w:rsidR="00680417" w:rsidRPr="00BF2258" w14:paraId="45202581" w14:textId="77777777" w:rsidTr="003F1C60">
        <w:trPr>
          <w:trHeight w:val="240"/>
        </w:trPr>
        <w:tc>
          <w:tcPr>
            <w:tcW w:w="5311" w:type="dxa"/>
            <w:tcBorders>
              <w:top w:val="single" w:sz="4" w:space="0" w:color="auto"/>
              <w:bottom w:val="single" w:sz="4" w:space="0" w:color="auto"/>
            </w:tcBorders>
            <w:shd w:val="clear" w:color="auto" w:fill="auto"/>
            <w:tcMar>
              <w:top w:w="0" w:type="dxa"/>
              <w:left w:w="0" w:type="dxa"/>
              <w:bottom w:w="0" w:type="dxa"/>
              <w:right w:w="0" w:type="dxa"/>
            </w:tcMar>
          </w:tcPr>
          <w:p w14:paraId="57A64358" w14:textId="77777777" w:rsidR="00DA21FF" w:rsidRPr="00BF2258" w:rsidRDefault="00DA21FF" w:rsidP="003F1C60">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lang w:val="en-GB"/>
              </w:rPr>
              <w:t>Total</w:t>
            </w:r>
          </w:p>
        </w:tc>
        <w:tc>
          <w:tcPr>
            <w:tcW w:w="679"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0727D95" w14:textId="11B704F7"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49</w:t>
            </w:r>
            <w:r w:rsidR="003F1C60" w:rsidRPr="00BF2258">
              <w:rPr>
                <w:b/>
                <w:sz w:val="18"/>
              </w:rPr>
              <w:t xml:space="preserve"> </w:t>
            </w:r>
            <w:r w:rsidRPr="00BF2258">
              <w:rPr>
                <w:b/>
                <w:sz w:val="18"/>
              </w:rPr>
              <w:t>961</w:t>
            </w:r>
          </w:p>
        </w:tc>
        <w:tc>
          <w:tcPr>
            <w:tcW w:w="70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3488535" w14:textId="60EE76AC"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21</w:t>
            </w:r>
            <w:r w:rsidR="003F1C60" w:rsidRPr="00BF2258">
              <w:rPr>
                <w:b/>
                <w:sz w:val="18"/>
              </w:rPr>
              <w:t xml:space="preserve"> </w:t>
            </w:r>
            <w:r w:rsidRPr="00BF2258">
              <w:rPr>
                <w:b/>
                <w:sz w:val="18"/>
              </w:rPr>
              <w:t>305</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02B386A" w14:textId="69EBBD46" w:rsidR="00DA21FF" w:rsidRPr="00BF2258" w:rsidRDefault="00DA21FF" w:rsidP="003F1C60">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28</w:t>
            </w:r>
            <w:r w:rsidR="003F1C60" w:rsidRPr="00BF2258">
              <w:rPr>
                <w:b/>
                <w:sz w:val="18"/>
              </w:rPr>
              <w:t xml:space="preserve"> </w:t>
            </w:r>
            <w:r w:rsidRPr="00BF2258">
              <w:rPr>
                <w:b/>
                <w:sz w:val="18"/>
              </w:rPr>
              <w:t>656</w:t>
            </w:r>
          </w:p>
        </w:tc>
      </w:tr>
      <w:tr w:rsidR="00680417" w:rsidRPr="00DA21FF" w14:paraId="7884D4C1" w14:textId="77777777" w:rsidTr="003F1C60">
        <w:trPr>
          <w:trHeight w:val="240"/>
        </w:trPr>
        <w:tc>
          <w:tcPr>
            <w:tcW w:w="5311" w:type="dxa"/>
            <w:tcBorders>
              <w:top w:val="single" w:sz="4" w:space="0" w:color="auto"/>
            </w:tcBorders>
            <w:shd w:val="clear" w:color="auto" w:fill="auto"/>
            <w:tcMar>
              <w:top w:w="0" w:type="dxa"/>
              <w:left w:w="0" w:type="dxa"/>
              <w:bottom w:w="0" w:type="dxa"/>
              <w:right w:w="0" w:type="dxa"/>
            </w:tcMar>
          </w:tcPr>
          <w:p w14:paraId="7D4BAE6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bCs/>
                <w:sz w:val="18"/>
                <w:lang w:val="en-GB"/>
              </w:rPr>
            </w:pPr>
            <w:r w:rsidRPr="00DA21FF">
              <w:rPr>
                <w:sz w:val="18"/>
              </w:rPr>
              <w:t>Doctorados (título de doctor)</w:t>
            </w:r>
          </w:p>
        </w:tc>
        <w:tc>
          <w:tcPr>
            <w:tcW w:w="679" w:type="dxa"/>
            <w:tcBorders>
              <w:top w:val="single" w:sz="4" w:space="0" w:color="auto"/>
            </w:tcBorders>
            <w:shd w:val="clear" w:color="auto" w:fill="auto"/>
            <w:tcMar>
              <w:top w:w="0" w:type="dxa"/>
              <w:left w:w="0" w:type="dxa"/>
              <w:bottom w:w="0" w:type="dxa"/>
              <w:right w:w="0" w:type="dxa"/>
            </w:tcMar>
            <w:vAlign w:val="bottom"/>
          </w:tcPr>
          <w:p w14:paraId="5B6DF4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w:t>
            </w:r>
          </w:p>
        </w:tc>
        <w:tc>
          <w:tcPr>
            <w:tcW w:w="700" w:type="dxa"/>
            <w:tcBorders>
              <w:top w:val="single" w:sz="4" w:space="0" w:color="auto"/>
            </w:tcBorders>
            <w:shd w:val="clear" w:color="auto" w:fill="auto"/>
            <w:tcMar>
              <w:top w:w="0" w:type="dxa"/>
              <w:left w:w="0" w:type="dxa"/>
              <w:bottom w:w="0" w:type="dxa"/>
              <w:right w:w="0" w:type="dxa"/>
            </w:tcMar>
            <w:vAlign w:val="bottom"/>
          </w:tcPr>
          <w:p w14:paraId="2451E7E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0,3</w:t>
            </w:r>
          </w:p>
        </w:tc>
        <w:tc>
          <w:tcPr>
            <w:tcW w:w="680" w:type="dxa"/>
            <w:tcBorders>
              <w:top w:val="single" w:sz="4" w:space="0" w:color="auto"/>
            </w:tcBorders>
            <w:shd w:val="clear" w:color="auto" w:fill="auto"/>
            <w:tcMar>
              <w:top w:w="0" w:type="dxa"/>
              <w:left w:w="0" w:type="dxa"/>
              <w:bottom w:w="0" w:type="dxa"/>
              <w:right w:w="0" w:type="dxa"/>
            </w:tcMar>
            <w:vAlign w:val="bottom"/>
          </w:tcPr>
          <w:p w14:paraId="753B219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0,2</w:t>
            </w:r>
          </w:p>
        </w:tc>
      </w:tr>
      <w:tr w:rsidR="00680417" w:rsidRPr="00DA21FF" w14:paraId="0EEF3E2B" w14:textId="77777777" w:rsidTr="003F1C60">
        <w:trPr>
          <w:trHeight w:val="240"/>
        </w:trPr>
        <w:tc>
          <w:tcPr>
            <w:tcW w:w="5311" w:type="dxa"/>
            <w:shd w:val="clear" w:color="auto" w:fill="auto"/>
            <w:tcMar>
              <w:top w:w="0" w:type="dxa"/>
              <w:left w:w="0" w:type="dxa"/>
              <w:bottom w:w="0" w:type="dxa"/>
              <w:right w:w="0" w:type="dxa"/>
            </w:tcMar>
          </w:tcPr>
          <w:p w14:paraId="1AE2D8C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bCs/>
                <w:sz w:val="18"/>
                <w:lang w:val="en-GB"/>
              </w:rPr>
            </w:pPr>
            <w:r w:rsidRPr="00DA21FF">
              <w:rPr>
                <w:sz w:val="18"/>
              </w:rPr>
              <w:t>Titulados superiores de programas de más de 4 años</w:t>
            </w:r>
          </w:p>
        </w:tc>
        <w:tc>
          <w:tcPr>
            <w:tcW w:w="679" w:type="dxa"/>
            <w:shd w:val="clear" w:color="auto" w:fill="auto"/>
            <w:tcMar>
              <w:top w:w="0" w:type="dxa"/>
              <w:left w:w="0" w:type="dxa"/>
              <w:bottom w:w="0" w:type="dxa"/>
              <w:right w:w="0" w:type="dxa"/>
            </w:tcMar>
            <w:vAlign w:val="bottom"/>
          </w:tcPr>
          <w:p w14:paraId="0BA38DC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25,2</w:t>
            </w:r>
          </w:p>
        </w:tc>
        <w:tc>
          <w:tcPr>
            <w:tcW w:w="700" w:type="dxa"/>
            <w:shd w:val="clear" w:color="auto" w:fill="auto"/>
            <w:tcMar>
              <w:top w:w="0" w:type="dxa"/>
              <w:left w:w="0" w:type="dxa"/>
              <w:bottom w:w="0" w:type="dxa"/>
              <w:right w:w="0" w:type="dxa"/>
            </w:tcMar>
            <w:vAlign w:val="bottom"/>
          </w:tcPr>
          <w:p w14:paraId="1C8307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25,9</w:t>
            </w:r>
          </w:p>
        </w:tc>
        <w:tc>
          <w:tcPr>
            <w:tcW w:w="680" w:type="dxa"/>
            <w:shd w:val="clear" w:color="auto" w:fill="auto"/>
            <w:tcMar>
              <w:top w:w="0" w:type="dxa"/>
              <w:left w:w="0" w:type="dxa"/>
              <w:bottom w:w="0" w:type="dxa"/>
              <w:right w:w="0" w:type="dxa"/>
            </w:tcMar>
            <w:vAlign w:val="bottom"/>
          </w:tcPr>
          <w:p w14:paraId="69CA3F6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24,7</w:t>
            </w:r>
          </w:p>
        </w:tc>
      </w:tr>
      <w:tr w:rsidR="00680417" w:rsidRPr="00DA21FF" w14:paraId="439CDCBF" w14:textId="77777777" w:rsidTr="003F1C60">
        <w:trPr>
          <w:trHeight w:val="240"/>
        </w:trPr>
        <w:tc>
          <w:tcPr>
            <w:tcW w:w="5311" w:type="dxa"/>
            <w:shd w:val="clear" w:color="auto" w:fill="auto"/>
            <w:tcMar>
              <w:top w:w="0" w:type="dxa"/>
              <w:left w:w="0" w:type="dxa"/>
              <w:bottom w:w="0" w:type="dxa"/>
              <w:right w:w="0" w:type="dxa"/>
            </w:tcMar>
          </w:tcPr>
          <w:p w14:paraId="0B30B2B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bCs/>
                <w:sz w:val="18"/>
                <w:lang w:val="en-GB"/>
              </w:rPr>
            </w:pPr>
            <w:r w:rsidRPr="00DA21FF">
              <w:rPr>
                <w:sz w:val="18"/>
              </w:rPr>
              <w:t>Titulados superiores de programas de 2 a 4 años de duración</w:t>
            </w:r>
          </w:p>
        </w:tc>
        <w:tc>
          <w:tcPr>
            <w:tcW w:w="679" w:type="dxa"/>
            <w:shd w:val="clear" w:color="auto" w:fill="auto"/>
            <w:tcMar>
              <w:top w:w="0" w:type="dxa"/>
              <w:left w:w="0" w:type="dxa"/>
              <w:bottom w:w="0" w:type="dxa"/>
              <w:right w:w="0" w:type="dxa"/>
            </w:tcMar>
            <w:vAlign w:val="bottom"/>
          </w:tcPr>
          <w:p w14:paraId="6645E2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42,7</w:t>
            </w:r>
          </w:p>
        </w:tc>
        <w:tc>
          <w:tcPr>
            <w:tcW w:w="700" w:type="dxa"/>
            <w:shd w:val="clear" w:color="auto" w:fill="auto"/>
            <w:tcMar>
              <w:top w:w="0" w:type="dxa"/>
              <w:left w:w="0" w:type="dxa"/>
              <w:bottom w:w="0" w:type="dxa"/>
              <w:right w:w="0" w:type="dxa"/>
            </w:tcMar>
            <w:vAlign w:val="bottom"/>
          </w:tcPr>
          <w:p w14:paraId="2211895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36,1</w:t>
            </w:r>
          </w:p>
        </w:tc>
        <w:tc>
          <w:tcPr>
            <w:tcW w:w="680" w:type="dxa"/>
            <w:shd w:val="clear" w:color="auto" w:fill="auto"/>
            <w:tcMar>
              <w:top w:w="0" w:type="dxa"/>
              <w:left w:w="0" w:type="dxa"/>
              <w:bottom w:w="0" w:type="dxa"/>
              <w:right w:w="0" w:type="dxa"/>
            </w:tcMar>
            <w:vAlign w:val="bottom"/>
          </w:tcPr>
          <w:p w14:paraId="15CF0FC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47,6</w:t>
            </w:r>
          </w:p>
        </w:tc>
      </w:tr>
      <w:tr w:rsidR="00680417" w:rsidRPr="00DA21FF" w14:paraId="00259A45" w14:textId="77777777" w:rsidTr="003F1C60">
        <w:trPr>
          <w:trHeight w:val="240"/>
        </w:trPr>
        <w:tc>
          <w:tcPr>
            <w:tcW w:w="5311" w:type="dxa"/>
            <w:tcBorders>
              <w:bottom w:val="single" w:sz="12" w:space="0" w:color="auto"/>
            </w:tcBorders>
            <w:shd w:val="clear" w:color="auto" w:fill="auto"/>
            <w:tcMar>
              <w:top w:w="0" w:type="dxa"/>
              <w:left w:w="0" w:type="dxa"/>
              <w:bottom w:w="0" w:type="dxa"/>
              <w:right w:w="0" w:type="dxa"/>
            </w:tcMar>
          </w:tcPr>
          <w:p w14:paraId="73CD5F9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bCs/>
                <w:sz w:val="18"/>
                <w:lang w:val="en-GB"/>
              </w:rPr>
            </w:pPr>
            <w:r w:rsidRPr="00DA21FF">
              <w:rPr>
                <w:sz w:val="18"/>
              </w:rPr>
              <w:t>Sin titulación</w:t>
            </w:r>
          </w:p>
        </w:tc>
        <w:tc>
          <w:tcPr>
            <w:tcW w:w="679" w:type="dxa"/>
            <w:tcBorders>
              <w:bottom w:val="single" w:sz="12" w:space="0" w:color="auto"/>
            </w:tcBorders>
            <w:shd w:val="clear" w:color="auto" w:fill="auto"/>
            <w:tcMar>
              <w:top w:w="0" w:type="dxa"/>
              <w:left w:w="0" w:type="dxa"/>
              <w:bottom w:w="0" w:type="dxa"/>
              <w:right w:w="0" w:type="dxa"/>
            </w:tcMar>
            <w:vAlign w:val="bottom"/>
          </w:tcPr>
          <w:p w14:paraId="28D99D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31,8</w:t>
            </w:r>
          </w:p>
        </w:tc>
        <w:tc>
          <w:tcPr>
            <w:tcW w:w="700" w:type="dxa"/>
            <w:tcBorders>
              <w:bottom w:val="single" w:sz="12" w:space="0" w:color="auto"/>
            </w:tcBorders>
            <w:shd w:val="clear" w:color="auto" w:fill="auto"/>
            <w:tcMar>
              <w:top w:w="0" w:type="dxa"/>
              <w:left w:w="0" w:type="dxa"/>
              <w:bottom w:w="0" w:type="dxa"/>
              <w:right w:w="0" w:type="dxa"/>
            </w:tcMar>
            <w:vAlign w:val="bottom"/>
          </w:tcPr>
          <w:p w14:paraId="3F79D3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37,7</w:t>
            </w:r>
          </w:p>
        </w:tc>
        <w:tc>
          <w:tcPr>
            <w:tcW w:w="680" w:type="dxa"/>
            <w:tcBorders>
              <w:bottom w:val="single" w:sz="12" w:space="0" w:color="auto"/>
            </w:tcBorders>
            <w:shd w:val="clear" w:color="auto" w:fill="auto"/>
            <w:tcMar>
              <w:top w:w="0" w:type="dxa"/>
              <w:left w:w="0" w:type="dxa"/>
              <w:bottom w:w="0" w:type="dxa"/>
              <w:right w:w="0" w:type="dxa"/>
            </w:tcMar>
            <w:vAlign w:val="bottom"/>
          </w:tcPr>
          <w:p w14:paraId="3FBAE66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27,5</w:t>
            </w:r>
          </w:p>
        </w:tc>
      </w:tr>
    </w:tbl>
    <w:p w14:paraId="3D9BF9EC" w14:textId="77777777" w:rsidR="00DA21FF" w:rsidRPr="003F1C60" w:rsidRDefault="00DA21FF" w:rsidP="003F1C60">
      <w:pPr>
        <w:pStyle w:val="SingleTxtG"/>
        <w:spacing w:before="120" w:after="240"/>
        <w:ind w:left="1304"/>
        <w:jc w:val="left"/>
        <w:rPr>
          <w:sz w:val="18"/>
          <w:szCs w:val="18"/>
        </w:rPr>
      </w:pPr>
      <w:r w:rsidRPr="003F1C60">
        <w:rPr>
          <w:i/>
          <w:sz w:val="18"/>
          <w:szCs w:val="18"/>
        </w:rPr>
        <w:t>Fuente:</w:t>
      </w:r>
      <w:r w:rsidRPr="003F1C60">
        <w:rPr>
          <w:sz w:val="18"/>
          <w:szCs w:val="18"/>
        </w:rPr>
        <w:t xml:space="preserve"> Instituto Nacional de Estadística de Noruega.</w:t>
      </w:r>
    </w:p>
    <w:p w14:paraId="23CF96B3" w14:textId="2EB6B1A2" w:rsidR="00DA21FF" w:rsidRPr="00DA21FF" w:rsidRDefault="00DA21FF" w:rsidP="003F1C60">
      <w:pPr>
        <w:pStyle w:val="H23G"/>
        <w:rPr>
          <w:lang w:val="en-GB"/>
        </w:rPr>
      </w:pPr>
      <w:r w:rsidRPr="00DA21FF">
        <w:tab/>
      </w:r>
      <w:r w:rsidR="003F1C60">
        <w:tab/>
      </w:r>
      <w:r w:rsidRPr="00DA21FF">
        <w:t>Coeficiente maestro-alumnos en las escuelas financiadas con fondos públicos</w:t>
      </w:r>
    </w:p>
    <w:p w14:paraId="6DD50939" w14:textId="77777777" w:rsidR="00DA21FF" w:rsidRPr="00DA21FF" w:rsidRDefault="00DA21FF" w:rsidP="00DA21FF">
      <w:pPr>
        <w:pStyle w:val="SingleTxtG"/>
        <w:rPr>
          <w:lang w:val="en-GB"/>
        </w:rPr>
      </w:pPr>
      <w:r w:rsidRPr="00DA21FF">
        <w:t>45.</w:t>
      </w:r>
      <w:r w:rsidRPr="00DA21FF">
        <w:tab/>
        <w:t xml:space="preserve">En la Ley de Educación se establece una </w:t>
      </w:r>
      <w:r w:rsidRPr="00373B5F">
        <w:rPr>
          <w:u w:val="single"/>
        </w:rPr>
        <w:t>norma nacional de alumnos por maestro</w:t>
      </w:r>
      <w:r w:rsidRPr="00DA21FF">
        <w:t>, que dispone los coeficientes máximos. Para los cursos 1º a 4º, el coeficiente es de 15 alumnos por maestro y para los cursos 5º a 7º y los cursos 8º a 10º, el coeficiente es de 20 alumnos por maestro. No obstante, pueden aplicarse excepciones.</w:t>
      </w:r>
    </w:p>
    <w:p w14:paraId="20CFB264" w14:textId="6DBD9062" w:rsidR="00DA21FF" w:rsidRPr="00DA21FF" w:rsidRDefault="00DA21FF" w:rsidP="00BF2258">
      <w:pPr>
        <w:pStyle w:val="H23G"/>
        <w:rPr>
          <w:lang w:val="en-GB"/>
        </w:rPr>
      </w:pPr>
      <w:r w:rsidRPr="00DA21FF">
        <w:tab/>
      </w:r>
      <w:r w:rsidR="00BF2258">
        <w:tab/>
      </w:r>
      <w:r w:rsidRPr="00DA21FF">
        <w:t>Tasas de alfabetización</w:t>
      </w:r>
    </w:p>
    <w:p w14:paraId="5AFB6258" w14:textId="77777777" w:rsidR="00DA21FF" w:rsidRPr="00DA21FF" w:rsidRDefault="00DA21FF" w:rsidP="00DA21FF">
      <w:pPr>
        <w:pStyle w:val="SingleTxtG"/>
        <w:rPr>
          <w:lang w:val="en-GB"/>
        </w:rPr>
      </w:pPr>
      <w:r w:rsidRPr="00DA21FF">
        <w:t>46.</w:t>
      </w:r>
      <w:r w:rsidRPr="00DA21FF">
        <w:tab/>
        <w:t xml:space="preserve">Aunque la </w:t>
      </w:r>
      <w:r w:rsidRPr="00117F19">
        <w:rPr>
          <w:u w:val="single"/>
        </w:rPr>
        <w:t>tasa de alfabetización</w:t>
      </w:r>
      <w:r w:rsidRPr="00DA21FF">
        <w:t xml:space="preserve"> en Noruega se acerca al 100 %, las pruebas de alfabetización han demostrado que un pequeño número de la población adulta carece de conocimientos básicos de lectura y escritura.</w:t>
      </w:r>
    </w:p>
    <w:p w14:paraId="78F8B6C3" w14:textId="3D2EEE7B" w:rsidR="00DA21FF" w:rsidRPr="00DA21FF" w:rsidRDefault="00BF2258" w:rsidP="00BF2258">
      <w:pPr>
        <w:pStyle w:val="H23G"/>
        <w:rPr>
          <w:lang w:val="en-GB"/>
        </w:rPr>
      </w:pPr>
      <w:r>
        <w:tab/>
      </w:r>
      <w:r w:rsidR="00DA21FF" w:rsidRPr="00DA21FF">
        <w:t>f)</w:t>
      </w:r>
      <w:r w:rsidR="00DA21FF" w:rsidRPr="00DA21FF">
        <w:tab/>
        <w:t>Empleo</w:t>
      </w:r>
    </w:p>
    <w:p w14:paraId="78884D26" w14:textId="77777777" w:rsidR="00DA21FF" w:rsidRPr="00DA21FF" w:rsidRDefault="00DA21FF" w:rsidP="00DA21FF">
      <w:pPr>
        <w:pStyle w:val="SingleTxtG"/>
        <w:rPr>
          <w:lang w:val="en-GB"/>
        </w:rPr>
      </w:pPr>
      <w:r w:rsidRPr="00DA21FF">
        <w:t>47.</w:t>
      </w:r>
      <w:r w:rsidRPr="00DA21FF">
        <w:tab/>
        <w:t xml:space="preserve">En 2023, la </w:t>
      </w:r>
      <w:r w:rsidRPr="00117F19">
        <w:rPr>
          <w:u w:val="single"/>
        </w:rPr>
        <w:t>tasa de empleo</w:t>
      </w:r>
      <w:r w:rsidRPr="00DA21FF">
        <w:t xml:space="preserve"> para el grupo de edad de 15 a 74 años era del 70,1 %. La tasa de empleo era más elevada entre los hombres que entre las mujeres. Casi el 51 % de todos los empleados están afiliados a sindicatos (2022).</w:t>
      </w:r>
    </w:p>
    <w:p w14:paraId="2004A3D1" w14:textId="77777777" w:rsidR="00DA21FF" w:rsidRPr="00DA21FF" w:rsidRDefault="00DA21FF" w:rsidP="00DA21FF">
      <w:pPr>
        <w:pStyle w:val="SingleTxtG"/>
        <w:rPr>
          <w:lang w:val="en-GB"/>
        </w:rPr>
      </w:pPr>
      <w:r w:rsidRPr="00DA21FF">
        <w:t>48.</w:t>
      </w:r>
      <w:r w:rsidRPr="00DA21FF">
        <w:tab/>
        <w:t xml:space="preserve">En 2023, la </w:t>
      </w:r>
      <w:r w:rsidRPr="00117F19">
        <w:rPr>
          <w:u w:val="single"/>
        </w:rPr>
        <w:t>tasa de desempleo</w:t>
      </w:r>
      <w:r w:rsidRPr="00DA21FF">
        <w:t xml:space="preserve"> en Noruega era del 3,6 %, lo que supone un descenso respecto al 4,9 % registrado en 2016. La tasa de desempleo era más elevada entre los hombres que entre las mujeres. La tasa de desempleo entre los jóvenes (15 a 24 años) era del 12,6 % en 2021, y del 11,1 % en 2023.</w:t>
      </w:r>
    </w:p>
    <w:p w14:paraId="6D0D49E3" w14:textId="2929BD75" w:rsidR="00DA21FF" w:rsidRPr="00DA21FF" w:rsidRDefault="00BF2258" w:rsidP="00BF2258">
      <w:pPr>
        <w:pStyle w:val="H23G"/>
        <w:rPr>
          <w:lang w:val="en-GB"/>
        </w:rPr>
      </w:pPr>
      <w:r>
        <w:lastRenderedPageBreak/>
        <w:tab/>
      </w:r>
      <w:r w:rsidR="00DA21FF" w:rsidRPr="00DA21FF">
        <w:tab/>
        <w:t xml:space="preserve">Tasa de empleo (en porcentaje de la población) y tasa de desempleo </w:t>
      </w:r>
      <w:r>
        <w:br/>
      </w:r>
      <w:r w:rsidR="00DA21FF" w:rsidRPr="00DA21FF">
        <w:t>(en porcentaje de la población activa) por grupos de edad</w:t>
      </w:r>
      <w:r>
        <w:t>,</w:t>
      </w:r>
      <w:r w:rsidR="00DA21FF" w:rsidRPr="00DA21FF">
        <w:t xml:space="preserve"> 2021</w:t>
      </w:r>
      <w:r>
        <w:t>-</w:t>
      </w:r>
      <w:r w:rsidR="00DA21FF" w:rsidRPr="00DA21FF">
        <w:t>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03"/>
        <w:gridCol w:w="979"/>
        <w:gridCol w:w="980"/>
        <w:gridCol w:w="897"/>
        <w:gridCol w:w="1063"/>
        <w:gridCol w:w="980"/>
        <w:gridCol w:w="980"/>
      </w:tblGrid>
      <w:tr w:rsidR="00680417" w:rsidRPr="00680417" w14:paraId="697451FC" w14:textId="77777777" w:rsidTr="002E0A90">
        <w:trPr>
          <w:trHeight w:val="240"/>
          <w:tblHeader/>
        </w:trPr>
        <w:tc>
          <w:tcPr>
            <w:tcW w:w="1587" w:type="dxa"/>
            <w:vMerge w:val="restart"/>
            <w:tcBorders>
              <w:top w:val="single" w:sz="4" w:space="0" w:color="auto"/>
              <w:bottom w:val="single" w:sz="12" w:space="0" w:color="auto"/>
            </w:tcBorders>
            <w:shd w:val="clear" w:color="auto" w:fill="auto"/>
            <w:noWrap/>
            <w:vAlign w:val="bottom"/>
            <w:hideMark/>
          </w:tcPr>
          <w:p w14:paraId="31D875D0"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2808" w:type="dxa"/>
            <w:gridSpan w:val="3"/>
            <w:tcBorders>
              <w:top w:val="single" w:sz="4" w:space="0" w:color="auto"/>
              <w:bottom w:val="single" w:sz="4" w:space="0" w:color="auto"/>
              <w:right w:val="single" w:sz="18" w:space="0" w:color="FFFFFF" w:themeColor="background1"/>
            </w:tcBorders>
            <w:shd w:val="clear" w:color="auto" w:fill="auto"/>
            <w:noWrap/>
            <w:vAlign w:val="bottom"/>
            <w:hideMark/>
          </w:tcPr>
          <w:p w14:paraId="582C7937" w14:textId="77777777" w:rsidR="00DA21FF" w:rsidRPr="00DA21FF" w:rsidRDefault="00DA21FF" w:rsidP="00BF2258">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Personas empleadas</w:t>
            </w:r>
          </w:p>
        </w:tc>
        <w:tc>
          <w:tcPr>
            <w:tcW w:w="2975" w:type="dxa"/>
            <w:gridSpan w:val="3"/>
            <w:tcBorders>
              <w:top w:val="single" w:sz="4" w:space="0" w:color="auto"/>
              <w:left w:val="single" w:sz="18" w:space="0" w:color="FFFFFF" w:themeColor="background1"/>
              <w:bottom w:val="single" w:sz="4" w:space="0" w:color="auto"/>
            </w:tcBorders>
            <w:shd w:val="clear" w:color="auto" w:fill="auto"/>
            <w:noWrap/>
            <w:vAlign w:val="bottom"/>
            <w:hideMark/>
          </w:tcPr>
          <w:p w14:paraId="3D3305DA" w14:textId="77777777" w:rsidR="00DA21FF" w:rsidRPr="00DA21FF" w:rsidRDefault="00DA21FF" w:rsidP="00BF2258">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Desempleados</w:t>
            </w:r>
          </w:p>
        </w:tc>
      </w:tr>
      <w:tr w:rsidR="00680417" w:rsidRPr="00DA21FF" w14:paraId="48A14F34" w14:textId="77777777" w:rsidTr="002E0A90">
        <w:trPr>
          <w:trHeight w:val="240"/>
          <w:tblHeader/>
        </w:trPr>
        <w:tc>
          <w:tcPr>
            <w:tcW w:w="1587" w:type="dxa"/>
            <w:vMerge/>
            <w:tcBorders>
              <w:top w:val="single" w:sz="12" w:space="0" w:color="auto"/>
              <w:bottom w:val="single" w:sz="12" w:space="0" w:color="auto"/>
            </w:tcBorders>
            <w:shd w:val="clear" w:color="auto" w:fill="auto"/>
            <w:noWrap/>
            <w:vAlign w:val="bottom"/>
            <w:hideMark/>
          </w:tcPr>
          <w:p w14:paraId="2E7A2FE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963" w:type="dxa"/>
            <w:tcBorders>
              <w:top w:val="single" w:sz="4" w:space="0" w:color="auto"/>
              <w:bottom w:val="single" w:sz="12" w:space="0" w:color="auto"/>
            </w:tcBorders>
            <w:shd w:val="clear" w:color="auto" w:fill="auto"/>
            <w:noWrap/>
            <w:vAlign w:val="bottom"/>
            <w:hideMark/>
          </w:tcPr>
          <w:p w14:paraId="208D68D9"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2021</w:t>
            </w:r>
          </w:p>
        </w:tc>
        <w:tc>
          <w:tcPr>
            <w:tcW w:w="964" w:type="dxa"/>
            <w:tcBorders>
              <w:top w:val="single" w:sz="4" w:space="0" w:color="auto"/>
              <w:bottom w:val="single" w:sz="12" w:space="0" w:color="auto"/>
            </w:tcBorders>
            <w:shd w:val="clear" w:color="auto" w:fill="auto"/>
            <w:noWrap/>
            <w:vAlign w:val="bottom"/>
            <w:hideMark/>
          </w:tcPr>
          <w:p w14:paraId="6BFC06D3"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2022</w:t>
            </w:r>
          </w:p>
        </w:tc>
        <w:tc>
          <w:tcPr>
            <w:tcW w:w="881" w:type="dxa"/>
            <w:tcBorders>
              <w:top w:val="single" w:sz="4" w:space="0" w:color="auto"/>
              <w:bottom w:val="single" w:sz="12" w:space="0" w:color="auto"/>
              <w:right w:val="single" w:sz="18" w:space="0" w:color="FFFFFF" w:themeColor="background1"/>
            </w:tcBorders>
            <w:shd w:val="clear" w:color="auto" w:fill="auto"/>
            <w:noWrap/>
            <w:vAlign w:val="bottom"/>
            <w:hideMark/>
          </w:tcPr>
          <w:p w14:paraId="3E9EBD1F"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2023</w:t>
            </w:r>
          </w:p>
        </w:tc>
        <w:tc>
          <w:tcPr>
            <w:tcW w:w="1047" w:type="dxa"/>
            <w:tcBorders>
              <w:top w:val="single" w:sz="4" w:space="0" w:color="auto"/>
              <w:left w:val="single" w:sz="18" w:space="0" w:color="FFFFFF" w:themeColor="background1"/>
              <w:bottom w:val="single" w:sz="12" w:space="0" w:color="auto"/>
            </w:tcBorders>
            <w:shd w:val="clear" w:color="auto" w:fill="auto"/>
            <w:noWrap/>
            <w:vAlign w:val="bottom"/>
            <w:hideMark/>
          </w:tcPr>
          <w:p w14:paraId="6ACA1A76"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2021</w:t>
            </w:r>
          </w:p>
        </w:tc>
        <w:tc>
          <w:tcPr>
            <w:tcW w:w="964" w:type="dxa"/>
            <w:tcBorders>
              <w:top w:val="single" w:sz="4" w:space="0" w:color="auto"/>
              <w:bottom w:val="single" w:sz="12" w:space="0" w:color="auto"/>
            </w:tcBorders>
            <w:shd w:val="clear" w:color="auto" w:fill="auto"/>
            <w:noWrap/>
            <w:vAlign w:val="bottom"/>
            <w:hideMark/>
          </w:tcPr>
          <w:p w14:paraId="666616A7"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2022</w:t>
            </w:r>
          </w:p>
        </w:tc>
        <w:tc>
          <w:tcPr>
            <w:tcW w:w="964" w:type="dxa"/>
            <w:tcBorders>
              <w:top w:val="single" w:sz="4" w:space="0" w:color="auto"/>
              <w:bottom w:val="single" w:sz="12" w:space="0" w:color="auto"/>
            </w:tcBorders>
            <w:shd w:val="clear" w:color="auto" w:fill="auto"/>
            <w:noWrap/>
            <w:vAlign w:val="bottom"/>
            <w:hideMark/>
          </w:tcPr>
          <w:p w14:paraId="757FF32F"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2023</w:t>
            </w:r>
          </w:p>
        </w:tc>
      </w:tr>
      <w:tr w:rsidR="00680417" w:rsidRPr="00BF2258" w14:paraId="2CA57D07" w14:textId="77777777" w:rsidTr="00BF2258">
        <w:trPr>
          <w:trHeight w:val="240"/>
        </w:trPr>
        <w:tc>
          <w:tcPr>
            <w:tcW w:w="1587" w:type="dxa"/>
            <w:tcBorders>
              <w:top w:val="single" w:sz="12" w:space="0" w:color="auto"/>
            </w:tcBorders>
            <w:shd w:val="clear" w:color="auto" w:fill="auto"/>
            <w:noWrap/>
            <w:hideMark/>
          </w:tcPr>
          <w:p w14:paraId="6F6864EA" w14:textId="77777777" w:rsidR="00DA21FF" w:rsidRPr="00BF2258" w:rsidRDefault="00DA21FF" w:rsidP="00680417">
            <w:pPr>
              <w:pStyle w:val="SingleTxtG"/>
              <w:tabs>
                <w:tab w:val="clear" w:pos="1701"/>
                <w:tab w:val="clear" w:pos="2268"/>
                <w:tab w:val="clear" w:pos="2835"/>
              </w:tabs>
              <w:spacing w:before="40" w:after="40" w:line="220" w:lineRule="exact"/>
              <w:ind w:left="0" w:right="0"/>
              <w:jc w:val="left"/>
              <w:rPr>
                <w:b/>
                <w:sz w:val="18"/>
                <w:lang w:val="en-GB"/>
              </w:rPr>
            </w:pPr>
            <w:r w:rsidRPr="00BF2258">
              <w:rPr>
                <w:b/>
                <w:sz w:val="18"/>
              </w:rPr>
              <w:t>Ambos sexos</w:t>
            </w:r>
          </w:p>
        </w:tc>
        <w:tc>
          <w:tcPr>
            <w:tcW w:w="963" w:type="dxa"/>
            <w:tcBorders>
              <w:top w:val="single" w:sz="12" w:space="0" w:color="auto"/>
            </w:tcBorders>
            <w:shd w:val="clear" w:color="auto" w:fill="auto"/>
            <w:noWrap/>
            <w:vAlign w:val="bottom"/>
            <w:hideMark/>
          </w:tcPr>
          <w:p w14:paraId="12F45BD9"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tcBorders>
              <w:top w:val="single" w:sz="12" w:space="0" w:color="auto"/>
            </w:tcBorders>
            <w:shd w:val="clear" w:color="auto" w:fill="auto"/>
            <w:noWrap/>
            <w:vAlign w:val="bottom"/>
            <w:hideMark/>
          </w:tcPr>
          <w:p w14:paraId="43744A9B"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881" w:type="dxa"/>
            <w:tcBorders>
              <w:top w:val="single" w:sz="12" w:space="0" w:color="auto"/>
            </w:tcBorders>
            <w:shd w:val="clear" w:color="auto" w:fill="auto"/>
            <w:noWrap/>
            <w:vAlign w:val="bottom"/>
            <w:hideMark/>
          </w:tcPr>
          <w:p w14:paraId="5F5EEDAE"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1047" w:type="dxa"/>
            <w:tcBorders>
              <w:top w:val="single" w:sz="12" w:space="0" w:color="auto"/>
            </w:tcBorders>
            <w:shd w:val="clear" w:color="auto" w:fill="auto"/>
            <w:noWrap/>
            <w:vAlign w:val="bottom"/>
            <w:hideMark/>
          </w:tcPr>
          <w:p w14:paraId="57D11017"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tcBorders>
              <w:top w:val="single" w:sz="12" w:space="0" w:color="auto"/>
            </w:tcBorders>
            <w:shd w:val="clear" w:color="auto" w:fill="auto"/>
            <w:noWrap/>
            <w:vAlign w:val="bottom"/>
            <w:hideMark/>
          </w:tcPr>
          <w:p w14:paraId="0A632112"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tcBorders>
              <w:top w:val="single" w:sz="12" w:space="0" w:color="auto"/>
            </w:tcBorders>
            <w:shd w:val="clear" w:color="auto" w:fill="auto"/>
            <w:noWrap/>
            <w:vAlign w:val="bottom"/>
            <w:hideMark/>
          </w:tcPr>
          <w:p w14:paraId="17F8536F"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r>
      <w:tr w:rsidR="00680417" w:rsidRPr="00DA21FF" w14:paraId="5622084E" w14:textId="77777777" w:rsidTr="00680417">
        <w:trPr>
          <w:trHeight w:val="240"/>
        </w:trPr>
        <w:tc>
          <w:tcPr>
            <w:tcW w:w="1587" w:type="dxa"/>
            <w:shd w:val="clear" w:color="auto" w:fill="auto"/>
            <w:noWrap/>
            <w:hideMark/>
          </w:tcPr>
          <w:p w14:paraId="63BA35C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74 años</w:t>
            </w:r>
          </w:p>
        </w:tc>
        <w:tc>
          <w:tcPr>
            <w:tcW w:w="963" w:type="dxa"/>
            <w:shd w:val="clear" w:color="auto" w:fill="auto"/>
            <w:noWrap/>
            <w:vAlign w:val="bottom"/>
            <w:hideMark/>
          </w:tcPr>
          <w:p w14:paraId="79AD20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68,9</w:t>
            </w:r>
          </w:p>
        </w:tc>
        <w:tc>
          <w:tcPr>
            <w:tcW w:w="964" w:type="dxa"/>
            <w:shd w:val="clear" w:color="auto" w:fill="auto"/>
            <w:noWrap/>
            <w:vAlign w:val="bottom"/>
            <w:hideMark/>
          </w:tcPr>
          <w:p w14:paraId="01C4C43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70,3</w:t>
            </w:r>
          </w:p>
        </w:tc>
        <w:tc>
          <w:tcPr>
            <w:tcW w:w="881" w:type="dxa"/>
            <w:shd w:val="clear" w:color="auto" w:fill="auto"/>
            <w:noWrap/>
            <w:vAlign w:val="bottom"/>
            <w:hideMark/>
          </w:tcPr>
          <w:p w14:paraId="74A8333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70,1</w:t>
            </w:r>
          </w:p>
        </w:tc>
        <w:tc>
          <w:tcPr>
            <w:tcW w:w="1047" w:type="dxa"/>
            <w:shd w:val="clear" w:color="auto" w:fill="auto"/>
            <w:noWrap/>
            <w:vAlign w:val="bottom"/>
            <w:hideMark/>
          </w:tcPr>
          <w:p w14:paraId="73C2B36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w:t>
            </w:r>
          </w:p>
        </w:tc>
        <w:tc>
          <w:tcPr>
            <w:tcW w:w="964" w:type="dxa"/>
            <w:shd w:val="clear" w:color="auto" w:fill="auto"/>
            <w:noWrap/>
            <w:vAlign w:val="bottom"/>
            <w:hideMark/>
          </w:tcPr>
          <w:p w14:paraId="0F6889B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3,2</w:t>
            </w:r>
          </w:p>
        </w:tc>
        <w:tc>
          <w:tcPr>
            <w:tcW w:w="964" w:type="dxa"/>
            <w:shd w:val="clear" w:color="auto" w:fill="auto"/>
            <w:noWrap/>
            <w:vAlign w:val="bottom"/>
            <w:hideMark/>
          </w:tcPr>
          <w:p w14:paraId="38775C7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680417" w:rsidRPr="00DA21FF" w14:paraId="6654D3FE" w14:textId="77777777" w:rsidTr="00680417">
        <w:trPr>
          <w:trHeight w:val="240"/>
        </w:trPr>
        <w:tc>
          <w:tcPr>
            <w:tcW w:w="1587" w:type="dxa"/>
            <w:shd w:val="clear" w:color="auto" w:fill="auto"/>
            <w:noWrap/>
            <w:hideMark/>
          </w:tcPr>
          <w:p w14:paraId="72A58D7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64 años</w:t>
            </w:r>
          </w:p>
        </w:tc>
        <w:tc>
          <w:tcPr>
            <w:tcW w:w="963" w:type="dxa"/>
            <w:shd w:val="clear" w:color="auto" w:fill="auto"/>
            <w:noWrap/>
            <w:vAlign w:val="bottom"/>
            <w:hideMark/>
          </w:tcPr>
          <w:p w14:paraId="54304AF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79,9</w:t>
            </w:r>
          </w:p>
        </w:tc>
        <w:tc>
          <w:tcPr>
            <w:tcW w:w="964" w:type="dxa"/>
            <w:shd w:val="clear" w:color="auto" w:fill="auto"/>
            <w:noWrap/>
            <w:vAlign w:val="bottom"/>
            <w:hideMark/>
          </w:tcPr>
          <w:p w14:paraId="5BB7FB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80,9</w:t>
            </w:r>
          </w:p>
        </w:tc>
        <w:tc>
          <w:tcPr>
            <w:tcW w:w="881" w:type="dxa"/>
            <w:shd w:val="clear" w:color="auto" w:fill="auto"/>
            <w:noWrap/>
            <w:vAlign w:val="bottom"/>
            <w:hideMark/>
          </w:tcPr>
          <w:p w14:paraId="3C3A68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80,4</w:t>
            </w:r>
          </w:p>
        </w:tc>
        <w:tc>
          <w:tcPr>
            <w:tcW w:w="1047" w:type="dxa"/>
            <w:shd w:val="clear" w:color="auto" w:fill="auto"/>
            <w:noWrap/>
            <w:vAlign w:val="bottom"/>
            <w:hideMark/>
          </w:tcPr>
          <w:p w14:paraId="27B5AE8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c>
          <w:tcPr>
            <w:tcW w:w="964" w:type="dxa"/>
            <w:shd w:val="clear" w:color="auto" w:fill="auto"/>
            <w:noWrap/>
            <w:vAlign w:val="bottom"/>
            <w:hideMark/>
          </w:tcPr>
          <w:p w14:paraId="7FF5770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c>
          <w:tcPr>
            <w:tcW w:w="964" w:type="dxa"/>
            <w:shd w:val="clear" w:color="auto" w:fill="auto"/>
            <w:noWrap/>
            <w:vAlign w:val="bottom"/>
            <w:hideMark/>
          </w:tcPr>
          <w:p w14:paraId="06E3A5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r>
      <w:tr w:rsidR="00680417" w:rsidRPr="00DA21FF" w14:paraId="7C0435F2" w14:textId="77777777" w:rsidTr="00680417">
        <w:trPr>
          <w:trHeight w:val="240"/>
        </w:trPr>
        <w:tc>
          <w:tcPr>
            <w:tcW w:w="1587" w:type="dxa"/>
            <w:shd w:val="clear" w:color="auto" w:fill="auto"/>
            <w:noWrap/>
            <w:hideMark/>
          </w:tcPr>
          <w:p w14:paraId="5F55A95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66 años</w:t>
            </w:r>
          </w:p>
        </w:tc>
        <w:tc>
          <w:tcPr>
            <w:tcW w:w="963" w:type="dxa"/>
            <w:shd w:val="clear" w:color="auto" w:fill="auto"/>
            <w:noWrap/>
            <w:vAlign w:val="bottom"/>
            <w:hideMark/>
          </w:tcPr>
          <w:p w14:paraId="744D4D6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78,5</w:t>
            </w:r>
          </w:p>
        </w:tc>
        <w:tc>
          <w:tcPr>
            <w:tcW w:w="964" w:type="dxa"/>
            <w:shd w:val="clear" w:color="auto" w:fill="auto"/>
            <w:noWrap/>
            <w:vAlign w:val="bottom"/>
            <w:hideMark/>
          </w:tcPr>
          <w:p w14:paraId="54A0805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79,4</w:t>
            </w:r>
          </w:p>
        </w:tc>
        <w:tc>
          <w:tcPr>
            <w:tcW w:w="881" w:type="dxa"/>
            <w:shd w:val="clear" w:color="auto" w:fill="auto"/>
            <w:noWrap/>
            <w:vAlign w:val="bottom"/>
            <w:hideMark/>
          </w:tcPr>
          <w:p w14:paraId="2C67EAA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w:t>
            </w:r>
          </w:p>
        </w:tc>
        <w:tc>
          <w:tcPr>
            <w:tcW w:w="1047" w:type="dxa"/>
            <w:shd w:val="clear" w:color="auto" w:fill="auto"/>
            <w:noWrap/>
            <w:vAlign w:val="bottom"/>
            <w:hideMark/>
          </w:tcPr>
          <w:p w14:paraId="29A22E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c>
          <w:tcPr>
            <w:tcW w:w="964" w:type="dxa"/>
            <w:shd w:val="clear" w:color="auto" w:fill="auto"/>
            <w:noWrap/>
            <w:vAlign w:val="bottom"/>
            <w:hideMark/>
          </w:tcPr>
          <w:p w14:paraId="4DE103A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c>
          <w:tcPr>
            <w:tcW w:w="964" w:type="dxa"/>
            <w:shd w:val="clear" w:color="auto" w:fill="auto"/>
            <w:noWrap/>
            <w:vAlign w:val="bottom"/>
            <w:hideMark/>
          </w:tcPr>
          <w:p w14:paraId="4C5535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r>
      <w:tr w:rsidR="00680417" w:rsidRPr="00DA21FF" w14:paraId="5C90BF7A" w14:textId="77777777" w:rsidTr="00680417">
        <w:trPr>
          <w:trHeight w:val="240"/>
        </w:trPr>
        <w:tc>
          <w:tcPr>
            <w:tcW w:w="1587" w:type="dxa"/>
            <w:shd w:val="clear" w:color="auto" w:fill="auto"/>
            <w:noWrap/>
            <w:hideMark/>
          </w:tcPr>
          <w:p w14:paraId="4896705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24 años</w:t>
            </w:r>
          </w:p>
        </w:tc>
        <w:tc>
          <w:tcPr>
            <w:tcW w:w="963" w:type="dxa"/>
            <w:shd w:val="clear" w:color="auto" w:fill="auto"/>
            <w:noWrap/>
            <w:vAlign w:val="bottom"/>
            <w:hideMark/>
          </w:tcPr>
          <w:p w14:paraId="4E6165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53,4</w:t>
            </w:r>
          </w:p>
        </w:tc>
        <w:tc>
          <w:tcPr>
            <w:tcW w:w="964" w:type="dxa"/>
            <w:shd w:val="clear" w:color="auto" w:fill="auto"/>
            <w:noWrap/>
            <w:vAlign w:val="bottom"/>
            <w:hideMark/>
          </w:tcPr>
          <w:p w14:paraId="0981637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57,9</w:t>
            </w:r>
          </w:p>
        </w:tc>
        <w:tc>
          <w:tcPr>
            <w:tcW w:w="881" w:type="dxa"/>
            <w:shd w:val="clear" w:color="auto" w:fill="auto"/>
            <w:noWrap/>
            <w:vAlign w:val="bottom"/>
            <w:hideMark/>
          </w:tcPr>
          <w:p w14:paraId="43D150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58,4</w:t>
            </w:r>
          </w:p>
        </w:tc>
        <w:tc>
          <w:tcPr>
            <w:tcW w:w="1047" w:type="dxa"/>
            <w:shd w:val="clear" w:color="auto" w:fill="auto"/>
            <w:noWrap/>
            <w:vAlign w:val="bottom"/>
            <w:hideMark/>
          </w:tcPr>
          <w:p w14:paraId="5015A5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12,6</w:t>
            </w:r>
          </w:p>
        </w:tc>
        <w:tc>
          <w:tcPr>
            <w:tcW w:w="964" w:type="dxa"/>
            <w:shd w:val="clear" w:color="auto" w:fill="auto"/>
            <w:noWrap/>
            <w:vAlign w:val="bottom"/>
            <w:hideMark/>
          </w:tcPr>
          <w:p w14:paraId="697683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c>
          <w:tcPr>
            <w:tcW w:w="964" w:type="dxa"/>
            <w:shd w:val="clear" w:color="auto" w:fill="auto"/>
            <w:noWrap/>
            <w:vAlign w:val="bottom"/>
            <w:hideMark/>
          </w:tcPr>
          <w:p w14:paraId="029D033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11,1</w:t>
            </w:r>
          </w:p>
        </w:tc>
      </w:tr>
      <w:tr w:rsidR="00680417" w:rsidRPr="00DA21FF" w14:paraId="0880EE58" w14:textId="77777777" w:rsidTr="00680417">
        <w:trPr>
          <w:trHeight w:val="240"/>
        </w:trPr>
        <w:tc>
          <w:tcPr>
            <w:tcW w:w="1587" w:type="dxa"/>
            <w:shd w:val="clear" w:color="auto" w:fill="auto"/>
            <w:noWrap/>
          </w:tcPr>
          <w:p w14:paraId="380E802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25 a 54 años</w:t>
            </w:r>
          </w:p>
        </w:tc>
        <w:tc>
          <w:tcPr>
            <w:tcW w:w="963" w:type="dxa"/>
            <w:shd w:val="clear" w:color="auto" w:fill="auto"/>
            <w:noWrap/>
            <w:vAlign w:val="bottom"/>
          </w:tcPr>
          <w:p w14:paraId="1F56C73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83,5</w:t>
            </w:r>
          </w:p>
        </w:tc>
        <w:tc>
          <w:tcPr>
            <w:tcW w:w="964" w:type="dxa"/>
            <w:shd w:val="clear" w:color="auto" w:fill="auto"/>
            <w:noWrap/>
            <w:vAlign w:val="bottom"/>
          </w:tcPr>
          <w:p w14:paraId="5F2620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84,5</w:t>
            </w:r>
          </w:p>
        </w:tc>
        <w:tc>
          <w:tcPr>
            <w:tcW w:w="881" w:type="dxa"/>
            <w:shd w:val="clear" w:color="auto" w:fill="auto"/>
            <w:noWrap/>
            <w:vAlign w:val="bottom"/>
          </w:tcPr>
          <w:p w14:paraId="54C0DC4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w:t>
            </w:r>
          </w:p>
        </w:tc>
        <w:tc>
          <w:tcPr>
            <w:tcW w:w="1047" w:type="dxa"/>
            <w:shd w:val="clear" w:color="auto" w:fill="auto"/>
            <w:noWrap/>
            <w:vAlign w:val="bottom"/>
          </w:tcPr>
          <w:p w14:paraId="05CE54B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c>
          <w:tcPr>
            <w:tcW w:w="964" w:type="dxa"/>
            <w:shd w:val="clear" w:color="auto" w:fill="auto"/>
            <w:noWrap/>
            <w:vAlign w:val="bottom"/>
          </w:tcPr>
          <w:p w14:paraId="57941B8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w:t>
            </w:r>
          </w:p>
        </w:tc>
        <w:tc>
          <w:tcPr>
            <w:tcW w:w="964" w:type="dxa"/>
            <w:shd w:val="clear" w:color="auto" w:fill="auto"/>
            <w:noWrap/>
            <w:vAlign w:val="bottom"/>
          </w:tcPr>
          <w:p w14:paraId="67F04B2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r>
      <w:tr w:rsidR="00680417" w:rsidRPr="00DA21FF" w14:paraId="0473F925" w14:textId="77777777" w:rsidTr="00680417">
        <w:trPr>
          <w:trHeight w:val="240"/>
        </w:trPr>
        <w:tc>
          <w:tcPr>
            <w:tcW w:w="1587" w:type="dxa"/>
            <w:shd w:val="clear" w:color="auto" w:fill="auto"/>
            <w:noWrap/>
          </w:tcPr>
          <w:p w14:paraId="5544562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55 a 74 años</w:t>
            </w:r>
          </w:p>
        </w:tc>
        <w:tc>
          <w:tcPr>
            <w:tcW w:w="963" w:type="dxa"/>
            <w:shd w:val="clear" w:color="auto" w:fill="auto"/>
            <w:noWrap/>
            <w:vAlign w:val="bottom"/>
          </w:tcPr>
          <w:p w14:paraId="39A9C1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50,5</w:t>
            </w:r>
          </w:p>
        </w:tc>
        <w:tc>
          <w:tcPr>
            <w:tcW w:w="964" w:type="dxa"/>
            <w:shd w:val="clear" w:color="auto" w:fill="auto"/>
            <w:noWrap/>
            <w:vAlign w:val="bottom"/>
          </w:tcPr>
          <w:p w14:paraId="407BBE3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50,8</w:t>
            </w:r>
          </w:p>
        </w:tc>
        <w:tc>
          <w:tcPr>
            <w:tcW w:w="881" w:type="dxa"/>
            <w:shd w:val="clear" w:color="auto" w:fill="auto"/>
            <w:noWrap/>
            <w:vAlign w:val="bottom"/>
          </w:tcPr>
          <w:p w14:paraId="663C41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w:t>
            </w:r>
          </w:p>
        </w:tc>
        <w:tc>
          <w:tcPr>
            <w:tcW w:w="1047" w:type="dxa"/>
            <w:shd w:val="clear" w:color="auto" w:fill="auto"/>
            <w:noWrap/>
            <w:vAlign w:val="bottom"/>
          </w:tcPr>
          <w:p w14:paraId="30B92E8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c>
          <w:tcPr>
            <w:tcW w:w="964" w:type="dxa"/>
            <w:shd w:val="clear" w:color="auto" w:fill="auto"/>
            <w:noWrap/>
            <w:vAlign w:val="bottom"/>
          </w:tcPr>
          <w:p w14:paraId="4B3AFBA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c>
          <w:tcPr>
            <w:tcW w:w="964" w:type="dxa"/>
            <w:shd w:val="clear" w:color="auto" w:fill="auto"/>
            <w:noWrap/>
            <w:vAlign w:val="bottom"/>
          </w:tcPr>
          <w:p w14:paraId="30D55D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1,2</w:t>
            </w:r>
          </w:p>
        </w:tc>
      </w:tr>
      <w:tr w:rsidR="00680417" w:rsidRPr="00BF2258" w14:paraId="4AE4E458" w14:textId="77777777" w:rsidTr="00680417">
        <w:trPr>
          <w:trHeight w:val="240"/>
        </w:trPr>
        <w:tc>
          <w:tcPr>
            <w:tcW w:w="1587" w:type="dxa"/>
            <w:shd w:val="clear" w:color="auto" w:fill="auto"/>
            <w:noWrap/>
            <w:hideMark/>
          </w:tcPr>
          <w:p w14:paraId="7029B603" w14:textId="77777777" w:rsidR="00DA21FF" w:rsidRPr="00BF2258" w:rsidRDefault="00DA21FF" w:rsidP="00680417">
            <w:pPr>
              <w:pStyle w:val="SingleTxtG"/>
              <w:tabs>
                <w:tab w:val="clear" w:pos="1701"/>
                <w:tab w:val="clear" w:pos="2268"/>
                <w:tab w:val="clear" w:pos="2835"/>
              </w:tabs>
              <w:spacing w:before="40" w:after="40" w:line="220" w:lineRule="exact"/>
              <w:ind w:left="0" w:right="0"/>
              <w:jc w:val="left"/>
              <w:rPr>
                <w:b/>
                <w:sz w:val="18"/>
                <w:lang w:val="en-GB"/>
              </w:rPr>
            </w:pPr>
            <w:r w:rsidRPr="00BF2258">
              <w:rPr>
                <w:b/>
                <w:sz w:val="18"/>
              </w:rPr>
              <w:t>Hombres</w:t>
            </w:r>
          </w:p>
        </w:tc>
        <w:tc>
          <w:tcPr>
            <w:tcW w:w="963" w:type="dxa"/>
            <w:shd w:val="clear" w:color="auto" w:fill="auto"/>
            <w:noWrap/>
            <w:vAlign w:val="bottom"/>
            <w:hideMark/>
          </w:tcPr>
          <w:p w14:paraId="0B388C6D"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136FE47A"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881" w:type="dxa"/>
            <w:shd w:val="clear" w:color="auto" w:fill="auto"/>
            <w:noWrap/>
            <w:vAlign w:val="bottom"/>
            <w:hideMark/>
          </w:tcPr>
          <w:p w14:paraId="469CDC9C"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1047" w:type="dxa"/>
            <w:shd w:val="clear" w:color="auto" w:fill="auto"/>
            <w:noWrap/>
            <w:vAlign w:val="bottom"/>
            <w:hideMark/>
          </w:tcPr>
          <w:p w14:paraId="0AC820AC"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3A9A0B5A"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42B23D42"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r>
      <w:tr w:rsidR="00680417" w:rsidRPr="00DA21FF" w14:paraId="146FA68A" w14:textId="77777777" w:rsidTr="00680417">
        <w:trPr>
          <w:trHeight w:val="240"/>
        </w:trPr>
        <w:tc>
          <w:tcPr>
            <w:tcW w:w="1587" w:type="dxa"/>
            <w:shd w:val="clear" w:color="auto" w:fill="auto"/>
            <w:noWrap/>
            <w:hideMark/>
          </w:tcPr>
          <w:p w14:paraId="4A18D5D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74 años</w:t>
            </w:r>
          </w:p>
        </w:tc>
        <w:tc>
          <w:tcPr>
            <w:tcW w:w="963" w:type="dxa"/>
            <w:shd w:val="clear" w:color="auto" w:fill="auto"/>
            <w:noWrap/>
            <w:vAlign w:val="bottom"/>
            <w:hideMark/>
          </w:tcPr>
          <w:p w14:paraId="35D16D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71,4</w:t>
            </w:r>
          </w:p>
        </w:tc>
        <w:tc>
          <w:tcPr>
            <w:tcW w:w="964" w:type="dxa"/>
            <w:shd w:val="clear" w:color="auto" w:fill="auto"/>
            <w:noWrap/>
            <w:vAlign w:val="bottom"/>
            <w:hideMark/>
          </w:tcPr>
          <w:p w14:paraId="3E65AEF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73,1</w:t>
            </w:r>
          </w:p>
        </w:tc>
        <w:tc>
          <w:tcPr>
            <w:tcW w:w="881" w:type="dxa"/>
            <w:shd w:val="clear" w:color="auto" w:fill="auto"/>
            <w:noWrap/>
            <w:vAlign w:val="bottom"/>
            <w:hideMark/>
          </w:tcPr>
          <w:p w14:paraId="5DF7132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72,9</w:t>
            </w:r>
          </w:p>
        </w:tc>
        <w:tc>
          <w:tcPr>
            <w:tcW w:w="1047" w:type="dxa"/>
            <w:shd w:val="clear" w:color="auto" w:fill="auto"/>
            <w:noWrap/>
            <w:vAlign w:val="bottom"/>
            <w:hideMark/>
          </w:tcPr>
          <w:p w14:paraId="6AA6809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w:t>
            </w:r>
          </w:p>
        </w:tc>
        <w:tc>
          <w:tcPr>
            <w:tcW w:w="964" w:type="dxa"/>
            <w:shd w:val="clear" w:color="auto" w:fill="auto"/>
            <w:noWrap/>
            <w:vAlign w:val="bottom"/>
            <w:hideMark/>
          </w:tcPr>
          <w:p w14:paraId="109F9D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c>
          <w:tcPr>
            <w:tcW w:w="964" w:type="dxa"/>
            <w:shd w:val="clear" w:color="auto" w:fill="auto"/>
            <w:noWrap/>
            <w:vAlign w:val="bottom"/>
            <w:hideMark/>
          </w:tcPr>
          <w:p w14:paraId="566C511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3,7</w:t>
            </w:r>
          </w:p>
        </w:tc>
      </w:tr>
      <w:tr w:rsidR="00680417" w:rsidRPr="00DA21FF" w14:paraId="4A96E936" w14:textId="77777777" w:rsidTr="00680417">
        <w:trPr>
          <w:trHeight w:val="240"/>
        </w:trPr>
        <w:tc>
          <w:tcPr>
            <w:tcW w:w="1587" w:type="dxa"/>
            <w:shd w:val="clear" w:color="auto" w:fill="auto"/>
            <w:noWrap/>
            <w:hideMark/>
          </w:tcPr>
          <w:p w14:paraId="1A54C50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64 años</w:t>
            </w:r>
          </w:p>
        </w:tc>
        <w:tc>
          <w:tcPr>
            <w:tcW w:w="963" w:type="dxa"/>
            <w:shd w:val="clear" w:color="auto" w:fill="auto"/>
            <w:noWrap/>
            <w:vAlign w:val="bottom"/>
            <w:hideMark/>
          </w:tcPr>
          <w:p w14:paraId="4117E0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82,3</w:t>
            </w:r>
          </w:p>
        </w:tc>
        <w:tc>
          <w:tcPr>
            <w:tcW w:w="964" w:type="dxa"/>
            <w:shd w:val="clear" w:color="auto" w:fill="auto"/>
            <w:noWrap/>
            <w:vAlign w:val="bottom"/>
            <w:hideMark/>
          </w:tcPr>
          <w:p w14:paraId="4C06E71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83,7</w:t>
            </w:r>
          </w:p>
        </w:tc>
        <w:tc>
          <w:tcPr>
            <w:tcW w:w="881" w:type="dxa"/>
            <w:shd w:val="clear" w:color="auto" w:fill="auto"/>
            <w:noWrap/>
            <w:vAlign w:val="bottom"/>
            <w:hideMark/>
          </w:tcPr>
          <w:p w14:paraId="3FDC23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82,9</w:t>
            </w:r>
          </w:p>
        </w:tc>
        <w:tc>
          <w:tcPr>
            <w:tcW w:w="1047" w:type="dxa"/>
            <w:shd w:val="clear" w:color="auto" w:fill="auto"/>
            <w:noWrap/>
            <w:vAlign w:val="bottom"/>
            <w:hideMark/>
          </w:tcPr>
          <w:p w14:paraId="7B500C9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964" w:type="dxa"/>
            <w:shd w:val="clear" w:color="auto" w:fill="auto"/>
            <w:noWrap/>
            <w:vAlign w:val="bottom"/>
            <w:hideMark/>
          </w:tcPr>
          <w:p w14:paraId="48FFD7A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964" w:type="dxa"/>
            <w:shd w:val="clear" w:color="auto" w:fill="auto"/>
            <w:noWrap/>
            <w:vAlign w:val="bottom"/>
            <w:hideMark/>
          </w:tcPr>
          <w:p w14:paraId="1A019AA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680417" w:rsidRPr="00DA21FF" w14:paraId="5BA8D4EC" w14:textId="77777777" w:rsidTr="00680417">
        <w:trPr>
          <w:trHeight w:val="240"/>
        </w:trPr>
        <w:tc>
          <w:tcPr>
            <w:tcW w:w="1587" w:type="dxa"/>
            <w:shd w:val="clear" w:color="auto" w:fill="auto"/>
            <w:noWrap/>
            <w:hideMark/>
          </w:tcPr>
          <w:p w14:paraId="1A7D8FB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66 años</w:t>
            </w:r>
          </w:p>
        </w:tc>
        <w:tc>
          <w:tcPr>
            <w:tcW w:w="963" w:type="dxa"/>
            <w:shd w:val="clear" w:color="auto" w:fill="auto"/>
            <w:noWrap/>
            <w:vAlign w:val="bottom"/>
            <w:hideMark/>
          </w:tcPr>
          <w:p w14:paraId="5DFF23D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w:t>
            </w:r>
          </w:p>
        </w:tc>
        <w:tc>
          <w:tcPr>
            <w:tcW w:w="964" w:type="dxa"/>
            <w:shd w:val="clear" w:color="auto" w:fill="auto"/>
            <w:noWrap/>
            <w:vAlign w:val="bottom"/>
            <w:hideMark/>
          </w:tcPr>
          <w:p w14:paraId="200DD59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82,4</w:t>
            </w:r>
          </w:p>
        </w:tc>
        <w:tc>
          <w:tcPr>
            <w:tcW w:w="881" w:type="dxa"/>
            <w:shd w:val="clear" w:color="auto" w:fill="auto"/>
            <w:noWrap/>
            <w:vAlign w:val="bottom"/>
            <w:hideMark/>
          </w:tcPr>
          <w:p w14:paraId="4DC761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81,7</w:t>
            </w:r>
          </w:p>
        </w:tc>
        <w:tc>
          <w:tcPr>
            <w:tcW w:w="1047" w:type="dxa"/>
            <w:shd w:val="clear" w:color="auto" w:fill="auto"/>
            <w:noWrap/>
            <w:vAlign w:val="bottom"/>
            <w:hideMark/>
          </w:tcPr>
          <w:p w14:paraId="74F9800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w:t>
            </w:r>
          </w:p>
        </w:tc>
        <w:tc>
          <w:tcPr>
            <w:tcW w:w="964" w:type="dxa"/>
            <w:shd w:val="clear" w:color="auto" w:fill="auto"/>
            <w:noWrap/>
            <w:vAlign w:val="bottom"/>
            <w:hideMark/>
          </w:tcPr>
          <w:p w14:paraId="22B0A5B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c>
          <w:tcPr>
            <w:tcW w:w="964" w:type="dxa"/>
            <w:shd w:val="clear" w:color="auto" w:fill="auto"/>
            <w:noWrap/>
            <w:vAlign w:val="bottom"/>
            <w:hideMark/>
          </w:tcPr>
          <w:p w14:paraId="6DD33BC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r>
      <w:tr w:rsidR="00680417" w:rsidRPr="00DA21FF" w14:paraId="53EF7379" w14:textId="77777777" w:rsidTr="00680417">
        <w:trPr>
          <w:trHeight w:val="240"/>
        </w:trPr>
        <w:tc>
          <w:tcPr>
            <w:tcW w:w="1587" w:type="dxa"/>
            <w:shd w:val="clear" w:color="auto" w:fill="auto"/>
            <w:noWrap/>
            <w:hideMark/>
          </w:tcPr>
          <w:p w14:paraId="76FD525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24 años</w:t>
            </w:r>
          </w:p>
        </w:tc>
        <w:tc>
          <w:tcPr>
            <w:tcW w:w="963" w:type="dxa"/>
            <w:shd w:val="clear" w:color="auto" w:fill="auto"/>
            <w:noWrap/>
            <w:vAlign w:val="bottom"/>
            <w:hideMark/>
          </w:tcPr>
          <w:p w14:paraId="6F4D20C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51,5</w:t>
            </w:r>
          </w:p>
        </w:tc>
        <w:tc>
          <w:tcPr>
            <w:tcW w:w="964" w:type="dxa"/>
            <w:shd w:val="clear" w:color="auto" w:fill="auto"/>
            <w:noWrap/>
            <w:vAlign w:val="bottom"/>
            <w:hideMark/>
          </w:tcPr>
          <w:p w14:paraId="7CEE993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56,4</w:t>
            </w:r>
          </w:p>
        </w:tc>
        <w:tc>
          <w:tcPr>
            <w:tcW w:w="881" w:type="dxa"/>
            <w:shd w:val="clear" w:color="auto" w:fill="auto"/>
            <w:noWrap/>
            <w:vAlign w:val="bottom"/>
            <w:hideMark/>
          </w:tcPr>
          <w:p w14:paraId="68783AE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57,7</w:t>
            </w:r>
          </w:p>
        </w:tc>
        <w:tc>
          <w:tcPr>
            <w:tcW w:w="1047" w:type="dxa"/>
            <w:shd w:val="clear" w:color="auto" w:fill="auto"/>
            <w:noWrap/>
            <w:vAlign w:val="bottom"/>
            <w:hideMark/>
          </w:tcPr>
          <w:p w14:paraId="67798A9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13,4</w:t>
            </w:r>
          </w:p>
        </w:tc>
        <w:tc>
          <w:tcPr>
            <w:tcW w:w="964" w:type="dxa"/>
            <w:shd w:val="clear" w:color="auto" w:fill="auto"/>
            <w:noWrap/>
            <w:vAlign w:val="bottom"/>
            <w:hideMark/>
          </w:tcPr>
          <w:p w14:paraId="3CC76DD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11,2</w:t>
            </w:r>
          </w:p>
        </w:tc>
        <w:tc>
          <w:tcPr>
            <w:tcW w:w="964" w:type="dxa"/>
            <w:shd w:val="clear" w:color="auto" w:fill="auto"/>
            <w:noWrap/>
            <w:vAlign w:val="bottom"/>
            <w:hideMark/>
          </w:tcPr>
          <w:p w14:paraId="49CCE16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11,4</w:t>
            </w:r>
          </w:p>
        </w:tc>
      </w:tr>
      <w:tr w:rsidR="00680417" w:rsidRPr="00DA21FF" w14:paraId="37C6E26C" w14:textId="77777777" w:rsidTr="00680417">
        <w:trPr>
          <w:trHeight w:val="240"/>
        </w:trPr>
        <w:tc>
          <w:tcPr>
            <w:tcW w:w="1587" w:type="dxa"/>
            <w:shd w:val="clear" w:color="auto" w:fill="auto"/>
            <w:noWrap/>
          </w:tcPr>
          <w:p w14:paraId="242DC10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25 a 54 años</w:t>
            </w:r>
          </w:p>
        </w:tc>
        <w:tc>
          <w:tcPr>
            <w:tcW w:w="963" w:type="dxa"/>
            <w:shd w:val="clear" w:color="auto" w:fill="auto"/>
            <w:noWrap/>
            <w:vAlign w:val="bottom"/>
          </w:tcPr>
          <w:p w14:paraId="0A51E0E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85,8</w:t>
            </w:r>
          </w:p>
        </w:tc>
        <w:tc>
          <w:tcPr>
            <w:tcW w:w="964" w:type="dxa"/>
            <w:shd w:val="clear" w:color="auto" w:fill="auto"/>
            <w:noWrap/>
            <w:vAlign w:val="bottom"/>
          </w:tcPr>
          <w:p w14:paraId="022D2DA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87</w:t>
            </w:r>
          </w:p>
        </w:tc>
        <w:tc>
          <w:tcPr>
            <w:tcW w:w="881" w:type="dxa"/>
            <w:shd w:val="clear" w:color="auto" w:fill="auto"/>
            <w:noWrap/>
            <w:vAlign w:val="bottom"/>
          </w:tcPr>
          <w:p w14:paraId="1A3DE4B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86,3</w:t>
            </w:r>
          </w:p>
        </w:tc>
        <w:tc>
          <w:tcPr>
            <w:tcW w:w="1047" w:type="dxa"/>
            <w:shd w:val="clear" w:color="auto" w:fill="auto"/>
            <w:noWrap/>
            <w:vAlign w:val="bottom"/>
          </w:tcPr>
          <w:p w14:paraId="537C3A6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w:t>
            </w:r>
          </w:p>
        </w:tc>
        <w:tc>
          <w:tcPr>
            <w:tcW w:w="964" w:type="dxa"/>
            <w:shd w:val="clear" w:color="auto" w:fill="auto"/>
            <w:noWrap/>
            <w:vAlign w:val="bottom"/>
          </w:tcPr>
          <w:p w14:paraId="5FD8ED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p>
        </w:tc>
        <w:tc>
          <w:tcPr>
            <w:tcW w:w="964" w:type="dxa"/>
            <w:shd w:val="clear" w:color="auto" w:fill="auto"/>
            <w:noWrap/>
            <w:vAlign w:val="bottom"/>
          </w:tcPr>
          <w:p w14:paraId="200D42C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r>
      <w:tr w:rsidR="00680417" w:rsidRPr="00DA21FF" w14:paraId="42C327D3" w14:textId="77777777" w:rsidTr="00680417">
        <w:trPr>
          <w:trHeight w:val="240"/>
        </w:trPr>
        <w:tc>
          <w:tcPr>
            <w:tcW w:w="1587" w:type="dxa"/>
            <w:shd w:val="clear" w:color="auto" w:fill="auto"/>
            <w:noWrap/>
          </w:tcPr>
          <w:p w14:paraId="63E909D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55 a 74 años</w:t>
            </w:r>
          </w:p>
        </w:tc>
        <w:tc>
          <w:tcPr>
            <w:tcW w:w="963" w:type="dxa"/>
            <w:shd w:val="clear" w:color="auto" w:fill="auto"/>
            <w:noWrap/>
            <w:vAlign w:val="bottom"/>
          </w:tcPr>
          <w:p w14:paraId="7E2AAD2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55,3</w:t>
            </w:r>
          </w:p>
        </w:tc>
        <w:tc>
          <w:tcPr>
            <w:tcW w:w="964" w:type="dxa"/>
            <w:shd w:val="clear" w:color="auto" w:fill="auto"/>
            <w:noWrap/>
            <w:vAlign w:val="bottom"/>
          </w:tcPr>
          <w:p w14:paraId="4641B8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56,2</w:t>
            </w:r>
          </w:p>
        </w:tc>
        <w:tc>
          <w:tcPr>
            <w:tcW w:w="881" w:type="dxa"/>
            <w:shd w:val="clear" w:color="auto" w:fill="auto"/>
            <w:noWrap/>
            <w:vAlign w:val="bottom"/>
          </w:tcPr>
          <w:p w14:paraId="62552EA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56,2</w:t>
            </w:r>
          </w:p>
        </w:tc>
        <w:tc>
          <w:tcPr>
            <w:tcW w:w="1047" w:type="dxa"/>
            <w:shd w:val="clear" w:color="auto" w:fill="auto"/>
            <w:noWrap/>
            <w:vAlign w:val="bottom"/>
          </w:tcPr>
          <w:p w14:paraId="78EB12D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c>
          <w:tcPr>
            <w:tcW w:w="964" w:type="dxa"/>
            <w:shd w:val="clear" w:color="auto" w:fill="auto"/>
            <w:noWrap/>
            <w:vAlign w:val="bottom"/>
          </w:tcPr>
          <w:p w14:paraId="6D3F4E1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w:t>
            </w:r>
          </w:p>
        </w:tc>
        <w:tc>
          <w:tcPr>
            <w:tcW w:w="964" w:type="dxa"/>
            <w:shd w:val="clear" w:color="auto" w:fill="auto"/>
            <w:noWrap/>
            <w:vAlign w:val="bottom"/>
          </w:tcPr>
          <w:p w14:paraId="30A4F12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w:t>
            </w:r>
          </w:p>
        </w:tc>
      </w:tr>
      <w:tr w:rsidR="00680417" w:rsidRPr="00BF2258" w14:paraId="1185C22E" w14:textId="77777777" w:rsidTr="00680417">
        <w:trPr>
          <w:trHeight w:val="240"/>
        </w:trPr>
        <w:tc>
          <w:tcPr>
            <w:tcW w:w="1587" w:type="dxa"/>
            <w:shd w:val="clear" w:color="auto" w:fill="auto"/>
            <w:noWrap/>
            <w:hideMark/>
          </w:tcPr>
          <w:p w14:paraId="53DBA344" w14:textId="77777777" w:rsidR="00DA21FF" w:rsidRPr="00BF2258" w:rsidRDefault="00DA21FF" w:rsidP="00680417">
            <w:pPr>
              <w:pStyle w:val="SingleTxtG"/>
              <w:tabs>
                <w:tab w:val="clear" w:pos="1701"/>
                <w:tab w:val="clear" w:pos="2268"/>
                <w:tab w:val="clear" w:pos="2835"/>
              </w:tabs>
              <w:spacing w:before="40" w:after="40" w:line="220" w:lineRule="exact"/>
              <w:ind w:left="0" w:right="0"/>
              <w:jc w:val="left"/>
              <w:rPr>
                <w:b/>
                <w:sz w:val="18"/>
                <w:lang w:val="en-GB"/>
              </w:rPr>
            </w:pPr>
            <w:r w:rsidRPr="00BF2258">
              <w:rPr>
                <w:b/>
                <w:sz w:val="18"/>
              </w:rPr>
              <w:t>Mujeres</w:t>
            </w:r>
          </w:p>
        </w:tc>
        <w:tc>
          <w:tcPr>
            <w:tcW w:w="963" w:type="dxa"/>
            <w:shd w:val="clear" w:color="auto" w:fill="auto"/>
            <w:noWrap/>
            <w:vAlign w:val="bottom"/>
            <w:hideMark/>
          </w:tcPr>
          <w:p w14:paraId="2C134AD6"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7B2AB321"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881" w:type="dxa"/>
            <w:shd w:val="clear" w:color="auto" w:fill="auto"/>
            <w:noWrap/>
            <w:vAlign w:val="bottom"/>
            <w:hideMark/>
          </w:tcPr>
          <w:p w14:paraId="3026EC74"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1047" w:type="dxa"/>
            <w:shd w:val="clear" w:color="auto" w:fill="auto"/>
            <w:noWrap/>
            <w:vAlign w:val="bottom"/>
            <w:hideMark/>
          </w:tcPr>
          <w:p w14:paraId="6049F488"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1036EFCF"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c>
          <w:tcPr>
            <w:tcW w:w="964" w:type="dxa"/>
            <w:shd w:val="clear" w:color="auto" w:fill="auto"/>
            <w:noWrap/>
            <w:vAlign w:val="bottom"/>
            <w:hideMark/>
          </w:tcPr>
          <w:p w14:paraId="269A88FB" w14:textId="77777777" w:rsidR="00DA21FF" w:rsidRPr="00BF2258" w:rsidRDefault="00DA21FF" w:rsidP="00680417">
            <w:pPr>
              <w:pStyle w:val="SingleTxtG"/>
              <w:tabs>
                <w:tab w:val="clear" w:pos="1701"/>
                <w:tab w:val="clear" w:pos="2268"/>
                <w:tab w:val="clear" w:pos="2835"/>
              </w:tabs>
              <w:spacing w:before="40" w:after="40" w:line="220" w:lineRule="exact"/>
              <w:ind w:left="113" w:right="0"/>
              <w:jc w:val="right"/>
              <w:rPr>
                <w:b/>
                <w:sz w:val="18"/>
                <w:lang w:val="en-GB"/>
              </w:rPr>
            </w:pPr>
          </w:p>
        </w:tc>
      </w:tr>
      <w:tr w:rsidR="00680417" w:rsidRPr="00DA21FF" w14:paraId="06C97F0A" w14:textId="77777777" w:rsidTr="00680417">
        <w:trPr>
          <w:trHeight w:val="240"/>
        </w:trPr>
        <w:tc>
          <w:tcPr>
            <w:tcW w:w="1587" w:type="dxa"/>
            <w:shd w:val="clear" w:color="auto" w:fill="auto"/>
            <w:noWrap/>
            <w:hideMark/>
          </w:tcPr>
          <w:p w14:paraId="53770CA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74 años</w:t>
            </w:r>
          </w:p>
        </w:tc>
        <w:tc>
          <w:tcPr>
            <w:tcW w:w="963" w:type="dxa"/>
            <w:shd w:val="clear" w:color="auto" w:fill="auto"/>
            <w:noWrap/>
            <w:vAlign w:val="bottom"/>
            <w:hideMark/>
          </w:tcPr>
          <w:p w14:paraId="192CD6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66,4</w:t>
            </w:r>
          </w:p>
        </w:tc>
        <w:tc>
          <w:tcPr>
            <w:tcW w:w="964" w:type="dxa"/>
            <w:shd w:val="clear" w:color="auto" w:fill="auto"/>
            <w:noWrap/>
            <w:vAlign w:val="bottom"/>
            <w:hideMark/>
          </w:tcPr>
          <w:p w14:paraId="6834A8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67,4</w:t>
            </w:r>
          </w:p>
        </w:tc>
        <w:tc>
          <w:tcPr>
            <w:tcW w:w="881" w:type="dxa"/>
            <w:shd w:val="clear" w:color="auto" w:fill="auto"/>
            <w:noWrap/>
            <w:vAlign w:val="bottom"/>
            <w:hideMark/>
          </w:tcPr>
          <w:p w14:paraId="4736E78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67,3</w:t>
            </w:r>
          </w:p>
        </w:tc>
        <w:tc>
          <w:tcPr>
            <w:tcW w:w="1047" w:type="dxa"/>
            <w:shd w:val="clear" w:color="auto" w:fill="auto"/>
            <w:noWrap/>
            <w:vAlign w:val="bottom"/>
            <w:hideMark/>
          </w:tcPr>
          <w:p w14:paraId="205D36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w:t>
            </w:r>
          </w:p>
        </w:tc>
        <w:tc>
          <w:tcPr>
            <w:tcW w:w="964" w:type="dxa"/>
            <w:shd w:val="clear" w:color="auto" w:fill="auto"/>
            <w:noWrap/>
            <w:vAlign w:val="bottom"/>
            <w:hideMark/>
          </w:tcPr>
          <w:p w14:paraId="3303B45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964" w:type="dxa"/>
            <w:shd w:val="clear" w:color="auto" w:fill="auto"/>
            <w:noWrap/>
            <w:vAlign w:val="bottom"/>
            <w:hideMark/>
          </w:tcPr>
          <w:p w14:paraId="302B438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w:t>
            </w:r>
          </w:p>
        </w:tc>
      </w:tr>
      <w:tr w:rsidR="00680417" w:rsidRPr="00DA21FF" w14:paraId="0ADFD6A0" w14:textId="77777777" w:rsidTr="00680417">
        <w:trPr>
          <w:trHeight w:val="240"/>
        </w:trPr>
        <w:tc>
          <w:tcPr>
            <w:tcW w:w="1587" w:type="dxa"/>
            <w:shd w:val="clear" w:color="auto" w:fill="auto"/>
            <w:noWrap/>
            <w:hideMark/>
          </w:tcPr>
          <w:p w14:paraId="7B1B479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64 años</w:t>
            </w:r>
          </w:p>
        </w:tc>
        <w:tc>
          <w:tcPr>
            <w:tcW w:w="963" w:type="dxa"/>
            <w:shd w:val="clear" w:color="auto" w:fill="auto"/>
            <w:noWrap/>
            <w:vAlign w:val="bottom"/>
            <w:hideMark/>
          </w:tcPr>
          <w:p w14:paraId="60959AE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77,5</w:t>
            </w:r>
          </w:p>
        </w:tc>
        <w:tc>
          <w:tcPr>
            <w:tcW w:w="964" w:type="dxa"/>
            <w:shd w:val="clear" w:color="auto" w:fill="auto"/>
            <w:noWrap/>
            <w:vAlign w:val="bottom"/>
            <w:hideMark/>
          </w:tcPr>
          <w:p w14:paraId="6665961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w:t>
            </w:r>
          </w:p>
        </w:tc>
        <w:tc>
          <w:tcPr>
            <w:tcW w:w="881" w:type="dxa"/>
            <w:shd w:val="clear" w:color="auto" w:fill="auto"/>
            <w:noWrap/>
            <w:vAlign w:val="bottom"/>
            <w:hideMark/>
          </w:tcPr>
          <w:p w14:paraId="623B02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77,8</w:t>
            </w:r>
          </w:p>
        </w:tc>
        <w:tc>
          <w:tcPr>
            <w:tcW w:w="1047" w:type="dxa"/>
            <w:shd w:val="clear" w:color="auto" w:fill="auto"/>
            <w:noWrap/>
            <w:vAlign w:val="bottom"/>
            <w:hideMark/>
          </w:tcPr>
          <w:p w14:paraId="0CE7A9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c>
          <w:tcPr>
            <w:tcW w:w="964" w:type="dxa"/>
            <w:shd w:val="clear" w:color="auto" w:fill="auto"/>
            <w:noWrap/>
            <w:vAlign w:val="bottom"/>
            <w:hideMark/>
          </w:tcPr>
          <w:p w14:paraId="2E70891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p>
        </w:tc>
        <w:tc>
          <w:tcPr>
            <w:tcW w:w="964" w:type="dxa"/>
            <w:shd w:val="clear" w:color="auto" w:fill="auto"/>
            <w:noWrap/>
            <w:vAlign w:val="bottom"/>
            <w:hideMark/>
          </w:tcPr>
          <w:p w14:paraId="2E47930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r>
      <w:tr w:rsidR="00680417" w:rsidRPr="00DA21FF" w14:paraId="744D597F" w14:textId="77777777" w:rsidTr="00680417">
        <w:trPr>
          <w:trHeight w:val="240"/>
        </w:trPr>
        <w:tc>
          <w:tcPr>
            <w:tcW w:w="1587" w:type="dxa"/>
            <w:shd w:val="clear" w:color="auto" w:fill="auto"/>
            <w:noWrap/>
            <w:hideMark/>
          </w:tcPr>
          <w:p w14:paraId="4839674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 a 66 años</w:t>
            </w:r>
          </w:p>
        </w:tc>
        <w:tc>
          <w:tcPr>
            <w:tcW w:w="963" w:type="dxa"/>
            <w:shd w:val="clear" w:color="auto" w:fill="auto"/>
            <w:noWrap/>
            <w:vAlign w:val="bottom"/>
            <w:hideMark/>
          </w:tcPr>
          <w:p w14:paraId="5D3B0C1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75,9</w:t>
            </w:r>
          </w:p>
        </w:tc>
        <w:tc>
          <w:tcPr>
            <w:tcW w:w="964" w:type="dxa"/>
            <w:shd w:val="clear" w:color="auto" w:fill="auto"/>
            <w:noWrap/>
            <w:vAlign w:val="bottom"/>
            <w:hideMark/>
          </w:tcPr>
          <w:p w14:paraId="3D4CBD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76,2</w:t>
            </w:r>
          </w:p>
        </w:tc>
        <w:tc>
          <w:tcPr>
            <w:tcW w:w="881" w:type="dxa"/>
            <w:shd w:val="clear" w:color="auto" w:fill="auto"/>
            <w:noWrap/>
            <w:vAlign w:val="bottom"/>
            <w:hideMark/>
          </w:tcPr>
          <w:p w14:paraId="440079D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76,2</w:t>
            </w:r>
          </w:p>
        </w:tc>
        <w:tc>
          <w:tcPr>
            <w:tcW w:w="1047" w:type="dxa"/>
            <w:shd w:val="clear" w:color="auto" w:fill="auto"/>
            <w:noWrap/>
            <w:vAlign w:val="bottom"/>
            <w:hideMark/>
          </w:tcPr>
          <w:p w14:paraId="614F520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c>
          <w:tcPr>
            <w:tcW w:w="964" w:type="dxa"/>
            <w:shd w:val="clear" w:color="auto" w:fill="auto"/>
            <w:noWrap/>
            <w:vAlign w:val="bottom"/>
            <w:hideMark/>
          </w:tcPr>
          <w:p w14:paraId="3B0A820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p>
        </w:tc>
        <w:tc>
          <w:tcPr>
            <w:tcW w:w="964" w:type="dxa"/>
            <w:shd w:val="clear" w:color="auto" w:fill="auto"/>
            <w:noWrap/>
            <w:vAlign w:val="bottom"/>
            <w:hideMark/>
          </w:tcPr>
          <w:p w14:paraId="1D2A215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r>
      <w:tr w:rsidR="00680417" w:rsidRPr="00DA21FF" w14:paraId="338F3263" w14:textId="77777777" w:rsidTr="00680417">
        <w:trPr>
          <w:trHeight w:val="240"/>
        </w:trPr>
        <w:tc>
          <w:tcPr>
            <w:tcW w:w="1587" w:type="dxa"/>
            <w:shd w:val="clear" w:color="auto" w:fill="auto"/>
            <w:noWrap/>
            <w:hideMark/>
          </w:tcPr>
          <w:p w14:paraId="566F500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15 a 24 años</w:t>
            </w:r>
          </w:p>
        </w:tc>
        <w:tc>
          <w:tcPr>
            <w:tcW w:w="963" w:type="dxa"/>
            <w:shd w:val="clear" w:color="auto" w:fill="auto"/>
            <w:noWrap/>
            <w:vAlign w:val="bottom"/>
            <w:hideMark/>
          </w:tcPr>
          <w:p w14:paraId="075CFB6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55,3</w:t>
            </w:r>
          </w:p>
        </w:tc>
        <w:tc>
          <w:tcPr>
            <w:tcW w:w="964" w:type="dxa"/>
            <w:shd w:val="clear" w:color="auto" w:fill="auto"/>
            <w:noWrap/>
            <w:vAlign w:val="bottom"/>
            <w:hideMark/>
          </w:tcPr>
          <w:p w14:paraId="152450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59,4</w:t>
            </w:r>
          </w:p>
        </w:tc>
        <w:tc>
          <w:tcPr>
            <w:tcW w:w="881" w:type="dxa"/>
            <w:shd w:val="clear" w:color="auto" w:fill="auto"/>
            <w:noWrap/>
            <w:vAlign w:val="bottom"/>
            <w:hideMark/>
          </w:tcPr>
          <w:p w14:paraId="2D31AC1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59,2</w:t>
            </w:r>
          </w:p>
        </w:tc>
        <w:tc>
          <w:tcPr>
            <w:tcW w:w="1047" w:type="dxa"/>
            <w:shd w:val="clear" w:color="auto" w:fill="auto"/>
            <w:noWrap/>
            <w:vAlign w:val="bottom"/>
            <w:hideMark/>
          </w:tcPr>
          <w:p w14:paraId="65A4143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11,8</w:t>
            </w:r>
          </w:p>
        </w:tc>
        <w:tc>
          <w:tcPr>
            <w:tcW w:w="964" w:type="dxa"/>
            <w:shd w:val="clear" w:color="auto" w:fill="auto"/>
            <w:noWrap/>
            <w:vAlign w:val="bottom"/>
            <w:hideMark/>
          </w:tcPr>
          <w:p w14:paraId="62A9949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8,8</w:t>
            </w:r>
          </w:p>
        </w:tc>
        <w:tc>
          <w:tcPr>
            <w:tcW w:w="964" w:type="dxa"/>
            <w:shd w:val="clear" w:color="auto" w:fill="auto"/>
            <w:noWrap/>
            <w:vAlign w:val="bottom"/>
            <w:hideMark/>
          </w:tcPr>
          <w:p w14:paraId="1EB57D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10,7</w:t>
            </w:r>
          </w:p>
        </w:tc>
      </w:tr>
      <w:tr w:rsidR="00680417" w:rsidRPr="00DA21FF" w14:paraId="494B5563" w14:textId="77777777" w:rsidTr="00680417">
        <w:trPr>
          <w:trHeight w:val="240"/>
        </w:trPr>
        <w:tc>
          <w:tcPr>
            <w:tcW w:w="1587" w:type="dxa"/>
            <w:shd w:val="clear" w:color="auto" w:fill="auto"/>
            <w:noWrap/>
          </w:tcPr>
          <w:p w14:paraId="178CC50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25 a 54 años</w:t>
            </w:r>
          </w:p>
        </w:tc>
        <w:tc>
          <w:tcPr>
            <w:tcW w:w="963" w:type="dxa"/>
            <w:shd w:val="clear" w:color="auto" w:fill="auto"/>
            <w:noWrap/>
            <w:vAlign w:val="bottom"/>
          </w:tcPr>
          <w:p w14:paraId="0E7049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81,1</w:t>
            </w:r>
          </w:p>
        </w:tc>
        <w:tc>
          <w:tcPr>
            <w:tcW w:w="964" w:type="dxa"/>
            <w:shd w:val="clear" w:color="auto" w:fill="auto"/>
            <w:noWrap/>
            <w:vAlign w:val="bottom"/>
          </w:tcPr>
          <w:p w14:paraId="04BA11E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81,9</w:t>
            </w:r>
          </w:p>
        </w:tc>
        <w:tc>
          <w:tcPr>
            <w:tcW w:w="881" w:type="dxa"/>
            <w:shd w:val="clear" w:color="auto" w:fill="auto"/>
            <w:noWrap/>
            <w:vAlign w:val="bottom"/>
          </w:tcPr>
          <w:p w14:paraId="714DA47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81,6</w:t>
            </w:r>
          </w:p>
        </w:tc>
        <w:tc>
          <w:tcPr>
            <w:tcW w:w="1047" w:type="dxa"/>
            <w:shd w:val="clear" w:color="auto" w:fill="auto"/>
            <w:noWrap/>
            <w:vAlign w:val="bottom"/>
          </w:tcPr>
          <w:p w14:paraId="4AAAF8A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c>
          <w:tcPr>
            <w:tcW w:w="964" w:type="dxa"/>
            <w:shd w:val="clear" w:color="auto" w:fill="auto"/>
            <w:noWrap/>
            <w:vAlign w:val="bottom"/>
          </w:tcPr>
          <w:p w14:paraId="1C127BC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p>
        </w:tc>
        <w:tc>
          <w:tcPr>
            <w:tcW w:w="964" w:type="dxa"/>
            <w:shd w:val="clear" w:color="auto" w:fill="auto"/>
            <w:noWrap/>
            <w:vAlign w:val="bottom"/>
          </w:tcPr>
          <w:p w14:paraId="0C23825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p>
        </w:tc>
      </w:tr>
      <w:tr w:rsidR="00680417" w:rsidRPr="00DA21FF" w14:paraId="34CB111F" w14:textId="77777777" w:rsidTr="00680417">
        <w:trPr>
          <w:trHeight w:val="240"/>
        </w:trPr>
        <w:tc>
          <w:tcPr>
            <w:tcW w:w="1587" w:type="dxa"/>
            <w:tcBorders>
              <w:bottom w:val="single" w:sz="12" w:space="0" w:color="auto"/>
            </w:tcBorders>
            <w:shd w:val="clear" w:color="auto" w:fill="auto"/>
            <w:noWrap/>
          </w:tcPr>
          <w:p w14:paraId="6A17896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55 a 74 años</w:t>
            </w:r>
          </w:p>
        </w:tc>
        <w:tc>
          <w:tcPr>
            <w:tcW w:w="963" w:type="dxa"/>
            <w:tcBorders>
              <w:bottom w:val="single" w:sz="12" w:space="0" w:color="auto"/>
            </w:tcBorders>
            <w:shd w:val="clear" w:color="auto" w:fill="auto"/>
            <w:noWrap/>
            <w:vAlign w:val="bottom"/>
          </w:tcPr>
          <w:p w14:paraId="23FE6D5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45,6</w:t>
            </w:r>
          </w:p>
        </w:tc>
        <w:tc>
          <w:tcPr>
            <w:tcW w:w="964" w:type="dxa"/>
            <w:tcBorders>
              <w:bottom w:val="single" w:sz="12" w:space="0" w:color="auto"/>
            </w:tcBorders>
            <w:shd w:val="clear" w:color="auto" w:fill="auto"/>
            <w:noWrap/>
            <w:vAlign w:val="bottom"/>
          </w:tcPr>
          <w:p w14:paraId="72B4617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45,3</w:t>
            </w:r>
          </w:p>
        </w:tc>
        <w:tc>
          <w:tcPr>
            <w:tcW w:w="881" w:type="dxa"/>
            <w:tcBorders>
              <w:bottom w:val="single" w:sz="12" w:space="0" w:color="auto"/>
            </w:tcBorders>
            <w:shd w:val="clear" w:color="auto" w:fill="auto"/>
            <w:noWrap/>
            <w:vAlign w:val="bottom"/>
          </w:tcPr>
          <w:p w14:paraId="0D0AFB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45,8</w:t>
            </w:r>
          </w:p>
        </w:tc>
        <w:tc>
          <w:tcPr>
            <w:tcW w:w="1047" w:type="dxa"/>
            <w:tcBorders>
              <w:bottom w:val="single" w:sz="12" w:space="0" w:color="auto"/>
            </w:tcBorders>
            <w:shd w:val="clear" w:color="auto" w:fill="auto"/>
            <w:noWrap/>
            <w:vAlign w:val="bottom"/>
          </w:tcPr>
          <w:p w14:paraId="79611F6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w:t>
            </w:r>
          </w:p>
        </w:tc>
        <w:tc>
          <w:tcPr>
            <w:tcW w:w="964" w:type="dxa"/>
            <w:tcBorders>
              <w:bottom w:val="single" w:sz="12" w:space="0" w:color="auto"/>
            </w:tcBorders>
            <w:shd w:val="clear" w:color="auto" w:fill="auto"/>
            <w:noWrap/>
            <w:vAlign w:val="bottom"/>
          </w:tcPr>
          <w:p w14:paraId="1DFF4BD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w:t>
            </w:r>
          </w:p>
        </w:tc>
        <w:tc>
          <w:tcPr>
            <w:tcW w:w="964" w:type="dxa"/>
            <w:tcBorders>
              <w:bottom w:val="single" w:sz="12" w:space="0" w:color="auto"/>
            </w:tcBorders>
            <w:shd w:val="clear" w:color="auto" w:fill="auto"/>
            <w:noWrap/>
            <w:vAlign w:val="bottom"/>
          </w:tcPr>
          <w:p w14:paraId="660DA6F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w:t>
            </w:r>
          </w:p>
        </w:tc>
      </w:tr>
    </w:tbl>
    <w:p w14:paraId="6D5C9F5C" w14:textId="77777777" w:rsidR="00DA21FF" w:rsidRPr="003F1C60" w:rsidRDefault="00DA21FF" w:rsidP="002E0A90">
      <w:pPr>
        <w:pStyle w:val="SingleTxtG"/>
        <w:spacing w:before="120" w:after="200"/>
        <w:ind w:left="1304"/>
        <w:jc w:val="left"/>
        <w:rPr>
          <w:sz w:val="18"/>
          <w:szCs w:val="18"/>
        </w:rPr>
      </w:pPr>
      <w:r w:rsidRPr="00BF2258">
        <w:rPr>
          <w:i/>
          <w:sz w:val="18"/>
          <w:szCs w:val="18"/>
        </w:rPr>
        <w:t>Fuente:</w:t>
      </w:r>
      <w:r w:rsidRPr="003F1C60">
        <w:rPr>
          <w:sz w:val="18"/>
          <w:szCs w:val="18"/>
        </w:rPr>
        <w:t xml:space="preserve"> Encuesta de población activa. Instituto Nacional de Estadística de Noruega.</w:t>
      </w:r>
    </w:p>
    <w:bookmarkEnd w:id="22"/>
    <w:p w14:paraId="155A891B" w14:textId="1C428EF5" w:rsidR="00BF2258" w:rsidRDefault="00DA21FF" w:rsidP="002E0A90">
      <w:pPr>
        <w:pStyle w:val="H23G"/>
        <w:spacing w:before="120"/>
        <w:ind w:left="0" w:right="0" w:firstLine="0"/>
      </w:pPr>
      <w:r w:rsidRPr="00DA21FF">
        <w:t xml:space="preserve">Número de personas empleadas por las principales industrias y grupo de edad. Residentes. </w:t>
      </w:r>
      <w:r w:rsidR="00BF2258">
        <w:br/>
      </w:r>
      <w:r w:rsidRPr="00DA21FF">
        <w:t xml:space="preserve">Porcentaje de mujeres y hombres en cada industria. </w:t>
      </w:r>
      <w:proofErr w:type="spellStart"/>
      <w:r w:rsidRPr="00DA21FF">
        <w:t>4T</w:t>
      </w:r>
      <w:proofErr w:type="spellEnd"/>
      <w:r w:rsidRPr="00DA21FF">
        <w:t xml:space="preserve"> 2023</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698"/>
        <w:gridCol w:w="1419"/>
        <w:gridCol w:w="1135"/>
        <w:gridCol w:w="1133"/>
        <w:gridCol w:w="1135"/>
        <w:gridCol w:w="1133"/>
        <w:gridCol w:w="985"/>
      </w:tblGrid>
      <w:tr w:rsidR="00BF2258" w:rsidRPr="00680417" w14:paraId="0D36048E" w14:textId="77777777" w:rsidTr="00E95817">
        <w:trPr>
          <w:trHeight w:val="240"/>
          <w:tblHeader/>
        </w:trPr>
        <w:tc>
          <w:tcPr>
            <w:tcW w:w="1399" w:type="pct"/>
            <w:tcBorders>
              <w:top w:val="single" w:sz="4" w:space="0" w:color="auto"/>
              <w:bottom w:val="single" w:sz="12" w:space="0" w:color="auto"/>
            </w:tcBorders>
            <w:shd w:val="clear" w:color="auto" w:fill="auto"/>
            <w:vAlign w:val="bottom"/>
            <w:hideMark/>
          </w:tcPr>
          <w:p w14:paraId="4D4A8DE0" w14:textId="77777777" w:rsidR="00DA21FF" w:rsidRPr="00DA21FF" w:rsidRDefault="00DA21FF" w:rsidP="00680417">
            <w:pPr>
              <w:pStyle w:val="SingleTxtG"/>
              <w:tabs>
                <w:tab w:val="clear" w:pos="1701"/>
                <w:tab w:val="clear" w:pos="2268"/>
                <w:tab w:val="clear" w:pos="2835"/>
              </w:tabs>
              <w:spacing w:before="80" w:after="80" w:line="200" w:lineRule="exact"/>
              <w:ind w:left="0" w:right="0"/>
              <w:jc w:val="left"/>
              <w:rPr>
                <w:i/>
                <w:sz w:val="16"/>
                <w:lang w:val="en-GB"/>
              </w:rPr>
            </w:pPr>
          </w:p>
        </w:tc>
        <w:tc>
          <w:tcPr>
            <w:tcW w:w="736" w:type="pct"/>
            <w:tcBorders>
              <w:top w:val="single" w:sz="4" w:space="0" w:color="auto"/>
              <w:bottom w:val="single" w:sz="12" w:space="0" w:color="auto"/>
            </w:tcBorders>
            <w:shd w:val="clear" w:color="auto" w:fill="auto"/>
            <w:noWrap/>
            <w:vAlign w:val="bottom"/>
            <w:hideMark/>
          </w:tcPr>
          <w:p w14:paraId="4031A5A3" w14:textId="77777777" w:rsidR="00DA21FF" w:rsidRPr="00DA21FF" w:rsidRDefault="00DA21FF" w:rsidP="00BF2258">
            <w:pPr>
              <w:pStyle w:val="SingleTxtG"/>
              <w:tabs>
                <w:tab w:val="clear" w:pos="1701"/>
                <w:tab w:val="clear" w:pos="2268"/>
                <w:tab w:val="clear" w:pos="2835"/>
              </w:tabs>
              <w:spacing w:before="80" w:after="80" w:line="200" w:lineRule="exact"/>
              <w:ind w:left="0" w:right="0"/>
              <w:jc w:val="left"/>
              <w:rPr>
                <w:i/>
                <w:sz w:val="16"/>
                <w:lang w:val="en-GB"/>
              </w:rPr>
            </w:pPr>
          </w:p>
        </w:tc>
        <w:tc>
          <w:tcPr>
            <w:tcW w:w="589" w:type="pct"/>
            <w:tcBorders>
              <w:top w:val="single" w:sz="4" w:space="0" w:color="auto"/>
              <w:bottom w:val="single" w:sz="12" w:space="0" w:color="auto"/>
            </w:tcBorders>
            <w:shd w:val="clear" w:color="auto" w:fill="auto"/>
            <w:noWrap/>
            <w:vAlign w:val="bottom"/>
            <w:hideMark/>
          </w:tcPr>
          <w:p w14:paraId="4BAC4132"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15 a 74 años</w:t>
            </w:r>
          </w:p>
        </w:tc>
        <w:tc>
          <w:tcPr>
            <w:tcW w:w="588" w:type="pct"/>
            <w:tcBorders>
              <w:top w:val="single" w:sz="4" w:space="0" w:color="auto"/>
              <w:bottom w:val="single" w:sz="12" w:space="0" w:color="auto"/>
            </w:tcBorders>
            <w:shd w:val="clear" w:color="auto" w:fill="auto"/>
            <w:noWrap/>
            <w:vAlign w:val="bottom"/>
            <w:hideMark/>
          </w:tcPr>
          <w:p w14:paraId="2A4DF2FB"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15 a 24 años</w:t>
            </w:r>
          </w:p>
        </w:tc>
        <w:tc>
          <w:tcPr>
            <w:tcW w:w="589" w:type="pct"/>
            <w:tcBorders>
              <w:top w:val="single" w:sz="4" w:space="0" w:color="auto"/>
              <w:bottom w:val="single" w:sz="12" w:space="0" w:color="auto"/>
            </w:tcBorders>
            <w:shd w:val="clear" w:color="auto" w:fill="auto"/>
            <w:noWrap/>
            <w:vAlign w:val="bottom"/>
            <w:hideMark/>
          </w:tcPr>
          <w:p w14:paraId="0B6F5C88"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25 a 39 años</w:t>
            </w:r>
          </w:p>
        </w:tc>
        <w:tc>
          <w:tcPr>
            <w:tcW w:w="588" w:type="pct"/>
            <w:tcBorders>
              <w:top w:val="single" w:sz="4" w:space="0" w:color="auto"/>
              <w:bottom w:val="single" w:sz="12" w:space="0" w:color="auto"/>
            </w:tcBorders>
            <w:shd w:val="clear" w:color="auto" w:fill="auto"/>
            <w:noWrap/>
            <w:vAlign w:val="bottom"/>
            <w:hideMark/>
          </w:tcPr>
          <w:p w14:paraId="4A3D7C9C"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40 a 54 años</w:t>
            </w:r>
          </w:p>
        </w:tc>
        <w:tc>
          <w:tcPr>
            <w:tcW w:w="512" w:type="pct"/>
            <w:tcBorders>
              <w:top w:val="single" w:sz="4" w:space="0" w:color="auto"/>
              <w:bottom w:val="single" w:sz="12" w:space="0" w:color="auto"/>
            </w:tcBorders>
            <w:shd w:val="clear" w:color="auto" w:fill="auto"/>
            <w:noWrap/>
            <w:vAlign w:val="bottom"/>
            <w:hideMark/>
          </w:tcPr>
          <w:p w14:paraId="33E25725" w14:textId="77777777" w:rsidR="00DA21FF" w:rsidRPr="00DA21FF" w:rsidRDefault="00DA21FF" w:rsidP="00680417">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55 a 74 años</w:t>
            </w:r>
          </w:p>
        </w:tc>
      </w:tr>
      <w:tr w:rsidR="00BF2258" w:rsidRPr="00DA21FF" w14:paraId="46AAAE65" w14:textId="77777777" w:rsidTr="00E95817">
        <w:trPr>
          <w:trHeight w:val="240"/>
        </w:trPr>
        <w:tc>
          <w:tcPr>
            <w:tcW w:w="1399" w:type="pct"/>
            <w:vMerge w:val="restart"/>
            <w:shd w:val="clear" w:color="auto" w:fill="auto"/>
            <w:hideMark/>
          </w:tcPr>
          <w:p w14:paraId="64D93F3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0 Todo el país</w:t>
            </w:r>
          </w:p>
        </w:tc>
        <w:tc>
          <w:tcPr>
            <w:tcW w:w="736" w:type="pct"/>
            <w:tcBorders>
              <w:top w:val="single" w:sz="12" w:space="0" w:color="auto"/>
              <w:bottom w:val="single" w:sz="4" w:space="0" w:color="auto"/>
            </w:tcBorders>
            <w:shd w:val="clear" w:color="auto" w:fill="auto"/>
            <w:noWrap/>
            <w:vAlign w:val="bottom"/>
            <w:hideMark/>
          </w:tcPr>
          <w:p w14:paraId="7D5BEB90"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Total</w:t>
            </w:r>
          </w:p>
        </w:tc>
        <w:tc>
          <w:tcPr>
            <w:tcW w:w="589" w:type="pct"/>
            <w:tcBorders>
              <w:top w:val="single" w:sz="12" w:space="0" w:color="auto"/>
              <w:bottom w:val="single" w:sz="4" w:space="0" w:color="auto"/>
            </w:tcBorders>
            <w:shd w:val="clear" w:color="auto" w:fill="auto"/>
            <w:noWrap/>
            <w:vAlign w:val="bottom"/>
            <w:hideMark/>
          </w:tcPr>
          <w:p w14:paraId="4A68DC70" w14:textId="43C4063E"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w:t>
            </w:r>
            <w:r w:rsidR="00BF2258" w:rsidRPr="00BF2258">
              <w:rPr>
                <w:b/>
                <w:sz w:val="18"/>
              </w:rPr>
              <w:t xml:space="preserve"> </w:t>
            </w:r>
            <w:r w:rsidRPr="00BF2258">
              <w:rPr>
                <w:b/>
                <w:sz w:val="18"/>
              </w:rPr>
              <w:t>845</w:t>
            </w:r>
            <w:r w:rsidR="00BF2258" w:rsidRPr="00BF2258">
              <w:rPr>
                <w:b/>
                <w:sz w:val="18"/>
              </w:rPr>
              <w:t xml:space="preserve"> </w:t>
            </w:r>
            <w:r w:rsidRPr="00BF2258">
              <w:rPr>
                <w:b/>
                <w:sz w:val="18"/>
              </w:rPr>
              <w:t xml:space="preserve">306 </w:t>
            </w:r>
          </w:p>
        </w:tc>
        <w:tc>
          <w:tcPr>
            <w:tcW w:w="588" w:type="pct"/>
            <w:tcBorders>
              <w:top w:val="single" w:sz="12" w:space="0" w:color="auto"/>
              <w:bottom w:val="single" w:sz="4" w:space="0" w:color="auto"/>
            </w:tcBorders>
            <w:shd w:val="clear" w:color="auto" w:fill="auto"/>
            <w:noWrap/>
            <w:vAlign w:val="bottom"/>
            <w:hideMark/>
          </w:tcPr>
          <w:p w14:paraId="33DD8889" w14:textId="23BD60FC"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367</w:t>
            </w:r>
            <w:r w:rsidR="00BF2258" w:rsidRPr="00BF2258">
              <w:rPr>
                <w:b/>
                <w:sz w:val="18"/>
              </w:rPr>
              <w:t xml:space="preserve"> </w:t>
            </w:r>
            <w:r w:rsidRPr="00BF2258">
              <w:rPr>
                <w:b/>
                <w:sz w:val="18"/>
              </w:rPr>
              <w:t xml:space="preserve">427 </w:t>
            </w:r>
          </w:p>
        </w:tc>
        <w:tc>
          <w:tcPr>
            <w:tcW w:w="589" w:type="pct"/>
            <w:tcBorders>
              <w:top w:val="single" w:sz="12" w:space="0" w:color="auto"/>
              <w:bottom w:val="single" w:sz="4" w:space="0" w:color="auto"/>
            </w:tcBorders>
            <w:shd w:val="clear" w:color="auto" w:fill="auto"/>
            <w:noWrap/>
            <w:vAlign w:val="bottom"/>
            <w:hideMark/>
          </w:tcPr>
          <w:p w14:paraId="54CBAD0F" w14:textId="7B43DFD6"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931</w:t>
            </w:r>
            <w:r w:rsidR="00BF2258" w:rsidRPr="00BF2258">
              <w:rPr>
                <w:b/>
                <w:sz w:val="18"/>
              </w:rPr>
              <w:t xml:space="preserve"> </w:t>
            </w:r>
            <w:r w:rsidRPr="00BF2258">
              <w:rPr>
                <w:b/>
                <w:sz w:val="18"/>
              </w:rPr>
              <w:t xml:space="preserve">127 </w:t>
            </w:r>
          </w:p>
        </w:tc>
        <w:tc>
          <w:tcPr>
            <w:tcW w:w="588" w:type="pct"/>
            <w:tcBorders>
              <w:top w:val="single" w:sz="12" w:space="0" w:color="auto"/>
              <w:bottom w:val="single" w:sz="4" w:space="0" w:color="auto"/>
            </w:tcBorders>
            <w:shd w:val="clear" w:color="auto" w:fill="auto"/>
            <w:noWrap/>
            <w:vAlign w:val="bottom"/>
            <w:hideMark/>
          </w:tcPr>
          <w:p w14:paraId="24BB089E" w14:textId="7125AC8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903</w:t>
            </w:r>
            <w:r w:rsidR="00BF2258" w:rsidRPr="00BF2258">
              <w:rPr>
                <w:b/>
                <w:sz w:val="18"/>
              </w:rPr>
              <w:t xml:space="preserve"> </w:t>
            </w:r>
            <w:r w:rsidRPr="00BF2258">
              <w:rPr>
                <w:b/>
                <w:sz w:val="18"/>
              </w:rPr>
              <w:t xml:space="preserve">845 </w:t>
            </w:r>
          </w:p>
        </w:tc>
        <w:tc>
          <w:tcPr>
            <w:tcW w:w="512" w:type="pct"/>
            <w:tcBorders>
              <w:top w:val="single" w:sz="12" w:space="0" w:color="auto"/>
              <w:bottom w:val="single" w:sz="4" w:space="0" w:color="auto"/>
            </w:tcBorders>
            <w:shd w:val="clear" w:color="auto" w:fill="auto"/>
            <w:noWrap/>
            <w:vAlign w:val="bottom"/>
            <w:hideMark/>
          </w:tcPr>
          <w:p w14:paraId="36466C04" w14:textId="54CA38C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642</w:t>
            </w:r>
            <w:r w:rsidR="00BF2258" w:rsidRPr="00BF2258">
              <w:rPr>
                <w:b/>
                <w:sz w:val="18"/>
              </w:rPr>
              <w:t xml:space="preserve"> </w:t>
            </w:r>
            <w:r w:rsidRPr="00BF2258">
              <w:rPr>
                <w:b/>
                <w:sz w:val="18"/>
              </w:rPr>
              <w:t xml:space="preserve">907 </w:t>
            </w:r>
          </w:p>
        </w:tc>
      </w:tr>
      <w:tr w:rsidR="00BF2258" w:rsidRPr="00DA21FF" w14:paraId="450564E4" w14:textId="77777777" w:rsidTr="00E95817">
        <w:trPr>
          <w:trHeight w:val="240"/>
        </w:trPr>
        <w:tc>
          <w:tcPr>
            <w:tcW w:w="1399" w:type="pct"/>
            <w:vMerge/>
            <w:shd w:val="clear" w:color="auto" w:fill="auto"/>
            <w:hideMark/>
          </w:tcPr>
          <w:p w14:paraId="1CF1237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69EA9712"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67B27DA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53 %</w:t>
            </w:r>
          </w:p>
        </w:tc>
        <w:tc>
          <w:tcPr>
            <w:tcW w:w="588" w:type="pct"/>
            <w:tcBorders>
              <w:top w:val="single" w:sz="4" w:space="0" w:color="auto"/>
            </w:tcBorders>
            <w:shd w:val="clear" w:color="auto" w:fill="auto"/>
            <w:noWrap/>
            <w:vAlign w:val="bottom"/>
            <w:hideMark/>
          </w:tcPr>
          <w:p w14:paraId="458A7F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50 %</w:t>
            </w:r>
          </w:p>
        </w:tc>
        <w:tc>
          <w:tcPr>
            <w:tcW w:w="589" w:type="pct"/>
            <w:tcBorders>
              <w:top w:val="single" w:sz="4" w:space="0" w:color="auto"/>
            </w:tcBorders>
            <w:shd w:val="clear" w:color="auto" w:fill="auto"/>
            <w:noWrap/>
            <w:vAlign w:val="bottom"/>
            <w:hideMark/>
          </w:tcPr>
          <w:p w14:paraId="6D4A2E8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52 %</w:t>
            </w:r>
          </w:p>
        </w:tc>
        <w:tc>
          <w:tcPr>
            <w:tcW w:w="588" w:type="pct"/>
            <w:tcBorders>
              <w:top w:val="single" w:sz="4" w:space="0" w:color="auto"/>
            </w:tcBorders>
            <w:shd w:val="clear" w:color="auto" w:fill="auto"/>
            <w:noWrap/>
            <w:vAlign w:val="bottom"/>
            <w:hideMark/>
          </w:tcPr>
          <w:p w14:paraId="51E914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52 %</w:t>
            </w:r>
          </w:p>
        </w:tc>
        <w:tc>
          <w:tcPr>
            <w:tcW w:w="512" w:type="pct"/>
            <w:tcBorders>
              <w:top w:val="single" w:sz="4" w:space="0" w:color="auto"/>
            </w:tcBorders>
            <w:shd w:val="clear" w:color="auto" w:fill="auto"/>
            <w:noWrap/>
            <w:vAlign w:val="bottom"/>
            <w:hideMark/>
          </w:tcPr>
          <w:p w14:paraId="75CC988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r>
      <w:tr w:rsidR="00BF2258" w:rsidRPr="00DA21FF" w14:paraId="4412D6DB" w14:textId="77777777" w:rsidTr="00E95817">
        <w:trPr>
          <w:trHeight w:val="240"/>
        </w:trPr>
        <w:tc>
          <w:tcPr>
            <w:tcW w:w="1399" w:type="pct"/>
            <w:vMerge/>
            <w:shd w:val="clear" w:color="auto" w:fill="auto"/>
            <w:hideMark/>
          </w:tcPr>
          <w:p w14:paraId="7AFC487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3B7585BA"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269811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47 %</w:t>
            </w:r>
          </w:p>
        </w:tc>
        <w:tc>
          <w:tcPr>
            <w:tcW w:w="588" w:type="pct"/>
            <w:tcBorders>
              <w:bottom w:val="single" w:sz="4" w:space="0" w:color="auto"/>
            </w:tcBorders>
            <w:shd w:val="clear" w:color="auto" w:fill="auto"/>
            <w:noWrap/>
            <w:vAlign w:val="bottom"/>
            <w:hideMark/>
          </w:tcPr>
          <w:p w14:paraId="32F3A2E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50 %</w:t>
            </w:r>
          </w:p>
        </w:tc>
        <w:tc>
          <w:tcPr>
            <w:tcW w:w="589" w:type="pct"/>
            <w:tcBorders>
              <w:bottom w:val="single" w:sz="4" w:space="0" w:color="auto"/>
            </w:tcBorders>
            <w:shd w:val="clear" w:color="auto" w:fill="auto"/>
            <w:noWrap/>
            <w:vAlign w:val="bottom"/>
            <w:hideMark/>
          </w:tcPr>
          <w:p w14:paraId="47BC9B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48 %</w:t>
            </w:r>
          </w:p>
        </w:tc>
        <w:tc>
          <w:tcPr>
            <w:tcW w:w="588" w:type="pct"/>
            <w:tcBorders>
              <w:bottom w:val="single" w:sz="4" w:space="0" w:color="auto"/>
            </w:tcBorders>
            <w:shd w:val="clear" w:color="auto" w:fill="auto"/>
            <w:noWrap/>
            <w:vAlign w:val="bottom"/>
            <w:hideMark/>
          </w:tcPr>
          <w:p w14:paraId="29A1CBE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48 %</w:t>
            </w:r>
          </w:p>
        </w:tc>
        <w:tc>
          <w:tcPr>
            <w:tcW w:w="512" w:type="pct"/>
            <w:tcBorders>
              <w:bottom w:val="single" w:sz="4" w:space="0" w:color="auto"/>
            </w:tcBorders>
            <w:shd w:val="clear" w:color="auto" w:fill="auto"/>
            <w:noWrap/>
            <w:vAlign w:val="bottom"/>
            <w:hideMark/>
          </w:tcPr>
          <w:p w14:paraId="3F192E5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r>
      <w:tr w:rsidR="00BF2258" w:rsidRPr="00DA21FF" w14:paraId="3657AE0D" w14:textId="77777777" w:rsidTr="00E95817">
        <w:trPr>
          <w:trHeight w:val="240"/>
        </w:trPr>
        <w:tc>
          <w:tcPr>
            <w:tcW w:w="1399" w:type="pct"/>
            <w:vMerge w:val="restart"/>
            <w:shd w:val="clear" w:color="auto" w:fill="auto"/>
            <w:hideMark/>
          </w:tcPr>
          <w:p w14:paraId="21C96BF3"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01 a 03 Agricultura, silvicultura y pesca</w:t>
            </w:r>
          </w:p>
        </w:tc>
        <w:tc>
          <w:tcPr>
            <w:tcW w:w="736" w:type="pct"/>
            <w:tcBorders>
              <w:top w:val="single" w:sz="4" w:space="0" w:color="auto"/>
              <w:bottom w:val="single" w:sz="4" w:space="0" w:color="auto"/>
            </w:tcBorders>
            <w:shd w:val="clear" w:color="auto" w:fill="auto"/>
            <w:noWrap/>
            <w:vAlign w:val="bottom"/>
            <w:hideMark/>
          </w:tcPr>
          <w:p w14:paraId="473EFB54"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563CAC3E" w14:textId="4F7B30B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65</w:t>
            </w:r>
            <w:r w:rsidR="00BF2258" w:rsidRPr="00BF2258">
              <w:rPr>
                <w:b/>
                <w:sz w:val="18"/>
              </w:rPr>
              <w:t xml:space="preserve"> </w:t>
            </w:r>
            <w:r w:rsidRPr="00BF2258">
              <w:rPr>
                <w:b/>
                <w:sz w:val="18"/>
              </w:rPr>
              <w:t xml:space="preserve">401 </w:t>
            </w:r>
          </w:p>
        </w:tc>
        <w:tc>
          <w:tcPr>
            <w:tcW w:w="588" w:type="pct"/>
            <w:tcBorders>
              <w:top w:val="single" w:sz="4" w:space="0" w:color="auto"/>
              <w:bottom w:val="single" w:sz="4" w:space="0" w:color="auto"/>
            </w:tcBorders>
            <w:shd w:val="clear" w:color="auto" w:fill="auto"/>
            <w:noWrap/>
            <w:vAlign w:val="bottom"/>
            <w:hideMark/>
          </w:tcPr>
          <w:p w14:paraId="70A8A17C" w14:textId="753CC6A2"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9</w:t>
            </w:r>
            <w:r w:rsidR="00BF2258" w:rsidRPr="00BF2258">
              <w:rPr>
                <w:b/>
                <w:sz w:val="18"/>
              </w:rPr>
              <w:t xml:space="preserve"> </w:t>
            </w:r>
            <w:r w:rsidRPr="00BF2258">
              <w:rPr>
                <w:b/>
                <w:sz w:val="18"/>
              </w:rPr>
              <w:t xml:space="preserve">482 </w:t>
            </w:r>
          </w:p>
        </w:tc>
        <w:tc>
          <w:tcPr>
            <w:tcW w:w="589" w:type="pct"/>
            <w:tcBorders>
              <w:top w:val="single" w:sz="4" w:space="0" w:color="auto"/>
              <w:bottom w:val="single" w:sz="4" w:space="0" w:color="auto"/>
            </w:tcBorders>
            <w:shd w:val="clear" w:color="auto" w:fill="auto"/>
            <w:noWrap/>
            <w:vAlign w:val="bottom"/>
            <w:hideMark/>
          </w:tcPr>
          <w:p w14:paraId="1047FF85" w14:textId="2559A837"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15</w:t>
            </w:r>
            <w:r w:rsidR="00BF2258" w:rsidRPr="00BF2258">
              <w:rPr>
                <w:b/>
                <w:sz w:val="18"/>
              </w:rPr>
              <w:t xml:space="preserve"> </w:t>
            </w:r>
            <w:r w:rsidRPr="00BF2258">
              <w:rPr>
                <w:b/>
                <w:sz w:val="18"/>
              </w:rPr>
              <w:t xml:space="preserve">113 </w:t>
            </w:r>
          </w:p>
        </w:tc>
        <w:tc>
          <w:tcPr>
            <w:tcW w:w="588" w:type="pct"/>
            <w:tcBorders>
              <w:top w:val="single" w:sz="4" w:space="0" w:color="auto"/>
              <w:bottom w:val="single" w:sz="4" w:space="0" w:color="auto"/>
            </w:tcBorders>
            <w:shd w:val="clear" w:color="auto" w:fill="auto"/>
            <w:noWrap/>
            <w:vAlign w:val="bottom"/>
            <w:hideMark/>
          </w:tcPr>
          <w:p w14:paraId="35225354" w14:textId="6ADB647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16</w:t>
            </w:r>
            <w:r w:rsidR="00BF2258" w:rsidRPr="00BF2258">
              <w:rPr>
                <w:b/>
                <w:sz w:val="18"/>
              </w:rPr>
              <w:t xml:space="preserve"> </w:t>
            </w:r>
            <w:r w:rsidRPr="00BF2258">
              <w:rPr>
                <w:b/>
                <w:sz w:val="18"/>
              </w:rPr>
              <w:t xml:space="preserve">349 </w:t>
            </w:r>
          </w:p>
        </w:tc>
        <w:tc>
          <w:tcPr>
            <w:tcW w:w="512" w:type="pct"/>
            <w:tcBorders>
              <w:top w:val="single" w:sz="4" w:space="0" w:color="auto"/>
              <w:bottom w:val="single" w:sz="4" w:space="0" w:color="auto"/>
            </w:tcBorders>
            <w:shd w:val="clear" w:color="auto" w:fill="auto"/>
            <w:noWrap/>
            <w:vAlign w:val="bottom"/>
            <w:hideMark/>
          </w:tcPr>
          <w:p w14:paraId="00E39855" w14:textId="5C3363A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24</w:t>
            </w:r>
            <w:r w:rsidR="00BF2258" w:rsidRPr="00BF2258">
              <w:rPr>
                <w:b/>
                <w:sz w:val="18"/>
              </w:rPr>
              <w:t xml:space="preserve"> </w:t>
            </w:r>
            <w:r w:rsidRPr="00BF2258">
              <w:rPr>
                <w:b/>
                <w:sz w:val="18"/>
              </w:rPr>
              <w:t xml:space="preserve">457 </w:t>
            </w:r>
          </w:p>
        </w:tc>
      </w:tr>
      <w:tr w:rsidR="00BF2258" w:rsidRPr="00DA21FF" w14:paraId="68D67DEB" w14:textId="77777777" w:rsidTr="00E95817">
        <w:trPr>
          <w:trHeight w:val="240"/>
        </w:trPr>
        <w:tc>
          <w:tcPr>
            <w:tcW w:w="1399" w:type="pct"/>
            <w:vMerge/>
            <w:shd w:val="clear" w:color="auto" w:fill="auto"/>
            <w:hideMark/>
          </w:tcPr>
          <w:p w14:paraId="5CBCF2E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57BF667A"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64CB390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77 %</w:t>
            </w:r>
          </w:p>
        </w:tc>
        <w:tc>
          <w:tcPr>
            <w:tcW w:w="588" w:type="pct"/>
            <w:tcBorders>
              <w:top w:val="single" w:sz="4" w:space="0" w:color="auto"/>
            </w:tcBorders>
            <w:shd w:val="clear" w:color="auto" w:fill="auto"/>
            <w:noWrap/>
            <w:vAlign w:val="bottom"/>
            <w:hideMark/>
          </w:tcPr>
          <w:p w14:paraId="635697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71 %</w:t>
            </w:r>
          </w:p>
        </w:tc>
        <w:tc>
          <w:tcPr>
            <w:tcW w:w="589" w:type="pct"/>
            <w:tcBorders>
              <w:top w:val="single" w:sz="4" w:space="0" w:color="auto"/>
            </w:tcBorders>
            <w:shd w:val="clear" w:color="auto" w:fill="auto"/>
            <w:noWrap/>
            <w:vAlign w:val="bottom"/>
            <w:hideMark/>
          </w:tcPr>
          <w:p w14:paraId="0BF7712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75 %</w:t>
            </w:r>
          </w:p>
        </w:tc>
        <w:tc>
          <w:tcPr>
            <w:tcW w:w="588" w:type="pct"/>
            <w:tcBorders>
              <w:top w:val="single" w:sz="4" w:space="0" w:color="auto"/>
            </w:tcBorders>
            <w:shd w:val="clear" w:color="auto" w:fill="auto"/>
            <w:noWrap/>
            <w:vAlign w:val="bottom"/>
            <w:hideMark/>
          </w:tcPr>
          <w:p w14:paraId="2EBD2C5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76 %</w:t>
            </w:r>
          </w:p>
        </w:tc>
        <w:tc>
          <w:tcPr>
            <w:tcW w:w="512" w:type="pct"/>
            <w:tcBorders>
              <w:top w:val="single" w:sz="4" w:space="0" w:color="auto"/>
            </w:tcBorders>
            <w:shd w:val="clear" w:color="auto" w:fill="auto"/>
            <w:noWrap/>
            <w:vAlign w:val="bottom"/>
            <w:hideMark/>
          </w:tcPr>
          <w:p w14:paraId="2A5A64B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r>
      <w:tr w:rsidR="00BF2258" w:rsidRPr="00DA21FF" w14:paraId="7230CC9D" w14:textId="77777777" w:rsidTr="00E95817">
        <w:trPr>
          <w:trHeight w:val="240"/>
        </w:trPr>
        <w:tc>
          <w:tcPr>
            <w:tcW w:w="1399" w:type="pct"/>
            <w:vMerge/>
            <w:shd w:val="clear" w:color="auto" w:fill="auto"/>
            <w:hideMark/>
          </w:tcPr>
          <w:p w14:paraId="07A99E7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11317CB3"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328992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23 %</w:t>
            </w:r>
          </w:p>
        </w:tc>
        <w:tc>
          <w:tcPr>
            <w:tcW w:w="588" w:type="pct"/>
            <w:tcBorders>
              <w:bottom w:val="single" w:sz="4" w:space="0" w:color="auto"/>
            </w:tcBorders>
            <w:shd w:val="clear" w:color="auto" w:fill="auto"/>
            <w:noWrap/>
            <w:vAlign w:val="bottom"/>
            <w:hideMark/>
          </w:tcPr>
          <w:p w14:paraId="62C070C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29 %</w:t>
            </w:r>
          </w:p>
        </w:tc>
        <w:tc>
          <w:tcPr>
            <w:tcW w:w="589" w:type="pct"/>
            <w:tcBorders>
              <w:bottom w:val="single" w:sz="4" w:space="0" w:color="auto"/>
            </w:tcBorders>
            <w:shd w:val="clear" w:color="auto" w:fill="auto"/>
            <w:noWrap/>
            <w:vAlign w:val="bottom"/>
            <w:hideMark/>
          </w:tcPr>
          <w:p w14:paraId="0BB3FD6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25 %</w:t>
            </w:r>
          </w:p>
        </w:tc>
        <w:tc>
          <w:tcPr>
            <w:tcW w:w="588" w:type="pct"/>
            <w:tcBorders>
              <w:bottom w:val="single" w:sz="4" w:space="0" w:color="auto"/>
            </w:tcBorders>
            <w:shd w:val="clear" w:color="auto" w:fill="auto"/>
            <w:noWrap/>
            <w:vAlign w:val="bottom"/>
            <w:hideMark/>
          </w:tcPr>
          <w:p w14:paraId="130C3FB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24 %</w:t>
            </w:r>
          </w:p>
        </w:tc>
        <w:tc>
          <w:tcPr>
            <w:tcW w:w="512" w:type="pct"/>
            <w:tcBorders>
              <w:bottom w:val="single" w:sz="4" w:space="0" w:color="auto"/>
            </w:tcBorders>
            <w:shd w:val="clear" w:color="auto" w:fill="auto"/>
            <w:noWrap/>
            <w:vAlign w:val="bottom"/>
            <w:hideMark/>
          </w:tcPr>
          <w:p w14:paraId="57F5224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r>
      <w:tr w:rsidR="00BF2258" w:rsidRPr="00DA21FF" w14:paraId="07C1DD56" w14:textId="77777777" w:rsidTr="00E95817">
        <w:trPr>
          <w:trHeight w:val="240"/>
        </w:trPr>
        <w:tc>
          <w:tcPr>
            <w:tcW w:w="1399" w:type="pct"/>
            <w:vMerge w:val="restart"/>
            <w:shd w:val="clear" w:color="auto" w:fill="auto"/>
            <w:hideMark/>
          </w:tcPr>
          <w:p w14:paraId="5526A68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05 a 09 Explotación de minas y canteras</w:t>
            </w:r>
          </w:p>
        </w:tc>
        <w:tc>
          <w:tcPr>
            <w:tcW w:w="736" w:type="pct"/>
            <w:tcBorders>
              <w:top w:val="single" w:sz="4" w:space="0" w:color="auto"/>
              <w:bottom w:val="single" w:sz="4" w:space="0" w:color="auto"/>
            </w:tcBorders>
            <w:shd w:val="clear" w:color="auto" w:fill="auto"/>
            <w:noWrap/>
            <w:vAlign w:val="bottom"/>
            <w:hideMark/>
          </w:tcPr>
          <w:p w14:paraId="46CFA737"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74ED3D4" w14:textId="54961D8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63</w:t>
            </w:r>
            <w:r w:rsidR="00BF2258" w:rsidRPr="00BF2258">
              <w:rPr>
                <w:b/>
                <w:sz w:val="18"/>
              </w:rPr>
              <w:t xml:space="preserve"> </w:t>
            </w:r>
            <w:r w:rsidRPr="00BF2258">
              <w:rPr>
                <w:b/>
                <w:sz w:val="18"/>
              </w:rPr>
              <w:t xml:space="preserve">746 </w:t>
            </w:r>
          </w:p>
        </w:tc>
        <w:tc>
          <w:tcPr>
            <w:tcW w:w="588" w:type="pct"/>
            <w:tcBorders>
              <w:top w:val="single" w:sz="4" w:space="0" w:color="auto"/>
              <w:bottom w:val="single" w:sz="4" w:space="0" w:color="auto"/>
            </w:tcBorders>
            <w:shd w:val="clear" w:color="auto" w:fill="auto"/>
            <w:noWrap/>
            <w:vAlign w:val="bottom"/>
            <w:hideMark/>
          </w:tcPr>
          <w:p w14:paraId="1621469B" w14:textId="34363A1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w:t>
            </w:r>
            <w:r w:rsidR="00BF2258" w:rsidRPr="00BF2258">
              <w:rPr>
                <w:b/>
                <w:sz w:val="18"/>
              </w:rPr>
              <w:t xml:space="preserve"> </w:t>
            </w:r>
            <w:r w:rsidRPr="00BF2258">
              <w:rPr>
                <w:b/>
                <w:sz w:val="18"/>
              </w:rPr>
              <w:t xml:space="preserve">271 </w:t>
            </w:r>
          </w:p>
        </w:tc>
        <w:tc>
          <w:tcPr>
            <w:tcW w:w="589" w:type="pct"/>
            <w:tcBorders>
              <w:top w:val="single" w:sz="4" w:space="0" w:color="auto"/>
              <w:bottom w:val="single" w:sz="4" w:space="0" w:color="auto"/>
            </w:tcBorders>
            <w:shd w:val="clear" w:color="auto" w:fill="auto"/>
            <w:noWrap/>
            <w:vAlign w:val="bottom"/>
            <w:hideMark/>
          </w:tcPr>
          <w:p w14:paraId="159E72F1" w14:textId="3688964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w:t>
            </w:r>
            <w:r w:rsidR="00BF2258" w:rsidRPr="00BF2258">
              <w:rPr>
                <w:b/>
                <w:sz w:val="18"/>
              </w:rPr>
              <w:t xml:space="preserve"> </w:t>
            </w:r>
            <w:r w:rsidRPr="00BF2258">
              <w:rPr>
                <w:b/>
                <w:sz w:val="18"/>
              </w:rPr>
              <w:t xml:space="preserve">600 </w:t>
            </w:r>
          </w:p>
        </w:tc>
        <w:tc>
          <w:tcPr>
            <w:tcW w:w="588" w:type="pct"/>
            <w:tcBorders>
              <w:top w:val="single" w:sz="4" w:space="0" w:color="auto"/>
              <w:bottom w:val="single" w:sz="4" w:space="0" w:color="auto"/>
            </w:tcBorders>
            <w:shd w:val="clear" w:color="auto" w:fill="auto"/>
            <w:noWrap/>
            <w:vAlign w:val="bottom"/>
            <w:hideMark/>
          </w:tcPr>
          <w:p w14:paraId="7AAC37BA" w14:textId="55B1BCC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25</w:t>
            </w:r>
            <w:r w:rsidR="00BF2258" w:rsidRPr="00BF2258">
              <w:rPr>
                <w:b/>
                <w:sz w:val="18"/>
              </w:rPr>
              <w:t xml:space="preserve"> </w:t>
            </w:r>
            <w:r w:rsidRPr="00BF2258">
              <w:rPr>
                <w:b/>
                <w:sz w:val="18"/>
              </w:rPr>
              <w:t xml:space="preserve">725 </w:t>
            </w:r>
          </w:p>
        </w:tc>
        <w:tc>
          <w:tcPr>
            <w:tcW w:w="512" w:type="pct"/>
            <w:tcBorders>
              <w:top w:val="single" w:sz="4" w:space="0" w:color="auto"/>
              <w:bottom w:val="single" w:sz="4" w:space="0" w:color="auto"/>
            </w:tcBorders>
            <w:shd w:val="clear" w:color="auto" w:fill="auto"/>
            <w:noWrap/>
            <w:vAlign w:val="bottom"/>
            <w:hideMark/>
          </w:tcPr>
          <w:p w14:paraId="3BE2D2E8" w14:textId="26BD63D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16</w:t>
            </w:r>
            <w:r w:rsidR="00BF2258" w:rsidRPr="00BF2258">
              <w:rPr>
                <w:b/>
                <w:sz w:val="18"/>
              </w:rPr>
              <w:t xml:space="preserve"> </w:t>
            </w:r>
            <w:r w:rsidRPr="00BF2258">
              <w:rPr>
                <w:b/>
                <w:sz w:val="18"/>
              </w:rPr>
              <w:t xml:space="preserve">150 </w:t>
            </w:r>
          </w:p>
        </w:tc>
      </w:tr>
      <w:tr w:rsidR="00BF2258" w:rsidRPr="00DA21FF" w14:paraId="2A5DA509" w14:textId="77777777" w:rsidTr="00E95817">
        <w:trPr>
          <w:trHeight w:val="240"/>
        </w:trPr>
        <w:tc>
          <w:tcPr>
            <w:tcW w:w="1399" w:type="pct"/>
            <w:vMerge/>
            <w:shd w:val="clear" w:color="auto" w:fill="auto"/>
            <w:hideMark/>
          </w:tcPr>
          <w:p w14:paraId="3354D18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57F81FF5"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64EEDF0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78 %</w:t>
            </w:r>
          </w:p>
        </w:tc>
        <w:tc>
          <w:tcPr>
            <w:tcW w:w="588" w:type="pct"/>
            <w:tcBorders>
              <w:top w:val="single" w:sz="4" w:space="0" w:color="auto"/>
            </w:tcBorders>
            <w:shd w:val="clear" w:color="auto" w:fill="auto"/>
            <w:noWrap/>
            <w:vAlign w:val="bottom"/>
            <w:hideMark/>
          </w:tcPr>
          <w:p w14:paraId="3AEE23D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82 %</w:t>
            </w:r>
          </w:p>
        </w:tc>
        <w:tc>
          <w:tcPr>
            <w:tcW w:w="589" w:type="pct"/>
            <w:tcBorders>
              <w:top w:val="single" w:sz="4" w:space="0" w:color="auto"/>
            </w:tcBorders>
            <w:shd w:val="clear" w:color="auto" w:fill="auto"/>
            <w:noWrap/>
            <w:vAlign w:val="bottom"/>
            <w:hideMark/>
          </w:tcPr>
          <w:p w14:paraId="5CE2FB2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76 %</w:t>
            </w:r>
          </w:p>
        </w:tc>
        <w:tc>
          <w:tcPr>
            <w:tcW w:w="588" w:type="pct"/>
            <w:tcBorders>
              <w:top w:val="single" w:sz="4" w:space="0" w:color="auto"/>
            </w:tcBorders>
            <w:shd w:val="clear" w:color="auto" w:fill="auto"/>
            <w:noWrap/>
            <w:vAlign w:val="bottom"/>
            <w:hideMark/>
          </w:tcPr>
          <w:p w14:paraId="0ACACD0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78 %</w:t>
            </w:r>
          </w:p>
        </w:tc>
        <w:tc>
          <w:tcPr>
            <w:tcW w:w="512" w:type="pct"/>
            <w:tcBorders>
              <w:top w:val="single" w:sz="4" w:space="0" w:color="auto"/>
            </w:tcBorders>
            <w:shd w:val="clear" w:color="auto" w:fill="auto"/>
            <w:noWrap/>
            <w:vAlign w:val="bottom"/>
            <w:hideMark/>
          </w:tcPr>
          <w:p w14:paraId="2128840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80 %</w:t>
            </w:r>
          </w:p>
        </w:tc>
      </w:tr>
      <w:tr w:rsidR="00BF2258" w:rsidRPr="00DA21FF" w14:paraId="4B098BE0" w14:textId="77777777" w:rsidTr="00E95817">
        <w:trPr>
          <w:trHeight w:val="240"/>
        </w:trPr>
        <w:tc>
          <w:tcPr>
            <w:tcW w:w="1399" w:type="pct"/>
            <w:vMerge/>
            <w:shd w:val="clear" w:color="auto" w:fill="auto"/>
            <w:hideMark/>
          </w:tcPr>
          <w:p w14:paraId="65910F5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0906DBAC"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6725FF2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22 %</w:t>
            </w:r>
          </w:p>
        </w:tc>
        <w:tc>
          <w:tcPr>
            <w:tcW w:w="588" w:type="pct"/>
            <w:tcBorders>
              <w:bottom w:val="single" w:sz="4" w:space="0" w:color="auto"/>
            </w:tcBorders>
            <w:shd w:val="clear" w:color="auto" w:fill="auto"/>
            <w:noWrap/>
            <w:vAlign w:val="bottom"/>
            <w:hideMark/>
          </w:tcPr>
          <w:p w14:paraId="37BA07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18 %</w:t>
            </w:r>
          </w:p>
        </w:tc>
        <w:tc>
          <w:tcPr>
            <w:tcW w:w="589" w:type="pct"/>
            <w:tcBorders>
              <w:bottom w:val="single" w:sz="4" w:space="0" w:color="auto"/>
            </w:tcBorders>
            <w:shd w:val="clear" w:color="auto" w:fill="auto"/>
            <w:noWrap/>
            <w:vAlign w:val="bottom"/>
            <w:hideMark/>
          </w:tcPr>
          <w:p w14:paraId="76D104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24 %</w:t>
            </w:r>
          </w:p>
        </w:tc>
        <w:tc>
          <w:tcPr>
            <w:tcW w:w="588" w:type="pct"/>
            <w:tcBorders>
              <w:bottom w:val="single" w:sz="4" w:space="0" w:color="auto"/>
            </w:tcBorders>
            <w:shd w:val="clear" w:color="auto" w:fill="auto"/>
            <w:noWrap/>
            <w:vAlign w:val="bottom"/>
            <w:hideMark/>
          </w:tcPr>
          <w:p w14:paraId="4BA08D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22 %</w:t>
            </w:r>
          </w:p>
        </w:tc>
        <w:tc>
          <w:tcPr>
            <w:tcW w:w="512" w:type="pct"/>
            <w:tcBorders>
              <w:bottom w:val="single" w:sz="4" w:space="0" w:color="auto"/>
            </w:tcBorders>
            <w:shd w:val="clear" w:color="auto" w:fill="auto"/>
            <w:noWrap/>
            <w:vAlign w:val="bottom"/>
            <w:hideMark/>
          </w:tcPr>
          <w:p w14:paraId="696E64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20 %</w:t>
            </w:r>
          </w:p>
        </w:tc>
      </w:tr>
      <w:tr w:rsidR="00BF2258" w:rsidRPr="00DA21FF" w14:paraId="3BD8FF6B" w14:textId="77777777" w:rsidTr="00E95817">
        <w:trPr>
          <w:trHeight w:val="240"/>
        </w:trPr>
        <w:tc>
          <w:tcPr>
            <w:tcW w:w="1399" w:type="pct"/>
            <w:vMerge w:val="restart"/>
            <w:shd w:val="clear" w:color="auto" w:fill="auto"/>
            <w:hideMark/>
          </w:tcPr>
          <w:p w14:paraId="4847DDED" w14:textId="7513C26E"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10 a 33 Industrias manufactureras</w:t>
            </w:r>
          </w:p>
        </w:tc>
        <w:tc>
          <w:tcPr>
            <w:tcW w:w="736" w:type="pct"/>
            <w:tcBorders>
              <w:top w:val="single" w:sz="4" w:space="0" w:color="auto"/>
              <w:bottom w:val="single" w:sz="4" w:space="0" w:color="auto"/>
            </w:tcBorders>
            <w:shd w:val="clear" w:color="auto" w:fill="auto"/>
            <w:noWrap/>
            <w:vAlign w:val="bottom"/>
            <w:hideMark/>
          </w:tcPr>
          <w:p w14:paraId="0819A6DE"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5B2336FD" w14:textId="4763E09E"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215</w:t>
            </w:r>
            <w:r w:rsidR="00BF2258" w:rsidRPr="00BF2258">
              <w:rPr>
                <w:b/>
                <w:sz w:val="18"/>
              </w:rPr>
              <w:t xml:space="preserve"> </w:t>
            </w:r>
            <w:r w:rsidRPr="00BF2258">
              <w:rPr>
                <w:b/>
                <w:sz w:val="18"/>
              </w:rPr>
              <w:t xml:space="preserve">333 </w:t>
            </w:r>
          </w:p>
        </w:tc>
        <w:tc>
          <w:tcPr>
            <w:tcW w:w="588" w:type="pct"/>
            <w:tcBorders>
              <w:top w:val="single" w:sz="4" w:space="0" w:color="auto"/>
              <w:bottom w:val="single" w:sz="4" w:space="0" w:color="auto"/>
            </w:tcBorders>
            <w:shd w:val="clear" w:color="auto" w:fill="auto"/>
            <w:noWrap/>
            <w:vAlign w:val="bottom"/>
            <w:hideMark/>
          </w:tcPr>
          <w:p w14:paraId="7101656B" w14:textId="4CC2A5BF"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20</w:t>
            </w:r>
            <w:r w:rsidR="00BF2258" w:rsidRPr="00BF2258">
              <w:rPr>
                <w:b/>
                <w:sz w:val="18"/>
              </w:rPr>
              <w:t xml:space="preserve"> </w:t>
            </w:r>
            <w:r w:rsidRPr="00BF2258">
              <w:rPr>
                <w:b/>
                <w:sz w:val="18"/>
              </w:rPr>
              <w:t xml:space="preserve">699 </w:t>
            </w:r>
          </w:p>
        </w:tc>
        <w:tc>
          <w:tcPr>
            <w:tcW w:w="589" w:type="pct"/>
            <w:tcBorders>
              <w:top w:val="single" w:sz="4" w:space="0" w:color="auto"/>
              <w:bottom w:val="single" w:sz="4" w:space="0" w:color="auto"/>
            </w:tcBorders>
            <w:shd w:val="clear" w:color="auto" w:fill="auto"/>
            <w:noWrap/>
            <w:vAlign w:val="bottom"/>
            <w:hideMark/>
          </w:tcPr>
          <w:p w14:paraId="5D9CAE15" w14:textId="35288016"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64</w:t>
            </w:r>
            <w:r w:rsidR="00BF2258" w:rsidRPr="00BF2258">
              <w:rPr>
                <w:b/>
                <w:sz w:val="18"/>
              </w:rPr>
              <w:t xml:space="preserve"> </w:t>
            </w:r>
            <w:r w:rsidRPr="00BF2258">
              <w:rPr>
                <w:b/>
                <w:sz w:val="18"/>
              </w:rPr>
              <w:t xml:space="preserve">994 </w:t>
            </w:r>
          </w:p>
        </w:tc>
        <w:tc>
          <w:tcPr>
            <w:tcW w:w="588" w:type="pct"/>
            <w:tcBorders>
              <w:top w:val="single" w:sz="4" w:space="0" w:color="auto"/>
              <w:bottom w:val="single" w:sz="4" w:space="0" w:color="auto"/>
            </w:tcBorders>
            <w:shd w:val="clear" w:color="auto" w:fill="auto"/>
            <w:noWrap/>
            <w:vAlign w:val="bottom"/>
            <w:hideMark/>
          </w:tcPr>
          <w:p w14:paraId="5ECF5157" w14:textId="7986E60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74</w:t>
            </w:r>
            <w:r w:rsidR="00BF2258" w:rsidRPr="00BF2258">
              <w:rPr>
                <w:b/>
                <w:sz w:val="18"/>
              </w:rPr>
              <w:t xml:space="preserve"> </w:t>
            </w:r>
            <w:r w:rsidRPr="00BF2258">
              <w:rPr>
                <w:b/>
                <w:sz w:val="18"/>
              </w:rPr>
              <w:t xml:space="preserve">699 </w:t>
            </w:r>
          </w:p>
        </w:tc>
        <w:tc>
          <w:tcPr>
            <w:tcW w:w="512" w:type="pct"/>
            <w:tcBorders>
              <w:top w:val="single" w:sz="4" w:space="0" w:color="auto"/>
              <w:bottom w:val="single" w:sz="4" w:space="0" w:color="auto"/>
            </w:tcBorders>
            <w:shd w:val="clear" w:color="auto" w:fill="auto"/>
            <w:noWrap/>
            <w:vAlign w:val="bottom"/>
            <w:hideMark/>
          </w:tcPr>
          <w:p w14:paraId="52705E28" w14:textId="23A74D6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54</w:t>
            </w:r>
            <w:r w:rsidR="00BF2258" w:rsidRPr="00BF2258">
              <w:rPr>
                <w:b/>
                <w:sz w:val="18"/>
              </w:rPr>
              <w:t xml:space="preserve"> </w:t>
            </w:r>
            <w:r w:rsidRPr="00BF2258">
              <w:rPr>
                <w:b/>
                <w:sz w:val="18"/>
              </w:rPr>
              <w:t xml:space="preserve">941 </w:t>
            </w:r>
          </w:p>
        </w:tc>
      </w:tr>
      <w:tr w:rsidR="00BF2258" w:rsidRPr="00DA21FF" w14:paraId="6D3E7756" w14:textId="77777777" w:rsidTr="00E95817">
        <w:trPr>
          <w:trHeight w:val="240"/>
        </w:trPr>
        <w:tc>
          <w:tcPr>
            <w:tcW w:w="1399" w:type="pct"/>
            <w:vMerge/>
            <w:shd w:val="clear" w:color="auto" w:fill="auto"/>
            <w:hideMark/>
          </w:tcPr>
          <w:p w14:paraId="0ECB926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32BB32EF"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529DCE4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75 %</w:t>
            </w:r>
          </w:p>
        </w:tc>
        <w:tc>
          <w:tcPr>
            <w:tcW w:w="588" w:type="pct"/>
            <w:tcBorders>
              <w:top w:val="single" w:sz="4" w:space="0" w:color="auto"/>
            </w:tcBorders>
            <w:shd w:val="clear" w:color="auto" w:fill="auto"/>
            <w:noWrap/>
            <w:vAlign w:val="bottom"/>
            <w:hideMark/>
          </w:tcPr>
          <w:p w14:paraId="0AFFFA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74 %</w:t>
            </w:r>
          </w:p>
        </w:tc>
        <w:tc>
          <w:tcPr>
            <w:tcW w:w="589" w:type="pct"/>
            <w:tcBorders>
              <w:top w:val="single" w:sz="4" w:space="0" w:color="auto"/>
            </w:tcBorders>
            <w:shd w:val="clear" w:color="auto" w:fill="auto"/>
            <w:noWrap/>
            <w:vAlign w:val="bottom"/>
            <w:hideMark/>
          </w:tcPr>
          <w:p w14:paraId="1936DF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74 %</w:t>
            </w:r>
          </w:p>
        </w:tc>
        <w:tc>
          <w:tcPr>
            <w:tcW w:w="588" w:type="pct"/>
            <w:tcBorders>
              <w:top w:val="single" w:sz="4" w:space="0" w:color="auto"/>
            </w:tcBorders>
            <w:shd w:val="clear" w:color="auto" w:fill="auto"/>
            <w:noWrap/>
            <w:vAlign w:val="bottom"/>
            <w:hideMark/>
          </w:tcPr>
          <w:p w14:paraId="692E91A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75 %</w:t>
            </w:r>
          </w:p>
        </w:tc>
        <w:tc>
          <w:tcPr>
            <w:tcW w:w="512" w:type="pct"/>
            <w:tcBorders>
              <w:top w:val="single" w:sz="4" w:space="0" w:color="auto"/>
            </w:tcBorders>
            <w:shd w:val="clear" w:color="auto" w:fill="auto"/>
            <w:noWrap/>
            <w:vAlign w:val="bottom"/>
            <w:hideMark/>
          </w:tcPr>
          <w:p w14:paraId="3A97D11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78 %</w:t>
            </w:r>
          </w:p>
        </w:tc>
      </w:tr>
      <w:tr w:rsidR="00BF2258" w:rsidRPr="00DA21FF" w14:paraId="5F895577" w14:textId="77777777" w:rsidTr="00E95817">
        <w:trPr>
          <w:trHeight w:val="240"/>
        </w:trPr>
        <w:tc>
          <w:tcPr>
            <w:tcW w:w="1399" w:type="pct"/>
            <w:vMerge/>
            <w:shd w:val="clear" w:color="auto" w:fill="auto"/>
            <w:hideMark/>
          </w:tcPr>
          <w:p w14:paraId="10751FB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784EAAE2"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7CFEA6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25 %</w:t>
            </w:r>
          </w:p>
        </w:tc>
        <w:tc>
          <w:tcPr>
            <w:tcW w:w="588" w:type="pct"/>
            <w:tcBorders>
              <w:bottom w:val="single" w:sz="4" w:space="0" w:color="auto"/>
            </w:tcBorders>
            <w:shd w:val="clear" w:color="auto" w:fill="auto"/>
            <w:noWrap/>
            <w:vAlign w:val="bottom"/>
            <w:hideMark/>
          </w:tcPr>
          <w:p w14:paraId="5047376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26 %</w:t>
            </w:r>
          </w:p>
        </w:tc>
        <w:tc>
          <w:tcPr>
            <w:tcW w:w="589" w:type="pct"/>
            <w:tcBorders>
              <w:bottom w:val="single" w:sz="4" w:space="0" w:color="auto"/>
            </w:tcBorders>
            <w:shd w:val="clear" w:color="auto" w:fill="auto"/>
            <w:noWrap/>
            <w:vAlign w:val="bottom"/>
            <w:hideMark/>
          </w:tcPr>
          <w:p w14:paraId="572614D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26 %</w:t>
            </w:r>
          </w:p>
        </w:tc>
        <w:tc>
          <w:tcPr>
            <w:tcW w:w="588" w:type="pct"/>
            <w:tcBorders>
              <w:bottom w:val="single" w:sz="4" w:space="0" w:color="auto"/>
            </w:tcBorders>
            <w:shd w:val="clear" w:color="auto" w:fill="auto"/>
            <w:noWrap/>
            <w:vAlign w:val="bottom"/>
            <w:hideMark/>
          </w:tcPr>
          <w:p w14:paraId="6AFB01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25 %</w:t>
            </w:r>
          </w:p>
        </w:tc>
        <w:tc>
          <w:tcPr>
            <w:tcW w:w="512" w:type="pct"/>
            <w:tcBorders>
              <w:bottom w:val="single" w:sz="4" w:space="0" w:color="auto"/>
            </w:tcBorders>
            <w:shd w:val="clear" w:color="auto" w:fill="auto"/>
            <w:noWrap/>
            <w:vAlign w:val="bottom"/>
            <w:hideMark/>
          </w:tcPr>
          <w:p w14:paraId="3A796E4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22 %</w:t>
            </w:r>
          </w:p>
        </w:tc>
      </w:tr>
      <w:tr w:rsidR="00BF2258" w:rsidRPr="00DA21FF" w14:paraId="4B77AFF6" w14:textId="77777777" w:rsidTr="00E95817">
        <w:trPr>
          <w:trHeight w:val="240"/>
        </w:trPr>
        <w:tc>
          <w:tcPr>
            <w:tcW w:w="1399" w:type="pct"/>
            <w:vMerge w:val="restart"/>
            <w:shd w:val="clear" w:color="auto" w:fill="auto"/>
            <w:hideMark/>
          </w:tcPr>
          <w:p w14:paraId="32A099B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35 a 39 Electricidad, suministro de agua, alcantarillado, gestión de residuos</w:t>
            </w:r>
          </w:p>
        </w:tc>
        <w:tc>
          <w:tcPr>
            <w:tcW w:w="736" w:type="pct"/>
            <w:tcBorders>
              <w:top w:val="single" w:sz="4" w:space="0" w:color="auto"/>
              <w:bottom w:val="single" w:sz="4" w:space="0" w:color="auto"/>
            </w:tcBorders>
            <w:shd w:val="clear" w:color="auto" w:fill="auto"/>
            <w:noWrap/>
            <w:vAlign w:val="bottom"/>
            <w:hideMark/>
          </w:tcPr>
          <w:p w14:paraId="5636A387"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092C50E8" w14:textId="22DC854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36</w:t>
            </w:r>
            <w:r w:rsidR="00BF2258" w:rsidRPr="00BF2258">
              <w:rPr>
                <w:b/>
                <w:sz w:val="18"/>
              </w:rPr>
              <w:t xml:space="preserve"> </w:t>
            </w:r>
            <w:r w:rsidRPr="00BF2258">
              <w:rPr>
                <w:b/>
                <w:sz w:val="18"/>
              </w:rPr>
              <w:t xml:space="preserve">259 </w:t>
            </w:r>
          </w:p>
        </w:tc>
        <w:tc>
          <w:tcPr>
            <w:tcW w:w="588" w:type="pct"/>
            <w:tcBorders>
              <w:top w:val="single" w:sz="4" w:space="0" w:color="auto"/>
              <w:bottom w:val="single" w:sz="4" w:space="0" w:color="auto"/>
            </w:tcBorders>
            <w:shd w:val="clear" w:color="auto" w:fill="auto"/>
            <w:noWrap/>
            <w:vAlign w:val="bottom"/>
            <w:hideMark/>
          </w:tcPr>
          <w:p w14:paraId="0428861D" w14:textId="64553B7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w:t>
            </w:r>
            <w:r w:rsidR="00BF2258" w:rsidRPr="00BF2258">
              <w:rPr>
                <w:b/>
                <w:sz w:val="18"/>
              </w:rPr>
              <w:t xml:space="preserve"> </w:t>
            </w:r>
            <w:r w:rsidRPr="00BF2258">
              <w:rPr>
                <w:b/>
                <w:sz w:val="18"/>
              </w:rPr>
              <w:t xml:space="preserve">224 </w:t>
            </w:r>
          </w:p>
        </w:tc>
        <w:tc>
          <w:tcPr>
            <w:tcW w:w="589" w:type="pct"/>
            <w:tcBorders>
              <w:top w:val="single" w:sz="4" w:space="0" w:color="auto"/>
              <w:bottom w:val="single" w:sz="4" w:space="0" w:color="auto"/>
            </w:tcBorders>
            <w:shd w:val="clear" w:color="auto" w:fill="auto"/>
            <w:noWrap/>
            <w:vAlign w:val="bottom"/>
            <w:hideMark/>
          </w:tcPr>
          <w:p w14:paraId="21ADB1FF" w14:textId="51CB16C6"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w:t>
            </w:r>
            <w:r w:rsidR="00BF2258" w:rsidRPr="00BF2258">
              <w:rPr>
                <w:b/>
                <w:sz w:val="18"/>
              </w:rPr>
              <w:t xml:space="preserve"> </w:t>
            </w:r>
            <w:r w:rsidRPr="00BF2258">
              <w:rPr>
                <w:b/>
                <w:sz w:val="18"/>
              </w:rPr>
              <w:t xml:space="preserve">867 </w:t>
            </w:r>
          </w:p>
        </w:tc>
        <w:tc>
          <w:tcPr>
            <w:tcW w:w="588" w:type="pct"/>
            <w:tcBorders>
              <w:top w:val="single" w:sz="4" w:space="0" w:color="auto"/>
              <w:bottom w:val="single" w:sz="4" w:space="0" w:color="auto"/>
            </w:tcBorders>
            <w:shd w:val="clear" w:color="auto" w:fill="auto"/>
            <w:noWrap/>
            <w:vAlign w:val="bottom"/>
            <w:hideMark/>
          </w:tcPr>
          <w:p w14:paraId="1F92449A" w14:textId="5B57AAE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13</w:t>
            </w:r>
            <w:r w:rsidR="00BF2258" w:rsidRPr="00BF2258">
              <w:rPr>
                <w:b/>
                <w:sz w:val="18"/>
              </w:rPr>
              <w:t xml:space="preserve"> </w:t>
            </w:r>
            <w:r w:rsidRPr="00BF2258">
              <w:rPr>
                <w:b/>
                <w:sz w:val="18"/>
              </w:rPr>
              <w:t xml:space="preserve">073 </w:t>
            </w:r>
          </w:p>
        </w:tc>
        <w:tc>
          <w:tcPr>
            <w:tcW w:w="512" w:type="pct"/>
            <w:tcBorders>
              <w:top w:val="single" w:sz="4" w:space="0" w:color="auto"/>
              <w:bottom w:val="single" w:sz="4" w:space="0" w:color="auto"/>
            </w:tcBorders>
            <w:shd w:val="clear" w:color="auto" w:fill="auto"/>
            <w:noWrap/>
            <w:vAlign w:val="bottom"/>
            <w:hideMark/>
          </w:tcPr>
          <w:p w14:paraId="495E8DEE" w14:textId="2649DBB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w:t>
            </w:r>
            <w:r w:rsidR="00BF2258" w:rsidRPr="00BF2258">
              <w:rPr>
                <w:b/>
                <w:sz w:val="18"/>
              </w:rPr>
              <w:t xml:space="preserve"> </w:t>
            </w:r>
            <w:r w:rsidRPr="00BF2258">
              <w:rPr>
                <w:b/>
                <w:sz w:val="18"/>
              </w:rPr>
              <w:t xml:space="preserve">095 </w:t>
            </w:r>
          </w:p>
        </w:tc>
      </w:tr>
      <w:tr w:rsidR="00BF2258" w:rsidRPr="00DA21FF" w14:paraId="1E3F01FD" w14:textId="77777777" w:rsidTr="007D17C6">
        <w:trPr>
          <w:trHeight w:val="240"/>
        </w:trPr>
        <w:tc>
          <w:tcPr>
            <w:tcW w:w="1399" w:type="pct"/>
            <w:vMerge/>
            <w:shd w:val="clear" w:color="auto" w:fill="auto"/>
            <w:hideMark/>
          </w:tcPr>
          <w:p w14:paraId="49A65BA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bottom w:val="nil"/>
            </w:tcBorders>
            <w:shd w:val="clear" w:color="auto" w:fill="auto"/>
            <w:noWrap/>
            <w:vAlign w:val="bottom"/>
            <w:hideMark/>
          </w:tcPr>
          <w:p w14:paraId="0E1766CC"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bottom w:val="nil"/>
            </w:tcBorders>
            <w:shd w:val="clear" w:color="auto" w:fill="auto"/>
            <w:noWrap/>
            <w:vAlign w:val="bottom"/>
            <w:hideMark/>
          </w:tcPr>
          <w:p w14:paraId="32CF520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77 %</w:t>
            </w:r>
          </w:p>
        </w:tc>
        <w:tc>
          <w:tcPr>
            <w:tcW w:w="588" w:type="pct"/>
            <w:tcBorders>
              <w:top w:val="single" w:sz="4" w:space="0" w:color="auto"/>
              <w:bottom w:val="nil"/>
            </w:tcBorders>
            <w:shd w:val="clear" w:color="auto" w:fill="auto"/>
            <w:noWrap/>
            <w:vAlign w:val="bottom"/>
            <w:hideMark/>
          </w:tcPr>
          <w:p w14:paraId="568A15E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c>
          <w:tcPr>
            <w:tcW w:w="589" w:type="pct"/>
            <w:tcBorders>
              <w:top w:val="single" w:sz="4" w:space="0" w:color="auto"/>
              <w:bottom w:val="nil"/>
            </w:tcBorders>
            <w:shd w:val="clear" w:color="auto" w:fill="auto"/>
            <w:noWrap/>
            <w:vAlign w:val="bottom"/>
            <w:hideMark/>
          </w:tcPr>
          <w:p w14:paraId="0A763BF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73 %</w:t>
            </w:r>
          </w:p>
        </w:tc>
        <w:tc>
          <w:tcPr>
            <w:tcW w:w="588" w:type="pct"/>
            <w:tcBorders>
              <w:top w:val="single" w:sz="4" w:space="0" w:color="auto"/>
              <w:bottom w:val="nil"/>
            </w:tcBorders>
            <w:shd w:val="clear" w:color="auto" w:fill="auto"/>
            <w:noWrap/>
            <w:vAlign w:val="bottom"/>
            <w:hideMark/>
          </w:tcPr>
          <w:p w14:paraId="74E6794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76 %</w:t>
            </w:r>
          </w:p>
        </w:tc>
        <w:tc>
          <w:tcPr>
            <w:tcW w:w="512" w:type="pct"/>
            <w:tcBorders>
              <w:top w:val="single" w:sz="4" w:space="0" w:color="auto"/>
              <w:bottom w:val="nil"/>
            </w:tcBorders>
            <w:shd w:val="clear" w:color="auto" w:fill="auto"/>
            <w:noWrap/>
            <w:vAlign w:val="bottom"/>
            <w:hideMark/>
          </w:tcPr>
          <w:p w14:paraId="48C73B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r>
      <w:tr w:rsidR="00BF2258" w:rsidRPr="00DA21FF" w14:paraId="595FE1E7" w14:textId="77777777" w:rsidTr="007D17C6">
        <w:trPr>
          <w:trHeight w:val="240"/>
        </w:trPr>
        <w:tc>
          <w:tcPr>
            <w:tcW w:w="1399" w:type="pct"/>
            <w:vMerge/>
            <w:shd w:val="clear" w:color="auto" w:fill="auto"/>
            <w:hideMark/>
          </w:tcPr>
          <w:p w14:paraId="723C0E6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nil"/>
              <w:bottom w:val="nil"/>
            </w:tcBorders>
            <w:shd w:val="clear" w:color="auto" w:fill="auto"/>
            <w:noWrap/>
            <w:vAlign w:val="bottom"/>
            <w:hideMark/>
          </w:tcPr>
          <w:p w14:paraId="0500F71C"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top w:val="nil"/>
              <w:bottom w:val="nil"/>
            </w:tcBorders>
            <w:shd w:val="clear" w:color="auto" w:fill="auto"/>
            <w:noWrap/>
            <w:vAlign w:val="bottom"/>
            <w:hideMark/>
          </w:tcPr>
          <w:p w14:paraId="1114AC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23 %</w:t>
            </w:r>
          </w:p>
        </w:tc>
        <w:tc>
          <w:tcPr>
            <w:tcW w:w="588" w:type="pct"/>
            <w:tcBorders>
              <w:top w:val="nil"/>
              <w:bottom w:val="nil"/>
            </w:tcBorders>
            <w:shd w:val="clear" w:color="auto" w:fill="auto"/>
            <w:noWrap/>
            <w:vAlign w:val="bottom"/>
            <w:hideMark/>
          </w:tcPr>
          <w:p w14:paraId="6129FD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c>
          <w:tcPr>
            <w:tcW w:w="589" w:type="pct"/>
            <w:tcBorders>
              <w:top w:val="nil"/>
              <w:bottom w:val="nil"/>
            </w:tcBorders>
            <w:shd w:val="clear" w:color="auto" w:fill="auto"/>
            <w:noWrap/>
            <w:vAlign w:val="bottom"/>
            <w:hideMark/>
          </w:tcPr>
          <w:p w14:paraId="22F097F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27 %</w:t>
            </w:r>
          </w:p>
        </w:tc>
        <w:tc>
          <w:tcPr>
            <w:tcW w:w="588" w:type="pct"/>
            <w:tcBorders>
              <w:top w:val="nil"/>
              <w:bottom w:val="nil"/>
            </w:tcBorders>
            <w:shd w:val="clear" w:color="auto" w:fill="auto"/>
            <w:noWrap/>
            <w:vAlign w:val="bottom"/>
            <w:hideMark/>
          </w:tcPr>
          <w:p w14:paraId="03018E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24 %</w:t>
            </w:r>
          </w:p>
        </w:tc>
        <w:tc>
          <w:tcPr>
            <w:tcW w:w="512" w:type="pct"/>
            <w:tcBorders>
              <w:top w:val="nil"/>
              <w:bottom w:val="nil"/>
            </w:tcBorders>
            <w:shd w:val="clear" w:color="auto" w:fill="auto"/>
            <w:noWrap/>
            <w:vAlign w:val="bottom"/>
            <w:hideMark/>
          </w:tcPr>
          <w:p w14:paraId="6DD32C8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r>
      <w:tr w:rsidR="00BF2258" w:rsidRPr="00DA21FF" w14:paraId="119B4BB6" w14:textId="77777777" w:rsidTr="007D17C6">
        <w:trPr>
          <w:trHeight w:val="240"/>
        </w:trPr>
        <w:tc>
          <w:tcPr>
            <w:tcW w:w="1399" w:type="pct"/>
            <w:vMerge w:val="restart"/>
            <w:shd w:val="clear" w:color="auto" w:fill="auto"/>
            <w:hideMark/>
          </w:tcPr>
          <w:p w14:paraId="4E6A47F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lastRenderedPageBreak/>
              <w:t>41 a 43 Construcción</w:t>
            </w:r>
          </w:p>
        </w:tc>
        <w:tc>
          <w:tcPr>
            <w:tcW w:w="736" w:type="pct"/>
            <w:tcBorders>
              <w:top w:val="nil"/>
              <w:bottom w:val="single" w:sz="4" w:space="0" w:color="auto"/>
            </w:tcBorders>
            <w:shd w:val="clear" w:color="auto" w:fill="auto"/>
            <w:noWrap/>
            <w:vAlign w:val="bottom"/>
            <w:hideMark/>
          </w:tcPr>
          <w:p w14:paraId="5E56A70A"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nil"/>
              <w:bottom w:val="single" w:sz="4" w:space="0" w:color="auto"/>
            </w:tcBorders>
            <w:shd w:val="clear" w:color="auto" w:fill="auto"/>
            <w:noWrap/>
            <w:vAlign w:val="bottom"/>
            <w:hideMark/>
          </w:tcPr>
          <w:p w14:paraId="3D531734" w14:textId="75F469F3"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242</w:t>
            </w:r>
            <w:r w:rsidR="00BF2258" w:rsidRPr="00BF2258">
              <w:rPr>
                <w:b/>
                <w:sz w:val="18"/>
              </w:rPr>
              <w:t xml:space="preserve"> </w:t>
            </w:r>
            <w:r w:rsidRPr="00BF2258">
              <w:rPr>
                <w:b/>
                <w:sz w:val="18"/>
              </w:rPr>
              <w:t xml:space="preserve">245 </w:t>
            </w:r>
          </w:p>
        </w:tc>
        <w:tc>
          <w:tcPr>
            <w:tcW w:w="588" w:type="pct"/>
            <w:tcBorders>
              <w:top w:val="nil"/>
              <w:bottom w:val="single" w:sz="4" w:space="0" w:color="auto"/>
            </w:tcBorders>
            <w:shd w:val="clear" w:color="auto" w:fill="auto"/>
            <w:noWrap/>
            <w:vAlign w:val="bottom"/>
            <w:hideMark/>
          </w:tcPr>
          <w:p w14:paraId="37AE074C" w14:textId="341557A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34</w:t>
            </w:r>
            <w:r w:rsidR="00BF2258" w:rsidRPr="00BF2258">
              <w:rPr>
                <w:b/>
                <w:sz w:val="18"/>
              </w:rPr>
              <w:t xml:space="preserve"> </w:t>
            </w:r>
            <w:r w:rsidRPr="00BF2258">
              <w:rPr>
                <w:b/>
                <w:sz w:val="18"/>
              </w:rPr>
              <w:t xml:space="preserve">213 </w:t>
            </w:r>
          </w:p>
        </w:tc>
        <w:tc>
          <w:tcPr>
            <w:tcW w:w="589" w:type="pct"/>
            <w:tcBorders>
              <w:top w:val="nil"/>
              <w:bottom w:val="single" w:sz="4" w:space="0" w:color="auto"/>
            </w:tcBorders>
            <w:shd w:val="clear" w:color="auto" w:fill="auto"/>
            <w:noWrap/>
            <w:vAlign w:val="bottom"/>
            <w:hideMark/>
          </w:tcPr>
          <w:p w14:paraId="2A5ACD8C" w14:textId="164CD21F"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83</w:t>
            </w:r>
            <w:r w:rsidR="00BF2258" w:rsidRPr="00BF2258">
              <w:rPr>
                <w:b/>
                <w:sz w:val="18"/>
              </w:rPr>
              <w:t xml:space="preserve"> </w:t>
            </w:r>
            <w:r w:rsidRPr="00BF2258">
              <w:rPr>
                <w:b/>
                <w:sz w:val="18"/>
              </w:rPr>
              <w:t xml:space="preserve">517 </w:t>
            </w:r>
          </w:p>
        </w:tc>
        <w:tc>
          <w:tcPr>
            <w:tcW w:w="588" w:type="pct"/>
            <w:tcBorders>
              <w:top w:val="nil"/>
              <w:bottom w:val="single" w:sz="4" w:space="0" w:color="auto"/>
            </w:tcBorders>
            <w:shd w:val="clear" w:color="auto" w:fill="auto"/>
            <w:noWrap/>
            <w:vAlign w:val="bottom"/>
            <w:hideMark/>
          </w:tcPr>
          <w:p w14:paraId="788C2CA7" w14:textId="6CDDC77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75</w:t>
            </w:r>
            <w:r w:rsidR="00BF2258" w:rsidRPr="00BF2258">
              <w:rPr>
                <w:b/>
                <w:sz w:val="18"/>
              </w:rPr>
              <w:t xml:space="preserve"> </w:t>
            </w:r>
            <w:r w:rsidRPr="00BF2258">
              <w:rPr>
                <w:b/>
                <w:sz w:val="18"/>
              </w:rPr>
              <w:t xml:space="preserve">119 </w:t>
            </w:r>
          </w:p>
        </w:tc>
        <w:tc>
          <w:tcPr>
            <w:tcW w:w="512" w:type="pct"/>
            <w:tcBorders>
              <w:top w:val="nil"/>
              <w:bottom w:val="single" w:sz="4" w:space="0" w:color="auto"/>
            </w:tcBorders>
            <w:shd w:val="clear" w:color="auto" w:fill="auto"/>
            <w:noWrap/>
            <w:vAlign w:val="bottom"/>
            <w:hideMark/>
          </w:tcPr>
          <w:p w14:paraId="3499F6BC" w14:textId="0F978556"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49</w:t>
            </w:r>
            <w:r w:rsidR="00BF2258" w:rsidRPr="00BF2258">
              <w:rPr>
                <w:b/>
                <w:sz w:val="18"/>
              </w:rPr>
              <w:t xml:space="preserve"> </w:t>
            </w:r>
            <w:r w:rsidRPr="00BF2258">
              <w:rPr>
                <w:b/>
                <w:sz w:val="18"/>
              </w:rPr>
              <w:t xml:space="preserve">396 </w:t>
            </w:r>
          </w:p>
        </w:tc>
      </w:tr>
      <w:tr w:rsidR="00BF2258" w:rsidRPr="00DA21FF" w14:paraId="2420A459" w14:textId="77777777" w:rsidTr="00E95817">
        <w:trPr>
          <w:trHeight w:val="240"/>
        </w:trPr>
        <w:tc>
          <w:tcPr>
            <w:tcW w:w="1399" w:type="pct"/>
            <w:vMerge/>
            <w:shd w:val="clear" w:color="auto" w:fill="auto"/>
            <w:hideMark/>
          </w:tcPr>
          <w:p w14:paraId="0DB44E8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59362AFF"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0E1C662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91 %</w:t>
            </w:r>
          </w:p>
        </w:tc>
        <w:tc>
          <w:tcPr>
            <w:tcW w:w="588" w:type="pct"/>
            <w:tcBorders>
              <w:top w:val="single" w:sz="4" w:space="0" w:color="auto"/>
            </w:tcBorders>
            <w:shd w:val="clear" w:color="auto" w:fill="auto"/>
            <w:noWrap/>
            <w:vAlign w:val="bottom"/>
            <w:hideMark/>
          </w:tcPr>
          <w:p w14:paraId="7288E1F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92 %</w:t>
            </w:r>
          </w:p>
        </w:tc>
        <w:tc>
          <w:tcPr>
            <w:tcW w:w="589" w:type="pct"/>
            <w:tcBorders>
              <w:top w:val="single" w:sz="4" w:space="0" w:color="auto"/>
            </w:tcBorders>
            <w:shd w:val="clear" w:color="auto" w:fill="auto"/>
            <w:noWrap/>
            <w:vAlign w:val="bottom"/>
            <w:hideMark/>
          </w:tcPr>
          <w:p w14:paraId="085229E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91 %</w:t>
            </w:r>
          </w:p>
        </w:tc>
        <w:tc>
          <w:tcPr>
            <w:tcW w:w="588" w:type="pct"/>
            <w:tcBorders>
              <w:top w:val="single" w:sz="4" w:space="0" w:color="auto"/>
            </w:tcBorders>
            <w:shd w:val="clear" w:color="auto" w:fill="auto"/>
            <w:noWrap/>
            <w:vAlign w:val="bottom"/>
            <w:hideMark/>
          </w:tcPr>
          <w:p w14:paraId="531E8D4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91 %</w:t>
            </w:r>
          </w:p>
        </w:tc>
        <w:tc>
          <w:tcPr>
            <w:tcW w:w="512" w:type="pct"/>
            <w:tcBorders>
              <w:top w:val="single" w:sz="4" w:space="0" w:color="auto"/>
            </w:tcBorders>
            <w:shd w:val="clear" w:color="auto" w:fill="auto"/>
            <w:noWrap/>
            <w:vAlign w:val="bottom"/>
            <w:hideMark/>
          </w:tcPr>
          <w:p w14:paraId="561FFC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91 %</w:t>
            </w:r>
          </w:p>
        </w:tc>
      </w:tr>
      <w:tr w:rsidR="00BF2258" w:rsidRPr="00DA21FF" w14:paraId="414FA842" w14:textId="77777777" w:rsidTr="00E95817">
        <w:trPr>
          <w:trHeight w:val="240"/>
        </w:trPr>
        <w:tc>
          <w:tcPr>
            <w:tcW w:w="1399" w:type="pct"/>
            <w:vMerge/>
            <w:shd w:val="clear" w:color="auto" w:fill="auto"/>
            <w:hideMark/>
          </w:tcPr>
          <w:p w14:paraId="134D9EC9"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23D13E31"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2D4BA7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9 %</w:t>
            </w:r>
          </w:p>
        </w:tc>
        <w:tc>
          <w:tcPr>
            <w:tcW w:w="588" w:type="pct"/>
            <w:tcBorders>
              <w:bottom w:val="single" w:sz="4" w:space="0" w:color="auto"/>
            </w:tcBorders>
            <w:shd w:val="clear" w:color="auto" w:fill="auto"/>
            <w:noWrap/>
            <w:vAlign w:val="bottom"/>
            <w:hideMark/>
          </w:tcPr>
          <w:p w14:paraId="4A781B4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8 %</w:t>
            </w:r>
          </w:p>
        </w:tc>
        <w:tc>
          <w:tcPr>
            <w:tcW w:w="589" w:type="pct"/>
            <w:tcBorders>
              <w:bottom w:val="single" w:sz="4" w:space="0" w:color="auto"/>
            </w:tcBorders>
            <w:shd w:val="clear" w:color="auto" w:fill="auto"/>
            <w:noWrap/>
            <w:vAlign w:val="bottom"/>
            <w:hideMark/>
          </w:tcPr>
          <w:p w14:paraId="7CBB5D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9 %</w:t>
            </w:r>
          </w:p>
        </w:tc>
        <w:tc>
          <w:tcPr>
            <w:tcW w:w="588" w:type="pct"/>
            <w:tcBorders>
              <w:bottom w:val="single" w:sz="4" w:space="0" w:color="auto"/>
            </w:tcBorders>
            <w:shd w:val="clear" w:color="auto" w:fill="auto"/>
            <w:noWrap/>
            <w:vAlign w:val="bottom"/>
            <w:hideMark/>
          </w:tcPr>
          <w:p w14:paraId="3AFE776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9 %</w:t>
            </w:r>
          </w:p>
        </w:tc>
        <w:tc>
          <w:tcPr>
            <w:tcW w:w="512" w:type="pct"/>
            <w:tcBorders>
              <w:bottom w:val="single" w:sz="4" w:space="0" w:color="auto"/>
            </w:tcBorders>
            <w:shd w:val="clear" w:color="auto" w:fill="auto"/>
            <w:noWrap/>
            <w:vAlign w:val="bottom"/>
            <w:hideMark/>
          </w:tcPr>
          <w:p w14:paraId="4F38638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9 %</w:t>
            </w:r>
          </w:p>
        </w:tc>
      </w:tr>
      <w:tr w:rsidR="00BF2258" w:rsidRPr="00DA21FF" w14:paraId="4FAF51B3" w14:textId="77777777" w:rsidTr="00E95817">
        <w:trPr>
          <w:trHeight w:val="240"/>
        </w:trPr>
        <w:tc>
          <w:tcPr>
            <w:tcW w:w="1399" w:type="pct"/>
            <w:vMerge w:val="restart"/>
            <w:shd w:val="clear" w:color="auto" w:fill="auto"/>
            <w:hideMark/>
          </w:tcPr>
          <w:p w14:paraId="27F6C0DF" w14:textId="6AD1422C" w:rsidR="00DA21FF" w:rsidRPr="00DA21FF" w:rsidRDefault="00DA21FF" w:rsidP="000E2249">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45 a 47 Comercio al por mayor y</w:t>
            </w:r>
            <w:r w:rsidR="000E2249">
              <w:rPr>
                <w:sz w:val="18"/>
              </w:rPr>
              <w:t> </w:t>
            </w:r>
            <w:r w:rsidRPr="00DA21FF">
              <w:rPr>
                <w:sz w:val="18"/>
              </w:rPr>
              <w:t>al</w:t>
            </w:r>
            <w:r w:rsidR="000E2249">
              <w:rPr>
                <w:sz w:val="18"/>
              </w:rPr>
              <w:t> </w:t>
            </w:r>
            <w:r w:rsidRPr="00DA21FF">
              <w:rPr>
                <w:sz w:val="18"/>
              </w:rPr>
              <w:t>por menor y reparación de vehículos automotores y motocicletas</w:t>
            </w:r>
          </w:p>
        </w:tc>
        <w:tc>
          <w:tcPr>
            <w:tcW w:w="736" w:type="pct"/>
            <w:tcBorders>
              <w:top w:val="single" w:sz="4" w:space="0" w:color="auto"/>
              <w:bottom w:val="single" w:sz="4" w:space="0" w:color="auto"/>
            </w:tcBorders>
            <w:shd w:val="clear" w:color="auto" w:fill="auto"/>
            <w:noWrap/>
            <w:vAlign w:val="bottom"/>
            <w:hideMark/>
          </w:tcPr>
          <w:p w14:paraId="4051FD22"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468DE31" w14:textId="146D8034"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354</w:t>
            </w:r>
            <w:r w:rsidR="00BF2258" w:rsidRPr="00BF2258">
              <w:rPr>
                <w:b/>
                <w:sz w:val="18"/>
              </w:rPr>
              <w:t xml:space="preserve"> </w:t>
            </w:r>
            <w:r w:rsidRPr="00BF2258">
              <w:rPr>
                <w:b/>
                <w:sz w:val="18"/>
              </w:rPr>
              <w:t xml:space="preserve">419 </w:t>
            </w:r>
          </w:p>
        </w:tc>
        <w:tc>
          <w:tcPr>
            <w:tcW w:w="588" w:type="pct"/>
            <w:tcBorders>
              <w:top w:val="single" w:sz="4" w:space="0" w:color="auto"/>
              <w:bottom w:val="single" w:sz="4" w:space="0" w:color="auto"/>
            </w:tcBorders>
            <w:shd w:val="clear" w:color="auto" w:fill="auto"/>
            <w:noWrap/>
            <w:vAlign w:val="bottom"/>
            <w:hideMark/>
          </w:tcPr>
          <w:p w14:paraId="6620B34C" w14:textId="5CD7180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88</w:t>
            </w:r>
            <w:r w:rsidR="00BF2258" w:rsidRPr="00BF2258">
              <w:rPr>
                <w:b/>
                <w:sz w:val="18"/>
              </w:rPr>
              <w:t xml:space="preserve"> </w:t>
            </w:r>
            <w:r w:rsidRPr="00BF2258">
              <w:rPr>
                <w:b/>
                <w:sz w:val="18"/>
              </w:rPr>
              <w:t xml:space="preserve">544 </w:t>
            </w:r>
          </w:p>
        </w:tc>
        <w:tc>
          <w:tcPr>
            <w:tcW w:w="589" w:type="pct"/>
            <w:tcBorders>
              <w:top w:val="single" w:sz="4" w:space="0" w:color="auto"/>
              <w:bottom w:val="single" w:sz="4" w:space="0" w:color="auto"/>
            </w:tcBorders>
            <w:shd w:val="clear" w:color="auto" w:fill="auto"/>
            <w:noWrap/>
            <w:vAlign w:val="bottom"/>
            <w:hideMark/>
          </w:tcPr>
          <w:p w14:paraId="0F8B5EFA" w14:textId="271FE36B"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107</w:t>
            </w:r>
            <w:r w:rsidR="00BF2258" w:rsidRPr="00BF2258">
              <w:rPr>
                <w:b/>
                <w:sz w:val="18"/>
              </w:rPr>
              <w:t xml:space="preserve"> </w:t>
            </w:r>
            <w:r w:rsidRPr="00BF2258">
              <w:rPr>
                <w:b/>
                <w:sz w:val="18"/>
              </w:rPr>
              <w:t xml:space="preserve">645 </w:t>
            </w:r>
          </w:p>
        </w:tc>
        <w:tc>
          <w:tcPr>
            <w:tcW w:w="588" w:type="pct"/>
            <w:tcBorders>
              <w:top w:val="single" w:sz="4" w:space="0" w:color="auto"/>
              <w:bottom w:val="single" w:sz="4" w:space="0" w:color="auto"/>
            </w:tcBorders>
            <w:shd w:val="clear" w:color="auto" w:fill="auto"/>
            <w:noWrap/>
            <w:vAlign w:val="bottom"/>
            <w:hideMark/>
          </w:tcPr>
          <w:p w14:paraId="70C753AA" w14:textId="5D28D46B"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95</w:t>
            </w:r>
            <w:r w:rsidR="00BF2258" w:rsidRPr="00BF2258">
              <w:rPr>
                <w:b/>
                <w:sz w:val="18"/>
              </w:rPr>
              <w:t xml:space="preserve"> </w:t>
            </w:r>
            <w:r w:rsidRPr="00BF2258">
              <w:rPr>
                <w:b/>
                <w:sz w:val="18"/>
              </w:rPr>
              <w:t xml:space="preserve">547 </w:t>
            </w:r>
          </w:p>
        </w:tc>
        <w:tc>
          <w:tcPr>
            <w:tcW w:w="512" w:type="pct"/>
            <w:tcBorders>
              <w:top w:val="single" w:sz="4" w:space="0" w:color="auto"/>
              <w:bottom w:val="single" w:sz="4" w:space="0" w:color="auto"/>
            </w:tcBorders>
            <w:shd w:val="clear" w:color="auto" w:fill="auto"/>
            <w:noWrap/>
            <w:vAlign w:val="bottom"/>
            <w:hideMark/>
          </w:tcPr>
          <w:p w14:paraId="29E19F77" w14:textId="35A4B03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62</w:t>
            </w:r>
            <w:r w:rsidR="00BF2258" w:rsidRPr="00BF2258">
              <w:rPr>
                <w:b/>
                <w:sz w:val="18"/>
              </w:rPr>
              <w:t xml:space="preserve"> </w:t>
            </w:r>
            <w:r w:rsidRPr="00BF2258">
              <w:rPr>
                <w:b/>
                <w:sz w:val="18"/>
              </w:rPr>
              <w:t xml:space="preserve">683 </w:t>
            </w:r>
          </w:p>
        </w:tc>
      </w:tr>
      <w:tr w:rsidR="00BF2258" w:rsidRPr="00DA21FF" w14:paraId="4D1EE915" w14:textId="77777777" w:rsidTr="00E95817">
        <w:trPr>
          <w:trHeight w:val="240"/>
        </w:trPr>
        <w:tc>
          <w:tcPr>
            <w:tcW w:w="1399" w:type="pct"/>
            <w:vMerge/>
            <w:shd w:val="clear" w:color="auto" w:fill="auto"/>
            <w:hideMark/>
          </w:tcPr>
          <w:p w14:paraId="13DE261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4C67B63D"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41C72E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55 %</w:t>
            </w:r>
          </w:p>
        </w:tc>
        <w:tc>
          <w:tcPr>
            <w:tcW w:w="588" w:type="pct"/>
            <w:tcBorders>
              <w:top w:val="single" w:sz="4" w:space="0" w:color="auto"/>
            </w:tcBorders>
            <w:shd w:val="clear" w:color="auto" w:fill="auto"/>
            <w:noWrap/>
            <w:vAlign w:val="bottom"/>
            <w:hideMark/>
          </w:tcPr>
          <w:p w14:paraId="114A3DF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c>
          <w:tcPr>
            <w:tcW w:w="589" w:type="pct"/>
            <w:tcBorders>
              <w:top w:val="single" w:sz="4" w:space="0" w:color="auto"/>
            </w:tcBorders>
            <w:shd w:val="clear" w:color="auto" w:fill="auto"/>
            <w:noWrap/>
            <w:vAlign w:val="bottom"/>
            <w:hideMark/>
          </w:tcPr>
          <w:p w14:paraId="6838E01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c>
          <w:tcPr>
            <w:tcW w:w="588" w:type="pct"/>
            <w:tcBorders>
              <w:top w:val="single" w:sz="4" w:space="0" w:color="auto"/>
            </w:tcBorders>
            <w:shd w:val="clear" w:color="auto" w:fill="auto"/>
            <w:noWrap/>
            <w:vAlign w:val="bottom"/>
            <w:hideMark/>
          </w:tcPr>
          <w:p w14:paraId="68F9894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c>
          <w:tcPr>
            <w:tcW w:w="512" w:type="pct"/>
            <w:tcBorders>
              <w:top w:val="single" w:sz="4" w:space="0" w:color="auto"/>
            </w:tcBorders>
            <w:shd w:val="clear" w:color="auto" w:fill="auto"/>
            <w:noWrap/>
            <w:vAlign w:val="bottom"/>
            <w:hideMark/>
          </w:tcPr>
          <w:p w14:paraId="4814481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60 %</w:t>
            </w:r>
          </w:p>
        </w:tc>
      </w:tr>
      <w:tr w:rsidR="00BF2258" w:rsidRPr="00DA21FF" w14:paraId="09B93C5B" w14:textId="77777777" w:rsidTr="00E95817">
        <w:trPr>
          <w:trHeight w:val="240"/>
        </w:trPr>
        <w:tc>
          <w:tcPr>
            <w:tcW w:w="1399" w:type="pct"/>
            <w:vMerge/>
            <w:shd w:val="clear" w:color="auto" w:fill="auto"/>
            <w:hideMark/>
          </w:tcPr>
          <w:p w14:paraId="35E0AA1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06E9F792"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58CB4CE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45 %</w:t>
            </w:r>
          </w:p>
        </w:tc>
        <w:tc>
          <w:tcPr>
            <w:tcW w:w="588" w:type="pct"/>
            <w:tcBorders>
              <w:bottom w:val="single" w:sz="4" w:space="0" w:color="auto"/>
            </w:tcBorders>
            <w:shd w:val="clear" w:color="auto" w:fill="auto"/>
            <w:noWrap/>
            <w:vAlign w:val="bottom"/>
            <w:hideMark/>
          </w:tcPr>
          <w:p w14:paraId="0A51B12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c>
          <w:tcPr>
            <w:tcW w:w="589" w:type="pct"/>
            <w:tcBorders>
              <w:bottom w:val="single" w:sz="4" w:space="0" w:color="auto"/>
            </w:tcBorders>
            <w:shd w:val="clear" w:color="auto" w:fill="auto"/>
            <w:noWrap/>
            <w:vAlign w:val="bottom"/>
            <w:hideMark/>
          </w:tcPr>
          <w:p w14:paraId="7B05F55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c>
          <w:tcPr>
            <w:tcW w:w="588" w:type="pct"/>
            <w:tcBorders>
              <w:bottom w:val="single" w:sz="4" w:space="0" w:color="auto"/>
            </w:tcBorders>
            <w:shd w:val="clear" w:color="auto" w:fill="auto"/>
            <w:noWrap/>
            <w:vAlign w:val="bottom"/>
            <w:hideMark/>
          </w:tcPr>
          <w:p w14:paraId="2EA1F21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c>
          <w:tcPr>
            <w:tcW w:w="512" w:type="pct"/>
            <w:tcBorders>
              <w:bottom w:val="single" w:sz="4" w:space="0" w:color="auto"/>
            </w:tcBorders>
            <w:shd w:val="clear" w:color="auto" w:fill="auto"/>
            <w:noWrap/>
            <w:vAlign w:val="bottom"/>
            <w:hideMark/>
          </w:tcPr>
          <w:p w14:paraId="15D0E3A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40 %</w:t>
            </w:r>
          </w:p>
        </w:tc>
      </w:tr>
      <w:tr w:rsidR="00BF2258" w:rsidRPr="00DA21FF" w14:paraId="4CF506EE" w14:textId="77777777" w:rsidTr="00E95817">
        <w:trPr>
          <w:trHeight w:val="240"/>
        </w:trPr>
        <w:tc>
          <w:tcPr>
            <w:tcW w:w="1399" w:type="pct"/>
            <w:vMerge w:val="restart"/>
            <w:shd w:val="clear" w:color="auto" w:fill="auto"/>
            <w:hideMark/>
          </w:tcPr>
          <w:p w14:paraId="224D309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49 a 53 Transporte y almacenamiento</w:t>
            </w:r>
          </w:p>
        </w:tc>
        <w:tc>
          <w:tcPr>
            <w:tcW w:w="736" w:type="pct"/>
            <w:tcBorders>
              <w:top w:val="single" w:sz="4" w:space="0" w:color="auto"/>
              <w:bottom w:val="single" w:sz="4" w:space="0" w:color="auto"/>
            </w:tcBorders>
            <w:shd w:val="clear" w:color="auto" w:fill="auto"/>
            <w:noWrap/>
            <w:vAlign w:val="bottom"/>
            <w:hideMark/>
          </w:tcPr>
          <w:p w14:paraId="064F1B22"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3D092E3" w14:textId="75475604"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134</w:t>
            </w:r>
            <w:r w:rsidR="00BF2258" w:rsidRPr="00BF2258">
              <w:rPr>
                <w:b/>
                <w:sz w:val="18"/>
              </w:rPr>
              <w:t xml:space="preserve"> </w:t>
            </w:r>
            <w:r w:rsidRPr="00BF2258">
              <w:rPr>
                <w:b/>
                <w:sz w:val="18"/>
              </w:rPr>
              <w:t xml:space="preserve">106 </w:t>
            </w:r>
          </w:p>
        </w:tc>
        <w:tc>
          <w:tcPr>
            <w:tcW w:w="588" w:type="pct"/>
            <w:tcBorders>
              <w:top w:val="single" w:sz="4" w:space="0" w:color="auto"/>
              <w:bottom w:val="single" w:sz="4" w:space="0" w:color="auto"/>
            </w:tcBorders>
            <w:shd w:val="clear" w:color="auto" w:fill="auto"/>
            <w:noWrap/>
            <w:vAlign w:val="bottom"/>
            <w:hideMark/>
          </w:tcPr>
          <w:p w14:paraId="139FD666" w14:textId="5DAED56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11</w:t>
            </w:r>
            <w:r w:rsidR="00BF2258" w:rsidRPr="00BF2258">
              <w:rPr>
                <w:b/>
                <w:sz w:val="18"/>
              </w:rPr>
              <w:t xml:space="preserve"> </w:t>
            </w:r>
            <w:r w:rsidRPr="00BF2258">
              <w:rPr>
                <w:b/>
                <w:sz w:val="18"/>
              </w:rPr>
              <w:t xml:space="preserve">638 </w:t>
            </w:r>
          </w:p>
        </w:tc>
        <w:tc>
          <w:tcPr>
            <w:tcW w:w="589" w:type="pct"/>
            <w:tcBorders>
              <w:top w:val="single" w:sz="4" w:space="0" w:color="auto"/>
              <w:bottom w:val="single" w:sz="4" w:space="0" w:color="auto"/>
            </w:tcBorders>
            <w:shd w:val="clear" w:color="auto" w:fill="auto"/>
            <w:noWrap/>
            <w:vAlign w:val="bottom"/>
            <w:hideMark/>
          </w:tcPr>
          <w:p w14:paraId="75F0C8EA" w14:textId="1434C2AB"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39</w:t>
            </w:r>
            <w:r w:rsidR="00BF2258" w:rsidRPr="00BF2258">
              <w:rPr>
                <w:b/>
                <w:sz w:val="18"/>
              </w:rPr>
              <w:t xml:space="preserve"> </w:t>
            </w:r>
            <w:r w:rsidRPr="00BF2258">
              <w:rPr>
                <w:b/>
                <w:sz w:val="18"/>
              </w:rPr>
              <w:t xml:space="preserve">120 </w:t>
            </w:r>
          </w:p>
        </w:tc>
        <w:tc>
          <w:tcPr>
            <w:tcW w:w="588" w:type="pct"/>
            <w:tcBorders>
              <w:top w:val="single" w:sz="4" w:space="0" w:color="auto"/>
              <w:bottom w:val="single" w:sz="4" w:space="0" w:color="auto"/>
            </w:tcBorders>
            <w:shd w:val="clear" w:color="auto" w:fill="auto"/>
            <w:noWrap/>
            <w:vAlign w:val="bottom"/>
            <w:hideMark/>
          </w:tcPr>
          <w:p w14:paraId="3158AC40" w14:textId="3A07B5B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42</w:t>
            </w:r>
            <w:r w:rsidR="00BF2258" w:rsidRPr="00BF2258">
              <w:rPr>
                <w:b/>
                <w:sz w:val="18"/>
              </w:rPr>
              <w:t xml:space="preserve"> </w:t>
            </w:r>
            <w:r w:rsidRPr="00BF2258">
              <w:rPr>
                <w:b/>
                <w:sz w:val="18"/>
              </w:rPr>
              <w:t xml:space="preserve">622 </w:t>
            </w:r>
          </w:p>
        </w:tc>
        <w:tc>
          <w:tcPr>
            <w:tcW w:w="512" w:type="pct"/>
            <w:tcBorders>
              <w:top w:val="single" w:sz="4" w:space="0" w:color="auto"/>
              <w:bottom w:val="single" w:sz="4" w:space="0" w:color="auto"/>
            </w:tcBorders>
            <w:shd w:val="clear" w:color="auto" w:fill="auto"/>
            <w:noWrap/>
            <w:vAlign w:val="bottom"/>
            <w:hideMark/>
          </w:tcPr>
          <w:p w14:paraId="31D4D4D0" w14:textId="4C0F6DB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40</w:t>
            </w:r>
            <w:r w:rsidR="00BF2258" w:rsidRPr="00BF2258">
              <w:rPr>
                <w:b/>
                <w:sz w:val="18"/>
              </w:rPr>
              <w:t xml:space="preserve"> </w:t>
            </w:r>
            <w:r w:rsidRPr="00BF2258">
              <w:rPr>
                <w:b/>
                <w:sz w:val="18"/>
              </w:rPr>
              <w:t xml:space="preserve">726 </w:t>
            </w:r>
          </w:p>
        </w:tc>
      </w:tr>
      <w:tr w:rsidR="00BF2258" w:rsidRPr="00DA21FF" w14:paraId="37D71E72" w14:textId="77777777" w:rsidTr="00E95817">
        <w:trPr>
          <w:trHeight w:val="240"/>
        </w:trPr>
        <w:tc>
          <w:tcPr>
            <w:tcW w:w="1399" w:type="pct"/>
            <w:vMerge/>
            <w:shd w:val="clear" w:color="auto" w:fill="auto"/>
            <w:hideMark/>
          </w:tcPr>
          <w:p w14:paraId="6F17AA5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79EF535A"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6D5D8BE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c>
          <w:tcPr>
            <w:tcW w:w="588" w:type="pct"/>
            <w:tcBorders>
              <w:top w:val="single" w:sz="4" w:space="0" w:color="auto"/>
            </w:tcBorders>
            <w:shd w:val="clear" w:color="auto" w:fill="auto"/>
            <w:noWrap/>
            <w:vAlign w:val="bottom"/>
            <w:hideMark/>
          </w:tcPr>
          <w:p w14:paraId="38CDA9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76 %</w:t>
            </w:r>
          </w:p>
        </w:tc>
        <w:tc>
          <w:tcPr>
            <w:tcW w:w="589" w:type="pct"/>
            <w:tcBorders>
              <w:top w:val="single" w:sz="4" w:space="0" w:color="auto"/>
            </w:tcBorders>
            <w:shd w:val="clear" w:color="auto" w:fill="auto"/>
            <w:noWrap/>
            <w:vAlign w:val="bottom"/>
            <w:hideMark/>
          </w:tcPr>
          <w:p w14:paraId="44F38D6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79 %</w:t>
            </w:r>
          </w:p>
        </w:tc>
        <w:tc>
          <w:tcPr>
            <w:tcW w:w="588" w:type="pct"/>
            <w:tcBorders>
              <w:top w:val="single" w:sz="4" w:space="0" w:color="auto"/>
            </w:tcBorders>
            <w:shd w:val="clear" w:color="auto" w:fill="auto"/>
            <w:noWrap/>
            <w:vAlign w:val="bottom"/>
            <w:hideMark/>
          </w:tcPr>
          <w:p w14:paraId="4E8427F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c>
          <w:tcPr>
            <w:tcW w:w="512" w:type="pct"/>
            <w:tcBorders>
              <w:top w:val="single" w:sz="4" w:space="0" w:color="auto"/>
            </w:tcBorders>
            <w:shd w:val="clear" w:color="auto" w:fill="auto"/>
            <w:noWrap/>
            <w:vAlign w:val="bottom"/>
            <w:hideMark/>
          </w:tcPr>
          <w:p w14:paraId="3EFE2B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84 %</w:t>
            </w:r>
          </w:p>
        </w:tc>
      </w:tr>
      <w:tr w:rsidR="00BF2258" w:rsidRPr="00DA21FF" w14:paraId="5FC040E0" w14:textId="77777777" w:rsidTr="00E95817">
        <w:trPr>
          <w:trHeight w:val="240"/>
        </w:trPr>
        <w:tc>
          <w:tcPr>
            <w:tcW w:w="1399" w:type="pct"/>
            <w:vMerge/>
            <w:shd w:val="clear" w:color="auto" w:fill="auto"/>
            <w:hideMark/>
          </w:tcPr>
          <w:p w14:paraId="52B7D28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711574F0"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5F3415D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c>
          <w:tcPr>
            <w:tcW w:w="588" w:type="pct"/>
            <w:tcBorders>
              <w:bottom w:val="single" w:sz="4" w:space="0" w:color="auto"/>
            </w:tcBorders>
            <w:shd w:val="clear" w:color="auto" w:fill="auto"/>
            <w:noWrap/>
            <w:vAlign w:val="bottom"/>
            <w:hideMark/>
          </w:tcPr>
          <w:p w14:paraId="6C36E6A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24 %</w:t>
            </w:r>
          </w:p>
        </w:tc>
        <w:tc>
          <w:tcPr>
            <w:tcW w:w="589" w:type="pct"/>
            <w:tcBorders>
              <w:bottom w:val="single" w:sz="4" w:space="0" w:color="auto"/>
            </w:tcBorders>
            <w:shd w:val="clear" w:color="auto" w:fill="auto"/>
            <w:noWrap/>
            <w:vAlign w:val="bottom"/>
            <w:hideMark/>
          </w:tcPr>
          <w:p w14:paraId="113B265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21 %</w:t>
            </w:r>
          </w:p>
        </w:tc>
        <w:tc>
          <w:tcPr>
            <w:tcW w:w="588" w:type="pct"/>
            <w:tcBorders>
              <w:bottom w:val="single" w:sz="4" w:space="0" w:color="auto"/>
            </w:tcBorders>
            <w:shd w:val="clear" w:color="auto" w:fill="auto"/>
            <w:noWrap/>
            <w:vAlign w:val="bottom"/>
            <w:hideMark/>
          </w:tcPr>
          <w:p w14:paraId="253B1F7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c>
          <w:tcPr>
            <w:tcW w:w="512" w:type="pct"/>
            <w:tcBorders>
              <w:bottom w:val="single" w:sz="4" w:space="0" w:color="auto"/>
            </w:tcBorders>
            <w:shd w:val="clear" w:color="auto" w:fill="auto"/>
            <w:noWrap/>
            <w:vAlign w:val="bottom"/>
            <w:hideMark/>
          </w:tcPr>
          <w:p w14:paraId="6831F63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16 %</w:t>
            </w:r>
          </w:p>
        </w:tc>
      </w:tr>
      <w:tr w:rsidR="00BF2258" w:rsidRPr="00DA21FF" w14:paraId="44ADF084" w14:textId="77777777" w:rsidTr="00E95817">
        <w:trPr>
          <w:trHeight w:val="240"/>
        </w:trPr>
        <w:tc>
          <w:tcPr>
            <w:tcW w:w="1399" w:type="pct"/>
            <w:vMerge w:val="restart"/>
            <w:shd w:val="clear" w:color="auto" w:fill="auto"/>
            <w:hideMark/>
          </w:tcPr>
          <w:p w14:paraId="6D85AC7C" w14:textId="6F95FD8D"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55 a 56 Actividades de alojamiento y</w:t>
            </w:r>
            <w:r w:rsidR="000E2249">
              <w:rPr>
                <w:sz w:val="18"/>
              </w:rPr>
              <w:t> </w:t>
            </w:r>
            <w:r w:rsidRPr="00DA21FF">
              <w:rPr>
                <w:sz w:val="18"/>
              </w:rPr>
              <w:t>de servicio de comidas</w:t>
            </w:r>
          </w:p>
        </w:tc>
        <w:tc>
          <w:tcPr>
            <w:tcW w:w="736" w:type="pct"/>
            <w:tcBorders>
              <w:top w:val="single" w:sz="4" w:space="0" w:color="auto"/>
              <w:bottom w:val="single" w:sz="4" w:space="0" w:color="auto"/>
            </w:tcBorders>
            <w:shd w:val="clear" w:color="auto" w:fill="auto"/>
            <w:noWrap/>
            <w:vAlign w:val="bottom"/>
            <w:hideMark/>
          </w:tcPr>
          <w:p w14:paraId="3C370C74"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6E59E47" w14:textId="73A86FA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102</w:t>
            </w:r>
            <w:r w:rsidR="00BF2258" w:rsidRPr="00BF2258">
              <w:rPr>
                <w:b/>
                <w:sz w:val="18"/>
              </w:rPr>
              <w:t xml:space="preserve"> </w:t>
            </w:r>
            <w:r w:rsidRPr="00BF2258">
              <w:rPr>
                <w:b/>
                <w:sz w:val="18"/>
              </w:rPr>
              <w:t xml:space="preserve">602 </w:t>
            </w:r>
          </w:p>
        </w:tc>
        <w:tc>
          <w:tcPr>
            <w:tcW w:w="588" w:type="pct"/>
            <w:tcBorders>
              <w:top w:val="single" w:sz="4" w:space="0" w:color="auto"/>
              <w:bottom w:val="single" w:sz="4" w:space="0" w:color="auto"/>
            </w:tcBorders>
            <w:shd w:val="clear" w:color="auto" w:fill="auto"/>
            <w:noWrap/>
            <w:vAlign w:val="bottom"/>
            <w:hideMark/>
          </w:tcPr>
          <w:p w14:paraId="51F5BEFE" w14:textId="29989C6D"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35</w:t>
            </w:r>
            <w:r w:rsidR="00BF2258" w:rsidRPr="00BF2258">
              <w:rPr>
                <w:b/>
                <w:sz w:val="18"/>
              </w:rPr>
              <w:t xml:space="preserve"> </w:t>
            </w:r>
            <w:r w:rsidRPr="00BF2258">
              <w:rPr>
                <w:b/>
                <w:sz w:val="18"/>
              </w:rPr>
              <w:t xml:space="preserve">221 </w:t>
            </w:r>
          </w:p>
        </w:tc>
        <w:tc>
          <w:tcPr>
            <w:tcW w:w="589" w:type="pct"/>
            <w:tcBorders>
              <w:top w:val="single" w:sz="4" w:space="0" w:color="auto"/>
              <w:bottom w:val="single" w:sz="4" w:space="0" w:color="auto"/>
            </w:tcBorders>
            <w:shd w:val="clear" w:color="auto" w:fill="auto"/>
            <w:noWrap/>
            <w:vAlign w:val="bottom"/>
            <w:hideMark/>
          </w:tcPr>
          <w:p w14:paraId="5BACEEC3" w14:textId="00D2D352"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35</w:t>
            </w:r>
            <w:r w:rsidR="00BF2258" w:rsidRPr="00BF2258">
              <w:rPr>
                <w:b/>
                <w:sz w:val="18"/>
              </w:rPr>
              <w:t xml:space="preserve"> </w:t>
            </w:r>
            <w:r w:rsidRPr="00BF2258">
              <w:rPr>
                <w:b/>
                <w:sz w:val="18"/>
              </w:rPr>
              <w:t xml:space="preserve">240 </w:t>
            </w:r>
          </w:p>
        </w:tc>
        <w:tc>
          <w:tcPr>
            <w:tcW w:w="588" w:type="pct"/>
            <w:tcBorders>
              <w:top w:val="single" w:sz="4" w:space="0" w:color="auto"/>
              <w:bottom w:val="single" w:sz="4" w:space="0" w:color="auto"/>
            </w:tcBorders>
            <w:shd w:val="clear" w:color="auto" w:fill="auto"/>
            <w:noWrap/>
            <w:vAlign w:val="bottom"/>
            <w:hideMark/>
          </w:tcPr>
          <w:p w14:paraId="14509C8A" w14:textId="6285E52D"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22</w:t>
            </w:r>
            <w:r w:rsidR="00BF2258" w:rsidRPr="00BF2258">
              <w:rPr>
                <w:b/>
                <w:sz w:val="18"/>
              </w:rPr>
              <w:t xml:space="preserve"> </w:t>
            </w:r>
            <w:r w:rsidRPr="00BF2258">
              <w:rPr>
                <w:b/>
                <w:sz w:val="18"/>
              </w:rPr>
              <w:t xml:space="preserve">284 </w:t>
            </w:r>
          </w:p>
        </w:tc>
        <w:tc>
          <w:tcPr>
            <w:tcW w:w="512" w:type="pct"/>
            <w:tcBorders>
              <w:top w:val="single" w:sz="4" w:space="0" w:color="auto"/>
              <w:bottom w:val="single" w:sz="4" w:space="0" w:color="auto"/>
            </w:tcBorders>
            <w:shd w:val="clear" w:color="auto" w:fill="auto"/>
            <w:noWrap/>
            <w:vAlign w:val="bottom"/>
            <w:hideMark/>
          </w:tcPr>
          <w:p w14:paraId="73920A9C" w14:textId="69F5780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9</w:t>
            </w:r>
            <w:r w:rsidR="00BF2258" w:rsidRPr="00BF2258">
              <w:rPr>
                <w:b/>
                <w:sz w:val="18"/>
              </w:rPr>
              <w:t xml:space="preserve"> </w:t>
            </w:r>
            <w:r w:rsidRPr="00BF2258">
              <w:rPr>
                <w:b/>
                <w:sz w:val="18"/>
              </w:rPr>
              <w:t xml:space="preserve">857 </w:t>
            </w:r>
          </w:p>
        </w:tc>
      </w:tr>
      <w:tr w:rsidR="00BF2258" w:rsidRPr="00DA21FF" w14:paraId="56FF00AD" w14:textId="77777777" w:rsidTr="00E95817">
        <w:trPr>
          <w:trHeight w:val="240"/>
        </w:trPr>
        <w:tc>
          <w:tcPr>
            <w:tcW w:w="1399" w:type="pct"/>
            <w:vMerge/>
            <w:shd w:val="clear" w:color="auto" w:fill="auto"/>
            <w:hideMark/>
          </w:tcPr>
          <w:p w14:paraId="5FF0DCE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36569747"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32F65C1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c>
          <w:tcPr>
            <w:tcW w:w="588" w:type="pct"/>
            <w:tcBorders>
              <w:top w:val="single" w:sz="4" w:space="0" w:color="auto"/>
            </w:tcBorders>
            <w:shd w:val="clear" w:color="auto" w:fill="auto"/>
            <w:noWrap/>
            <w:vAlign w:val="bottom"/>
            <w:hideMark/>
          </w:tcPr>
          <w:p w14:paraId="30374A9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39 %</w:t>
            </w:r>
          </w:p>
        </w:tc>
        <w:tc>
          <w:tcPr>
            <w:tcW w:w="589" w:type="pct"/>
            <w:tcBorders>
              <w:top w:val="single" w:sz="4" w:space="0" w:color="auto"/>
            </w:tcBorders>
            <w:shd w:val="clear" w:color="auto" w:fill="auto"/>
            <w:noWrap/>
            <w:vAlign w:val="bottom"/>
            <w:hideMark/>
          </w:tcPr>
          <w:p w14:paraId="5434C50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49 %</w:t>
            </w:r>
          </w:p>
        </w:tc>
        <w:tc>
          <w:tcPr>
            <w:tcW w:w="588" w:type="pct"/>
            <w:tcBorders>
              <w:top w:val="single" w:sz="4" w:space="0" w:color="auto"/>
            </w:tcBorders>
            <w:shd w:val="clear" w:color="auto" w:fill="auto"/>
            <w:noWrap/>
            <w:vAlign w:val="bottom"/>
            <w:hideMark/>
          </w:tcPr>
          <w:p w14:paraId="0777F01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45 %</w:t>
            </w:r>
          </w:p>
        </w:tc>
        <w:tc>
          <w:tcPr>
            <w:tcW w:w="512" w:type="pct"/>
            <w:tcBorders>
              <w:top w:val="single" w:sz="4" w:space="0" w:color="auto"/>
            </w:tcBorders>
            <w:shd w:val="clear" w:color="auto" w:fill="auto"/>
            <w:noWrap/>
            <w:vAlign w:val="bottom"/>
            <w:hideMark/>
          </w:tcPr>
          <w:p w14:paraId="1F428BE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r>
      <w:tr w:rsidR="00BF2258" w:rsidRPr="00DA21FF" w14:paraId="734664EC" w14:textId="77777777" w:rsidTr="00E95817">
        <w:trPr>
          <w:trHeight w:val="240"/>
        </w:trPr>
        <w:tc>
          <w:tcPr>
            <w:tcW w:w="1399" w:type="pct"/>
            <w:vMerge/>
            <w:shd w:val="clear" w:color="auto" w:fill="auto"/>
            <w:hideMark/>
          </w:tcPr>
          <w:p w14:paraId="0FC9D72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4D508328"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24C47D0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c>
          <w:tcPr>
            <w:tcW w:w="588" w:type="pct"/>
            <w:tcBorders>
              <w:bottom w:val="single" w:sz="4" w:space="0" w:color="auto"/>
            </w:tcBorders>
            <w:shd w:val="clear" w:color="auto" w:fill="auto"/>
            <w:noWrap/>
            <w:vAlign w:val="bottom"/>
            <w:hideMark/>
          </w:tcPr>
          <w:p w14:paraId="20FC89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61 %</w:t>
            </w:r>
          </w:p>
        </w:tc>
        <w:tc>
          <w:tcPr>
            <w:tcW w:w="589" w:type="pct"/>
            <w:tcBorders>
              <w:bottom w:val="single" w:sz="4" w:space="0" w:color="auto"/>
            </w:tcBorders>
            <w:shd w:val="clear" w:color="auto" w:fill="auto"/>
            <w:noWrap/>
            <w:vAlign w:val="bottom"/>
            <w:hideMark/>
          </w:tcPr>
          <w:p w14:paraId="1339699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51 %</w:t>
            </w:r>
          </w:p>
        </w:tc>
        <w:tc>
          <w:tcPr>
            <w:tcW w:w="588" w:type="pct"/>
            <w:tcBorders>
              <w:bottom w:val="single" w:sz="4" w:space="0" w:color="auto"/>
            </w:tcBorders>
            <w:shd w:val="clear" w:color="auto" w:fill="auto"/>
            <w:noWrap/>
            <w:vAlign w:val="bottom"/>
            <w:hideMark/>
          </w:tcPr>
          <w:p w14:paraId="1C93A55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55 %</w:t>
            </w:r>
          </w:p>
        </w:tc>
        <w:tc>
          <w:tcPr>
            <w:tcW w:w="512" w:type="pct"/>
            <w:tcBorders>
              <w:bottom w:val="single" w:sz="4" w:space="0" w:color="auto"/>
            </w:tcBorders>
            <w:shd w:val="clear" w:color="auto" w:fill="auto"/>
            <w:noWrap/>
            <w:vAlign w:val="bottom"/>
            <w:hideMark/>
          </w:tcPr>
          <w:p w14:paraId="673B91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r>
      <w:tr w:rsidR="00BF2258" w:rsidRPr="00DA21FF" w14:paraId="63392A76" w14:textId="77777777" w:rsidTr="00E95817">
        <w:trPr>
          <w:trHeight w:val="240"/>
        </w:trPr>
        <w:tc>
          <w:tcPr>
            <w:tcW w:w="1399" w:type="pct"/>
            <w:vMerge w:val="restart"/>
            <w:shd w:val="clear" w:color="auto" w:fill="auto"/>
            <w:hideMark/>
          </w:tcPr>
          <w:p w14:paraId="6E9AB4A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58 a 63 Información y comunicaciones</w:t>
            </w:r>
          </w:p>
        </w:tc>
        <w:tc>
          <w:tcPr>
            <w:tcW w:w="736" w:type="pct"/>
            <w:tcBorders>
              <w:top w:val="single" w:sz="4" w:space="0" w:color="auto"/>
              <w:bottom w:val="single" w:sz="4" w:space="0" w:color="auto"/>
            </w:tcBorders>
            <w:shd w:val="clear" w:color="auto" w:fill="auto"/>
            <w:noWrap/>
            <w:vAlign w:val="bottom"/>
            <w:hideMark/>
          </w:tcPr>
          <w:p w14:paraId="40109147"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56A23652" w14:textId="54FA9CB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117</w:t>
            </w:r>
            <w:r w:rsidR="00BF2258" w:rsidRPr="00BF2258">
              <w:rPr>
                <w:b/>
                <w:sz w:val="18"/>
              </w:rPr>
              <w:t xml:space="preserve"> </w:t>
            </w:r>
            <w:r w:rsidRPr="00BF2258">
              <w:rPr>
                <w:b/>
                <w:sz w:val="18"/>
              </w:rPr>
              <w:t xml:space="preserve">171 </w:t>
            </w:r>
          </w:p>
        </w:tc>
        <w:tc>
          <w:tcPr>
            <w:tcW w:w="588" w:type="pct"/>
            <w:tcBorders>
              <w:top w:val="single" w:sz="4" w:space="0" w:color="auto"/>
              <w:bottom w:val="single" w:sz="4" w:space="0" w:color="auto"/>
            </w:tcBorders>
            <w:shd w:val="clear" w:color="auto" w:fill="auto"/>
            <w:noWrap/>
            <w:vAlign w:val="bottom"/>
            <w:hideMark/>
          </w:tcPr>
          <w:p w14:paraId="280AC65A" w14:textId="75E92C3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w:t>
            </w:r>
            <w:r w:rsidR="00BF2258" w:rsidRPr="00BF2258">
              <w:rPr>
                <w:b/>
                <w:sz w:val="18"/>
              </w:rPr>
              <w:t xml:space="preserve"> </w:t>
            </w:r>
            <w:r w:rsidRPr="00BF2258">
              <w:rPr>
                <w:b/>
                <w:sz w:val="18"/>
              </w:rPr>
              <w:t xml:space="preserve">759 </w:t>
            </w:r>
          </w:p>
        </w:tc>
        <w:tc>
          <w:tcPr>
            <w:tcW w:w="589" w:type="pct"/>
            <w:tcBorders>
              <w:top w:val="single" w:sz="4" w:space="0" w:color="auto"/>
              <w:bottom w:val="single" w:sz="4" w:space="0" w:color="auto"/>
            </w:tcBorders>
            <w:shd w:val="clear" w:color="auto" w:fill="auto"/>
            <w:noWrap/>
            <w:vAlign w:val="bottom"/>
            <w:hideMark/>
          </w:tcPr>
          <w:p w14:paraId="40682703" w14:textId="1AECF4CE"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52</w:t>
            </w:r>
            <w:r w:rsidR="00BF2258" w:rsidRPr="00BF2258">
              <w:rPr>
                <w:b/>
                <w:sz w:val="18"/>
              </w:rPr>
              <w:t xml:space="preserve"> </w:t>
            </w:r>
            <w:r w:rsidRPr="00BF2258">
              <w:rPr>
                <w:b/>
                <w:sz w:val="18"/>
              </w:rPr>
              <w:t xml:space="preserve">229 </w:t>
            </w:r>
          </w:p>
        </w:tc>
        <w:tc>
          <w:tcPr>
            <w:tcW w:w="588" w:type="pct"/>
            <w:tcBorders>
              <w:top w:val="single" w:sz="4" w:space="0" w:color="auto"/>
              <w:bottom w:val="single" w:sz="4" w:space="0" w:color="auto"/>
            </w:tcBorders>
            <w:shd w:val="clear" w:color="auto" w:fill="auto"/>
            <w:noWrap/>
            <w:vAlign w:val="bottom"/>
            <w:hideMark/>
          </w:tcPr>
          <w:p w14:paraId="76AD8065" w14:textId="146BEE5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40</w:t>
            </w:r>
            <w:r w:rsidR="00BF2258" w:rsidRPr="00BF2258">
              <w:rPr>
                <w:b/>
                <w:sz w:val="18"/>
              </w:rPr>
              <w:t xml:space="preserve"> </w:t>
            </w:r>
            <w:r w:rsidRPr="00BF2258">
              <w:rPr>
                <w:b/>
                <w:sz w:val="18"/>
              </w:rPr>
              <w:t xml:space="preserve">144 </w:t>
            </w:r>
          </w:p>
        </w:tc>
        <w:tc>
          <w:tcPr>
            <w:tcW w:w="512" w:type="pct"/>
            <w:tcBorders>
              <w:top w:val="single" w:sz="4" w:space="0" w:color="auto"/>
              <w:bottom w:val="single" w:sz="4" w:space="0" w:color="auto"/>
            </w:tcBorders>
            <w:shd w:val="clear" w:color="auto" w:fill="auto"/>
            <w:noWrap/>
            <w:vAlign w:val="bottom"/>
            <w:hideMark/>
          </w:tcPr>
          <w:p w14:paraId="79238884" w14:textId="18F26AD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w:t>
            </w:r>
            <w:r w:rsidR="00BF2258" w:rsidRPr="00BF2258">
              <w:rPr>
                <w:b/>
                <w:sz w:val="18"/>
              </w:rPr>
              <w:t xml:space="preserve"> </w:t>
            </w:r>
            <w:r w:rsidRPr="00BF2258">
              <w:rPr>
                <w:b/>
                <w:sz w:val="18"/>
              </w:rPr>
              <w:t xml:space="preserve">039 </w:t>
            </w:r>
          </w:p>
        </w:tc>
      </w:tr>
      <w:tr w:rsidR="00BF2258" w:rsidRPr="00DA21FF" w14:paraId="44F46971" w14:textId="77777777" w:rsidTr="00E95817">
        <w:trPr>
          <w:trHeight w:val="240"/>
        </w:trPr>
        <w:tc>
          <w:tcPr>
            <w:tcW w:w="1399" w:type="pct"/>
            <w:vMerge/>
            <w:shd w:val="clear" w:color="auto" w:fill="auto"/>
            <w:hideMark/>
          </w:tcPr>
          <w:p w14:paraId="231ECA1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6F3C5475"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788106D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70 %</w:t>
            </w:r>
          </w:p>
        </w:tc>
        <w:tc>
          <w:tcPr>
            <w:tcW w:w="588" w:type="pct"/>
            <w:tcBorders>
              <w:top w:val="single" w:sz="4" w:space="0" w:color="auto"/>
            </w:tcBorders>
            <w:shd w:val="clear" w:color="auto" w:fill="auto"/>
            <w:noWrap/>
            <w:vAlign w:val="bottom"/>
            <w:hideMark/>
          </w:tcPr>
          <w:p w14:paraId="08F1179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66 %</w:t>
            </w:r>
          </w:p>
        </w:tc>
        <w:tc>
          <w:tcPr>
            <w:tcW w:w="589" w:type="pct"/>
            <w:tcBorders>
              <w:top w:val="single" w:sz="4" w:space="0" w:color="auto"/>
            </w:tcBorders>
            <w:shd w:val="clear" w:color="auto" w:fill="auto"/>
            <w:noWrap/>
            <w:vAlign w:val="bottom"/>
            <w:hideMark/>
          </w:tcPr>
          <w:p w14:paraId="2422C47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67 %</w:t>
            </w:r>
          </w:p>
        </w:tc>
        <w:tc>
          <w:tcPr>
            <w:tcW w:w="588" w:type="pct"/>
            <w:tcBorders>
              <w:top w:val="single" w:sz="4" w:space="0" w:color="auto"/>
            </w:tcBorders>
            <w:shd w:val="clear" w:color="auto" w:fill="auto"/>
            <w:noWrap/>
            <w:vAlign w:val="bottom"/>
            <w:hideMark/>
          </w:tcPr>
          <w:p w14:paraId="64D7BD1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73 %</w:t>
            </w:r>
          </w:p>
        </w:tc>
        <w:tc>
          <w:tcPr>
            <w:tcW w:w="512" w:type="pct"/>
            <w:tcBorders>
              <w:top w:val="single" w:sz="4" w:space="0" w:color="auto"/>
            </w:tcBorders>
            <w:shd w:val="clear" w:color="auto" w:fill="auto"/>
            <w:noWrap/>
            <w:vAlign w:val="bottom"/>
            <w:hideMark/>
          </w:tcPr>
          <w:p w14:paraId="437D9C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73 %</w:t>
            </w:r>
          </w:p>
        </w:tc>
      </w:tr>
      <w:tr w:rsidR="00BF2258" w:rsidRPr="00DA21FF" w14:paraId="21FEBE00" w14:textId="77777777" w:rsidTr="00E95817">
        <w:trPr>
          <w:trHeight w:val="240"/>
        </w:trPr>
        <w:tc>
          <w:tcPr>
            <w:tcW w:w="1399" w:type="pct"/>
            <w:vMerge/>
            <w:shd w:val="clear" w:color="auto" w:fill="auto"/>
            <w:hideMark/>
          </w:tcPr>
          <w:p w14:paraId="6F7DE42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4BA66650"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49AFE31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30 %</w:t>
            </w:r>
          </w:p>
        </w:tc>
        <w:tc>
          <w:tcPr>
            <w:tcW w:w="588" w:type="pct"/>
            <w:tcBorders>
              <w:bottom w:val="single" w:sz="4" w:space="0" w:color="auto"/>
            </w:tcBorders>
            <w:shd w:val="clear" w:color="auto" w:fill="auto"/>
            <w:noWrap/>
            <w:vAlign w:val="bottom"/>
            <w:hideMark/>
          </w:tcPr>
          <w:p w14:paraId="7BA846B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34 %</w:t>
            </w:r>
          </w:p>
        </w:tc>
        <w:tc>
          <w:tcPr>
            <w:tcW w:w="589" w:type="pct"/>
            <w:tcBorders>
              <w:bottom w:val="single" w:sz="4" w:space="0" w:color="auto"/>
            </w:tcBorders>
            <w:shd w:val="clear" w:color="auto" w:fill="auto"/>
            <w:noWrap/>
            <w:vAlign w:val="bottom"/>
            <w:hideMark/>
          </w:tcPr>
          <w:p w14:paraId="01ACE3E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33 %</w:t>
            </w:r>
          </w:p>
        </w:tc>
        <w:tc>
          <w:tcPr>
            <w:tcW w:w="588" w:type="pct"/>
            <w:tcBorders>
              <w:bottom w:val="single" w:sz="4" w:space="0" w:color="auto"/>
            </w:tcBorders>
            <w:shd w:val="clear" w:color="auto" w:fill="auto"/>
            <w:noWrap/>
            <w:vAlign w:val="bottom"/>
            <w:hideMark/>
          </w:tcPr>
          <w:p w14:paraId="60AEA75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27 %</w:t>
            </w:r>
          </w:p>
        </w:tc>
        <w:tc>
          <w:tcPr>
            <w:tcW w:w="512" w:type="pct"/>
            <w:tcBorders>
              <w:bottom w:val="single" w:sz="4" w:space="0" w:color="auto"/>
            </w:tcBorders>
            <w:shd w:val="clear" w:color="auto" w:fill="auto"/>
            <w:noWrap/>
            <w:vAlign w:val="bottom"/>
            <w:hideMark/>
          </w:tcPr>
          <w:p w14:paraId="2755CF4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27 %</w:t>
            </w:r>
          </w:p>
        </w:tc>
      </w:tr>
      <w:tr w:rsidR="00BF2258" w:rsidRPr="00DA21FF" w14:paraId="02809581" w14:textId="77777777" w:rsidTr="00E95817">
        <w:trPr>
          <w:trHeight w:val="240"/>
        </w:trPr>
        <w:tc>
          <w:tcPr>
            <w:tcW w:w="1399" w:type="pct"/>
            <w:vMerge w:val="restart"/>
            <w:shd w:val="clear" w:color="auto" w:fill="auto"/>
            <w:hideMark/>
          </w:tcPr>
          <w:p w14:paraId="44CBD799" w14:textId="63C05DE5"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64 a 66 Actividades financieras y</w:t>
            </w:r>
            <w:r w:rsidR="000E2249">
              <w:rPr>
                <w:sz w:val="18"/>
              </w:rPr>
              <w:t> </w:t>
            </w:r>
            <w:r w:rsidRPr="00DA21FF">
              <w:rPr>
                <w:sz w:val="18"/>
              </w:rPr>
              <w:t>de</w:t>
            </w:r>
            <w:r w:rsidR="000E2249">
              <w:rPr>
                <w:sz w:val="18"/>
              </w:rPr>
              <w:t> </w:t>
            </w:r>
            <w:r w:rsidRPr="00DA21FF">
              <w:rPr>
                <w:sz w:val="18"/>
              </w:rPr>
              <w:t>seguros</w:t>
            </w:r>
          </w:p>
        </w:tc>
        <w:tc>
          <w:tcPr>
            <w:tcW w:w="736" w:type="pct"/>
            <w:tcBorders>
              <w:top w:val="single" w:sz="4" w:space="0" w:color="auto"/>
              <w:bottom w:val="single" w:sz="4" w:space="0" w:color="auto"/>
            </w:tcBorders>
            <w:shd w:val="clear" w:color="auto" w:fill="auto"/>
            <w:noWrap/>
            <w:vAlign w:val="bottom"/>
            <w:hideMark/>
          </w:tcPr>
          <w:p w14:paraId="5B1ADB00"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305087B6" w14:textId="27C8681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51</w:t>
            </w:r>
            <w:r w:rsidR="00BF2258" w:rsidRPr="00BF2258">
              <w:rPr>
                <w:b/>
                <w:sz w:val="18"/>
              </w:rPr>
              <w:t xml:space="preserve"> </w:t>
            </w:r>
            <w:r w:rsidRPr="00BF2258">
              <w:rPr>
                <w:b/>
                <w:sz w:val="18"/>
              </w:rPr>
              <w:t xml:space="preserve">731 </w:t>
            </w:r>
          </w:p>
        </w:tc>
        <w:tc>
          <w:tcPr>
            <w:tcW w:w="588" w:type="pct"/>
            <w:tcBorders>
              <w:top w:val="single" w:sz="4" w:space="0" w:color="auto"/>
              <w:bottom w:val="single" w:sz="4" w:space="0" w:color="auto"/>
            </w:tcBorders>
            <w:shd w:val="clear" w:color="auto" w:fill="auto"/>
            <w:noWrap/>
            <w:vAlign w:val="bottom"/>
            <w:hideMark/>
          </w:tcPr>
          <w:p w14:paraId="1C731C7F" w14:textId="16F30EE7"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w:t>
            </w:r>
            <w:r w:rsidR="00BF2258" w:rsidRPr="00BF2258">
              <w:rPr>
                <w:b/>
                <w:sz w:val="18"/>
              </w:rPr>
              <w:t xml:space="preserve"> </w:t>
            </w:r>
            <w:r w:rsidRPr="00BF2258">
              <w:rPr>
                <w:b/>
                <w:sz w:val="18"/>
              </w:rPr>
              <w:t xml:space="preserve">341 </w:t>
            </w:r>
          </w:p>
        </w:tc>
        <w:tc>
          <w:tcPr>
            <w:tcW w:w="589" w:type="pct"/>
            <w:tcBorders>
              <w:top w:val="single" w:sz="4" w:space="0" w:color="auto"/>
              <w:bottom w:val="single" w:sz="4" w:space="0" w:color="auto"/>
            </w:tcBorders>
            <w:shd w:val="clear" w:color="auto" w:fill="auto"/>
            <w:noWrap/>
            <w:vAlign w:val="bottom"/>
            <w:hideMark/>
          </w:tcPr>
          <w:p w14:paraId="071903A4" w14:textId="68450D7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20</w:t>
            </w:r>
            <w:r w:rsidR="00BF2258" w:rsidRPr="00BF2258">
              <w:rPr>
                <w:b/>
                <w:sz w:val="18"/>
              </w:rPr>
              <w:t xml:space="preserve"> </w:t>
            </w:r>
            <w:r w:rsidRPr="00BF2258">
              <w:rPr>
                <w:b/>
                <w:sz w:val="18"/>
              </w:rPr>
              <w:t xml:space="preserve">211 </w:t>
            </w:r>
          </w:p>
        </w:tc>
        <w:tc>
          <w:tcPr>
            <w:tcW w:w="588" w:type="pct"/>
            <w:tcBorders>
              <w:top w:val="single" w:sz="4" w:space="0" w:color="auto"/>
              <w:bottom w:val="single" w:sz="4" w:space="0" w:color="auto"/>
            </w:tcBorders>
            <w:shd w:val="clear" w:color="auto" w:fill="auto"/>
            <w:noWrap/>
            <w:vAlign w:val="bottom"/>
            <w:hideMark/>
          </w:tcPr>
          <w:p w14:paraId="65AD5356" w14:textId="0782027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17</w:t>
            </w:r>
            <w:r w:rsidR="00BF2258" w:rsidRPr="00BF2258">
              <w:rPr>
                <w:b/>
                <w:sz w:val="18"/>
              </w:rPr>
              <w:t xml:space="preserve"> </w:t>
            </w:r>
            <w:r w:rsidRPr="00BF2258">
              <w:rPr>
                <w:b/>
                <w:sz w:val="18"/>
              </w:rPr>
              <w:t xml:space="preserve">008 </w:t>
            </w:r>
          </w:p>
        </w:tc>
        <w:tc>
          <w:tcPr>
            <w:tcW w:w="512" w:type="pct"/>
            <w:tcBorders>
              <w:top w:val="single" w:sz="4" w:space="0" w:color="auto"/>
              <w:bottom w:val="single" w:sz="4" w:space="0" w:color="auto"/>
            </w:tcBorders>
            <w:shd w:val="clear" w:color="auto" w:fill="auto"/>
            <w:noWrap/>
            <w:vAlign w:val="bottom"/>
            <w:hideMark/>
          </w:tcPr>
          <w:p w14:paraId="45630340" w14:textId="6B285CB4"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12</w:t>
            </w:r>
            <w:r w:rsidR="00BF2258" w:rsidRPr="00BF2258">
              <w:rPr>
                <w:b/>
                <w:sz w:val="18"/>
              </w:rPr>
              <w:t xml:space="preserve"> </w:t>
            </w:r>
            <w:r w:rsidRPr="00BF2258">
              <w:rPr>
                <w:b/>
                <w:sz w:val="18"/>
              </w:rPr>
              <w:t xml:space="preserve">171 </w:t>
            </w:r>
          </w:p>
        </w:tc>
      </w:tr>
      <w:tr w:rsidR="00BF2258" w:rsidRPr="00DA21FF" w14:paraId="6849ACFA" w14:textId="77777777" w:rsidTr="00E95817">
        <w:trPr>
          <w:trHeight w:val="240"/>
        </w:trPr>
        <w:tc>
          <w:tcPr>
            <w:tcW w:w="1399" w:type="pct"/>
            <w:vMerge/>
            <w:shd w:val="clear" w:color="auto" w:fill="auto"/>
            <w:hideMark/>
          </w:tcPr>
          <w:p w14:paraId="19F434E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489D6C5D"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5A53075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c>
          <w:tcPr>
            <w:tcW w:w="588" w:type="pct"/>
            <w:tcBorders>
              <w:top w:val="single" w:sz="4" w:space="0" w:color="auto"/>
            </w:tcBorders>
            <w:shd w:val="clear" w:color="auto" w:fill="auto"/>
            <w:noWrap/>
            <w:vAlign w:val="bottom"/>
            <w:hideMark/>
          </w:tcPr>
          <w:p w14:paraId="3E4DB9D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57 %</w:t>
            </w:r>
          </w:p>
        </w:tc>
        <w:tc>
          <w:tcPr>
            <w:tcW w:w="589" w:type="pct"/>
            <w:tcBorders>
              <w:top w:val="single" w:sz="4" w:space="0" w:color="auto"/>
            </w:tcBorders>
            <w:shd w:val="clear" w:color="auto" w:fill="auto"/>
            <w:noWrap/>
            <w:vAlign w:val="bottom"/>
            <w:hideMark/>
          </w:tcPr>
          <w:p w14:paraId="46DE9AF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c>
          <w:tcPr>
            <w:tcW w:w="588" w:type="pct"/>
            <w:tcBorders>
              <w:top w:val="single" w:sz="4" w:space="0" w:color="auto"/>
            </w:tcBorders>
            <w:shd w:val="clear" w:color="auto" w:fill="auto"/>
            <w:noWrap/>
            <w:vAlign w:val="bottom"/>
            <w:hideMark/>
          </w:tcPr>
          <w:p w14:paraId="64EC8C6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c>
          <w:tcPr>
            <w:tcW w:w="512" w:type="pct"/>
            <w:tcBorders>
              <w:top w:val="single" w:sz="4" w:space="0" w:color="auto"/>
            </w:tcBorders>
            <w:shd w:val="clear" w:color="auto" w:fill="auto"/>
            <w:noWrap/>
            <w:vAlign w:val="bottom"/>
            <w:hideMark/>
          </w:tcPr>
          <w:p w14:paraId="61D29FC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50 %</w:t>
            </w:r>
          </w:p>
        </w:tc>
      </w:tr>
      <w:tr w:rsidR="00BF2258" w:rsidRPr="00DA21FF" w14:paraId="5DED6E1A" w14:textId="77777777" w:rsidTr="00E95817">
        <w:trPr>
          <w:trHeight w:val="240"/>
        </w:trPr>
        <w:tc>
          <w:tcPr>
            <w:tcW w:w="1399" w:type="pct"/>
            <w:vMerge/>
            <w:shd w:val="clear" w:color="auto" w:fill="auto"/>
            <w:hideMark/>
          </w:tcPr>
          <w:p w14:paraId="6D7DD86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0FE48CC4"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4DF8F37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c>
          <w:tcPr>
            <w:tcW w:w="588" w:type="pct"/>
            <w:tcBorders>
              <w:bottom w:val="single" w:sz="4" w:space="0" w:color="auto"/>
            </w:tcBorders>
            <w:shd w:val="clear" w:color="auto" w:fill="auto"/>
            <w:noWrap/>
            <w:vAlign w:val="bottom"/>
            <w:hideMark/>
          </w:tcPr>
          <w:p w14:paraId="62A1529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43 %</w:t>
            </w:r>
          </w:p>
        </w:tc>
        <w:tc>
          <w:tcPr>
            <w:tcW w:w="589" w:type="pct"/>
            <w:tcBorders>
              <w:bottom w:val="single" w:sz="4" w:space="0" w:color="auto"/>
            </w:tcBorders>
            <w:shd w:val="clear" w:color="auto" w:fill="auto"/>
            <w:noWrap/>
            <w:vAlign w:val="bottom"/>
            <w:hideMark/>
          </w:tcPr>
          <w:p w14:paraId="61EAE27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c>
          <w:tcPr>
            <w:tcW w:w="588" w:type="pct"/>
            <w:tcBorders>
              <w:bottom w:val="single" w:sz="4" w:space="0" w:color="auto"/>
            </w:tcBorders>
            <w:shd w:val="clear" w:color="auto" w:fill="auto"/>
            <w:noWrap/>
            <w:vAlign w:val="bottom"/>
            <w:hideMark/>
          </w:tcPr>
          <w:p w14:paraId="0AFFE1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c>
          <w:tcPr>
            <w:tcW w:w="512" w:type="pct"/>
            <w:tcBorders>
              <w:bottom w:val="single" w:sz="4" w:space="0" w:color="auto"/>
            </w:tcBorders>
            <w:shd w:val="clear" w:color="auto" w:fill="auto"/>
            <w:noWrap/>
            <w:vAlign w:val="bottom"/>
            <w:hideMark/>
          </w:tcPr>
          <w:p w14:paraId="158D045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50 %</w:t>
            </w:r>
          </w:p>
        </w:tc>
      </w:tr>
      <w:tr w:rsidR="00BF2258" w:rsidRPr="00DA21FF" w14:paraId="0BA64D3F" w14:textId="77777777" w:rsidTr="00E95817">
        <w:trPr>
          <w:trHeight w:val="240"/>
        </w:trPr>
        <w:tc>
          <w:tcPr>
            <w:tcW w:w="1399" w:type="pct"/>
            <w:vMerge w:val="restart"/>
            <w:shd w:val="clear" w:color="auto" w:fill="auto"/>
            <w:hideMark/>
          </w:tcPr>
          <w:p w14:paraId="78A5C11F" w14:textId="37023489"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68 a 75 Sector inmobiliario, actividades profesionales, científicas</w:t>
            </w:r>
            <w:r w:rsidR="000E2249">
              <w:rPr>
                <w:sz w:val="18"/>
              </w:rPr>
              <w:t> </w:t>
            </w:r>
            <w:r w:rsidRPr="00DA21FF">
              <w:rPr>
                <w:sz w:val="18"/>
              </w:rPr>
              <w:t>y técnicas</w:t>
            </w:r>
          </w:p>
        </w:tc>
        <w:tc>
          <w:tcPr>
            <w:tcW w:w="736" w:type="pct"/>
            <w:tcBorders>
              <w:top w:val="single" w:sz="4" w:space="0" w:color="auto"/>
              <w:bottom w:val="single" w:sz="4" w:space="0" w:color="auto"/>
            </w:tcBorders>
            <w:shd w:val="clear" w:color="auto" w:fill="auto"/>
            <w:noWrap/>
            <w:vAlign w:val="bottom"/>
            <w:hideMark/>
          </w:tcPr>
          <w:p w14:paraId="09EEAEC3"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4B322EB" w14:textId="796F3312"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193</w:t>
            </w:r>
            <w:r w:rsidR="00BF2258" w:rsidRPr="00BF2258">
              <w:rPr>
                <w:b/>
                <w:sz w:val="18"/>
              </w:rPr>
              <w:t xml:space="preserve"> </w:t>
            </w:r>
            <w:r w:rsidRPr="00BF2258">
              <w:rPr>
                <w:b/>
                <w:sz w:val="18"/>
              </w:rPr>
              <w:t xml:space="preserve">999 </w:t>
            </w:r>
          </w:p>
        </w:tc>
        <w:tc>
          <w:tcPr>
            <w:tcW w:w="588" w:type="pct"/>
            <w:tcBorders>
              <w:top w:val="single" w:sz="4" w:space="0" w:color="auto"/>
              <w:bottom w:val="single" w:sz="4" w:space="0" w:color="auto"/>
            </w:tcBorders>
            <w:shd w:val="clear" w:color="auto" w:fill="auto"/>
            <w:noWrap/>
            <w:vAlign w:val="bottom"/>
            <w:hideMark/>
          </w:tcPr>
          <w:p w14:paraId="074F4E11" w14:textId="4008B953"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w:t>
            </w:r>
            <w:r w:rsidR="00BF2258" w:rsidRPr="00BF2258">
              <w:rPr>
                <w:b/>
                <w:sz w:val="18"/>
              </w:rPr>
              <w:t xml:space="preserve"> </w:t>
            </w:r>
            <w:r w:rsidRPr="00BF2258">
              <w:rPr>
                <w:b/>
                <w:sz w:val="18"/>
              </w:rPr>
              <w:t xml:space="preserve">372 </w:t>
            </w:r>
          </w:p>
        </w:tc>
        <w:tc>
          <w:tcPr>
            <w:tcW w:w="589" w:type="pct"/>
            <w:tcBorders>
              <w:top w:val="single" w:sz="4" w:space="0" w:color="auto"/>
              <w:bottom w:val="single" w:sz="4" w:space="0" w:color="auto"/>
            </w:tcBorders>
            <w:shd w:val="clear" w:color="auto" w:fill="auto"/>
            <w:noWrap/>
            <w:vAlign w:val="bottom"/>
            <w:hideMark/>
          </w:tcPr>
          <w:p w14:paraId="08729A9A" w14:textId="6FDAE82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73</w:t>
            </w:r>
            <w:r w:rsidR="00BF2258" w:rsidRPr="00BF2258">
              <w:rPr>
                <w:b/>
                <w:sz w:val="18"/>
              </w:rPr>
              <w:t xml:space="preserve"> </w:t>
            </w:r>
            <w:r w:rsidRPr="00BF2258">
              <w:rPr>
                <w:b/>
                <w:sz w:val="18"/>
              </w:rPr>
              <w:t xml:space="preserve">225 </w:t>
            </w:r>
          </w:p>
        </w:tc>
        <w:tc>
          <w:tcPr>
            <w:tcW w:w="588" w:type="pct"/>
            <w:tcBorders>
              <w:top w:val="single" w:sz="4" w:space="0" w:color="auto"/>
              <w:bottom w:val="single" w:sz="4" w:space="0" w:color="auto"/>
            </w:tcBorders>
            <w:shd w:val="clear" w:color="auto" w:fill="auto"/>
            <w:noWrap/>
            <w:vAlign w:val="bottom"/>
            <w:hideMark/>
          </w:tcPr>
          <w:p w14:paraId="2FA1B0CE" w14:textId="38282413"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61</w:t>
            </w:r>
            <w:r w:rsidR="00BF2258" w:rsidRPr="00BF2258">
              <w:rPr>
                <w:b/>
                <w:sz w:val="18"/>
              </w:rPr>
              <w:t xml:space="preserve"> </w:t>
            </w:r>
            <w:r w:rsidRPr="00BF2258">
              <w:rPr>
                <w:b/>
                <w:sz w:val="18"/>
              </w:rPr>
              <w:t xml:space="preserve">781 </w:t>
            </w:r>
          </w:p>
        </w:tc>
        <w:tc>
          <w:tcPr>
            <w:tcW w:w="512" w:type="pct"/>
            <w:tcBorders>
              <w:top w:val="single" w:sz="4" w:space="0" w:color="auto"/>
              <w:bottom w:val="single" w:sz="4" w:space="0" w:color="auto"/>
            </w:tcBorders>
            <w:shd w:val="clear" w:color="auto" w:fill="auto"/>
            <w:noWrap/>
            <w:vAlign w:val="bottom"/>
            <w:hideMark/>
          </w:tcPr>
          <w:p w14:paraId="6908A4C7" w14:textId="5772FA73"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48</w:t>
            </w:r>
            <w:r w:rsidR="00BF2258" w:rsidRPr="00BF2258">
              <w:rPr>
                <w:b/>
                <w:sz w:val="18"/>
              </w:rPr>
              <w:t xml:space="preserve"> </w:t>
            </w:r>
            <w:r w:rsidRPr="00BF2258">
              <w:rPr>
                <w:b/>
                <w:sz w:val="18"/>
              </w:rPr>
              <w:t xml:space="preserve">621 </w:t>
            </w:r>
          </w:p>
        </w:tc>
      </w:tr>
      <w:tr w:rsidR="00BF2258" w:rsidRPr="00DA21FF" w14:paraId="1908E081" w14:textId="77777777" w:rsidTr="00E95817">
        <w:trPr>
          <w:trHeight w:val="240"/>
        </w:trPr>
        <w:tc>
          <w:tcPr>
            <w:tcW w:w="1399" w:type="pct"/>
            <w:vMerge/>
            <w:shd w:val="clear" w:color="auto" w:fill="auto"/>
            <w:hideMark/>
          </w:tcPr>
          <w:p w14:paraId="05EE336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1E366470"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27B7DFC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c>
          <w:tcPr>
            <w:tcW w:w="588" w:type="pct"/>
            <w:tcBorders>
              <w:top w:val="single" w:sz="4" w:space="0" w:color="auto"/>
            </w:tcBorders>
            <w:shd w:val="clear" w:color="auto" w:fill="auto"/>
            <w:noWrap/>
            <w:vAlign w:val="bottom"/>
            <w:hideMark/>
          </w:tcPr>
          <w:p w14:paraId="540F920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53 %</w:t>
            </w:r>
          </w:p>
        </w:tc>
        <w:tc>
          <w:tcPr>
            <w:tcW w:w="589" w:type="pct"/>
            <w:tcBorders>
              <w:top w:val="single" w:sz="4" w:space="0" w:color="auto"/>
            </w:tcBorders>
            <w:shd w:val="clear" w:color="auto" w:fill="auto"/>
            <w:noWrap/>
            <w:vAlign w:val="bottom"/>
            <w:hideMark/>
          </w:tcPr>
          <w:p w14:paraId="7462091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53 %</w:t>
            </w:r>
          </w:p>
        </w:tc>
        <w:tc>
          <w:tcPr>
            <w:tcW w:w="588" w:type="pct"/>
            <w:tcBorders>
              <w:top w:val="single" w:sz="4" w:space="0" w:color="auto"/>
            </w:tcBorders>
            <w:shd w:val="clear" w:color="auto" w:fill="auto"/>
            <w:noWrap/>
            <w:vAlign w:val="bottom"/>
            <w:hideMark/>
          </w:tcPr>
          <w:p w14:paraId="7004469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c>
          <w:tcPr>
            <w:tcW w:w="512" w:type="pct"/>
            <w:tcBorders>
              <w:top w:val="single" w:sz="4" w:space="0" w:color="auto"/>
            </w:tcBorders>
            <w:shd w:val="clear" w:color="auto" w:fill="auto"/>
            <w:noWrap/>
            <w:vAlign w:val="bottom"/>
            <w:hideMark/>
          </w:tcPr>
          <w:p w14:paraId="6F1523B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66 %</w:t>
            </w:r>
          </w:p>
        </w:tc>
      </w:tr>
      <w:tr w:rsidR="00BF2258" w:rsidRPr="00DA21FF" w14:paraId="40A19CEF" w14:textId="77777777" w:rsidTr="00E95817">
        <w:trPr>
          <w:trHeight w:val="240"/>
        </w:trPr>
        <w:tc>
          <w:tcPr>
            <w:tcW w:w="1399" w:type="pct"/>
            <w:vMerge/>
            <w:shd w:val="clear" w:color="auto" w:fill="auto"/>
            <w:hideMark/>
          </w:tcPr>
          <w:p w14:paraId="04997C6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0F47009F"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31EF8EE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c>
          <w:tcPr>
            <w:tcW w:w="588" w:type="pct"/>
            <w:tcBorders>
              <w:bottom w:val="single" w:sz="4" w:space="0" w:color="auto"/>
            </w:tcBorders>
            <w:shd w:val="clear" w:color="auto" w:fill="auto"/>
            <w:noWrap/>
            <w:vAlign w:val="bottom"/>
            <w:hideMark/>
          </w:tcPr>
          <w:p w14:paraId="4E4933A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47 %</w:t>
            </w:r>
          </w:p>
        </w:tc>
        <w:tc>
          <w:tcPr>
            <w:tcW w:w="589" w:type="pct"/>
            <w:tcBorders>
              <w:bottom w:val="single" w:sz="4" w:space="0" w:color="auto"/>
            </w:tcBorders>
            <w:shd w:val="clear" w:color="auto" w:fill="auto"/>
            <w:noWrap/>
            <w:vAlign w:val="bottom"/>
            <w:hideMark/>
          </w:tcPr>
          <w:p w14:paraId="694EF59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47 %</w:t>
            </w:r>
          </w:p>
        </w:tc>
        <w:tc>
          <w:tcPr>
            <w:tcW w:w="588" w:type="pct"/>
            <w:tcBorders>
              <w:bottom w:val="single" w:sz="4" w:space="0" w:color="auto"/>
            </w:tcBorders>
            <w:shd w:val="clear" w:color="auto" w:fill="auto"/>
            <w:noWrap/>
            <w:vAlign w:val="bottom"/>
            <w:hideMark/>
          </w:tcPr>
          <w:p w14:paraId="15317C7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c>
          <w:tcPr>
            <w:tcW w:w="512" w:type="pct"/>
            <w:tcBorders>
              <w:bottom w:val="single" w:sz="4" w:space="0" w:color="auto"/>
            </w:tcBorders>
            <w:shd w:val="clear" w:color="auto" w:fill="auto"/>
            <w:noWrap/>
            <w:vAlign w:val="bottom"/>
            <w:hideMark/>
          </w:tcPr>
          <w:p w14:paraId="268112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34 %</w:t>
            </w:r>
          </w:p>
        </w:tc>
      </w:tr>
      <w:tr w:rsidR="00BF2258" w:rsidRPr="00DA21FF" w14:paraId="07007CE5" w14:textId="77777777" w:rsidTr="00E95817">
        <w:trPr>
          <w:trHeight w:val="240"/>
        </w:trPr>
        <w:tc>
          <w:tcPr>
            <w:tcW w:w="1399" w:type="pct"/>
            <w:vMerge w:val="restart"/>
            <w:shd w:val="clear" w:color="auto" w:fill="auto"/>
            <w:hideMark/>
          </w:tcPr>
          <w:p w14:paraId="130E5CF6"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77 a 82 Actividades de servicios administrativos y de apoyo</w:t>
            </w:r>
          </w:p>
        </w:tc>
        <w:tc>
          <w:tcPr>
            <w:tcW w:w="736" w:type="pct"/>
            <w:tcBorders>
              <w:top w:val="single" w:sz="4" w:space="0" w:color="auto"/>
              <w:bottom w:val="single" w:sz="4" w:space="0" w:color="auto"/>
            </w:tcBorders>
            <w:shd w:val="clear" w:color="auto" w:fill="auto"/>
            <w:noWrap/>
            <w:vAlign w:val="bottom"/>
            <w:hideMark/>
          </w:tcPr>
          <w:p w14:paraId="2910FE91"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0C02D92B" w14:textId="7E30A842"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131</w:t>
            </w:r>
            <w:r w:rsidR="00BF2258" w:rsidRPr="00BF2258">
              <w:rPr>
                <w:b/>
                <w:sz w:val="18"/>
              </w:rPr>
              <w:t xml:space="preserve"> </w:t>
            </w:r>
            <w:r w:rsidRPr="00BF2258">
              <w:rPr>
                <w:b/>
                <w:sz w:val="18"/>
              </w:rPr>
              <w:t xml:space="preserve">099 </w:t>
            </w:r>
          </w:p>
        </w:tc>
        <w:tc>
          <w:tcPr>
            <w:tcW w:w="588" w:type="pct"/>
            <w:tcBorders>
              <w:top w:val="single" w:sz="4" w:space="0" w:color="auto"/>
              <w:bottom w:val="single" w:sz="4" w:space="0" w:color="auto"/>
            </w:tcBorders>
            <w:shd w:val="clear" w:color="auto" w:fill="auto"/>
            <w:noWrap/>
            <w:vAlign w:val="bottom"/>
            <w:hideMark/>
          </w:tcPr>
          <w:p w14:paraId="64520DF3" w14:textId="2D81949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w:t>
            </w:r>
            <w:r w:rsidR="00BF2258" w:rsidRPr="00BF2258">
              <w:rPr>
                <w:b/>
                <w:sz w:val="18"/>
              </w:rPr>
              <w:t xml:space="preserve"> </w:t>
            </w:r>
            <w:r w:rsidRPr="00BF2258">
              <w:rPr>
                <w:b/>
                <w:sz w:val="18"/>
              </w:rPr>
              <w:t xml:space="preserve">365 </w:t>
            </w:r>
          </w:p>
        </w:tc>
        <w:tc>
          <w:tcPr>
            <w:tcW w:w="589" w:type="pct"/>
            <w:tcBorders>
              <w:top w:val="single" w:sz="4" w:space="0" w:color="auto"/>
              <w:bottom w:val="single" w:sz="4" w:space="0" w:color="auto"/>
            </w:tcBorders>
            <w:shd w:val="clear" w:color="auto" w:fill="auto"/>
            <w:noWrap/>
            <w:vAlign w:val="bottom"/>
            <w:hideMark/>
          </w:tcPr>
          <w:p w14:paraId="3AEE207C" w14:textId="1AB27CDD"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43</w:t>
            </w:r>
            <w:r w:rsidR="00BF2258" w:rsidRPr="00BF2258">
              <w:rPr>
                <w:b/>
                <w:sz w:val="18"/>
              </w:rPr>
              <w:t xml:space="preserve"> </w:t>
            </w:r>
            <w:r w:rsidRPr="00BF2258">
              <w:rPr>
                <w:b/>
                <w:sz w:val="18"/>
              </w:rPr>
              <w:t xml:space="preserve">942 </w:t>
            </w:r>
          </w:p>
        </w:tc>
        <w:tc>
          <w:tcPr>
            <w:tcW w:w="588" w:type="pct"/>
            <w:tcBorders>
              <w:top w:val="single" w:sz="4" w:space="0" w:color="auto"/>
              <w:bottom w:val="single" w:sz="4" w:space="0" w:color="auto"/>
            </w:tcBorders>
            <w:shd w:val="clear" w:color="auto" w:fill="auto"/>
            <w:noWrap/>
            <w:vAlign w:val="bottom"/>
            <w:hideMark/>
          </w:tcPr>
          <w:p w14:paraId="5C60FC87" w14:textId="06CF3BA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42</w:t>
            </w:r>
            <w:r w:rsidR="00BF2258" w:rsidRPr="00BF2258">
              <w:rPr>
                <w:b/>
                <w:sz w:val="18"/>
              </w:rPr>
              <w:t xml:space="preserve"> </w:t>
            </w:r>
            <w:r w:rsidRPr="00BF2258">
              <w:rPr>
                <w:b/>
                <w:sz w:val="18"/>
              </w:rPr>
              <w:t xml:space="preserve">224 </w:t>
            </w:r>
          </w:p>
        </w:tc>
        <w:tc>
          <w:tcPr>
            <w:tcW w:w="512" w:type="pct"/>
            <w:tcBorders>
              <w:top w:val="single" w:sz="4" w:space="0" w:color="auto"/>
              <w:bottom w:val="single" w:sz="4" w:space="0" w:color="auto"/>
            </w:tcBorders>
            <w:shd w:val="clear" w:color="auto" w:fill="auto"/>
            <w:noWrap/>
            <w:vAlign w:val="bottom"/>
            <w:hideMark/>
          </w:tcPr>
          <w:p w14:paraId="0FC4ABD3" w14:textId="7D7F2BA2"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26</w:t>
            </w:r>
            <w:r w:rsidR="00BF2258" w:rsidRPr="00BF2258">
              <w:rPr>
                <w:b/>
                <w:sz w:val="18"/>
              </w:rPr>
              <w:t xml:space="preserve"> </w:t>
            </w:r>
            <w:r w:rsidRPr="00BF2258">
              <w:rPr>
                <w:b/>
                <w:sz w:val="18"/>
              </w:rPr>
              <w:t xml:space="preserve">568 </w:t>
            </w:r>
          </w:p>
        </w:tc>
      </w:tr>
      <w:tr w:rsidR="00BF2258" w:rsidRPr="00DA21FF" w14:paraId="7937B06F" w14:textId="77777777" w:rsidTr="00E95817">
        <w:trPr>
          <w:trHeight w:val="240"/>
        </w:trPr>
        <w:tc>
          <w:tcPr>
            <w:tcW w:w="1399" w:type="pct"/>
            <w:vMerge/>
            <w:shd w:val="clear" w:color="auto" w:fill="auto"/>
            <w:hideMark/>
          </w:tcPr>
          <w:p w14:paraId="38C41C5B"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5680AD9E"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2191691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c>
          <w:tcPr>
            <w:tcW w:w="588" w:type="pct"/>
            <w:tcBorders>
              <w:top w:val="single" w:sz="4" w:space="0" w:color="auto"/>
            </w:tcBorders>
            <w:shd w:val="clear" w:color="auto" w:fill="auto"/>
            <w:noWrap/>
            <w:vAlign w:val="bottom"/>
            <w:hideMark/>
          </w:tcPr>
          <w:p w14:paraId="6279069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60 %</w:t>
            </w:r>
          </w:p>
        </w:tc>
        <w:tc>
          <w:tcPr>
            <w:tcW w:w="589" w:type="pct"/>
            <w:tcBorders>
              <w:top w:val="single" w:sz="4" w:space="0" w:color="auto"/>
            </w:tcBorders>
            <w:shd w:val="clear" w:color="auto" w:fill="auto"/>
            <w:noWrap/>
            <w:vAlign w:val="bottom"/>
            <w:hideMark/>
          </w:tcPr>
          <w:p w14:paraId="57FDF4D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55 %</w:t>
            </w:r>
          </w:p>
        </w:tc>
        <w:tc>
          <w:tcPr>
            <w:tcW w:w="588" w:type="pct"/>
            <w:tcBorders>
              <w:top w:val="single" w:sz="4" w:space="0" w:color="auto"/>
            </w:tcBorders>
            <w:shd w:val="clear" w:color="auto" w:fill="auto"/>
            <w:noWrap/>
            <w:vAlign w:val="bottom"/>
            <w:hideMark/>
          </w:tcPr>
          <w:p w14:paraId="44A7BCB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52 %</w:t>
            </w:r>
          </w:p>
        </w:tc>
        <w:tc>
          <w:tcPr>
            <w:tcW w:w="512" w:type="pct"/>
            <w:tcBorders>
              <w:top w:val="single" w:sz="4" w:space="0" w:color="auto"/>
            </w:tcBorders>
            <w:shd w:val="clear" w:color="auto" w:fill="auto"/>
            <w:noWrap/>
            <w:vAlign w:val="bottom"/>
            <w:hideMark/>
          </w:tcPr>
          <w:p w14:paraId="71FFB10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r>
      <w:tr w:rsidR="00BF2258" w:rsidRPr="00DA21FF" w14:paraId="562E4078" w14:textId="77777777" w:rsidTr="00E95817">
        <w:trPr>
          <w:trHeight w:val="240"/>
        </w:trPr>
        <w:tc>
          <w:tcPr>
            <w:tcW w:w="1399" w:type="pct"/>
            <w:vMerge/>
            <w:shd w:val="clear" w:color="auto" w:fill="auto"/>
            <w:hideMark/>
          </w:tcPr>
          <w:p w14:paraId="6878906D"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74499A68"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46B58E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c>
          <w:tcPr>
            <w:tcW w:w="588" w:type="pct"/>
            <w:tcBorders>
              <w:bottom w:val="single" w:sz="4" w:space="0" w:color="auto"/>
            </w:tcBorders>
            <w:shd w:val="clear" w:color="auto" w:fill="auto"/>
            <w:noWrap/>
            <w:vAlign w:val="bottom"/>
            <w:hideMark/>
          </w:tcPr>
          <w:p w14:paraId="3E3434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40 %</w:t>
            </w:r>
          </w:p>
        </w:tc>
        <w:tc>
          <w:tcPr>
            <w:tcW w:w="589" w:type="pct"/>
            <w:tcBorders>
              <w:bottom w:val="single" w:sz="4" w:space="0" w:color="auto"/>
            </w:tcBorders>
            <w:shd w:val="clear" w:color="auto" w:fill="auto"/>
            <w:noWrap/>
            <w:vAlign w:val="bottom"/>
            <w:hideMark/>
          </w:tcPr>
          <w:p w14:paraId="73D2C18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45 %</w:t>
            </w:r>
          </w:p>
        </w:tc>
        <w:tc>
          <w:tcPr>
            <w:tcW w:w="588" w:type="pct"/>
            <w:tcBorders>
              <w:bottom w:val="single" w:sz="4" w:space="0" w:color="auto"/>
            </w:tcBorders>
            <w:shd w:val="clear" w:color="auto" w:fill="auto"/>
            <w:noWrap/>
            <w:vAlign w:val="bottom"/>
            <w:hideMark/>
          </w:tcPr>
          <w:p w14:paraId="775719C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48 %</w:t>
            </w:r>
          </w:p>
        </w:tc>
        <w:tc>
          <w:tcPr>
            <w:tcW w:w="512" w:type="pct"/>
            <w:tcBorders>
              <w:bottom w:val="single" w:sz="4" w:space="0" w:color="auto"/>
            </w:tcBorders>
            <w:shd w:val="clear" w:color="auto" w:fill="auto"/>
            <w:noWrap/>
            <w:vAlign w:val="bottom"/>
            <w:hideMark/>
          </w:tcPr>
          <w:p w14:paraId="6383E67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r>
      <w:tr w:rsidR="00BF2258" w:rsidRPr="00DA21FF" w14:paraId="2D9304D4" w14:textId="77777777" w:rsidTr="00E95817">
        <w:trPr>
          <w:trHeight w:val="240"/>
        </w:trPr>
        <w:tc>
          <w:tcPr>
            <w:tcW w:w="1399" w:type="pct"/>
            <w:vMerge w:val="restart"/>
            <w:shd w:val="clear" w:color="auto" w:fill="auto"/>
            <w:hideMark/>
          </w:tcPr>
          <w:p w14:paraId="476C2D7C" w14:textId="494ECAA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84 Administración pública, defensa,</w:t>
            </w:r>
            <w:r w:rsidR="00465BE1">
              <w:rPr>
                <w:sz w:val="18"/>
              </w:rPr>
              <w:t> </w:t>
            </w:r>
            <w:r w:rsidRPr="00DA21FF">
              <w:rPr>
                <w:sz w:val="18"/>
              </w:rPr>
              <w:t>seguridad social</w:t>
            </w:r>
          </w:p>
        </w:tc>
        <w:tc>
          <w:tcPr>
            <w:tcW w:w="736" w:type="pct"/>
            <w:tcBorders>
              <w:top w:val="single" w:sz="4" w:space="0" w:color="auto"/>
              <w:bottom w:val="single" w:sz="4" w:space="0" w:color="auto"/>
            </w:tcBorders>
            <w:shd w:val="clear" w:color="auto" w:fill="auto"/>
            <w:noWrap/>
            <w:vAlign w:val="bottom"/>
            <w:hideMark/>
          </w:tcPr>
          <w:p w14:paraId="1C19CB7C"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4A01AEE" w14:textId="7D5FFF6C"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176</w:t>
            </w:r>
            <w:r w:rsidR="00BF2258" w:rsidRPr="00BF2258">
              <w:rPr>
                <w:b/>
                <w:sz w:val="18"/>
              </w:rPr>
              <w:t xml:space="preserve"> </w:t>
            </w:r>
            <w:r w:rsidRPr="00BF2258">
              <w:rPr>
                <w:b/>
                <w:sz w:val="18"/>
              </w:rPr>
              <w:t xml:space="preserve">244 </w:t>
            </w:r>
          </w:p>
        </w:tc>
        <w:tc>
          <w:tcPr>
            <w:tcW w:w="588" w:type="pct"/>
            <w:tcBorders>
              <w:top w:val="single" w:sz="4" w:space="0" w:color="auto"/>
              <w:bottom w:val="single" w:sz="4" w:space="0" w:color="auto"/>
            </w:tcBorders>
            <w:shd w:val="clear" w:color="auto" w:fill="auto"/>
            <w:noWrap/>
            <w:vAlign w:val="bottom"/>
            <w:hideMark/>
          </w:tcPr>
          <w:p w14:paraId="2D35EFDC" w14:textId="5AF1FD65"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w:t>
            </w:r>
            <w:r w:rsidR="00BF2258" w:rsidRPr="00BF2258">
              <w:rPr>
                <w:b/>
                <w:sz w:val="18"/>
              </w:rPr>
              <w:t xml:space="preserve"> </w:t>
            </w:r>
            <w:r w:rsidRPr="00BF2258">
              <w:rPr>
                <w:b/>
                <w:sz w:val="18"/>
              </w:rPr>
              <w:t xml:space="preserve">336 </w:t>
            </w:r>
          </w:p>
        </w:tc>
        <w:tc>
          <w:tcPr>
            <w:tcW w:w="589" w:type="pct"/>
            <w:tcBorders>
              <w:top w:val="single" w:sz="4" w:space="0" w:color="auto"/>
              <w:bottom w:val="single" w:sz="4" w:space="0" w:color="auto"/>
            </w:tcBorders>
            <w:shd w:val="clear" w:color="auto" w:fill="auto"/>
            <w:noWrap/>
            <w:vAlign w:val="bottom"/>
            <w:hideMark/>
          </w:tcPr>
          <w:p w14:paraId="093F84C5" w14:textId="7108E6B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50</w:t>
            </w:r>
            <w:r w:rsidR="00BF2258" w:rsidRPr="00BF2258">
              <w:rPr>
                <w:b/>
                <w:sz w:val="18"/>
              </w:rPr>
              <w:t xml:space="preserve"> </w:t>
            </w:r>
            <w:r w:rsidRPr="00BF2258">
              <w:rPr>
                <w:b/>
                <w:sz w:val="18"/>
              </w:rPr>
              <w:t xml:space="preserve">145 </w:t>
            </w:r>
          </w:p>
        </w:tc>
        <w:tc>
          <w:tcPr>
            <w:tcW w:w="588" w:type="pct"/>
            <w:tcBorders>
              <w:top w:val="single" w:sz="4" w:space="0" w:color="auto"/>
              <w:bottom w:val="single" w:sz="4" w:space="0" w:color="auto"/>
            </w:tcBorders>
            <w:shd w:val="clear" w:color="auto" w:fill="auto"/>
            <w:noWrap/>
            <w:vAlign w:val="bottom"/>
            <w:hideMark/>
          </w:tcPr>
          <w:p w14:paraId="64D535BB" w14:textId="6821154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62</w:t>
            </w:r>
            <w:r w:rsidR="00BF2258" w:rsidRPr="00BF2258">
              <w:rPr>
                <w:b/>
                <w:sz w:val="18"/>
              </w:rPr>
              <w:t xml:space="preserve"> </w:t>
            </w:r>
            <w:r w:rsidRPr="00BF2258">
              <w:rPr>
                <w:b/>
                <w:sz w:val="18"/>
              </w:rPr>
              <w:t xml:space="preserve">075 </w:t>
            </w:r>
          </w:p>
        </w:tc>
        <w:tc>
          <w:tcPr>
            <w:tcW w:w="512" w:type="pct"/>
            <w:tcBorders>
              <w:top w:val="single" w:sz="4" w:space="0" w:color="auto"/>
              <w:bottom w:val="single" w:sz="4" w:space="0" w:color="auto"/>
            </w:tcBorders>
            <w:shd w:val="clear" w:color="auto" w:fill="auto"/>
            <w:noWrap/>
            <w:vAlign w:val="bottom"/>
            <w:hideMark/>
          </w:tcPr>
          <w:p w14:paraId="627B41AA" w14:textId="530A878B"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45</w:t>
            </w:r>
            <w:r w:rsidR="00BF2258" w:rsidRPr="00BF2258">
              <w:rPr>
                <w:b/>
                <w:sz w:val="18"/>
              </w:rPr>
              <w:t xml:space="preserve"> </w:t>
            </w:r>
            <w:r w:rsidRPr="00BF2258">
              <w:rPr>
                <w:b/>
                <w:sz w:val="18"/>
              </w:rPr>
              <w:t xml:space="preserve">688 </w:t>
            </w:r>
          </w:p>
        </w:tc>
      </w:tr>
      <w:tr w:rsidR="00BF2258" w:rsidRPr="00DA21FF" w14:paraId="3F9F6D5F" w14:textId="77777777" w:rsidTr="00E95817">
        <w:trPr>
          <w:trHeight w:val="240"/>
        </w:trPr>
        <w:tc>
          <w:tcPr>
            <w:tcW w:w="1399" w:type="pct"/>
            <w:vMerge/>
            <w:shd w:val="clear" w:color="auto" w:fill="auto"/>
            <w:hideMark/>
          </w:tcPr>
          <w:p w14:paraId="7C2D0C5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673F187B"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7A9B0D6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49 %</w:t>
            </w:r>
          </w:p>
        </w:tc>
        <w:tc>
          <w:tcPr>
            <w:tcW w:w="588" w:type="pct"/>
            <w:tcBorders>
              <w:top w:val="single" w:sz="4" w:space="0" w:color="auto"/>
            </w:tcBorders>
            <w:shd w:val="clear" w:color="auto" w:fill="auto"/>
            <w:noWrap/>
            <w:vAlign w:val="bottom"/>
            <w:hideMark/>
          </w:tcPr>
          <w:p w14:paraId="295E501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62 %</w:t>
            </w:r>
          </w:p>
        </w:tc>
        <w:tc>
          <w:tcPr>
            <w:tcW w:w="589" w:type="pct"/>
            <w:tcBorders>
              <w:top w:val="single" w:sz="4" w:space="0" w:color="auto"/>
            </w:tcBorders>
            <w:shd w:val="clear" w:color="auto" w:fill="auto"/>
            <w:noWrap/>
            <w:vAlign w:val="bottom"/>
            <w:hideMark/>
          </w:tcPr>
          <w:p w14:paraId="2234096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49 %</w:t>
            </w:r>
          </w:p>
        </w:tc>
        <w:tc>
          <w:tcPr>
            <w:tcW w:w="588" w:type="pct"/>
            <w:tcBorders>
              <w:top w:val="single" w:sz="4" w:space="0" w:color="auto"/>
            </w:tcBorders>
            <w:shd w:val="clear" w:color="auto" w:fill="auto"/>
            <w:noWrap/>
            <w:vAlign w:val="bottom"/>
            <w:hideMark/>
          </w:tcPr>
          <w:p w14:paraId="415A90D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c>
          <w:tcPr>
            <w:tcW w:w="512" w:type="pct"/>
            <w:tcBorders>
              <w:top w:val="single" w:sz="4" w:space="0" w:color="auto"/>
            </w:tcBorders>
            <w:shd w:val="clear" w:color="auto" w:fill="auto"/>
            <w:noWrap/>
            <w:vAlign w:val="bottom"/>
            <w:hideMark/>
          </w:tcPr>
          <w:p w14:paraId="4A732D5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46 %</w:t>
            </w:r>
          </w:p>
        </w:tc>
      </w:tr>
      <w:tr w:rsidR="00BF2258" w:rsidRPr="00DA21FF" w14:paraId="4CDB71C4" w14:textId="77777777" w:rsidTr="00E95817">
        <w:trPr>
          <w:trHeight w:val="240"/>
        </w:trPr>
        <w:tc>
          <w:tcPr>
            <w:tcW w:w="1399" w:type="pct"/>
            <w:vMerge/>
            <w:shd w:val="clear" w:color="auto" w:fill="auto"/>
            <w:hideMark/>
          </w:tcPr>
          <w:p w14:paraId="6233BEA2"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762546FB"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0F210E3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51 %</w:t>
            </w:r>
          </w:p>
        </w:tc>
        <w:tc>
          <w:tcPr>
            <w:tcW w:w="588" w:type="pct"/>
            <w:tcBorders>
              <w:bottom w:val="single" w:sz="4" w:space="0" w:color="auto"/>
            </w:tcBorders>
            <w:shd w:val="clear" w:color="auto" w:fill="auto"/>
            <w:noWrap/>
            <w:vAlign w:val="bottom"/>
            <w:hideMark/>
          </w:tcPr>
          <w:p w14:paraId="022BE1CD"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38 %</w:t>
            </w:r>
          </w:p>
        </w:tc>
        <w:tc>
          <w:tcPr>
            <w:tcW w:w="589" w:type="pct"/>
            <w:tcBorders>
              <w:bottom w:val="single" w:sz="4" w:space="0" w:color="auto"/>
            </w:tcBorders>
            <w:shd w:val="clear" w:color="auto" w:fill="auto"/>
            <w:noWrap/>
            <w:vAlign w:val="bottom"/>
            <w:hideMark/>
          </w:tcPr>
          <w:p w14:paraId="68822C5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51 %</w:t>
            </w:r>
          </w:p>
        </w:tc>
        <w:tc>
          <w:tcPr>
            <w:tcW w:w="588" w:type="pct"/>
            <w:tcBorders>
              <w:bottom w:val="single" w:sz="4" w:space="0" w:color="auto"/>
            </w:tcBorders>
            <w:shd w:val="clear" w:color="auto" w:fill="auto"/>
            <w:noWrap/>
            <w:vAlign w:val="bottom"/>
            <w:hideMark/>
          </w:tcPr>
          <w:p w14:paraId="64EB1E21"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c>
          <w:tcPr>
            <w:tcW w:w="512" w:type="pct"/>
            <w:tcBorders>
              <w:bottom w:val="single" w:sz="4" w:space="0" w:color="auto"/>
            </w:tcBorders>
            <w:shd w:val="clear" w:color="auto" w:fill="auto"/>
            <w:noWrap/>
            <w:vAlign w:val="bottom"/>
            <w:hideMark/>
          </w:tcPr>
          <w:p w14:paraId="2AEFCEC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54 %</w:t>
            </w:r>
          </w:p>
        </w:tc>
      </w:tr>
      <w:tr w:rsidR="00BF2258" w:rsidRPr="00DA21FF" w14:paraId="416BB5ED" w14:textId="77777777" w:rsidTr="00E95817">
        <w:trPr>
          <w:trHeight w:val="240"/>
        </w:trPr>
        <w:tc>
          <w:tcPr>
            <w:tcW w:w="1399" w:type="pct"/>
            <w:vMerge w:val="restart"/>
            <w:shd w:val="clear" w:color="auto" w:fill="auto"/>
            <w:hideMark/>
          </w:tcPr>
          <w:p w14:paraId="19A85A20"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85 Educación</w:t>
            </w:r>
          </w:p>
        </w:tc>
        <w:tc>
          <w:tcPr>
            <w:tcW w:w="736" w:type="pct"/>
            <w:tcBorders>
              <w:top w:val="single" w:sz="4" w:space="0" w:color="auto"/>
              <w:bottom w:val="single" w:sz="4" w:space="0" w:color="auto"/>
            </w:tcBorders>
            <w:shd w:val="clear" w:color="auto" w:fill="auto"/>
            <w:noWrap/>
            <w:vAlign w:val="bottom"/>
            <w:hideMark/>
          </w:tcPr>
          <w:p w14:paraId="6A964302"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1958536" w14:textId="29049F50"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235</w:t>
            </w:r>
            <w:r w:rsidR="00BF2258" w:rsidRPr="00BF2258">
              <w:rPr>
                <w:b/>
                <w:sz w:val="18"/>
              </w:rPr>
              <w:t xml:space="preserve"> </w:t>
            </w:r>
            <w:r w:rsidRPr="00BF2258">
              <w:rPr>
                <w:b/>
                <w:sz w:val="18"/>
              </w:rPr>
              <w:t xml:space="preserve">198 </w:t>
            </w:r>
          </w:p>
        </w:tc>
        <w:tc>
          <w:tcPr>
            <w:tcW w:w="588" w:type="pct"/>
            <w:tcBorders>
              <w:top w:val="single" w:sz="4" w:space="0" w:color="auto"/>
              <w:bottom w:val="single" w:sz="4" w:space="0" w:color="auto"/>
            </w:tcBorders>
            <w:shd w:val="clear" w:color="auto" w:fill="auto"/>
            <w:noWrap/>
            <w:vAlign w:val="bottom"/>
            <w:hideMark/>
          </w:tcPr>
          <w:p w14:paraId="00242829" w14:textId="5D45BAE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17</w:t>
            </w:r>
            <w:r w:rsidR="00BF2258" w:rsidRPr="00BF2258">
              <w:rPr>
                <w:b/>
                <w:sz w:val="18"/>
              </w:rPr>
              <w:t xml:space="preserve"> </w:t>
            </w:r>
            <w:r w:rsidRPr="00BF2258">
              <w:rPr>
                <w:b/>
                <w:sz w:val="18"/>
              </w:rPr>
              <w:t xml:space="preserve">524 </w:t>
            </w:r>
          </w:p>
        </w:tc>
        <w:tc>
          <w:tcPr>
            <w:tcW w:w="589" w:type="pct"/>
            <w:tcBorders>
              <w:top w:val="single" w:sz="4" w:space="0" w:color="auto"/>
              <w:bottom w:val="single" w:sz="4" w:space="0" w:color="auto"/>
            </w:tcBorders>
            <w:shd w:val="clear" w:color="auto" w:fill="auto"/>
            <w:noWrap/>
            <w:vAlign w:val="bottom"/>
            <w:hideMark/>
          </w:tcPr>
          <w:p w14:paraId="06256193" w14:textId="097E1FF4"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77</w:t>
            </w:r>
            <w:r w:rsidR="00BF2258" w:rsidRPr="00BF2258">
              <w:rPr>
                <w:b/>
                <w:sz w:val="18"/>
              </w:rPr>
              <w:t xml:space="preserve"> </w:t>
            </w:r>
            <w:r w:rsidRPr="00BF2258">
              <w:rPr>
                <w:b/>
                <w:sz w:val="18"/>
              </w:rPr>
              <w:t xml:space="preserve">750 </w:t>
            </w:r>
          </w:p>
        </w:tc>
        <w:tc>
          <w:tcPr>
            <w:tcW w:w="588" w:type="pct"/>
            <w:tcBorders>
              <w:top w:val="single" w:sz="4" w:space="0" w:color="auto"/>
              <w:bottom w:val="single" w:sz="4" w:space="0" w:color="auto"/>
            </w:tcBorders>
            <w:shd w:val="clear" w:color="auto" w:fill="auto"/>
            <w:noWrap/>
            <w:vAlign w:val="bottom"/>
            <w:hideMark/>
          </w:tcPr>
          <w:p w14:paraId="631CEC1D" w14:textId="7F0C4F27"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86</w:t>
            </w:r>
            <w:r w:rsidR="00BF2258" w:rsidRPr="00BF2258">
              <w:rPr>
                <w:b/>
                <w:sz w:val="18"/>
              </w:rPr>
              <w:t xml:space="preserve"> </w:t>
            </w:r>
            <w:r w:rsidRPr="00BF2258">
              <w:rPr>
                <w:b/>
                <w:sz w:val="18"/>
              </w:rPr>
              <w:t xml:space="preserve">035 </w:t>
            </w:r>
          </w:p>
        </w:tc>
        <w:tc>
          <w:tcPr>
            <w:tcW w:w="512" w:type="pct"/>
            <w:tcBorders>
              <w:top w:val="single" w:sz="4" w:space="0" w:color="auto"/>
              <w:bottom w:val="single" w:sz="4" w:space="0" w:color="auto"/>
            </w:tcBorders>
            <w:shd w:val="clear" w:color="auto" w:fill="auto"/>
            <w:noWrap/>
            <w:vAlign w:val="bottom"/>
            <w:hideMark/>
          </w:tcPr>
          <w:p w14:paraId="679B0716" w14:textId="032362BB"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53</w:t>
            </w:r>
            <w:r w:rsidR="00BF2258" w:rsidRPr="00BF2258">
              <w:rPr>
                <w:b/>
                <w:sz w:val="18"/>
              </w:rPr>
              <w:t xml:space="preserve"> </w:t>
            </w:r>
            <w:r w:rsidRPr="00BF2258">
              <w:rPr>
                <w:b/>
                <w:sz w:val="18"/>
              </w:rPr>
              <w:t xml:space="preserve">889 </w:t>
            </w:r>
          </w:p>
        </w:tc>
      </w:tr>
      <w:tr w:rsidR="00BF2258" w:rsidRPr="00DA21FF" w14:paraId="2DB2BCA3" w14:textId="77777777" w:rsidTr="00E95817">
        <w:trPr>
          <w:trHeight w:val="240"/>
        </w:trPr>
        <w:tc>
          <w:tcPr>
            <w:tcW w:w="1399" w:type="pct"/>
            <w:vMerge/>
            <w:shd w:val="clear" w:color="auto" w:fill="auto"/>
            <w:hideMark/>
          </w:tcPr>
          <w:p w14:paraId="5C2F2441"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178EC5AE"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5B42658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34 %</w:t>
            </w:r>
          </w:p>
        </w:tc>
        <w:tc>
          <w:tcPr>
            <w:tcW w:w="588" w:type="pct"/>
            <w:tcBorders>
              <w:top w:val="single" w:sz="4" w:space="0" w:color="auto"/>
            </w:tcBorders>
            <w:shd w:val="clear" w:color="auto" w:fill="auto"/>
            <w:noWrap/>
            <w:vAlign w:val="bottom"/>
            <w:hideMark/>
          </w:tcPr>
          <w:p w14:paraId="1D3E94B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c>
          <w:tcPr>
            <w:tcW w:w="589" w:type="pct"/>
            <w:tcBorders>
              <w:top w:val="single" w:sz="4" w:space="0" w:color="auto"/>
            </w:tcBorders>
            <w:shd w:val="clear" w:color="auto" w:fill="auto"/>
            <w:noWrap/>
            <w:vAlign w:val="bottom"/>
            <w:hideMark/>
          </w:tcPr>
          <w:p w14:paraId="04DADBD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35 %</w:t>
            </w:r>
          </w:p>
        </w:tc>
        <w:tc>
          <w:tcPr>
            <w:tcW w:w="588" w:type="pct"/>
            <w:tcBorders>
              <w:top w:val="single" w:sz="4" w:space="0" w:color="auto"/>
            </w:tcBorders>
            <w:shd w:val="clear" w:color="auto" w:fill="auto"/>
            <w:noWrap/>
            <w:vAlign w:val="bottom"/>
            <w:hideMark/>
          </w:tcPr>
          <w:p w14:paraId="5B30678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30 %</w:t>
            </w:r>
          </w:p>
        </w:tc>
        <w:tc>
          <w:tcPr>
            <w:tcW w:w="512" w:type="pct"/>
            <w:tcBorders>
              <w:top w:val="single" w:sz="4" w:space="0" w:color="auto"/>
            </w:tcBorders>
            <w:shd w:val="clear" w:color="auto" w:fill="auto"/>
            <w:noWrap/>
            <w:vAlign w:val="bottom"/>
            <w:hideMark/>
          </w:tcPr>
          <w:p w14:paraId="6B0158A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34 %</w:t>
            </w:r>
          </w:p>
        </w:tc>
      </w:tr>
      <w:tr w:rsidR="00BF2258" w:rsidRPr="00DA21FF" w14:paraId="797C1E20" w14:textId="77777777" w:rsidTr="00E95817">
        <w:trPr>
          <w:trHeight w:val="240"/>
        </w:trPr>
        <w:tc>
          <w:tcPr>
            <w:tcW w:w="1399" w:type="pct"/>
            <w:vMerge/>
            <w:shd w:val="clear" w:color="auto" w:fill="auto"/>
            <w:hideMark/>
          </w:tcPr>
          <w:p w14:paraId="3CFB751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15C7857E"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2258E49A"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66 %</w:t>
            </w:r>
          </w:p>
        </w:tc>
        <w:tc>
          <w:tcPr>
            <w:tcW w:w="588" w:type="pct"/>
            <w:tcBorders>
              <w:bottom w:val="single" w:sz="4" w:space="0" w:color="auto"/>
            </w:tcBorders>
            <w:shd w:val="clear" w:color="auto" w:fill="auto"/>
            <w:noWrap/>
            <w:vAlign w:val="bottom"/>
            <w:hideMark/>
          </w:tcPr>
          <w:p w14:paraId="4746B9C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c>
          <w:tcPr>
            <w:tcW w:w="589" w:type="pct"/>
            <w:tcBorders>
              <w:bottom w:val="single" w:sz="4" w:space="0" w:color="auto"/>
            </w:tcBorders>
            <w:shd w:val="clear" w:color="auto" w:fill="auto"/>
            <w:noWrap/>
            <w:vAlign w:val="bottom"/>
            <w:hideMark/>
          </w:tcPr>
          <w:p w14:paraId="7F517B8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65 %</w:t>
            </w:r>
          </w:p>
        </w:tc>
        <w:tc>
          <w:tcPr>
            <w:tcW w:w="588" w:type="pct"/>
            <w:tcBorders>
              <w:bottom w:val="single" w:sz="4" w:space="0" w:color="auto"/>
            </w:tcBorders>
            <w:shd w:val="clear" w:color="auto" w:fill="auto"/>
            <w:noWrap/>
            <w:vAlign w:val="bottom"/>
            <w:hideMark/>
          </w:tcPr>
          <w:p w14:paraId="73FCD66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70 %</w:t>
            </w:r>
          </w:p>
        </w:tc>
        <w:tc>
          <w:tcPr>
            <w:tcW w:w="512" w:type="pct"/>
            <w:tcBorders>
              <w:bottom w:val="single" w:sz="4" w:space="0" w:color="auto"/>
            </w:tcBorders>
            <w:shd w:val="clear" w:color="auto" w:fill="auto"/>
            <w:noWrap/>
            <w:vAlign w:val="bottom"/>
            <w:hideMark/>
          </w:tcPr>
          <w:p w14:paraId="45B986F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66 %</w:t>
            </w:r>
          </w:p>
        </w:tc>
      </w:tr>
      <w:tr w:rsidR="00BF2258" w:rsidRPr="00DA21FF" w14:paraId="4C068AA0" w14:textId="77777777" w:rsidTr="00E95817">
        <w:trPr>
          <w:trHeight w:val="240"/>
        </w:trPr>
        <w:tc>
          <w:tcPr>
            <w:tcW w:w="1399" w:type="pct"/>
            <w:vMerge w:val="restart"/>
            <w:shd w:val="clear" w:color="auto" w:fill="auto"/>
            <w:hideMark/>
          </w:tcPr>
          <w:p w14:paraId="299CB4C0" w14:textId="41065D25"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86 a 88 Actividades de atención de</w:t>
            </w:r>
            <w:r w:rsidR="000E2249">
              <w:rPr>
                <w:sz w:val="18"/>
              </w:rPr>
              <w:t> </w:t>
            </w:r>
            <w:r w:rsidRPr="00DA21FF">
              <w:rPr>
                <w:sz w:val="18"/>
              </w:rPr>
              <w:t>la</w:t>
            </w:r>
            <w:r w:rsidR="000E2249">
              <w:rPr>
                <w:sz w:val="18"/>
              </w:rPr>
              <w:t> </w:t>
            </w:r>
            <w:r w:rsidRPr="00DA21FF">
              <w:rPr>
                <w:sz w:val="18"/>
              </w:rPr>
              <w:t>salud humana y de asistencia social</w:t>
            </w:r>
          </w:p>
        </w:tc>
        <w:tc>
          <w:tcPr>
            <w:tcW w:w="736" w:type="pct"/>
            <w:tcBorders>
              <w:top w:val="single" w:sz="4" w:space="0" w:color="auto"/>
              <w:bottom w:val="single" w:sz="4" w:space="0" w:color="auto"/>
            </w:tcBorders>
            <w:shd w:val="clear" w:color="auto" w:fill="auto"/>
            <w:noWrap/>
            <w:vAlign w:val="bottom"/>
            <w:hideMark/>
          </w:tcPr>
          <w:p w14:paraId="7BCEFECA"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4F1191CE" w14:textId="388294B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587</w:t>
            </w:r>
            <w:r w:rsidR="00BF2258" w:rsidRPr="00BF2258">
              <w:rPr>
                <w:b/>
                <w:sz w:val="18"/>
              </w:rPr>
              <w:t xml:space="preserve"> </w:t>
            </w:r>
            <w:r w:rsidRPr="00BF2258">
              <w:rPr>
                <w:b/>
                <w:sz w:val="18"/>
              </w:rPr>
              <w:t xml:space="preserve">355 </w:t>
            </w:r>
          </w:p>
        </w:tc>
        <w:tc>
          <w:tcPr>
            <w:tcW w:w="588" w:type="pct"/>
            <w:tcBorders>
              <w:top w:val="single" w:sz="4" w:space="0" w:color="auto"/>
              <w:bottom w:val="single" w:sz="4" w:space="0" w:color="auto"/>
            </w:tcBorders>
            <w:shd w:val="clear" w:color="auto" w:fill="auto"/>
            <w:noWrap/>
            <w:vAlign w:val="bottom"/>
            <w:hideMark/>
          </w:tcPr>
          <w:p w14:paraId="70136094" w14:textId="7F6DAD26"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66</w:t>
            </w:r>
            <w:r w:rsidR="00BF2258" w:rsidRPr="00BF2258">
              <w:rPr>
                <w:b/>
                <w:sz w:val="18"/>
              </w:rPr>
              <w:t xml:space="preserve"> </w:t>
            </w:r>
            <w:r w:rsidRPr="00BF2258">
              <w:rPr>
                <w:b/>
                <w:sz w:val="18"/>
              </w:rPr>
              <w:t xml:space="preserve">292 </w:t>
            </w:r>
          </w:p>
        </w:tc>
        <w:tc>
          <w:tcPr>
            <w:tcW w:w="589" w:type="pct"/>
            <w:tcBorders>
              <w:top w:val="single" w:sz="4" w:space="0" w:color="auto"/>
              <w:bottom w:val="single" w:sz="4" w:space="0" w:color="auto"/>
            </w:tcBorders>
            <w:shd w:val="clear" w:color="auto" w:fill="auto"/>
            <w:noWrap/>
            <w:vAlign w:val="bottom"/>
            <w:hideMark/>
          </w:tcPr>
          <w:p w14:paraId="326CF851" w14:textId="4D95BA7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199</w:t>
            </w:r>
            <w:r w:rsidR="00BF2258" w:rsidRPr="00BF2258">
              <w:rPr>
                <w:b/>
                <w:sz w:val="18"/>
              </w:rPr>
              <w:t xml:space="preserve"> </w:t>
            </w:r>
            <w:r w:rsidRPr="00BF2258">
              <w:rPr>
                <w:b/>
                <w:sz w:val="18"/>
              </w:rPr>
              <w:t xml:space="preserve">926 </w:t>
            </w:r>
          </w:p>
        </w:tc>
        <w:tc>
          <w:tcPr>
            <w:tcW w:w="588" w:type="pct"/>
            <w:tcBorders>
              <w:top w:val="single" w:sz="4" w:space="0" w:color="auto"/>
              <w:bottom w:val="single" w:sz="4" w:space="0" w:color="auto"/>
            </w:tcBorders>
            <w:shd w:val="clear" w:color="auto" w:fill="auto"/>
            <w:noWrap/>
            <w:vAlign w:val="bottom"/>
            <w:hideMark/>
          </w:tcPr>
          <w:p w14:paraId="197EFA4B" w14:textId="1CE7BF1D"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189</w:t>
            </w:r>
            <w:r w:rsidR="00BF2258" w:rsidRPr="00BF2258">
              <w:rPr>
                <w:b/>
                <w:sz w:val="18"/>
              </w:rPr>
              <w:t xml:space="preserve"> </w:t>
            </w:r>
            <w:r w:rsidRPr="00BF2258">
              <w:rPr>
                <w:b/>
                <w:sz w:val="18"/>
              </w:rPr>
              <w:t xml:space="preserve">885 </w:t>
            </w:r>
          </w:p>
        </w:tc>
        <w:tc>
          <w:tcPr>
            <w:tcW w:w="512" w:type="pct"/>
            <w:tcBorders>
              <w:top w:val="single" w:sz="4" w:space="0" w:color="auto"/>
              <w:bottom w:val="single" w:sz="4" w:space="0" w:color="auto"/>
            </w:tcBorders>
            <w:shd w:val="clear" w:color="auto" w:fill="auto"/>
            <w:noWrap/>
            <w:vAlign w:val="bottom"/>
            <w:hideMark/>
          </w:tcPr>
          <w:p w14:paraId="3754D1EF" w14:textId="442C6A2F"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131</w:t>
            </w:r>
            <w:r w:rsidR="00BF2258" w:rsidRPr="00BF2258">
              <w:rPr>
                <w:b/>
                <w:sz w:val="18"/>
              </w:rPr>
              <w:t xml:space="preserve"> </w:t>
            </w:r>
            <w:r w:rsidRPr="00BF2258">
              <w:rPr>
                <w:b/>
                <w:sz w:val="18"/>
              </w:rPr>
              <w:t xml:space="preserve">252 </w:t>
            </w:r>
          </w:p>
        </w:tc>
      </w:tr>
      <w:tr w:rsidR="00BF2258" w:rsidRPr="00DA21FF" w14:paraId="1C5F1442" w14:textId="77777777" w:rsidTr="00E95817">
        <w:trPr>
          <w:trHeight w:val="240"/>
        </w:trPr>
        <w:tc>
          <w:tcPr>
            <w:tcW w:w="1399" w:type="pct"/>
            <w:vMerge/>
            <w:shd w:val="clear" w:color="auto" w:fill="auto"/>
            <w:hideMark/>
          </w:tcPr>
          <w:p w14:paraId="3200FCEF"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6AF42A5F"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340A7EA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21 %</w:t>
            </w:r>
          </w:p>
        </w:tc>
        <w:tc>
          <w:tcPr>
            <w:tcW w:w="588" w:type="pct"/>
            <w:tcBorders>
              <w:top w:val="single" w:sz="4" w:space="0" w:color="auto"/>
            </w:tcBorders>
            <w:shd w:val="clear" w:color="auto" w:fill="auto"/>
            <w:noWrap/>
            <w:vAlign w:val="bottom"/>
            <w:hideMark/>
          </w:tcPr>
          <w:p w14:paraId="11A9246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21 %</w:t>
            </w:r>
          </w:p>
        </w:tc>
        <w:tc>
          <w:tcPr>
            <w:tcW w:w="589" w:type="pct"/>
            <w:tcBorders>
              <w:top w:val="single" w:sz="4" w:space="0" w:color="auto"/>
            </w:tcBorders>
            <w:shd w:val="clear" w:color="auto" w:fill="auto"/>
            <w:noWrap/>
            <w:vAlign w:val="bottom"/>
            <w:hideMark/>
          </w:tcPr>
          <w:p w14:paraId="20E77B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22 %</w:t>
            </w:r>
          </w:p>
        </w:tc>
        <w:tc>
          <w:tcPr>
            <w:tcW w:w="588" w:type="pct"/>
            <w:tcBorders>
              <w:top w:val="single" w:sz="4" w:space="0" w:color="auto"/>
            </w:tcBorders>
            <w:shd w:val="clear" w:color="auto" w:fill="auto"/>
            <w:noWrap/>
            <w:vAlign w:val="bottom"/>
            <w:hideMark/>
          </w:tcPr>
          <w:p w14:paraId="6B7630C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19 %</w:t>
            </w:r>
          </w:p>
        </w:tc>
        <w:tc>
          <w:tcPr>
            <w:tcW w:w="512" w:type="pct"/>
            <w:tcBorders>
              <w:top w:val="single" w:sz="4" w:space="0" w:color="auto"/>
            </w:tcBorders>
            <w:shd w:val="clear" w:color="auto" w:fill="auto"/>
            <w:noWrap/>
            <w:vAlign w:val="bottom"/>
            <w:hideMark/>
          </w:tcPr>
          <w:p w14:paraId="30392C23"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20 %</w:t>
            </w:r>
          </w:p>
        </w:tc>
      </w:tr>
      <w:tr w:rsidR="00BF2258" w:rsidRPr="00DA21FF" w14:paraId="7518EA89" w14:textId="77777777" w:rsidTr="00E95817">
        <w:trPr>
          <w:trHeight w:val="240"/>
        </w:trPr>
        <w:tc>
          <w:tcPr>
            <w:tcW w:w="1399" w:type="pct"/>
            <w:vMerge/>
            <w:shd w:val="clear" w:color="auto" w:fill="auto"/>
            <w:hideMark/>
          </w:tcPr>
          <w:p w14:paraId="0698DDC7"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3180DECE"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37F0519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79 %</w:t>
            </w:r>
          </w:p>
        </w:tc>
        <w:tc>
          <w:tcPr>
            <w:tcW w:w="588" w:type="pct"/>
            <w:tcBorders>
              <w:bottom w:val="single" w:sz="4" w:space="0" w:color="auto"/>
            </w:tcBorders>
            <w:shd w:val="clear" w:color="auto" w:fill="auto"/>
            <w:noWrap/>
            <w:vAlign w:val="bottom"/>
            <w:hideMark/>
          </w:tcPr>
          <w:p w14:paraId="1975DB2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79 %</w:t>
            </w:r>
          </w:p>
        </w:tc>
        <w:tc>
          <w:tcPr>
            <w:tcW w:w="589" w:type="pct"/>
            <w:tcBorders>
              <w:bottom w:val="single" w:sz="4" w:space="0" w:color="auto"/>
            </w:tcBorders>
            <w:shd w:val="clear" w:color="auto" w:fill="auto"/>
            <w:noWrap/>
            <w:vAlign w:val="bottom"/>
            <w:hideMark/>
          </w:tcPr>
          <w:p w14:paraId="596538D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78 %</w:t>
            </w:r>
          </w:p>
        </w:tc>
        <w:tc>
          <w:tcPr>
            <w:tcW w:w="588" w:type="pct"/>
            <w:tcBorders>
              <w:bottom w:val="single" w:sz="4" w:space="0" w:color="auto"/>
            </w:tcBorders>
            <w:shd w:val="clear" w:color="auto" w:fill="auto"/>
            <w:noWrap/>
            <w:vAlign w:val="bottom"/>
            <w:hideMark/>
          </w:tcPr>
          <w:p w14:paraId="1B42697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81 %</w:t>
            </w:r>
          </w:p>
        </w:tc>
        <w:tc>
          <w:tcPr>
            <w:tcW w:w="512" w:type="pct"/>
            <w:tcBorders>
              <w:bottom w:val="single" w:sz="4" w:space="0" w:color="auto"/>
            </w:tcBorders>
            <w:shd w:val="clear" w:color="auto" w:fill="auto"/>
            <w:noWrap/>
            <w:vAlign w:val="bottom"/>
            <w:hideMark/>
          </w:tcPr>
          <w:p w14:paraId="5DD5FB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80 %</w:t>
            </w:r>
          </w:p>
        </w:tc>
      </w:tr>
      <w:tr w:rsidR="00BF2258" w:rsidRPr="00DA21FF" w14:paraId="0616DF5F" w14:textId="77777777" w:rsidTr="00E95817">
        <w:trPr>
          <w:trHeight w:val="240"/>
        </w:trPr>
        <w:tc>
          <w:tcPr>
            <w:tcW w:w="1399" w:type="pct"/>
            <w:vMerge w:val="restart"/>
            <w:shd w:val="clear" w:color="auto" w:fill="auto"/>
            <w:hideMark/>
          </w:tcPr>
          <w:p w14:paraId="57EA7C1C"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90 a 99 Otras actividades de servicios</w:t>
            </w:r>
          </w:p>
        </w:tc>
        <w:tc>
          <w:tcPr>
            <w:tcW w:w="736" w:type="pct"/>
            <w:tcBorders>
              <w:top w:val="single" w:sz="4" w:space="0" w:color="auto"/>
              <w:bottom w:val="single" w:sz="4" w:space="0" w:color="auto"/>
            </w:tcBorders>
            <w:shd w:val="clear" w:color="auto" w:fill="auto"/>
            <w:noWrap/>
            <w:vAlign w:val="bottom"/>
            <w:hideMark/>
          </w:tcPr>
          <w:p w14:paraId="59A81F34"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hideMark/>
          </w:tcPr>
          <w:p w14:paraId="21C1F059" w14:textId="77777777"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Total </w:t>
            </w:r>
          </w:p>
        </w:tc>
        <w:tc>
          <w:tcPr>
            <w:tcW w:w="588" w:type="pct"/>
            <w:tcBorders>
              <w:top w:val="single" w:sz="4" w:space="0" w:color="auto"/>
              <w:bottom w:val="single" w:sz="4" w:space="0" w:color="auto"/>
            </w:tcBorders>
            <w:shd w:val="clear" w:color="auto" w:fill="auto"/>
            <w:noWrap/>
            <w:vAlign w:val="bottom"/>
            <w:hideMark/>
          </w:tcPr>
          <w:p w14:paraId="282E53BC" w14:textId="4AB6AF6A"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119</w:t>
            </w:r>
            <w:r w:rsidR="00BF2258" w:rsidRPr="00BF2258">
              <w:rPr>
                <w:b/>
                <w:sz w:val="18"/>
              </w:rPr>
              <w:t xml:space="preserve"> </w:t>
            </w:r>
            <w:r w:rsidRPr="00BF2258">
              <w:rPr>
                <w:b/>
                <w:sz w:val="18"/>
              </w:rPr>
              <w:t xml:space="preserve">521 </w:t>
            </w:r>
          </w:p>
        </w:tc>
        <w:tc>
          <w:tcPr>
            <w:tcW w:w="589" w:type="pct"/>
            <w:tcBorders>
              <w:top w:val="single" w:sz="4" w:space="0" w:color="auto"/>
              <w:bottom w:val="single" w:sz="4" w:space="0" w:color="auto"/>
            </w:tcBorders>
            <w:shd w:val="clear" w:color="auto" w:fill="auto"/>
            <w:noWrap/>
            <w:vAlign w:val="bottom"/>
            <w:hideMark/>
          </w:tcPr>
          <w:p w14:paraId="144F1F21" w14:textId="50DE68F8"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21</w:t>
            </w:r>
            <w:r w:rsidR="00BF2258" w:rsidRPr="00BF2258">
              <w:rPr>
                <w:b/>
                <w:sz w:val="18"/>
              </w:rPr>
              <w:t xml:space="preserve"> </w:t>
            </w:r>
            <w:r w:rsidRPr="00BF2258">
              <w:rPr>
                <w:b/>
                <w:sz w:val="18"/>
              </w:rPr>
              <w:t xml:space="preserve">431 </w:t>
            </w:r>
          </w:p>
        </w:tc>
        <w:tc>
          <w:tcPr>
            <w:tcW w:w="588" w:type="pct"/>
            <w:tcBorders>
              <w:top w:val="single" w:sz="4" w:space="0" w:color="auto"/>
              <w:bottom w:val="single" w:sz="4" w:space="0" w:color="auto"/>
            </w:tcBorders>
            <w:shd w:val="clear" w:color="auto" w:fill="auto"/>
            <w:noWrap/>
            <w:vAlign w:val="bottom"/>
            <w:hideMark/>
          </w:tcPr>
          <w:p w14:paraId="3A69E192" w14:textId="35997A7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35</w:t>
            </w:r>
            <w:r w:rsidR="00BF2258" w:rsidRPr="00BF2258">
              <w:rPr>
                <w:b/>
                <w:sz w:val="18"/>
              </w:rPr>
              <w:t xml:space="preserve"> </w:t>
            </w:r>
            <w:r w:rsidRPr="00BF2258">
              <w:rPr>
                <w:b/>
                <w:sz w:val="18"/>
              </w:rPr>
              <w:t xml:space="preserve">946 </w:t>
            </w:r>
          </w:p>
        </w:tc>
        <w:tc>
          <w:tcPr>
            <w:tcW w:w="512" w:type="pct"/>
            <w:tcBorders>
              <w:top w:val="single" w:sz="4" w:space="0" w:color="auto"/>
              <w:bottom w:val="single" w:sz="4" w:space="0" w:color="auto"/>
            </w:tcBorders>
            <w:shd w:val="clear" w:color="auto" w:fill="auto"/>
            <w:noWrap/>
            <w:vAlign w:val="bottom"/>
            <w:hideMark/>
          </w:tcPr>
          <w:p w14:paraId="0AFF7ACE" w14:textId="48A88C8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34</w:t>
            </w:r>
            <w:r w:rsidR="00BF2258" w:rsidRPr="00BF2258">
              <w:rPr>
                <w:b/>
                <w:sz w:val="18"/>
              </w:rPr>
              <w:t xml:space="preserve"> </w:t>
            </w:r>
            <w:r w:rsidRPr="00BF2258">
              <w:rPr>
                <w:b/>
                <w:sz w:val="18"/>
              </w:rPr>
              <w:t xml:space="preserve">248 </w:t>
            </w:r>
          </w:p>
        </w:tc>
      </w:tr>
      <w:tr w:rsidR="00BF2258" w:rsidRPr="00DA21FF" w14:paraId="6B7E9B05" w14:textId="77777777" w:rsidTr="00E95817">
        <w:trPr>
          <w:trHeight w:val="240"/>
        </w:trPr>
        <w:tc>
          <w:tcPr>
            <w:tcW w:w="1399" w:type="pct"/>
            <w:vMerge/>
            <w:shd w:val="clear" w:color="auto" w:fill="auto"/>
            <w:hideMark/>
          </w:tcPr>
          <w:p w14:paraId="3683EB45"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hideMark/>
          </w:tcPr>
          <w:p w14:paraId="7DE592E6"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hideMark/>
          </w:tcPr>
          <w:p w14:paraId="6B4183C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Hombres</w:t>
            </w:r>
          </w:p>
        </w:tc>
        <w:tc>
          <w:tcPr>
            <w:tcW w:w="588" w:type="pct"/>
            <w:tcBorders>
              <w:top w:val="single" w:sz="4" w:space="0" w:color="auto"/>
            </w:tcBorders>
            <w:shd w:val="clear" w:color="auto" w:fill="auto"/>
            <w:noWrap/>
            <w:vAlign w:val="bottom"/>
            <w:hideMark/>
          </w:tcPr>
          <w:p w14:paraId="4B695DCE"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43 %</w:t>
            </w:r>
          </w:p>
        </w:tc>
        <w:tc>
          <w:tcPr>
            <w:tcW w:w="589" w:type="pct"/>
            <w:tcBorders>
              <w:top w:val="single" w:sz="4" w:space="0" w:color="auto"/>
            </w:tcBorders>
            <w:shd w:val="clear" w:color="auto" w:fill="auto"/>
            <w:noWrap/>
            <w:vAlign w:val="bottom"/>
            <w:hideMark/>
          </w:tcPr>
          <w:p w14:paraId="2440930F"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41 %</w:t>
            </w:r>
          </w:p>
        </w:tc>
        <w:tc>
          <w:tcPr>
            <w:tcW w:w="588" w:type="pct"/>
            <w:tcBorders>
              <w:top w:val="single" w:sz="4" w:space="0" w:color="auto"/>
            </w:tcBorders>
            <w:shd w:val="clear" w:color="auto" w:fill="auto"/>
            <w:noWrap/>
            <w:vAlign w:val="bottom"/>
            <w:hideMark/>
          </w:tcPr>
          <w:p w14:paraId="5C567D84"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40 %</w:t>
            </w:r>
          </w:p>
        </w:tc>
        <w:tc>
          <w:tcPr>
            <w:tcW w:w="512" w:type="pct"/>
            <w:tcBorders>
              <w:top w:val="single" w:sz="4" w:space="0" w:color="auto"/>
            </w:tcBorders>
            <w:shd w:val="clear" w:color="auto" w:fill="auto"/>
            <w:noWrap/>
            <w:vAlign w:val="bottom"/>
            <w:hideMark/>
          </w:tcPr>
          <w:p w14:paraId="7D1A0D5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r>
      <w:tr w:rsidR="00BF2258" w:rsidRPr="00DA21FF" w14:paraId="09842465" w14:textId="77777777" w:rsidTr="00E95817">
        <w:trPr>
          <w:trHeight w:val="240"/>
        </w:trPr>
        <w:tc>
          <w:tcPr>
            <w:tcW w:w="1399" w:type="pct"/>
            <w:vMerge/>
            <w:shd w:val="clear" w:color="auto" w:fill="auto"/>
            <w:hideMark/>
          </w:tcPr>
          <w:p w14:paraId="730DF58A"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4" w:space="0" w:color="auto"/>
            </w:tcBorders>
            <w:shd w:val="clear" w:color="auto" w:fill="auto"/>
            <w:noWrap/>
            <w:vAlign w:val="bottom"/>
            <w:hideMark/>
          </w:tcPr>
          <w:p w14:paraId="7991B088"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4" w:space="0" w:color="auto"/>
            </w:tcBorders>
            <w:shd w:val="clear" w:color="auto" w:fill="auto"/>
            <w:noWrap/>
            <w:vAlign w:val="bottom"/>
            <w:hideMark/>
          </w:tcPr>
          <w:p w14:paraId="652E45EB"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Mujeres</w:t>
            </w:r>
          </w:p>
        </w:tc>
        <w:tc>
          <w:tcPr>
            <w:tcW w:w="588" w:type="pct"/>
            <w:tcBorders>
              <w:bottom w:val="single" w:sz="4" w:space="0" w:color="auto"/>
            </w:tcBorders>
            <w:shd w:val="clear" w:color="auto" w:fill="auto"/>
            <w:noWrap/>
            <w:vAlign w:val="bottom"/>
            <w:hideMark/>
          </w:tcPr>
          <w:p w14:paraId="3B3D339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57 %</w:t>
            </w:r>
          </w:p>
        </w:tc>
        <w:tc>
          <w:tcPr>
            <w:tcW w:w="589" w:type="pct"/>
            <w:tcBorders>
              <w:bottom w:val="single" w:sz="4" w:space="0" w:color="auto"/>
            </w:tcBorders>
            <w:shd w:val="clear" w:color="auto" w:fill="auto"/>
            <w:noWrap/>
            <w:vAlign w:val="bottom"/>
            <w:hideMark/>
          </w:tcPr>
          <w:p w14:paraId="35F1254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59 %</w:t>
            </w:r>
          </w:p>
        </w:tc>
        <w:tc>
          <w:tcPr>
            <w:tcW w:w="588" w:type="pct"/>
            <w:tcBorders>
              <w:bottom w:val="single" w:sz="4" w:space="0" w:color="auto"/>
            </w:tcBorders>
            <w:shd w:val="clear" w:color="auto" w:fill="auto"/>
            <w:noWrap/>
            <w:vAlign w:val="bottom"/>
            <w:hideMark/>
          </w:tcPr>
          <w:p w14:paraId="7F303DE7"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60 %</w:t>
            </w:r>
          </w:p>
        </w:tc>
        <w:tc>
          <w:tcPr>
            <w:tcW w:w="512" w:type="pct"/>
            <w:tcBorders>
              <w:bottom w:val="single" w:sz="4" w:space="0" w:color="auto"/>
            </w:tcBorders>
            <w:shd w:val="clear" w:color="auto" w:fill="auto"/>
            <w:noWrap/>
            <w:vAlign w:val="bottom"/>
            <w:hideMark/>
          </w:tcPr>
          <w:p w14:paraId="78C3C5B2"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r>
      <w:tr w:rsidR="00BF2258" w:rsidRPr="00DA21FF" w14:paraId="58E64E12" w14:textId="77777777" w:rsidTr="00E95817">
        <w:trPr>
          <w:trHeight w:val="240"/>
        </w:trPr>
        <w:tc>
          <w:tcPr>
            <w:tcW w:w="1399" w:type="pct"/>
            <w:shd w:val="clear" w:color="auto" w:fill="auto"/>
          </w:tcPr>
          <w:p w14:paraId="2D74EB5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Desconocida</w:t>
            </w:r>
          </w:p>
        </w:tc>
        <w:tc>
          <w:tcPr>
            <w:tcW w:w="736" w:type="pct"/>
            <w:tcBorders>
              <w:top w:val="single" w:sz="4" w:space="0" w:color="auto"/>
              <w:bottom w:val="single" w:sz="4" w:space="0" w:color="auto"/>
            </w:tcBorders>
            <w:shd w:val="clear" w:color="auto" w:fill="auto"/>
            <w:noWrap/>
            <w:vAlign w:val="bottom"/>
          </w:tcPr>
          <w:p w14:paraId="79764338" w14:textId="77777777" w:rsidR="00DA21FF" w:rsidRPr="00BF2258" w:rsidRDefault="00DA21FF" w:rsidP="00BF2258">
            <w:pPr>
              <w:pStyle w:val="SingleTxtG"/>
              <w:tabs>
                <w:tab w:val="clear" w:pos="1701"/>
                <w:tab w:val="clear" w:pos="2268"/>
                <w:tab w:val="clear" w:pos="2835"/>
              </w:tabs>
              <w:spacing w:before="80" w:after="80" w:line="220" w:lineRule="exact"/>
              <w:ind w:left="284" w:right="0"/>
              <w:jc w:val="left"/>
              <w:rPr>
                <w:b/>
                <w:sz w:val="18"/>
                <w:lang w:val="en-GB"/>
              </w:rPr>
            </w:pPr>
            <w:r w:rsidRPr="00BF2258">
              <w:rPr>
                <w:b/>
                <w:sz w:val="18"/>
              </w:rPr>
              <w:t xml:space="preserve">Total </w:t>
            </w:r>
          </w:p>
        </w:tc>
        <w:tc>
          <w:tcPr>
            <w:tcW w:w="589" w:type="pct"/>
            <w:tcBorders>
              <w:top w:val="single" w:sz="4" w:space="0" w:color="auto"/>
              <w:bottom w:val="single" w:sz="4" w:space="0" w:color="auto"/>
            </w:tcBorders>
            <w:shd w:val="clear" w:color="auto" w:fill="auto"/>
            <w:noWrap/>
            <w:vAlign w:val="bottom"/>
          </w:tcPr>
          <w:p w14:paraId="48FDC5E3" w14:textId="2BDA3303"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18</w:t>
            </w:r>
            <w:r w:rsidR="00BF2258" w:rsidRPr="00BF2258">
              <w:rPr>
                <w:b/>
                <w:sz w:val="18"/>
              </w:rPr>
              <w:t xml:space="preserve"> </w:t>
            </w:r>
            <w:r w:rsidRPr="00BF2258">
              <w:rPr>
                <w:b/>
                <w:sz w:val="18"/>
              </w:rPr>
              <w:t xml:space="preserve">877 </w:t>
            </w:r>
          </w:p>
        </w:tc>
        <w:tc>
          <w:tcPr>
            <w:tcW w:w="588" w:type="pct"/>
            <w:tcBorders>
              <w:top w:val="single" w:sz="4" w:space="0" w:color="auto"/>
              <w:bottom w:val="single" w:sz="4" w:space="0" w:color="auto"/>
            </w:tcBorders>
            <w:shd w:val="clear" w:color="auto" w:fill="auto"/>
            <w:noWrap/>
            <w:vAlign w:val="bottom"/>
          </w:tcPr>
          <w:p w14:paraId="4A9D69C2" w14:textId="77777777"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715 </w:t>
            </w:r>
          </w:p>
        </w:tc>
        <w:tc>
          <w:tcPr>
            <w:tcW w:w="589" w:type="pct"/>
            <w:tcBorders>
              <w:top w:val="single" w:sz="4" w:space="0" w:color="auto"/>
              <w:bottom w:val="single" w:sz="4" w:space="0" w:color="auto"/>
            </w:tcBorders>
            <w:shd w:val="clear" w:color="auto" w:fill="auto"/>
            <w:noWrap/>
            <w:vAlign w:val="bottom"/>
          </w:tcPr>
          <w:p w14:paraId="13EF1E95" w14:textId="7ADEA7C9"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2</w:t>
            </w:r>
            <w:r w:rsidR="00BF2258" w:rsidRPr="00BF2258">
              <w:rPr>
                <w:b/>
                <w:sz w:val="18"/>
              </w:rPr>
              <w:t xml:space="preserve"> </w:t>
            </w:r>
            <w:r w:rsidRPr="00BF2258">
              <w:rPr>
                <w:b/>
                <w:sz w:val="18"/>
              </w:rPr>
              <w:t xml:space="preserve">657 </w:t>
            </w:r>
          </w:p>
        </w:tc>
        <w:tc>
          <w:tcPr>
            <w:tcW w:w="588" w:type="pct"/>
            <w:tcBorders>
              <w:top w:val="single" w:sz="4" w:space="0" w:color="auto"/>
              <w:bottom w:val="single" w:sz="4" w:space="0" w:color="auto"/>
            </w:tcBorders>
            <w:shd w:val="clear" w:color="auto" w:fill="auto"/>
            <w:noWrap/>
            <w:vAlign w:val="bottom"/>
          </w:tcPr>
          <w:p w14:paraId="5774EB35" w14:textId="52A6C7C4"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5</w:t>
            </w:r>
            <w:r w:rsidR="00BF2258" w:rsidRPr="00BF2258">
              <w:rPr>
                <w:b/>
                <w:sz w:val="18"/>
              </w:rPr>
              <w:t xml:space="preserve"> </w:t>
            </w:r>
            <w:r w:rsidRPr="00BF2258">
              <w:rPr>
                <w:b/>
                <w:sz w:val="18"/>
              </w:rPr>
              <w:t xml:space="preserve">027 </w:t>
            </w:r>
          </w:p>
        </w:tc>
        <w:tc>
          <w:tcPr>
            <w:tcW w:w="512" w:type="pct"/>
            <w:tcBorders>
              <w:top w:val="single" w:sz="4" w:space="0" w:color="auto"/>
              <w:bottom w:val="single" w:sz="4" w:space="0" w:color="auto"/>
            </w:tcBorders>
            <w:shd w:val="clear" w:color="auto" w:fill="auto"/>
            <w:noWrap/>
            <w:vAlign w:val="bottom"/>
          </w:tcPr>
          <w:p w14:paraId="3B70291F" w14:textId="3C2B9201" w:rsidR="00DA21FF" w:rsidRPr="00BF2258" w:rsidRDefault="00DA21FF" w:rsidP="00BF2258">
            <w:pPr>
              <w:pStyle w:val="SingleTxtG"/>
              <w:tabs>
                <w:tab w:val="clear" w:pos="1701"/>
                <w:tab w:val="clear" w:pos="2268"/>
                <w:tab w:val="clear" w:pos="2835"/>
              </w:tabs>
              <w:spacing w:before="80" w:after="80" w:line="220" w:lineRule="exact"/>
              <w:ind w:left="113" w:right="0"/>
              <w:jc w:val="right"/>
              <w:rPr>
                <w:b/>
                <w:sz w:val="18"/>
                <w:lang w:val="en-GB"/>
              </w:rPr>
            </w:pPr>
            <w:r w:rsidRPr="00BF2258">
              <w:rPr>
                <w:b/>
                <w:sz w:val="18"/>
              </w:rPr>
              <w:t xml:space="preserve"> 10</w:t>
            </w:r>
            <w:r w:rsidR="00BF2258" w:rsidRPr="00BF2258">
              <w:rPr>
                <w:b/>
                <w:sz w:val="18"/>
              </w:rPr>
              <w:t xml:space="preserve"> </w:t>
            </w:r>
            <w:r w:rsidRPr="00BF2258">
              <w:rPr>
                <w:b/>
                <w:sz w:val="18"/>
              </w:rPr>
              <w:t xml:space="preserve">478 </w:t>
            </w:r>
          </w:p>
        </w:tc>
      </w:tr>
      <w:tr w:rsidR="00BF2258" w:rsidRPr="00DA21FF" w14:paraId="1BD50990" w14:textId="77777777" w:rsidTr="00E95817">
        <w:trPr>
          <w:trHeight w:val="240"/>
        </w:trPr>
        <w:tc>
          <w:tcPr>
            <w:tcW w:w="1399" w:type="pct"/>
            <w:shd w:val="clear" w:color="auto" w:fill="auto"/>
          </w:tcPr>
          <w:p w14:paraId="164DF124"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top w:val="single" w:sz="4" w:space="0" w:color="auto"/>
            </w:tcBorders>
            <w:shd w:val="clear" w:color="auto" w:fill="auto"/>
            <w:noWrap/>
            <w:vAlign w:val="bottom"/>
          </w:tcPr>
          <w:p w14:paraId="4728BB6F"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Hombres</w:t>
            </w:r>
          </w:p>
        </w:tc>
        <w:tc>
          <w:tcPr>
            <w:tcW w:w="589" w:type="pct"/>
            <w:tcBorders>
              <w:top w:val="single" w:sz="4" w:space="0" w:color="auto"/>
            </w:tcBorders>
            <w:shd w:val="clear" w:color="auto" w:fill="auto"/>
            <w:noWrap/>
            <w:vAlign w:val="bottom"/>
          </w:tcPr>
          <w:p w14:paraId="00AB648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c>
          <w:tcPr>
            <w:tcW w:w="588" w:type="pct"/>
            <w:tcBorders>
              <w:top w:val="single" w:sz="4" w:space="0" w:color="auto"/>
            </w:tcBorders>
            <w:shd w:val="clear" w:color="auto" w:fill="auto"/>
            <w:noWrap/>
            <w:vAlign w:val="bottom"/>
          </w:tcPr>
          <w:p w14:paraId="4A3B277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52 %</w:t>
            </w:r>
          </w:p>
        </w:tc>
        <w:tc>
          <w:tcPr>
            <w:tcW w:w="589" w:type="pct"/>
            <w:tcBorders>
              <w:top w:val="single" w:sz="4" w:space="0" w:color="auto"/>
            </w:tcBorders>
            <w:shd w:val="clear" w:color="auto" w:fill="auto"/>
            <w:noWrap/>
            <w:vAlign w:val="bottom"/>
          </w:tcPr>
          <w:p w14:paraId="5A64E295"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53 %</w:t>
            </w:r>
          </w:p>
        </w:tc>
        <w:tc>
          <w:tcPr>
            <w:tcW w:w="588" w:type="pct"/>
            <w:tcBorders>
              <w:top w:val="single" w:sz="4" w:space="0" w:color="auto"/>
            </w:tcBorders>
            <w:shd w:val="clear" w:color="auto" w:fill="auto"/>
            <w:noWrap/>
            <w:vAlign w:val="bottom"/>
          </w:tcPr>
          <w:p w14:paraId="6B554CD6"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58 %</w:t>
            </w:r>
          </w:p>
        </w:tc>
        <w:tc>
          <w:tcPr>
            <w:tcW w:w="512" w:type="pct"/>
            <w:tcBorders>
              <w:top w:val="single" w:sz="4" w:space="0" w:color="auto"/>
            </w:tcBorders>
            <w:shd w:val="clear" w:color="auto" w:fill="auto"/>
            <w:noWrap/>
            <w:vAlign w:val="bottom"/>
          </w:tcPr>
          <w:p w14:paraId="42719E5C"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56 %</w:t>
            </w:r>
          </w:p>
        </w:tc>
      </w:tr>
      <w:tr w:rsidR="00BF2258" w:rsidRPr="00DA21FF" w14:paraId="6594B6C0" w14:textId="77777777" w:rsidTr="00BF2258">
        <w:trPr>
          <w:trHeight w:val="240"/>
        </w:trPr>
        <w:tc>
          <w:tcPr>
            <w:tcW w:w="1399" w:type="pct"/>
            <w:tcBorders>
              <w:bottom w:val="single" w:sz="12" w:space="0" w:color="auto"/>
            </w:tcBorders>
            <w:shd w:val="clear" w:color="auto" w:fill="auto"/>
          </w:tcPr>
          <w:p w14:paraId="56DCA07E" w14:textId="77777777" w:rsidR="00DA21FF" w:rsidRPr="00DA21FF" w:rsidRDefault="00DA21FF" w:rsidP="00680417">
            <w:pPr>
              <w:pStyle w:val="SingleTxtG"/>
              <w:tabs>
                <w:tab w:val="clear" w:pos="1701"/>
                <w:tab w:val="clear" w:pos="2268"/>
                <w:tab w:val="clear" w:pos="2835"/>
              </w:tabs>
              <w:spacing w:before="40" w:after="40" w:line="220" w:lineRule="exact"/>
              <w:ind w:left="0" w:right="0"/>
              <w:jc w:val="left"/>
              <w:rPr>
                <w:sz w:val="18"/>
                <w:lang w:val="en-GB"/>
              </w:rPr>
            </w:pPr>
          </w:p>
        </w:tc>
        <w:tc>
          <w:tcPr>
            <w:tcW w:w="736" w:type="pct"/>
            <w:tcBorders>
              <w:bottom w:val="single" w:sz="12" w:space="0" w:color="auto"/>
            </w:tcBorders>
            <w:shd w:val="clear" w:color="auto" w:fill="auto"/>
            <w:noWrap/>
            <w:vAlign w:val="bottom"/>
          </w:tcPr>
          <w:p w14:paraId="6905F10A" w14:textId="77777777" w:rsidR="00DA21FF" w:rsidRPr="00DA21FF" w:rsidRDefault="00DA21FF" w:rsidP="00BF2258">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Mujeres</w:t>
            </w:r>
          </w:p>
        </w:tc>
        <w:tc>
          <w:tcPr>
            <w:tcW w:w="589" w:type="pct"/>
            <w:tcBorders>
              <w:bottom w:val="single" w:sz="12" w:space="0" w:color="auto"/>
            </w:tcBorders>
            <w:shd w:val="clear" w:color="auto" w:fill="auto"/>
            <w:noWrap/>
            <w:vAlign w:val="bottom"/>
          </w:tcPr>
          <w:p w14:paraId="23FD02B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c>
          <w:tcPr>
            <w:tcW w:w="588" w:type="pct"/>
            <w:tcBorders>
              <w:bottom w:val="single" w:sz="12" w:space="0" w:color="auto"/>
            </w:tcBorders>
            <w:shd w:val="clear" w:color="auto" w:fill="auto"/>
            <w:noWrap/>
            <w:vAlign w:val="bottom"/>
          </w:tcPr>
          <w:p w14:paraId="3C5E30E0"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48 %</w:t>
            </w:r>
          </w:p>
        </w:tc>
        <w:tc>
          <w:tcPr>
            <w:tcW w:w="589" w:type="pct"/>
            <w:tcBorders>
              <w:bottom w:val="single" w:sz="12" w:space="0" w:color="auto"/>
            </w:tcBorders>
            <w:shd w:val="clear" w:color="auto" w:fill="auto"/>
            <w:noWrap/>
            <w:vAlign w:val="bottom"/>
          </w:tcPr>
          <w:p w14:paraId="0485C7A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47 %</w:t>
            </w:r>
          </w:p>
        </w:tc>
        <w:tc>
          <w:tcPr>
            <w:tcW w:w="588" w:type="pct"/>
            <w:tcBorders>
              <w:bottom w:val="single" w:sz="12" w:space="0" w:color="auto"/>
            </w:tcBorders>
            <w:shd w:val="clear" w:color="auto" w:fill="auto"/>
            <w:noWrap/>
            <w:vAlign w:val="bottom"/>
          </w:tcPr>
          <w:p w14:paraId="1B496069"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42 %</w:t>
            </w:r>
          </w:p>
        </w:tc>
        <w:tc>
          <w:tcPr>
            <w:tcW w:w="512" w:type="pct"/>
            <w:tcBorders>
              <w:bottom w:val="single" w:sz="12" w:space="0" w:color="auto"/>
            </w:tcBorders>
            <w:shd w:val="clear" w:color="auto" w:fill="auto"/>
            <w:noWrap/>
            <w:vAlign w:val="bottom"/>
          </w:tcPr>
          <w:p w14:paraId="69045098" w14:textId="77777777" w:rsidR="00DA21FF" w:rsidRPr="00DA21FF" w:rsidRDefault="00DA21FF" w:rsidP="00680417">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44 %</w:t>
            </w:r>
          </w:p>
        </w:tc>
      </w:tr>
    </w:tbl>
    <w:p w14:paraId="1533D44C" w14:textId="77777777" w:rsidR="00DA21FF" w:rsidRPr="003F1C60" w:rsidRDefault="00DA21FF" w:rsidP="00BF2258">
      <w:pPr>
        <w:pStyle w:val="SingleTxtG"/>
        <w:spacing w:before="120" w:after="240"/>
        <w:ind w:left="170"/>
        <w:jc w:val="left"/>
        <w:rPr>
          <w:sz w:val="18"/>
          <w:szCs w:val="18"/>
        </w:rPr>
      </w:pPr>
      <w:r w:rsidRPr="00BF2258">
        <w:rPr>
          <w:i/>
          <w:sz w:val="18"/>
          <w:szCs w:val="18"/>
        </w:rPr>
        <w:t>Fuente:</w:t>
      </w:r>
      <w:r w:rsidRPr="003F1C60">
        <w:rPr>
          <w:sz w:val="18"/>
          <w:szCs w:val="18"/>
        </w:rPr>
        <w:t xml:space="preserve"> Datos del registro, Instituto Nacional de Estadística de Noruega.</w:t>
      </w:r>
    </w:p>
    <w:p w14:paraId="00641459" w14:textId="77777777" w:rsidR="00DA21FF" w:rsidRPr="00DA21FF" w:rsidRDefault="00DA21FF" w:rsidP="00DA21FF">
      <w:pPr>
        <w:pStyle w:val="SingleTxtG"/>
        <w:rPr>
          <w:lang w:val="en-GB"/>
        </w:rPr>
      </w:pPr>
      <w:r w:rsidRPr="00DA21FF">
        <w:lastRenderedPageBreak/>
        <w:t>49.</w:t>
      </w:r>
      <w:r w:rsidRPr="00DA21FF">
        <w:tab/>
        <w:t xml:space="preserve">En 2023, el 68,2 % de los </w:t>
      </w:r>
      <w:r w:rsidRPr="00117F19">
        <w:rPr>
          <w:u w:val="single"/>
        </w:rPr>
        <w:t>inmigrantes</w:t>
      </w:r>
      <w:r w:rsidRPr="00DA21FF">
        <w:t xml:space="preserve"> de entre 20 y 66 años tenían un empleo. Los inmigrantes procedentes de los países nórdicos registraron la tasa de empleo más elevada, con un 80,5 % en 2023, como se muestra en el cuadro siguiente. Los inmigrantes procedentes de países europeos no pertenecientes a la UE/AELC/Reino Unido, y de Asia y África registraron las tasas de empleo más bajas. En general, las mujeres tenían una tasa de empleo inferior a la de los hombres. </w:t>
      </w:r>
    </w:p>
    <w:p w14:paraId="1A6D384E" w14:textId="652AE61B" w:rsidR="00DA21FF" w:rsidRPr="00DA21FF" w:rsidRDefault="00BF2258" w:rsidP="00BF2258">
      <w:pPr>
        <w:pStyle w:val="H23G"/>
        <w:rPr>
          <w:lang w:val="en-GB"/>
        </w:rPr>
      </w:pPr>
      <w:r>
        <w:tab/>
      </w:r>
      <w:r w:rsidR="00DA21FF" w:rsidRPr="00DA21FF">
        <w:tab/>
        <w:t xml:space="preserve">Porcentaje de inmigrantes empleados en relación con la población, por origen. </w:t>
      </w:r>
      <w:r>
        <w:br/>
        <w:t>D</w:t>
      </w:r>
      <w:r w:rsidR="00DA21FF" w:rsidRPr="00DA21FF">
        <w:t xml:space="preserve">e 20 a 66 años. 2021 a 2023. </w:t>
      </w:r>
      <w:proofErr w:type="spellStart"/>
      <w:r w:rsidR="00DA21FF" w:rsidRPr="00DA21FF">
        <w:t>4T</w:t>
      </w:r>
      <w:proofErr w:type="spellEnd"/>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45"/>
        <w:gridCol w:w="494"/>
        <w:gridCol w:w="491"/>
        <w:gridCol w:w="492"/>
        <w:gridCol w:w="492"/>
        <w:gridCol w:w="492"/>
        <w:gridCol w:w="492"/>
        <w:gridCol w:w="492"/>
        <w:gridCol w:w="492"/>
        <w:gridCol w:w="488"/>
      </w:tblGrid>
      <w:tr w:rsidR="00A36AA3" w:rsidRPr="00A36AA3" w14:paraId="42FF16BD" w14:textId="77777777" w:rsidTr="002E0A90">
        <w:trPr>
          <w:trHeight w:val="240"/>
          <w:tblHeader/>
        </w:trPr>
        <w:tc>
          <w:tcPr>
            <w:tcW w:w="1635" w:type="pct"/>
            <w:vMerge w:val="restart"/>
            <w:tcBorders>
              <w:top w:val="single" w:sz="4" w:space="0" w:color="auto"/>
              <w:bottom w:val="single" w:sz="12" w:space="0" w:color="auto"/>
            </w:tcBorders>
            <w:shd w:val="clear" w:color="auto" w:fill="auto"/>
            <w:noWrap/>
            <w:vAlign w:val="bottom"/>
          </w:tcPr>
          <w:p w14:paraId="6B15D4FD"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p>
        </w:tc>
        <w:tc>
          <w:tcPr>
            <w:tcW w:w="1124" w:type="pct"/>
            <w:gridSpan w:val="3"/>
            <w:tcBorders>
              <w:top w:val="single" w:sz="4" w:space="0" w:color="auto"/>
              <w:bottom w:val="single" w:sz="4" w:space="0" w:color="auto"/>
              <w:right w:val="single" w:sz="18" w:space="0" w:color="FFFFFF" w:themeColor="background1"/>
            </w:tcBorders>
            <w:shd w:val="clear" w:color="auto" w:fill="auto"/>
            <w:noWrap/>
            <w:vAlign w:val="bottom"/>
          </w:tcPr>
          <w:p w14:paraId="3F98CF26" w14:textId="77777777" w:rsidR="00DA21FF" w:rsidRPr="00DA21FF" w:rsidRDefault="00DA21FF" w:rsidP="00BF2258">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Ambos sexos</w:t>
            </w:r>
          </w:p>
        </w:tc>
        <w:tc>
          <w:tcPr>
            <w:tcW w:w="1121"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tcPr>
          <w:p w14:paraId="644FBDBE" w14:textId="77777777" w:rsidR="00DA21FF" w:rsidRPr="00DA21FF" w:rsidRDefault="00DA21FF" w:rsidP="00BF2258">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Hombres</w:t>
            </w:r>
          </w:p>
        </w:tc>
        <w:tc>
          <w:tcPr>
            <w:tcW w:w="1119" w:type="pct"/>
            <w:gridSpan w:val="3"/>
            <w:tcBorders>
              <w:top w:val="single" w:sz="4" w:space="0" w:color="auto"/>
              <w:left w:val="single" w:sz="18" w:space="0" w:color="FFFFFF" w:themeColor="background1"/>
              <w:bottom w:val="single" w:sz="4" w:space="0" w:color="auto"/>
            </w:tcBorders>
            <w:shd w:val="clear" w:color="auto" w:fill="auto"/>
            <w:noWrap/>
            <w:vAlign w:val="bottom"/>
          </w:tcPr>
          <w:p w14:paraId="622F132A" w14:textId="77777777" w:rsidR="00DA21FF" w:rsidRPr="00DA21FF" w:rsidRDefault="00DA21FF" w:rsidP="00BF2258">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Mujeres</w:t>
            </w:r>
          </w:p>
        </w:tc>
      </w:tr>
      <w:tr w:rsidR="00A36AA3" w:rsidRPr="00DA21FF" w14:paraId="17B1B798" w14:textId="77777777" w:rsidTr="002E0A90">
        <w:trPr>
          <w:trHeight w:val="240"/>
        </w:trPr>
        <w:tc>
          <w:tcPr>
            <w:tcW w:w="1635" w:type="pct"/>
            <w:vMerge/>
            <w:tcBorders>
              <w:top w:val="single" w:sz="12" w:space="0" w:color="auto"/>
              <w:bottom w:val="single" w:sz="12" w:space="0" w:color="auto"/>
            </w:tcBorders>
            <w:shd w:val="clear" w:color="auto" w:fill="auto"/>
            <w:noWrap/>
            <w:vAlign w:val="bottom"/>
            <w:hideMark/>
          </w:tcPr>
          <w:p w14:paraId="4F181A6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376" w:type="pct"/>
            <w:tcBorders>
              <w:top w:val="single" w:sz="4" w:space="0" w:color="auto"/>
              <w:bottom w:val="single" w:sz="12" w:space="0" w:color="auto"/>
            </w:tcBorders>
            <w:shd w:val="clear" w:color="auto" w:fill="auto"/>
            <w:noWrap/>
            <w:vAlign w:val="bottom"/>
            <w:hideMark/>
          </w:tcPr>
          <w:p w14:paraId="6AB93DFA"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2021</w:t>
            </w:r>
          </w:p>
        </w:tc>
        <w:tc>
          <w:tcPr>
            <w:tcW w:w="374" w:type="pct"/>
            <w:tcBorders>
              <w:top w:val="single" w:sz="4" w:space="0" w:color="auto"/>
              <w:bottom w:val="single" w:sz="12" w:space="0" w:color="auto"/>
            </w:tcBorders>
            <w:shd w:val="clear" w:color="auto" w:fill="auto"/>
            <w:noWrap/>
            <w:vAlign w:val="bottom"/>
            <w:hideMark/>
          </w:tcPr>
          <w:p w14:paraId="5F8B7CE1"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2022</w:t>
            </w:r>
          </w:p>
        </w:tc>
        <w:tc>
          <w:tcPr>
            <w:tcW w:w="374" w:type="pct"/>
            <w:tcBorders>
              <w:top w:val="single" w:sz="4" w:space="0" w:color="auto"/>
              <w:bottom w:val="single" w:sz="12" w:space="0" w:color="auto"/>
              <w:right w:val="single" w:sz="18" w:space="0" w:color="FFFFFF" w:themeColor="background1"/>
            </w:tcBorders>
            <w:shd w:val="clear" w:color="auto" w:fill="auto"/>
            <w:noWrap/>
            <w:vAlign w:val="bottom"/>
            <w:hideMark/>
          </w:tcPr>
          <w:p w14:paraId="0542B482"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2023</w:t>
            </w:r>
          </w:p>
        </w:tc>
        <w:tc>
          <w:tcPr>
            <w:tcW w:w="374" w:type="pct"/>
            <w:tcBorders>
              <w:top w:val="single" w:sz="4" w:space="0" w:color="auto"/>
              <w:left w:val="single" w:sz="18" w:space="0" w:color="FFFFFF" w:themeColor="background1"/>
              <w:bottom w:val="single" w:sz="12" w:space="0" w:color="auto"/>
            </w:tcBorders>
            <w:shd w:val="clear" w:color="auto" w:fill="auto"/>
            <w:noWrap/>
            <w:vAlign w:val="bottom"/>
            <w:hideMark/>
          </w:tcPr>
          <w:p w14:paraId="6B13A0DD"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2021</w:t>
            </w:r>
          </w:p>
        </w:tc>
        <w:tc>
          <w:tcPr>
            <w:tcW w:w="374" w:type="pct"/>
            <w:tcBorders>
              <w:top w:val="single" w:sz="4" w:space="0" w:color="auto"/>
              <w:bottom w:val="single" w:sz="12" w:space="0" w:color="auto"/>
            </w:tcBorders>
            <w:shd w:val="clear" w:color="auto" w:fill="auto"/>
            <w:noWrap/>
            <w:vAlign w:val="bottom"/>
            <w:hideMark/>
          </w:tcPr>
          <w:p w14:paraId="6B0F1C9E"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2022</w:t>
            </w:r>
          </w:p>
        </w:tc>
        <w:tc>
          <w:tcPr>
            <w:tcW w:w="374" w:type="pct"/>
            <w:tcBorders>
              <w:top w:val="single" w:sz="4" w:space="0" w:color="auto"/>
              <w:bottom w:val="single" w:sz="12" w:space="0" w:color="auto"/>
              <w:right w:val="single" w:sz="18" w:space="0" w:color="FFFFFF" w:themeColor="background1"/>
            </w:tcBorders>
            <w:shd w:val="clear" w:color="auto" w:fill="auto"/>
            <w:noWrap/>
            <w:vAlign w:val="bottom"/>
            <w:hideMark/>
          </w:tcPr>
          <w:p w14:paraId="3DC9CD9D"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2023</w:t>
            </w:r>
          </w:p>
        </w:tc>
        <w:tc>
          <w:tcPr>
            <w:tcW w:w="374" w:type="pct"/>
            <w:tcBorders>
              <w:top w:val="single" w:sz="4" w:space="0" w:color="auto"/>
              <w:left w:val="single" w:sz="18" w:space="0" w:color="FFFFFF" w:themeColor="background1"/>
              <w:bottom w:val="single" w:sz="12" w:space="0" w:color="auto"/>
            </w:tcBorders>
            <w:shd w:val="clear" w:color="auto" w:fill="auto"/>
            <w:noWrap/>
            <w:vAlign w:val="bottom"/>
            <w:hideMark/>
          </w:tcPr>
          <w:p w14:paraId="01E1CF63"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2021</w:t>
            </w:r>
          </w:p>
        </w:tc>
        <w:tc>
          <w:tcPr>
            <w:tcW w:w="374" w:type="pct"/>
            <w:tcBorders>
              <w:top w:val="single" w:sz="4" w:space="0" w:color="auto"/>
              <w:bottom w:val="single" w:sz="12" w:space="0" w:color="auto"/>
            </w:tcBorders>
            <w:shd w:val="clear" w:color="auto" w:fill="auto"/>
            <w:noWrap/>
            <w:vAlign w:val="bottom"/>
            <w:hideMark/>
          </w:tcPr>
          <w:p w14:paraId="4EDDCA27"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2022</w:t>
            </w:r>
          </w:p>
        </w:tc>
        <w:tc>
          <w:tcPr>
            <w:tcW w:w="372" w:type="pct"/>
            <w:tcBorders>
              <w:top w:val="single" w:sz="4" w:space="0" w:color="auto"/>
              <w:bottom w:val="single" w:sz="12" w:space="0" w:color="auto"/>
            </w:tcBorders>
            <w:shd w:val="clear" w:color="auto" w:fill="auto"/>
            <w:noWrap/>
            <w:vAlign w:val="bottom"/>
            <w:hideMark/>
          </w:tcPr>
          <w:p w14:paraId="2DA1150F" w14:textId="77777777" w:rsidR="00DA21FF" w:rsidRPr="00BF2258" w:rsidRDefault="00DA21FF" w:rsidP="00BF2258">
            <w:pPr>
              <w:pStyle w:val="SingleTxtG"/>
              <w:tabs>
                <w:tab w:val="clear" w:pos="1701"/>
                <w:tab w:val="clear" w:pos="2268"/>
                <w:tab w:val="clear" w:pos="2835"/>
              </w:tabs>
              <w:spacing w:before="80" w:after="80" w:line="200" w:lineRule="exact"/>
              <w:ind w:left="113" w:right="0"/>
              <w:jc w:val="right"/>
              <w:rPr>
                <w:i/>
                <w:iCs/>
                <w:sz w:val="16"/>
              </w:rPr>
            </w:pPr>
            <w:r w:rsidRPr="00BF2258">
              <w:rPr>
                <w:i/>
                <w:iCs/>
                <w:sz w:val="16"/>
              </w:rPr>
              <w:t>2023</w:t>
            </w:r>
          </w:p>
        </w:tc>
      </w:tr>
      <w:tr w:rsidR="00A36AA3" w:rsidRPr="00DA21FF" w14:paraId="75A52EB2" w14:textId="77777777" w:rsidTr="00BF2258">
        <w:trPr>
          <w:trHeight w:val="240"/>
        </w:trPr>
        <w:tc>
          <w:tcPr>
            <w:tcW w:w="1635" w:type="pct"/>
            <w:tcBorders>
              <w:top w:val="single" w:sz="12" w:space="0" w:color="auto"/>
            </w:tcBorders>
            <w:shd w:val="clear" w:color="auto" w:fill="auto"/>
            <w:noWrap/>
            <w:hideMark/>
          </w:tcPr>
          <w:p w14:paraId="17DCFF37"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Los países nórdicos</w:t>
            </w:r>
          </w:p>
        </w:tc>
        <w:tc>
          <w:tcPr>
            <w:tcW w:w="376" w:type="pct"/>
            <w:tcBorders>
              <w:top w:val="single" w:sz="12" w:space="0" w:color="auto"/>
            </w:tcBorders>
            <w:shd w:val="clear" w:color="auto" w:fill="auto"/>
            <w:noWrap/>
            <w:vAlign w:val="bottom"/>
            <w:hideMark/>
          </w:tcPr>
          <w:p w14:paraId="14378EE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80,0</w:t>
            </w:r>
          </w:p>
        </w:tc>
        <w:tc>
          <w:tcPr>
            <w:tcW w:w="374" w:type="pct"/>
            <w:tcBorders>
              <w:top w:val="single" w:sz="12" w:space="0" w:color="auto"/>
            </w:tcBorders>
            <w:shd w:val="clear" w:color="auto" w:fill="auto"/>
            <w:noWrap/>
            <w:vAlign w:val="bottom"/>
            <w:hideMark/>
          </w:tcPr>
          <w:p w14:paraId="327267B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80,3</w:t>
            </w:r>
          </w:p>
        </w:tc>
        <w:tc>
          <w:tcPr>
            <w:tcW w:w="374" w:type="pct"/>
            <w:tcBorders>
              <w:top w:val="single" w:sz="12" w:space="0" w:color="auto"/>
            </w:tcBorders>
            <w:shd w:val="clear" w:color="auto" w:fill="auto"/>
            <w:noWrap/>
            <w:vAlign w:val="bottom"/>
            <w:hideMark/>
          </w:tcPr>
          <w:p w14:paraId="6A02E1D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80,5</w:t>
            </w:r>
          </w:p>
        </w:tc>
        <w:tc>
          <w:tcPr>
            <w:tcW w:w="374" w:type="pct"/>
            <w:tcBorders>
              <w:top w:val="single" w:sz="12" w:space="0" w:color="auto"/>
            </w:tcBorders>
            <w:shd w:val="clear" w:color="auto" w:fill="auto"/>
            <w:noWrap/>
            <w:vAlign w:val="bottom"/>
            <w:hideMark/>
          </w:tcPr>
          <w:p w14:paraId="0B9E5AE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80,8</w:t>
            </w:r>
          </w:p>
        </w:tc>
        <w:tc>
          <w:tcPr>
            <w:tcW w:w="374" w:type="pct"/>
            <w:tcBorders>
              <w:top w:val="single" w:sz="12" w:space="0" w:color="auto"/>
            </w:tcBorders>
            <w:shd w:val="clear" w:color="auto" w:fill="auto"/>
            <w:noWrap/>
            <w:vAlign w:val="bottom"/>
            <w:hideMark/>
          </w:tcPr>
          <w:p w14:paraId="551153E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81,3</w:t>
            </w:r>
          </w:p>
        </w:tc>
        <w:tc>
          <w:tcPr>
            <w:tcW w:w="374" w:type="pct"/>
            <w:tcBorders>
              <w:top w:val="single" w:sz="12" w:space="0" w:color="auto"/>
            </w:tcBorders>
            <w:shd w:val="clear" w:color="auto" w:fill="auto"/>
            <w:noWrap/>
            <w:vAlign w:val="bottom"/>
            <w:hideMark/>
          </w:tcPr>
          <w:p w14:paraId="14CCFA3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81,2</w:t>
            </w:r>
          </w:p>
        </w:tc>
        <w:tc>
          <w:tcPr>
            <w:tcW w:w="374" w:type="pct"/>
            <w:tcBorders>
              <w:top w:val="single" w:sz="12" w:space="0" w:color="auto"/>
            </w:tcBorders>
            <w:shd w:val="clear" w:color="auto" w:fill="auto"/>
            <w:noWrap/>
            <w:vAlign w:val="bottom"/>
            <w:hideMark/>
          </w:tcPr>
          <w:p w14:paraId="16A90C3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79,1</w:t>
            </w:r>
          </w:p>
        </w:tc>
        <w:tc>
          <w:tcPr>
            <w:tcW w:w="374" w:type="pct"/>
            <w:tcBorders>
              <w:top w:val="single" w:sz="12" w:space="0" w:color="auto"/>
            </w:tcBorders>
            <w:shd w:val="clear" w:color="auto" w:fill="auto"/>
            <w:noWrap/>
            <w:vAlign w:val="bottom"/>
            <w:hideMark/>
          </w:tcPr>
          <w:p w14:paraId="6E4779B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79,1</w:t>
            </w:r>
          </w:p>
        </w:tc>
        <w:tc>
          <w:tcPr>
            <w:tcW w:w="372" w:type="pct"/>
            <w:tcBorders>
              <w:top w:val="single" w:sz="12" w:space="0" w:color="auto"/>
            </w:tcBorders>
            <w:shd w:val="clear" w:color="auto" w:fill="auto"/>
            <w:noWrap/>
            <w:vAlign w:val="bottom"/>
            <w:hideMark/>
          </w:tcPr>
          <w:p w14:paraId="47146CF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79,6</w:t>
            </w:r>
          </w:p>
        </w:tc>
      </w:tr>
      <w:tr w:rsidR="00A36AA3" w:rsidRPr="00DA21FF" w14:paraId="4559A8C5" w14:textId="77777777" w:rsidTr="00A36AA3">
        <w:trPr>
          <w:trHeight w:val="240"/>
        </w:trPr>
        <w:tc>
          <w:tcPr>
            <w:tcW w:w="1635" w:type="pct"/>
            <w:shd w:val="clear" w:color="auto" w:fill="auto"/>
            <w:noWrap/>
            <w:hideMark/>
          </w:tcPr>
          <w:p w14:paraId="5CFD633D"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UE/AELC hasta 2004</w:t>
            </w:r>
            <w:r w:rsidRPr="006C51FE">
              <w:rPr>
                <w:sz w:val="18"/>
                <w:szCs w:val="18"/>
                <w:vertAlign w:val="superscript"/>
              </w:rPr>
              <w:footnoteReference w:id="10"/>
            </w:r>
          </w:p>
        </w:tc>
        <w:tc>
          <w:tcPr>
            <w:tcW w:w="376" w:type="pct"/>
            <w:shd w:val="clear" w:color="auto" w:fill="auto"/>
            <w:noWrap/>
            <w:vAlign w:val="bottom"/>
            <w:hideMark/>
          </w:tcPr>
          <w:p w14:paraId="7FD50FA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74,9</w:t>
            </w:r>
          </w:p>
        </w:tc>
        <w:tc>
          <w:tcPr>
            <w:tcW w:w="374" w:type="pct"/>
            <w:shd w:val="clear" w:color="auto" w:fill="auto"/>
            <w:noWrap/>
            <w:vAlign w:val="bottom"/>
            <w:hideMark/>
          </w:tcPr>
          <w:p w14:paraId="2BC724A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76,5</w:t>
            </w:r>
          </w:p>
        </w:tc>
        <w:tc>
          <w:tcPr>
            <w:tcW w:w="374" w:type="pct"/>
            <w:shd w:val="clear" w:color="auto" w:fill="auto"/>
            <w:noWrap/>
            <w:vAlign w:val="bottom"/>
            <w:hideMark/>
          </w:tcPr>
          <w:p w14:paraId="11D52B1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76,5</w:t>
            </w:r>
          </w:p>
        </w:tc>
        <w:tc>
          <w:tcPr>
            <w:tcW w:w="374" w:type="pct"/>
            <w:shd w:val="clear" w:color="auto" w:fill="auto"/>
            <w:noWrap/>
            <w:vAlign w:val="bottom"/>
            <w:hideMark/>
          </w:tcPr>
          <w:p w14:paraId="39E34C8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77,5</w:t>
            </w:r>
          </w:p>
        </w:tc>
        <w:tc>
          <w:tcPr>
            <w:tcW w:w="374" w:type="pct"/>
            <w:shd w:val="clear" w:color="auto" w:fill="auto"/>
            <w:noWrap/>
            <w:vAlign w:val="bottom"/>
            <w:hideMark/>
          </w:tcPr>
          <w:p w14:paraId="5FFBA6D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78,9</w:t>
            </w:r>
          </w:p>
        </w:tc>
        <w:tc>
          <w:tcPr>
            <w:tcW w:w="374" w:type="pct"/>
            <w:shd w:val="clear" w:color="auto" w:fill="auto"/>
            <w:noWrap/>
            <w:vAlign w:val="bottom"/>
            <w:hideMark/>
          </w:tcPr>
          <w:p w14:paraId="543C711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78,9</w:t>
            </w:r>
          </w:p>
        </w:tc>
        <w:tc>
          <w:tcPr>
            <w:tcW w:w="374" w:type="pct"/>
            <w:shd w:val="clear" w:color="auto" w:fill="auto"/>
            <w:noWrap/>
            <w:vAlign w:val="bottom"/>
            <w:hideMark/>
          </w:tcPr>
          <w:p w14:paraId="2DCBDAF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71,4</w:t>
            </w:r>
          </w:p>
        </w:tc>
        <w:tc>
          <w:tcPr>
            <w:tcW w:w="374" w:type="pct"/>
            <w:shd w:val="clear" w:color="auto" w:fill="auto"/>
            <w:noWrap/>
            <w:vAlign w:val="bottom"/>
            <w:hideMark/>
          </w:tcPr>
          <w:p w14:paraId="009C44D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73,0</w:t>
            </w:r>
          </w:p>
        </w:tc>
        <w:tc>
          <w:tcPr>
            <w:tcW w:w="372" w:type="pct"/>
            <w:shd w:val="clear" w:color="auto" w:fill="auto"/>
            <w:noWrap/>
            <w:vAlign w:val="bottom"/>
            <w:hideMark/>
          </w:tcPr>
          <w:p w14:paraId="0609E9C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73,1</w:t>
            </w:r>
          </w:p>
        </w:tc>
      </w:tr>
      <w:tr w:rsidR="00A36AA3" w:rsidRPr="00DA21FF" w14:paraId="3F64CC24" w14:textId="77777777" w:rsidTr="00A36AA3">
        <w:trPr>
          <w:trHeight w:val="240"/>
        </w:trPr>
        <w:tc>
          <w:tcPr>
            <w:tcW w:w="1635" w:type="pct"/>
            <w:shd w:val="clear" w:color="auto" w:fill="auto"/>
            <w:noWrap/>
            <w:hideMark/>
          </w:tcPr>
          <w:p w14:paraId="1BAC651E"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Nuevos países de la UE después de 2004</w:t>
            </w:r>
          </w:p>
        </w:tc>
        <w:tc>
          <w:tcPr>
            <w:tcW w:w="376" w:type="pct"/>
            <w:shd w:val="clear" w:color="auto" w:fill="auto"/>
            <w:noWrap/>
            <w:vAlign w:val="bottom"/>
            <w:hideMark/>
          </w:tcPr>
          <w:p w14:paraId="3FAFF86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74,8</w:t>
            </w:r>
          </w:p>
        </w:tc>
        <w:tc>
          <w:tcPr>
            <w:tcW w:w="374" w:type="pct"/>
            <w:shd w:val="clear" w:color="auto" w:fill="auto"/>
            <w:noWrap/>
            <w:vAlign w:val="bottom"/>
            <w:hideMark/>
          </w:tcPr>
          <w:p w14:paraId="5CDA673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77,2</w:t>
            </w:r>
          </w:p>
        </w:tc>
        <w:tc>
          <w:tcPr>
            <w:tcW w:w="374" w:type="pct"/>
            <w:shd w:val="clear" w:color="auto" w:fill="auto"/>
            <w:noWrap/>
            <w:vAlign w:val="bottom"/>
            <w:hideMark/>
          </w:tcPr>
          <w:p w14:paraId="41B62E8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77,2</w:t>
            </w:r>
          </w:p>
        </w:tc>
        <w:tc>
          <w:tcPr>
            <w:tcW w:w="374" w:type="pct"/>
            <w:shd w:val="clear" w:color="auto" w:fill="auto"/>
            <w:noWrap/>
            <w:vAlign w:val="bottom"/>
            <w:hideMark/>
          </w:tcPr>
          <w:p w14:paraId="0523B57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75,2</w:t>
            </w:r>
          </w:p>
        </w:tc>
        <w:tc>
          <w:tcPr>
            <w:tcW w:w="374" w:type="pct"/>
            <w:shd w:val="clear" w:color="auto" w:fill="auto"/>
            <w:noWrap/>
            <w:vAlign w:val="bottom"/>
            <w:hideMark/>
          </w:tcPr>
          <w:p w14:paraId="45F4F6C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77,9</w:t>
            </w:r>
          </w:p>
        </w:tc>
        <w:tc>
          <w:tcPr>
            <w:tcW w:w="374" w:type="pct"/>
            <w:shd w:val="clear" w:color="auto" w:fill="auto"/>
            <w:noWrap/>
            <w:vAlign w:val="bottom"/>
            <w:hideMark/>
          </w:tcPr>
          <w:p w14:paraId="61AB659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77,3</w:t>
            </w:r>
          </w:p>
        </w:tc>
        <w:tc>
          <w:tcPr>
            <w:tcW w:w="374" w:type="pct"/>
            <w:shd w:val="clear" w:color="auto" w:fill="auto"/>
            <w:noWrap/>
            <w:vAlign w:val="bottom"/>
            <w:hideMark/>
          </w:tcPr>
          <w:p w14:paraId="0765280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74,1</w:t>
            </w:r>
          </w:p>
        </w:tc>
        <w:tc>
          <w:tcPr>
            <w:tcW w:w="374" w:type="pct"/>
            <w:shd w:val="clear" w:color="auto" w:fill="auto"/>
            <w:noWrap/>
            <w:vAlign w:val="bottom"/>
            <w:hideMark/>
          </w:tcPr>
          <w:p w14:paraId="4EBD43A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76,0</w:t>
            </w:r>
          </w:p>
        </w:tc>
        <w:tc>
          <w:tcPr>
            <w:tcW w:w="372" w:type="pct"/>
            <w:shd w:val="clear" w:color="auto" w:fill="auto"/>
            <w:noWrap/>
            <w:vAlign w:val="bottom"/>
            <w:hideMark/>
          </w:tcPr>
          <w:p w14:paraId="4DDA00F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77,0</w:t>
            </w:r>
          </w:p>
        </w:tc>
      </w:tr>
      <w:tr w:rsidR="00A36AA3" w:rsidRPr="00DA21FF" w14:paraId="13C5F1A3" w14:textId="77777777" w:rsidTr="00A36AA3">
        <w:trPr>
          <w:trHeight w:val="240"/>
        </w:trPr>
        <w:tc>
          <w:tcPr>
            <w:tcW w:w="1635" w:type="pct"/>
            <w:shd w:val="clear" w:color="auto" w:fill="auto"/>
            <w:noWrap/>
            <w:hideMark/>
          </w:tcPr>
          <w:p w14:paraId="18F85FF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Europa excepto UE/AELC/Reino Unido</w:t>
            </w:r>
          </w:p>
        </w:tc>
        <w:tc>
          <w:tcPr>
            <w:tcW w:w="376" w:type="pct"/>
            <w:shd w:val="clear" w:color="auto" w:fill="auto"/>
            <w:noWrap/>
            <w:vAlign w:val="bottom"/>
            <w:hideMark/>
          </w:tcPr>
          <w:p w14:paraId="0B85526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71,2</w:t>
            </w:r>
          </w:p>
        </w:tc>
        <w:tc>
          <w:tcPr>
            <w:tcW w:w="374" w:type="pct"/>
            <w:shd w:val="clear" w:color="auto" w:fill="auto"/>
            <w:noWrap/>
            <w:vAlign w:val="bottom"/>
            <w:hideMark/>
          </w:tcPr>
          <w:p w14:paraId="14B6251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58,0</w:t>
            </w:r>
          </w:p>
        </w:tc>
        <w:tc>
          <w:tcPr>
            <w:tcW w:w="374" w:type="pct"/>
            <w:shd w:val="clear" w:color="auto" w:fill="auto"/>
            <w:noWrap/>
            <w:vAlign w:val="bottom"/>
            <w:hideMark/>
          </w:tcPr>
          <w:p w14:paraId="2AB897C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51,5</w:t>
            </w:r>
          </w:p>
        </w:tc>
        <w:tc>
          <w:tcPr>
            <w:tcW w:w="374" w:type="pct"/>
            <w:shd w:val="clear" w:color="auto" w:fill="auto"/>
            <w:noWrap/>
            <w:vAlign w:val="bottom"/>
            <w:hideMark/>
          </w:tcPr>
          <w:p w14:paraId="06A3734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73,7</w:t>
            </w:r>
          </w:p>
        </w:tc>
        <w:tc>
          <w:tcPr>
            <w:tcW w:w="374" w:type="pct"/>
            <w:shd w:val="clear" w:color="auto" w:fill="auto"/>
            <w:noWrap/>
            <w:vAlign w:val="bottom"/>
            <w:hideMark/>
          </w:tcPr>
          <w:p w14:paraId="478A374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64,4</w:t>
            </w:r>
          </w:p>
        </w:tc>
        <w:tc>
          <w:tcPr>
            <w:tcW w:w="374" w:type="pct"/>
            <w:shd w:val="clear" w:color="auto" w:fill="auto"/>
            <w:noWrap/>
            <w:vAlign w:val="bottom"/>
            <w:hideMark/>
          </w:tcPr>
          <w:p w14:paraId="1C78238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55,6</w:t>
            </w:r>
          </w:p>
        </w:tc>
        <w:tc>
          <w:tcPr>
            <w:tcW w:w="374" w:type="pct"/>
            <w:shd w:val="clear" w:color="auto" w:fill="auto"/>
            <w:noWrap/>
            <w:vAlign w:val="bottom"/>
            <w:hideMark/>
          </w:tcPr>
          <w:p w14:paraId="47F8698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69,3</w:t>
            </w:r>
          </w:p>
        </w:tc>
        <w:tc>
          <w:tcPr>
            <w:tcW w:w="374" w:type="pct"/>
            <w:shd w:val="clear" w:color="auto" w:fill="auto"/>
            <w:noWrap/>
            <w:vAlign w:val="bottom"/>
            <w:hideMark/>
          </w:tcPr>
          <w:p w14:paraId="1FF55EA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53,8</w:t>
            </w:r>
          </w:p>
        </w:tc>
        <w:tc>
          <w:tcPr>
            <w:tcW w:w="372" w:type="pct"/>
            <w:shd w:val="clear" w:color="auto" w:fill="auto"/>
            <w:noWrap/>
            <w:vAlign w:val="bottom"/>
            <w:hideMark/>
          </w:tcPr>
          <w:p w14:paraId="233DC54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48,7</w:t>
            </w:r>
          </w:p>
        </w:tc>
      </w:tr>
      <w:tr w:rsidR="00A36AA3" w:rsidRPr="00DA21FF" w14:paraId="4E07D5E8" w14:textId="77777777" w:rsidTr="00A36AA3">
        <w:trPr>
          <w:trHeight w:val="240"/>
        </w:trPr>
        <w:tc>
          <w:tcPr>
            <w:tcW w:w="1635" w:type="pct"/>
            <w:shd w:val="clear" w:color="auto" w:fill="auto"/>
            <w:noWrap/>
            <w:hideMark/>
          </w:tcPr>
          <w:p w14:paraId="2BD3C09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América del Norte y Oceanía</w:t>
            </w:r>
          </w:p>
        </w:tc>
        <w:tc>
          <w:tcPr>
            <w:tcW w:w="376" w:type="pct"/>
            <w:shd w:val="clear" w:color="auto" w:fill="auto"/>
            <w:noWrap/>
            <w:vAlign w:val="bottom"/>
            <w:hideMark/>
          </w:tcPr>
          <w:p w14:paraId="758F906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69,6</w:t>
            </w:r>
          </w:p>
        </w:tc>
        <w:tc>
          <w:tcPr>
            <w:tcW w:w="374" w:type="pct"/>
            <w:shd w:val="clear" w:color="auto" w:fill="auto"/>
            <w:noWrap/>
            <w:vAlign w:val="bottom"/>
            <w:hideMark/>
          </w:tcPr>
          <w:p w14:paraId="1FA2D64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68,9</w:t>
            </w:r>
          </w:p>
        </w:tc>
        <w:tc>
          <w:tcPr>
            <w:tcW w:w="374" w:type="pct"/>
            <w:shd w:val="clear" w:color="auto" w:fill="auto"/>
            <w:noWrap/>
            <w:vAlign w:val="bottom"/>
            <w:hideMark/>
          </w:tcPr>
          <w:p w14:paraId="4503DB3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69,4</w:t>
            </w:r>
          </w:p>
        </w:tc>
        <w:tc>
          <w:tcPr>
            <w:tcW w:w="374" w:type="pct"/>
            <w:shd w:val="clear" w:color="auto" w:fill="auto"/>
            <w:noWrap/>
            <w:vAlign w:val="bottom"/>
            <w:hideMark/>
          </w:tcPr>
          <w:p w14:paraId="3FFE340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73,5</w:t>
            </w:r>
          </w:p>
        </w:tc>
        <w:tc>
          <w:tcPr>
            <w:tcW w:w="374" w:type="pct"/>
            <w:shd w:val="clear" w:color="auto" w:fill="auto"/>
            <w:noWrap/>
            <w:vAlign w:val="bottom"/>
            <w:hideMark/>
          </w:tcPr>
          <w:p w14:paraId="1620042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72,4</w:t>
            </w:r>
          </w:p>
        </w:tc>
        <w:tc>
          <w:tcPr>
            <w:tcW w:w="374" w:type="pct"/>
            <w:shd w:val="clear" w:color="auto" w:fill="auto"/>
            <w:noWrap/>
            <w:vAlign w:val="bottom"/>
            <w:hideMark/>
          </w:tcPr>
          <w:p w14:paraId="654D45A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72,8</w:t>
            </w:r>
          </w:p>
        </w:tc>
        <w:tc>
          <w:tcPr>
            <w:tcW w:w="374" w:type="pct"/>
            <w:shd w:val="clear" w:color="auto" w:fill="auto"/>
            <w:noWrap/>
            <w:vAlign w:val="bottom"/>
            <w:hideMark/>
          </w:tcPr>
          <w:p w14:paraId="60761BE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65,3</w:t>
            </w:r>
          </w:p>
        </w:tc>
        <w:tc>
          <w:tcPr>
            <w:tcW w:w="374" w:type="pct"/>
            <w:shd w:val="clear" w:color="auto" w:fill="auto"/>
            <w:noWrap/>
            <w:vAlign w:val="bottom"/>
            <w:hideMark/>
          </w:tcPr>
          <w:p w14:paraId="2E19D0B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65,1</w:t>
            </w:r>
          </w:p>
        </w:tc>
        <w:tc>
          <w:tcPr>
            <w:tcW w:w="372" w:type="pct"/>
            <w:shd w:val="clear" w:color="auto" w:fill="auto"/>
            <w:noWrap/>
            <w:vAlign w:val="bottom"/>
            <w:hideMark/>
          </w:tcPr>
          <w:p w14:paraId="2F68441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65,8</w:t>
            </w:r>
          </w:p>
        </w:tc>
      </w:tr>
      <w:tr w:rsidR="00A36AA3" w:rsidRPr="00DA21FF" w14:paraId="68E213F3" w14:textId="77777777" w:rsidTr="00A36AA3">
        <w:trPr>
          <w:trHeight w:val="240"/>
        </w:trPr>
        <w:tc>
          <w:tcPr>
            <w:tcW w:w="1635" w:type="pct"/>
            <w:shd w:val="clear" w:color="auto" w:fill="auto"/>
            <w:noWrap/>
            <w:hideMark/>
          </w:tcPr>
          <w:p w14:paraId="1DA5F2A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Asia</w:t>
            </w:r>
          </w:p>
        </w:tc>
        <w:tc>
          <w:tcPr>
            <w:tcW w:w="376" w:type="pct"/>
            <w:shd w:val="clear" w:color="auto" w:fill="auto"/>
            <w:noWrap/>
            <w:vAlign w:val="bottom"/>
            <w:hideMark/>
          </w:tcPr>
          <w:p w14:paraId="025BEF6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62,5</w:t>
            </w:r>
          </w:p>
        </w:tc>
        <w:tc>
          <w:tcPr>
            <w:tcW w:w="374" w:type="pct"/>
            <w:shd w:val="clear" w:color="auto" w:fill="auto"/>
            <w:noWrap/>
            <w:vAlign w:val="bottom"/>
            <w:hideMark/>
          </w:tcPr>
          <w:p w14:paraId="1BFC155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64,2</w:t>
            </w:r>
          </w:p>
        </w:tc>
        <w:tc>
          <w:tcPr>
            <w:tcW w:w="374" w:type="pct"/>
            <w:shd w:val="clear" w:color="auto" w:fill="auto"/>
            <w:noWrap/>
            <w:vAlign w:val="bottom"/>
            <w:hideMark/>
          </w:tcPr>
          <w:p w14:paraId="30CC6D8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64,5</w:t>
            </w:r>
          </w:p>
        </w:tc>
        <w:tc>
          <w:tcPr>
            <w:tcW w:w="374" w:type="pct"/>
            <w:shd w:val="clear" w:color="auto" w:fill="auto"/>
            <w:noWrap/>
            <w:vAlign w:val="bottom"/>
            <w:hideMark/>
          </w:tcPr>
          <w:p w14:paraId="2D937FC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66,8</w:t>
            </w:r>
          </w:p>
        </w:tc>
        <w:tc>
          <w:tcPr>
            <w:tcW w:w="374" w:type="pct"/>
            <w:shd w:val="clear" w:color="auto" w:fill="auto"/>
            <w:noWrap/>
            <w:vAlign w:val="bottom"/>
            <w:hideMark/>
          </w:tcPr>
          <w:p w14:paraId="0E98FE8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68,4</w:t>
            </w:r>
          </w:p>
        </w:tc>
        <w:tc>
          <w:tcPr>
            <w:tcW w:w="374" w:type="pct"/>
            <w:shd w:val="clear" w:color="auto" w:fill="auto"/>
            <w:noWrap/>
            <w:vAlign w:val="bottom"/>
            <w:hideMark/>
          </w:tcPr>
          <w:p w14:paraId="1E69851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68,5</w:t>
            </w:r>
          </w:p>
        </w:tc>
        <w:tc>
          <w:tcPr>
            <w:tcW w:w="374" w:type="pct"/>
            <w:shd w:val="clear" w:color="auto" w:fill="auto"/>
            <w:noWrap/>
            <w:vAlign w:val="bottom"/>
            <w:hideMark/>
          </w:tcPr>
          <w:p w14:paraId="5122B8F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58,8</w:t>
            </w:r>
          </w:p>
        </w:tc>
        <w:tc>
          <w:tcPr>
            <w:tcW w:w="374" w:type="pct"/>
            <w:shd w:val="clear" w:color="auto" w:fill="auto"/>
            <w:noWrap/>
            <w:vAlign w:val="bottom"/>
            <w:hideMark/>
          </w:tcPr>
          <w:p w14:paraId="3C1EA2C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60,6</w:t>
            </w:r>
          </w:p>
        </w:tc>
        <w:tc>
          <w:tcPr>
            <w:tcW w:w="372" w:type="pct"/>
            <w:shd w:val="clear" w:color="auto" w:fill="auto"/>
            <w:noWrap/>
            <w:vAlign w:val="bottom"/>
            <w:hideMark/>
          </w:tcPr>
          <w:p w14:paraId="7E56F42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60,9</w:t>
            </w:r>
          </w:p>
        </w:tc>
      </w:tr>
      <w:tr w:rsidR="00A36AA3" w:rsidRPr="00DA21FF" w14:paraId="49E5D4CC" w14:textId="77777777" w:rsidTr="00A36AA3">
        <w:trPr>
          <w:trHeight w:val="240"/>
        </w:trPr>
        <w:tc>
          <w:tcPr>
            <w:tcW w:w="1635" w:type="pct"/>
            <w:shd w:val="clear" w:color="auto" w:fill="auto"/>
            <w:noWrap/>
            <w:hideMark/>
          </w:tcPr>
          <w:p w14:paraId="442434B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África</w:t>
            </w:r>
          </w:p>
        </w:tc>
        <w:tc>
          <w:tcPr>
            <w:tcW w:w="376" w:type="pct"/>
            <w:shd w:val="clear" w:color="auto" w:fill="auto"/>
            <w:noWrap/>
            <w:vAlign w:val="bottom"/>
            <w:hideMark/>
          </w:tcPr>
          <w:p w14:paraId="3C06DF0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58,5</w:t>
            </w:r>
          </w:p>
        </w:tc>
        <w:tc>
          <w:tcPr>
            <w:tcW w:w="374" w:type="pct"/>
            <w:shd w:val="clear" w:color="auto" w:fill="auto"/>
            <w:noWrap/>
            <w:vAlign w:val="bottom"/>
            <w:hideMark/>
          </w:tcPr>
          <w:p w14:paraId="6EA67F6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61,2</w:t>
            </w:r>
          </w:p>
        </w:tc>
        <w:tc>
          <w:tcPr>
            <w:tcW w:w="374" w:type="pct"/>
            <w:shd w:val="clear" w:color="auto" w:fill="auto"/>
            <w:noWrap/>
            <w:vAlign w:val="bottom"/>
            <w:hideMark/>
          </w:tcPr>
          <w:p w14:paraId="04739D2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61,6</w:t>
            </w:r>
          </w:p>
        </w:tc>
        <w:tc>
          <w:tcPr>
            <w:tcW w:w="374" w:type="pct"/>
            <w:shd w:val="clear" w:color="auto" w:fill="auto"/>
            <w:noWrap/>
            <w:vAlign w:val="bottom"/>
            <w:hideMark/>
          </w:tcPr>
          <w:p w14:paraId="6260436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64,9</w:t>
            </w:r>
          </w:p>
        </w:tc>
        <w:tc>
          <w:tcPr>
            <w:tcW w:w="374" w:type="pct"/>
            <w:shd w:val="clear" w:color="auto" w:fill="auto"/>
            <w:noWrap/>
            <w:vAlign w:val="bottom"/>
            <w:hideMark/>
          </w:tcPr>
          <w:p w14:paraId="22075BC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67,0</w:t>
            </w:r>
          </w:p>
        </w:tc>
        <w:tc>
          <w:tcPr>
            <w:tcW w:w="374" w:type="pct"/>
            <w:shd w:val="clear" w:color="auto" w:fill="auto"/>
            <w:noWrap/>
            <w:vAlign w:val="bottom"/>
            <w:hideMark/>
          </w:tcPr>
          <w:p w14:paraId="0F59B1F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67,1</w:t>
            </w:r>
          </w:p>
        </w:tc>
        <w:tc>
          <w:tcPr>
            <w:tcW w:w="374" w:type="pct"/>
            <w:shd w:val="clear" w:color="auto" w:fill="auto"/>
            <w:noWrap/>
            <w:vAlign w:val="bottom"/>
            <w:hideMark/>
          </w:tcPr>
          <w:p w14:paraId="7F0C6F0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50,9</w:t>
            </w:r>
          </w:p>
        </w:tc>
        <w:tc>
          <w:tcPr>
            <w:tcW w:w="374" w:type="pct"/>
            <w:shd w:val="clear" w:color="auto" w:fill="auto"/>
            <w:noWrap/>
            <w:vAlign w:val="bottom"/>
            <w:hideMark/>
          </w:tcPr>
          <w:p w14:paraId="1B0C186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54,6</w:t>
            </w:r>
          </w:p>
        </w:tc>
        <w:tc>
          <w:tcPr>
            <w:tcW w:w="372" w:type="pct"/>
            <w:shd w:val="clear" w:color="auto" w:fill="auto"/>
            <w:noWrap/>
            <w:vAlign w:val="bottom"/>
            <w:hideMark/>
          </w:tcPr>
          <w:p w14:paraId="3A116F4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55,5</w:t>
            </w:r>
          </w:p>
        </w:tc>
      </w:tr>
      <w:tr w:rsidR="00A36AA3" w:rsidRPr="00A36AA3" w14:paraId="37919F64" w14:textId="77777777" w:rsidTr="00A36AA3">
        <w:trPr>
          <w:trHeight w:val="240"/>
        </w:trPr>
        <w:tc>
          <w:tcPr>
            <w:tcW w:w="1635" w:type="pct"/>
            <w:tcBorders>
              <w:bottom w:val="single" w:sz="12" w:space="0" w:color="auto"/>
            </w:tcBorders>
            <w:shd w:val="clear" w:color="auto" w:fill="auto"/>
            <w:noWrap/>
            <w:hideMark/>
          </w:tcPr>
          <w:p w14:paraId="11217B3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América Latina y el Caribe</w:t>
            </w:r>
          </w:p>
        </w:tc>
        <w:tc>
          <w:tcPr>
            <w:tcW w:w="376" w:type="pct"/>
            <w:tcBorders>
              <w:bottom w:val="single" w:sz="12" w:space="0" w:color="auto"/>
            </w:tcBorders>
            <w:shd w:val="clear" w:color="auto" w:fill="auto"/>
            <w:noWrap/>
            <w:vAlign w:val="bottom"/>
            <w:hideMark/>
          </w:tcPr>
          <w:p w14:paraId="4C7FBB8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70,8</w:t>
            </w:r>
          </w:p>
        </w:tc>
        <w:tc>
          <w:tcPr>
            <w:tcW w:w="374" w:type="pct"/>
            <w:tcBorders>
              <w:bottom w:val="single" w:sz="12" w:space="0" w:color="auto"/>
            </w:tcBorders>
            <w:shd w:val="clear" w:color="auto" w:fill="auto"/>
            <w:noWrap/>
            <w:vAlign w:val="bottom"/>
            <w:hideMark/>
          </w:tcPr>
          <w:p w14:paraId="5B4AE54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72,0</w:t>
            </w:r>
          </w:p>
        </w:tc>
        <w:tc>
          <w:tcPr>
            <w:tcW w:w="374" w:type="pct"/>
            <w:tcBorders>
              <w:bottom w:val="single" w:sz="12" w:space="0" w:color="auto"/>
            </w:tcBorders>
            <w:shd w:val="clear" w:color="auto" w:fill="auto"/>
            <w:noWrap/>
            <w:vAlign w:val="bottom"/>
            <w:hideMark/>
          </w:tcPr>
          <w:p w14:paraId="634A41C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72,1</w:t>
            </w:r>
          </w:p>
        </w:tc>
        <w:tc>
          <w:tcPr>
            <w:tcW w:w="374" w:type="pct"/>
            <w:tcBorders>
              <w:bottom w:val="single" w:sz="12" w:space="0" w:color="auto"/>
            </w:tcBorders>
            <w:shd w:val="clear" w:color="auto" w:fill="auto"/>
            <w:noWrap/>
            <w:vAlign w:val="bottom"/>
            <w:hideMark/>
          </w:tcPr>
          <w:p w14:paraId="32C9AA6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75,0</w:t>
            </w:r>
          </w:p>
        </w:tc>
        <w:tc>
          <w:tcPr>
            <w:tcW w:w="374" w:type="pct"/>
            <w:tcBorders>
              <w:bottom w:val="single" w:sz="12" w:space="0" w:color="auto"/>
            </w:tcBorders>
            <w:shd w:val="clear" w:color="auto" w:fill="auto"/>
            <w:noWrap/>
            <w:vAlign w:val="bottom"/>
            <w:hideMark/>
          </w:tcPr>
          <w:p w14:paraId="7D9C40E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75,9</w:t>
            </w:r>
          </w:p>
        </w:tc>
        <w:tc>
          <w:tcPr>
            <w:tcW w:w="374" w:type="pct"/>
            <w:tcBorders>
              <w:bottom w:val="single" w:sz="12" w:space="0" w:color="auto"/>
            </w:tcBorders>
            <w:shd w:val="clear" w:color="auto" w:fill="auto"/>
            <w:noWrap/>
            <w:vAlign w:val="bottom"/>
            <w:hideMark/>
          </w:tcPr>
          <w:p w14:paraId="6E73FE2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75,4</w:t>
            </w:r>
          </w:p>
        </w:tc>
        <w:tc>
          <w:tcPr>
            <w:tcW w:w="374" w:type="pct"/>
            <w:tcBorders>
              <w:bottom w:val="single" w:sz="12" w:space="0" w:color="auto"/>
            </w:tcBorders>
            <w:shd w:val="clear" w:color="auto" w:fill="auto"/>
            <w:noWrap/>
            <w:vAlign w:val="bottom"/>
            <w:hideMark/>
          </w:tcPr>
          <w:p w14:paraId="72E9ABE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67,9</w:t>
            </w:r>
          </w:p>
        </w:tc>
        <w:tc>
          <w:tcPr>
            <w:tcW w:w="374" w:type="pct"/>
            <w:tcBorders>
              <w:bottom w:val="single" w:sz="12" w:space="0" w:color="auto"/>
            </w:tcBorders>
            <w:shd w:val="clear" w:color="auto" w:fill="auto"/>
            <w:noWrap/>
            <w:vAlign w:val="bottom"/>
            <w:hideMark/>
          </w:tcPr>
          <w:p w14:paraId="0973B9D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69,4</w:t>
            </w:r>
          </w:p>
        </w:tc>
        <w:tc>
          <w:tcPr>
            <w:tcW w:w="372" w:type="pct"/>
            <w:tcBorders>
              <w:bottom w:val="single" w:sz="12" w:space="0" w:color="auto"/>
            </w:tcBorders>
            <w:shd w:val="clear" w:color="auto" w:fill="auto"/>
            <w:noWrap/>
            <w:vAlign w:val="bottom"/>
            <w:hideMark/>
          </w:tcPr>
          <w:p w14:paraId="37AE5F7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69,9</w:t>
            </w:r>
          </w:p>
        </w:tc>
      </w:tr>
    </w:tbl>
    <w:p w14:paraId="689C9186" w14:textId="77777777" w:rsidR="00DA21FF" w:rsidRPr="003F1C60" w:rsidRDefault="00DA21FF" w:rsidP="003F1C60">
      <w:pPr>
        <w:pStyle w:val="SingleTxtG"/>
        <w:spacing w:before="120" w:after="240"/>
        <w:ind w:left="1304"/>
        <w:jc w:val="left"/>
        <w:rPr>
          <w:sz w:val="18"/>
          <w:szCs w:val="18"/>
        </w:rPr>
      </w:pPr>
      <w:r w:rsidRPr="00BF2258">
        <w:rPr>
          <w:i/>
          <w:sz w:val="18"/>
          <w:szCs w:val="18"/>
        </w:rPr>
        <w:t>Fuente:</w:t>
      </w:r>
      <w:r w:rsidRPr="003F1C60">
        <w:rPr>
          <w:sz w:val="18"/>
          <w:szCs w:val="18"/>
        </w:rPr>
        <w:t xml:space="preserve"> Datos del registro, Instituto Nacional de Estadística de Noruega.</w:t>
      </w:r>
    </w:p>
    <w:p w14:paraId="5987A57C" w14:textId="77777777" w:rsidR="00DA21FF" w:rsidRPr="00DA21FF" w:rsidRDefault="00DA21FF" w:rsidP="00DA21FF">
      <w:pPr>
        <w:pStyle w:val="SingleTxtG"/>
        <w:rPr>
          <w:lang w:val="en-GB"/>
        </w:rPr>
      </w:pPr>
      <w:r w:rsidRPr="00DA21FF">
        <w:t xml:space="preserve">50. </w:t>
      </w:r>
      <w:r w:rsidRPr="00DA21FF">
        <w:tab/>
        <w:t xml:space="preserve">La </w:t>
      </w:r>
      <w:r w:rsidRPr="00117F19">
        <w:rPr>
          <w:u w:val="single"/>
        </w:rPr>
        <w:t>tasa de desempleo</w:t>
      </w:r>
      <w:r w:rsidRPr="00DA21FF">
        <w:t xml:space="preserve"> registrado </w:t>
      </w:r>
      <w:r w:rsidRPr="006C51FE">
        <w:rPr>
          <w:u w:val="single"/>
        </w:rPr>
        <w:t>de los inmigrantes</w:t>
      </w:r>
      <w:r w:rsidRPr="00DA21FF">
        <w:t xml:space="preserve"> es superior a la de la población no inmigrante, como se muestra en el cuadro siguiente. En el cuarto trimestre de 2020, la tasa de desempleo registrado</w:t>
      </w:r>
      <w:r w:rsidRPr="00653C36">
        <w:rPr>
          <w:sz w:val="18"/>
          <w:szCs w:val="18"/>
          <w:vertAlign w:val="superscript"/>
        </w:rPr>
        <w:footnoteReference w:id="11"/>
      </w:r>
      <w:r w:rsidRPr="00DA21FF">
        <w:t xml:space="preserve"> para todos los inmigrantes fue del 9,2 % (de media). Para la población no inmigrante, la tasa de desempleo registrado fue del 3,9 %. La tasa de desempleo aumentó tanto para los no inmigrantes como para los inmigrantes de 2019 a 2020.</w:t>
      </w:r>
    </w:p>
    <w:p w14:paraId="43E45DCA" w14:textId="39CA8B53" w:rsidR="00DA21FF" w:rsidRPr="00DA21FF" w:rsidRDefault="00DA21FF" w:rsidP="00FE11B9">
      <w:pPr>
        <w:pStyle w:val="H23G"/>
        <w:rPr>
          <w:lang w:val="en-GB"/>
        </w:rPr>
      </w:pPr>
      <w:r w:rsidRPr="00DA21FF">
        <w:tab/>
      </w:r>
      <w:r w:rsidR="00FE11B9">
        <w:tab/>
      </w:r>
      <w:r w:rsidRPr="00DA21FF">
        <w:t xml:space="preserve">Desempleados registrados en porcentaje de la población activa. Población no inmigrante e inmigrante. De 15 a 24 años. Por </w:t>
      </w:r>
      <w:proofErr w:type="spellStart"/>
      <w:r w:rsidRPr="00DA21FF">
        <w:t>4T</w:t>
      </w:r>
      <w:proofErr w:type="spellEnd"/>
      <w:r w:rsidRPr="00DA21FF">
        <w:t xml:space="preserve"> 2017 a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87"/>
        <w:gridCol w:w="500"/>
        <w:gridCol w:w="500"/>
        <w:gridCol w:w="500"/>
        <w:gridCol w:w="500"/>
        <w:gridCol w:w="500"/>
        <w:gridCol w:w="501"/>
        <w:gridCol w:w="500"/>
        <w:gridCol w:w="500"/>
        <w:gridCol w:w="500"/>
        <w:gridCol w:w="500"/>
        <w:gridCol w:w="500"/>
        <w:gridCol w:w="501"/>
      </w:tblGrid>
      <w:tr w:rsidR="00A36AA3" w:rsidRPr="00A36AA3" w14:paraId="524E1CC7" w14:textId="77777777" w:rsidTr="002E0A90">
        <w:trPr>
          <w:trHeight w:val="240"/>
          <w:tblHeader/>
        </w:trPr>
        <w:tc>
          <w:tcPr>
            <w:tcW w:w="1871" w:type="dxa"/>
            <w:vMerge w:val="restart"/>
            <w:tcBorders>
              <w:top w:val="single" w:sz="4" w:space="0" w:color="auto"/>
              <w:bottom w:val="single" w:sz="12" w:space="0" w:color="auto"/>
            </w:tcBorders>
            <w:shd w:val="clear" w:color="auto" w:fill="auto"/>
            <w:noWrap/>
            <w:vAlign w:val="bottom"/>
            <w:hideMark/>
          </w:tcPr>
          <w:p w14:paraId="2AEEDCC2"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p>
        </w:tc>
        <w:tc>
          <w:tcPr>
            <w:tcW w:w="1936" w:type="dxa"/>
            <w:gridSpan w:val="4"/>
            <w:tcBorders>
              <w:top w:val="single" w:sz="4" w:space="0" w:color="auto"/>
              <w:bottom w:val="single" w:sz="4" w:space="0" w:color="auto"/>
              <w:right w:val="single" w:sz="18" w:space="0" w:color="FFFFFF" w:themeColor="background1"/>
            </w:tcBorders>
            <w:shd w:val="clear" w:color="auto" w:fill="auto"/>
            <w:noWrap/>
            <w:vAlign w:val="bottom"/>
            <w:hideMark/>
          </w:tcPr>
          <w:p w14:paraId="2897D82B" w14:textId="77777777" w:rsidR="00DA21FF" w:rsidRPr="00DA21FF" w:rsidRDefault="00DA21FF" w:rsidP="00FE11B9">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Ambos sexos</w:t>
            </w:r>
          </w:p>
        </w:tc>
        <w:tc>
          <w:tcPr>
            <w:tcW w:w="1937" w:type="dxa"/>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644CAD5B" w14:textId="77777777" w:rsidR="00DA21FF" w:rsidRPr="00DA21FF" w:rsidRDefault="00DA21FF" w:rsidP="00FE11B9">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Hombres</w:t>
            </w:r>
          </w:p>
        </w:tc>
        <w:tc>
          <w:tcPr>
            <w:tcW w:w="1937" w:type="dxa"/>
            <w:gridSpan w:val="4"/>
            <w:tcBorders>
              <w:top w:val="single" w:sz="4" w:space="0" w:color="auto"/>
              <w:left w:val="single" w:sz="18" w:space="0" w:color="FFFFFF" w:themeColor="background1"/>
              <w:bottom w:val="single" w:sz="4" w:space="0" w:color="auto"/>
            </w:tcBorders>
            <w:shd w:val="clear" w:color="auto" w:fill="auto"/>
            <w:noWrap/>
            <w:vAlign w:val="bottom"/>
            <w:hideMark/>
          </w:tcPr>
          <w:p w14:paraId="6CA35DB0" w14:textId="77777777" w:rsidR="00DA21FF" w:rsidRPr="00DA21FF" w:rsidRDefault="00DA21FF" w:rsidP="00FE11B9">
            <w:pPr>
              <w:pStyle w:val="SingleTxtG"/>
              <w:tabs>
                <w:tab w:val="clear" w:pos="1701"/>
                <w:tab w:val="clear" w:pos="2268"/>
                <w:tab w:val="clear" w:pos="2835"/>
              </w:tabs>
              <w:spacing w:before="80" w:after="80" w:line="200" w:lineRule="exact"/>
              <w:ind w:left="113" w:right="0"/>
              <w:jc w:val="center"/>
              <w:rPr>
                <w:i/>
                <w:sz w:val="16"/>
                <w:lang w:val="en-GB"/>
              </w:rPr>
            </w:pPr>
            <w:r w:rsidRPr="00DA21FF">
              <w:rPr>
                <w:i/>
                <w:iCs/>
                <w:sz w:val="16"/>
              </w:rPr>
              <w:t>Mujeres</w:t>
            </w:r>
          </w:p>
        </w:tc>
      </w:tr>
      <w:tr w:rsidR="00A36AA3" w:rsidRPr="00DA21FF" w14:paraId="466B80BE" w14:textId="77777777" w:rsidTr="002E0A90">
        <w:trPr>
          <w:trHeight w:val="240"/>
          <w:tblHeader/>
        </w:trPr>
        <w:tc>
          <w:tcPr>
            <w:tcW w:w="1871" w:type="dxa"/>
            <w:vMerge/>
            <w:tcBorders>
              <w:top w:val="single" w:sz="12" w:space="0" w:color="auto"/>
              <w:bottom w:val="single" w:sz="12" w:space="0" w:color="auto"/>
            </w:tcBorders>
            <w:shd w:val="clear" w:color="auto" w:fill="auto"/>
            <w:noWrap/>
            <w:vAlign w:val="bottom"/>
            <w:hideMark/>
          </w:tcPr>
          <w:p w14:paraId="19B2D13E"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484" w:type="dxa"/>
            <w:tcBorders>
              <w:top w:val="single" w:sz="4" w:space="0" w:color="auto"/>
              <w:bottom w:val="single" w:sz="12" w:space="0" w:color="auto"/>
            </w:tcBorders>
            <w:shd w:val="clear" w:color="auto" w:fill="auto"/>
            <w:noWrap/>
            <w:vAlign w:val="bottom"/>
            <w:hideMark/>
          </w:tcPr>
          <w:p w14:paraId="7C11EDEB"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2017</w:t>
            </w:r>
          </w:p>
        </w:tc>
        <w:tc>
          <w:tcPr>
            <w:tcW w:w="484" w:type="dxa"/>
            <w:tcBorders>
              <w:top w:val="single" w:sz="4" w:space="0" w:color="auto"/>
              <w:bottom w:val="single" w:sz="12" w:space="0" w:color="auto"/>
            </w:tcBorders>
            <w:shd w:val="clear" w:color="auto" w:fill="auto"/>
            <w:noWrap/>
            <w:vAlign w:val="bottom"/>
            <w:hideMark/>
          </w:tcPr>
          <w:p w14:paraId="56E14BA1"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2018</w:t>
            </w:r>
          </w:p>
        </w:tc>
        <w:tc>
          <w:tcPr>
            <w:tcW w:w="484" w:type="dxa"/>
            <w:tcBorders>
              <w:top w:val="single" w:sz="4" w:space="0" w:color="auto"/>
              <w:bottom w:val="single" w:sz="12" w:space="0" w:color="auto"/>
            </w:tcBorders>
            <w:shd w:val="clear" w:color="auto" w:fill="auto"/>
            <w:noWrap/>
            <w:vAlign w:val="bottom"/>
            <w:hideMark/>
          </w:tcPr>
          <w:p w14:paraId="1C1F31B0"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2019</w:t>
            </w:r>
          </w:p>
        </w:tc>
        <w:tc>
          <w:tcPr>
            <w:tcW w:w="484" w:type="dxa"/>
            <w:tcBorders>
              <w:top w:val="single" w:sz="4" w:space="0" w:color="auto"/>
              <w:bottom w:val="single" w:sz="12" w:space="0" w:color="auto"/>
              <w:right w:val="single" w:sz="18" w:space="0" w:color="FFFFFF" w:themeColor="background1"/>
            </w:tcBorders>
            <w:shd w:val="clear" w:color="auto" w:fill="auto"/>
            <w:noWrap/>
            <w:vAlign w:val="bottom"/>
            <w:hideMark/>
          </w:tcPr>
          <w:p w14:paraId="73C1EA60"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2020</w:t>
            </w:r>
          </w:p>
        </w:tc>
        <w:tc>
          <w:tcPr>
            <w:tcW w:w="484" w:type="dxa"/>
            <w:tcBorders>
              <w:top w:val="single" w:sz="4" w:space="0" w:color="auto"/>
              <w:left w:val="single" w:sz="18" w:space="0" w:color="FFFFFF" w:themeColor="background1"/>
              <w:bottom w:val="single" w:sz="12" w:space="0" w:color="auto"/>
            </w:tcBorders>
            <w:shd w:val="clear" w:color="auto" w:fill="auto"/>
            <w:noWrap/>
            <w:vAlign w:val="bottom"/>
            <w:hideMark/>
          </w:tcPr>
          <w:p w14:paraId="714962FA"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2017</w:t>
            </w:r>
          </w:p>
        </w:tc>
        <w:tc>
          <w:tcPr>
            <w:tcW w:w="485" w:type="dxa"/>
            <w:tcBorders>
              <w:top w:val="single" w:sz="4" w:space="0" w:color="auto"/>
              <w:bottom w:val="single" w:sz="12" w:space="0" w:color="auto"/>
            </w:tcBorders>
            <w:shd w:val="clear" w:color="auto" w:fill="auto"/>
            <w:noWrap/>
            <w:vAlign w:val="bottom"/>
            <w:hideMark/>
          </w:tcPr>
          <w:p w14:paraId="276705A3"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2018</w:t>
            </w:r>
          </w:p>
        </w:tc>
        <w:tc>
          <w:tcPr>
            <w:tcW w:w="484" w:type="dxa"/>
            <w:tcBorders>
              <w:top w:val="single" w:sz="4" w:space="0" w:color="auto"/>
              <w:bottom w:val="single" w:sz="12" w:space="0" w:color="auto"/>
            </w:tcBorders>
            <w:shd w:val="clear" w:color="auto" w:fill="auto"/>
            <w:noWrap/>
            <w:vAlign w:val="bottom"/>
            <w:hideMark/>
          </w:tcPr>
          <w:p w14:paraId="364FF896"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2019</w:t>
            </w:r>
          </w:p>
        </w:tc>
        <w:tc>
          <w:tcPr>
            <w:tcW w:w="484" w:type="dxa"/>
            <w:tcBorders>
              <w:top w:val="single" w:sz="4" w:space="0" w:color="auto"/>
              <w:bottom w:val="single" w:sz="12" w:space="0" w:color="auto"/>
              <w:right w:val="single" w:sz="18" w:space="0" w:color="FFFFFF" w:themeColor="background1"/>
            </w:tcBorders>
            <w:shd w:val="clear" w:color="auto" w:fill="auto"/>
            <w:noWrap/>
            <w:vAlign w:val="bottom"/>
            <w:hideMark/>
          </w:tcPr>
          <w:p w14:paraId="35005913"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2020</w:t>
            </w:r>
          </w:p>
        </w:tc>
        <w:tc>
          <w:tcPr>
            <w:tcW w:w="484" w:type="dxa"/>
            <w:tcBorders>
              <w:top w:val="single" w:sz="4" w:space="0" w:color="auto"/>
              <w:left w:val="single" w:sz="18" w:space="0" w:color="FFFFFF" w:themeColor="background1"/>
              <w:bottom w:val="single" w:sz="12" w:space="0" w:color="auto"/>
            </w:tcBorders>
            <w:shd w:val="clear" w:color="auto" w:fill="auto"/>
            <w:noWrap/>
            <w:vAlign w:val="bottom"/>
            <w:hideMark/>
          </w:tcPr>
          <w:p w14:paraId="69660BC9"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2017</w:t>
            </w:r>
          </w:p>
        </w:tc>
        <w:tc>
          <w:tcPr>
            <w:tcW w:w="484" w:type="dxa"/>
            <w:tcBorders>
              <w:top w:val="single" w:sz="4" w:space="0" w:color="auto"/>
              <w:bottom w:val="single" w:sz="12" w:space="0" w:color="auto"/>
            </w:tcBorders>
            <w:shd w:val="clear" w:color="auto" w:fill="auto"/>
            <w:noWrap/>
            <w:vAlign w:val="bottom"/>
            <w:hideMark/>
          </w:tcPr>
          <w:p w14:paraId="0ADF0EB7"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2018</w:t>
            </w:r>
          </w:p>
        </w:tc>
        <w:tc>
          <w:tcPr>
            <w:tcW w:w="484" w:type="dxa"/>
            <w:tcBorders>
              <w:top w:val="single" w:sz="4" w:space="0" w:color="auto"/>
              <w:bottom w:val="single" w:sz="12" w:space="0" w:color="auto"/>
            </w:tcBorders>
            <w:shd w:val="clear" w:color="auto" w:fill="auto"/>
            <w:noWrap/>
            <w:vAlign w:val="bottom"/>
            <w:hideMark/>
          </w:tcPr>
          <w:p w14:paraId="2A443D27"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2019</w:t>
            </w:r>
          </w:p>
        </w:tc>
        <w:tc>
          <w:tcPr>
            <w:tcW w:w="485" w:type="dxa"/>
            <w:tcBorders>
              <w:top w:val="single" w:sz="4" w:space="0" w:color="auto"/>
              <w:bottom w:val="single" w:sz="12" w:space="0" w:color="auto"/>
            </w:tcBorders>
            <w:shd w:val="clear" w:color="auto" w:fill="auto"/>
            <w:noWrap/>
            <w:vAlign w:val="bottom"/>
            <w:hideMark/>
          </w:tcPr>
          <w:p w14:paraId="16EABD43" w14:textId="77777777" w:rsidR="00DA21FF" w:rsidRPr="00FE11B9" w:rsidRDefault="00DA21FF" w:rsidP="00FE11B9">
            <w:pPr>
              <w:pStyle w:val="SingleTxtG"/>
              <w:tabs>
                <w:tab w:val="clear" w:pos="1701"/>
                <w:tab w:val="clear" w:pos="2268"/>
                <w:tab w:val="clear" w:pos="2835"/>
              </w:tabs>
              <w:spacing w:before="80" w:after="80" w:line="200" w:lineRule="exact"/>
              <w:ind w:left="113" w:right="0"/>
              <w:jc w:val="right"/>
              <w:rPr>
                <w:i/>
                <w:iCs/>
                <w:sz w:val="16"/>
              </w:rPr>
            </w:pPr>
            <w:r w:rsidRPr="00FE11B9">
              <w:rPr>
                <w:i/>
                <w:iCs/>
                <w:sz w:val="16"/>
              </w:rPr>
              <w:t>2020</w:t>
            </w:r>
          </w:p>
        </w:tc>
      </w:tr>
      <w:tr w:rsidR="00A36AA3" w:rsidRPr="00FE11B9" w14:paraId="137E61B1" w14:textId="77777777" w:rsidTr="00E95817">
        <w:trPr>
          <w:trHeight w:val="240"/>
        </w:trPr>
        <w:tc>
          <w:tcPr>
            <w:tcW w:w="1871" w:type="dxa"/>
            <w:tcBorders>
              <w:top w:val="single" w:sz="12" w:space="0" w:color="auto"/>
              <w:bottom w:val="single" w:sz="4" w:space="0" w:color="auto"/>
            </w:tcBorders>
            <w:shd w:val="clear" w:color="auto" w:fill="auto"/>
            <w:noWrap/>
            <w:hideMark/>
          </w:tcPr>
          <w:p w14:paraId="2536C4DA" w14:textId="77777777" w:rsidR="00DA21FF" w:rsidRPr="00FE11B9" w:rsidRDefault="00DA21FF" w:rsidP="00FE11B9">
            <w:pPr>
              <w:pStyle w:val="SingleTxtG"/>
              <w:tabs>
                <w:tab w:val="clear" w:pos="1701"/>
                <w:tab w:val="clear" w:pos="2268"/>
                <w:tab w:val="clear" w:pos="2835"/>
              </w:tabs>
              <w:spacing w:before="80" w:after="80" w:line="220" w:lineRule="exact"/>
              <w:ind w:left="284" w:right="0"/>
              <w:jc w:val="left"/>
              <w:rPr>
                <w:b/>
                <w:sz w:val="18"/>
                <w:lang w:val="en-GB"/>
              </w:rPr>
            </w:pPr>
            <w:r w:rsidRPr="00FE11B9">
              <w:rPr>
                <w:b/>
                <w:sz w:val="18"/>
              </w:rPr>
              <w:t>Total</w:t>
            </w:r>
          </w:p>
        </w:tc>
        <w:tc>
          <w:tcPr>
            <w:tcW w:w="484" w:type="dxa"/>
            <w:tcBorders>
              <w:top w:val="single" w:sz="12" w:space="0" w:color="auto"/>
              <w:bottom w:val="single" w:sz="4" w:space="0" w:color="auto"/>
            </w:tcBorders>
            <w:shd w:val="clear" w:color="auto" w:fill="auto"/>
            <w:noWrap/>
            <w:vAlign w:val="bottom"/>
            <w:hideMark/>
          </w:tcPr>
          <w:p w14:paraId="412AB224"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2,3</w:t>
            </w:r>
          </w:p>
        </w:tc>
        <w:tc>
          <w:tcPr>
            <w:tcW w:w="484" w:type="dxa"/>
            <w:tcBorders>
              <w:top w:val="single" w:sz="12" w:space="0" w:color="auto"/>
              <w:bottom w:val="single" w:sz="4" w:space="0" w:color="auto"/>
            </w:tcBorders>
            <w:shd w:val="clear" w:color="auto" w:fill="auto"/>
            <w:noWrap/>
            <w:vAlign w:val="bottom"/>
            <w:hideMark/>
          </w:tcPr>
          <w:p w14:paraId="1E00EBD7"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2,3</w:t>
            </w:r>
          </w:p>
        </w:tc>
        <w:tc>
          <w:tcPr>
            <w:tcW w:w="484" w:type="dxa"/>
            <w:tcBorders>
              <w:top w:val="single" w:sz="12" w:space="0" w:color="auto"/>
              <w:bottom w:val="single" w:sz="4" w:space="0" w:color="auto"/>
            </w:tcBorders>
            <w:shd w:val="clear" w:color="auto" w:fill="auto"/>
            <w:noWrap/>
            <w:vAlign w:val="bottom"/>
            <w:hideMark/>
          </w:tcPr>
          <w:p w14:paraId="24646C00"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2,1</w:t>
            </w:r>
          </w:p>
        </w:tc>
        <w:tc>
          <w:tcPr>
            <w:tcW w:w="484" w:type="dxa"/>
            <w:tcBorders>
              <w:top w:val="single" w:sz="12" w:space="0" w:color="auto"/>
              <w:bottom w:val="single" w:sz="4" w:space="0" w:color="auto"/>
            </w:tcBorders>
            <w:shd w:val="clear" w:color="auto" w:fill="auto"/>
            <w:noWrap/>
            <w:vAlign w:val="bottom"/>
            <w:hideMark/>
          </w:tcPr>
          <w:p w14:paraId="3B900E1F"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3,9</w:t>
            </w:r>
          </w:p>
        </w:tc>
        <w:tc>
          <w:tcPr>
            <w:tcW w:w="484" w:type="dxa"/>
            <w:tcBorders>
              <w:top w:val="single" w:sz="12" w:space="0" w:color="auto"/>
              <w:bottom w:val="single" w:sz="4" w:space="0" w:color="auto"/>
            </w:tcBorders>
            <w:shd w:val="clear" w:color="auto" w:fill="auto"/>
            <w:noWrap/>
            <w:vAlign w:val="bottom"/>
            <w:hideMark/>
          </w:tcPr>
          <w:p w14:paraId="207A981A"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2,6</w:t>
            </w:r>
          </w:p>
        </w:tc>
        <w:tc>
          <w:tcPr>
            <w:tcW w:w="485" w:type="dxa"/>
            <w:tcBorders>
              <w:top w:val="single" w:sz="12" w:space="0" w:color="auto"/>
              <w:bottom w:val="single" w:sz="4" w:space="0" w:color="auto"/>
            </w:tcBorders>
            <w:shd w:val="clear" w:color="auto" w:fill="auto"/>
            <w:noWrap/>
            <w:vAlign w:val="bottom"/>
            <w:hideMark/>
          </w:tcPr>
          <w:p w14:paraId="1A29D2F2"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2,4</w:t>
            </w:r>
          </w:p>
        </w:tc>
        <w:tc>
          <w:tcPr>
            <w:tcW w:w="484" w:type="dxa"/>
            <w:tcBorders>
              <w:top w:val="single" w:sz="12" w:space="0" w:color="auto"/>
              <w:bottom w:val="single" w:sz="4" w:space="0" w:color="auto"/>
            </w:tcBorders>
            <w:shd w:val="clear" w:color="auto" w:fill="auto"/>
            <w:noWrap/>
            <w:vAlign w:val="bottom"/>
            <w:hideMark/>
          </w:tcPr>
          <w:p w14:paraId="518E5BEA"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2,3</w:t>
            </w:r>
          </w:p>
        </w:tc>
        <w:tc>
          <w:tcPr>
            <w:tcW w:w="484" w:type="dxa"/>
            <w:tcBorders>
              <w:top w:val="single" w:sz="12" w:space="0" w:color="auto"/>
              <w:bottom w:val="single" w:sz="4" w:space="0" w:color="auto"/>
            </w:tcBorders>
            <w:shd w:val="clear" w:color="auto" w:fill="auto"/>
            <w:noWrap/>
            <w:vAlign w:val="bottom"/>
            <w:hideMark/>
          </w:tcPr>
          <w:p w14:paraId="5D68FD38"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4,2</w:t>
            </w:r>
          </w:p>
        </w:tc>
        <w:tc>
          <w:tcPr>
            <w:tcW w:w="484" w:type="dxa"/>
            <w:tcBorders>
              <w:top w:val="single" w:sz="12" w:space="0" w:color="auto"/>
              <w:bottom w:val="single" w:sz="4" w:space="0" w:color="auto"/>
            </w:tcBorders>
            <w:shd w:val="clear" w:color="auto" w:fill="auto"/>
            <w:noWrap/>
            <w:vAlign w:val="bottom"/>
            <w:hideMark/>
          </w:tcPr>
          <w:p w14:paraId="1FC725B0"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2,0</w:t>
            </w:r>
          </w:p>
        </w:tc>
        <w:tc>
          <w:tcPr>
            <w:tcW w:w="484" w:type="dxa"/>
            <w:tcBorders>
              <w:top w:val="single" w:sz="12" w:space="0" w:color="auto"/>
              <w:bottom w:val="single" w:sz="4" w:space="0" w:color="auto"/>
            </w:tcBorders>
            <w:shd w:val="clear" w:color="auto" w:fill="auto"/>
            <w:noWrap/>
            <w:vAlign w:val="bottom"/>
            <w:hideMark/>
          </w:tcPr>
          <w:p w14:paraId="35FD8A55"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2,1</w:t>
            </w:r>
          </w:p>
        </w:tc>
        <w:tc>
          <w:tcPr>
            <w:tcW w:w="484" w:type="dxa"/>
            <w:tcBorders>
              <w:top w:val="single" w:sz="12" w:space="0" w:color="auto"/>
              <w:bottom w:val="single" w:sz="4" w:space="0" w:color="auto"/>
            </w:tcBorders>
            <w:shd w:val="clear" w:color="auto" w:fill="auto"/>
            <w:noWrap/>
            <w:vAlign w:val="bottom"/>
            <w:hideMark/>
          </w:tcPr>
          <w:p w14:paraId="5AB0BDF6"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1,9</w:t>
            </w:r>
          </w:p>
        </w:tc>
        <w:tc>
          <w:tcPr>
            <w:tcW w:w="485" w:type="dxa"/>
            <w:tcBorders>
              <w:top w:val="single" w:sz="12" w:space="0" w:color="auto"/>
              <w:bottom w:val="single" w:sz="4" w:space="0" w:color="auto"/>
            </w:tcBorders>
            <w:shd w:val="clear" w:color="auto" w:fill="auto"/>
            <w:noWrap/>
            <w:vAlign w:val="bottom"/>
            <w:hideMark/>
          </w:tcPr>
          <w:p w14:paraId="49747376" w14:textId="77777777" w:rsidR="00DA21FF" w:rsidRPr="00FE11B9" w:rsidRDefault="00DA21FF" w:rsidP="00FE11B9">
            <w:pPr>
              <w:pStyle w:val="SingleTxtG"/>
              <w:tabs>
                <w:tab w:val="clear" w:pos="1701"/>
                <w:tab w:val="clear" w:pos="2268"/>
                <w:tab w:val="clear" w:pos="2835"/>
              </w:tabs>
              <w:spacing w:before="80" w:after="80" w:line="220" w:lineRule="exact"/>
              <w:ind w:left="113" w:right="0"/>
              <w:jc w:val="right"/>
              <w:rPr>
                <w:b/>
                <w:sz w:val="18"/>
                <w:lang w:val="en-GB"/>
              </w:rPr>
            </w:pPr>
            <w:r w:rsidRPr="00FE11B9">
              <w:rPr>
                <w:b/>
                <w:sz w:val="18"/>
              </w:rPr>
              <w:t>3,5</w:t>
            </w:r>
          </w:p>
        </w:tc>
      </w:tr>
      <w:tr w:rsidR="00A36AA3" w:rsidRPr="00DA21FF" w14:paraId="703463E1" w14:textId="77777777" w:rsidTr="00E95817">
        <w:trPr>
          <w:trHeight w:val="240"/>
        </w:trPr>
        <w:tc>
          <w:tcPr>
            <w:tcW w:w="1871" w:type="dxa"/>
            <w:tcBorders>
              <w:top w:val="single" w:sz="4" w:space="0" w:color="auto"/>
            </w:tcBorders>
            <w:shd w:val="clear" w:color="auto" w:fill="auto"/>
            <w:noWrap/>
            <w:hideMark/>
          </w:tcPr>
          <w:p w14:paraId="7276856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Población no inmigrante</w:t>
            </w:r>
          </w:p>
        </w:tc>
        <w:tc>
          <w:tcPr>
            <w:tcW w:w="484" w:type="dxa"/>
            <w:tcBorders>
              <w:top w:val="single" w:sz="4" w:space="0" w:color="auto"/>
            </w:tcBorders>
            <w:shd w:val="clear" w:color="auto" w:fill="auto"/>
            <w:noWrap/>
            <w:vAlign w:val="bottom"/>
            <w:hideMark/>
          </w:tcPr>
          <w:p w14:paraId="47E808B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c>
          <w:tcPr>
            <w:tcW w:w="484" w:type="dxa"/>
            <w:tcBorders>
              <w:top w:val="single" w:sz="4" w:space="0" w:color="auto"/>
            </w:tcBorders>
            <w:shd w:val="clear" w:color="auto" w:fill="auto"/>
            <w:noWrap/>
            <w:vAlign w:val="bottom"/>
            <w:hideMark/>
          </w:tcPr>
          <w:p w14:paraId="2BA462E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1,6</w:t>
            </w:r>
          </w:p>
        </w:tc>
        <w:tc>
          <w:tcPr>
            <w:tcW w:w="484" w:type="dxa"/>
            <w:tcBorders>
              <w:top w:val="single" w:sz="4" w:space="0" w:color="auto"/>
            </w:tcBorders>
            <w:shd w:val="clear" w:color="auto" w:fill="auto"/>
            <w:noWrap/>
            <w:vAlign w:val="bottom"/>
            <w:hideMark/>
          </w:tcPr>
          <w:p w14:paraId="5C71FCE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1,5</w:t>
            </w:r>
          </w:p>
        </w:tc>
        <w:tc>
          <w:tcPr>
            <w:tcW w:w="484" w:type="dxa"/>
            <w:tcBorders>
              <w:top w:val="single" w:sz="4" w:space="0" w:color="auto"/>
            </w:tcBorders>
            <w:shd w:val="clear" w:color="auto" w:fill="auto"/>
            <w:noWrap/>
            <w:vAlign w:val="bottom"/>
            <w:hideMark/>
          </w:tcPr>
          <w:p w14:paraId="1BFFCF0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c>
          <w:tcPr>
            <w:tcW w:w="484" w:type="dxa"/>
            <w:tcBorders>
              <w:top w:val="single" w:sz="4" w:space="0" w:color="auto"/>
            </w:tcBorders>
            <w:shd w:val="clear" w:color="auto" w:fill="auto"/>
            <w:noWrap/>
            <w:vAlign w:val="bottom"/>
            <w:hideMark/>
          </w:tcPr>
          <w:p w14:paraId="3FB5563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c>
          <w:tcPr>
            <w:tcW w:w="485" w:type="dxa"/>
            <w:tcBorders>
              <w:top w:val="single" w:sz="4" w:space="0" w:color="auto"/>
            </w:tcBorders>
            <w:shd w:val="clear" w:color="auto" w:fill="auto"/>
            <w:noWrap/>
            <w:vAlign w:val="bottom"/>
            <w:hideMark/>
          </w:tcPr>
          <w:p w14:paraId="2AB8872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c>
          <w:tcPr>
            <w:tcW w:w="484" w:type="dxa"/>
            <w:tcBorders>
              <w:top w:val="single" w:sz="4" w:space="0" w:color="auto"/>
            </w:tcBorders>
            <w:shd w:val="clear" w:color="auto" w:fill="auto"/>
            <w:noWrap/>
            <w:vAlign w:val="bottom"/>
            <w:hideMark/>
          </w:tcPr>
          <w:p w14:paraId="04264FA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1,7</w:t>
            </w:r>
          </w:p>
        </w:tc>
        <w:tc>
          <w:tcPr>
            <w:tcW w:w="484" w:type="dxa"/>
            <w:tcBorders>
              <w:top w:val="single" w:sz="4" w:space="0" w:color="auto"/>
            </w:tcBorders>
            <w:shd w:val="clear" w:color="auto" w:fill="auto"/>
            <w:noWrap/>
            <w:vAlign w:val="bottom"/>
            <w:hideMark/>
          </w:tcPr>
          <w:p w14:paraId="4CCA2A4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3,1</w:t>
            </w:r>
          </w:p>
        </w:tc>
        <w:tc>
          <w:tcPr>
            <w:tcW w:w="484" w:type="dxa"/>
            <w:tcBorders>
              <w:top w:val="single" w:sz="4" w:space="0" w:color="auto"/>
            </w:tcBorders>
            <w:shd w:val="clear" w:color="auto" w:fill="auto"/>
            <w:noWrap/>
            <w:vAlign w:val="bottom"/>
            <w:hideMark/>
          </w:tcPr>
          <w:p w14:paraId="02C5E97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c>
          <w:tcPr>
            <w:tcW w:w="484" w:type="dxa"/>
            <w:tcBorders>
              <w:top w:val="single" w:sz="4" w:space="0" w:color="auto"/>
            </w:tcBorders>
            <w:shd w:val="clear" w:color="auto" w:fill="auto"/>
            <w:noWrap/>
            <w:vAlign w:val="bottom"/>
            <w:hideMark/>
          </w:tcPr>
          <w:p w14:paraId="7D9A997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1,4</w:t>
            </w:r>
          </w:p>
        </w:tc>
        <w:tc>
          <w:tcPr>
            <w:tcW w:w="484" w:type="dxa"/>
            <w:tcBorders>
              <w:top w:val="single" w:sz="4" w:space="0" w:color="auto"/>
            </w:tcBorders>
            <w:shd w:val="clear" w:color="auto" w:fill="auto"/>
            <w:noWrap/>
            <w:vAlign w:val="bottom"/>
            <w:hideMark/>
          </w:tcPr>
          <w:p w14:paraId="2EFDD07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c>
          <w:tcPr>
            <w:tcW w:w="485" w:type="dxa"/>
            <w:tcBorders>
              <w:top w:val="single" w:sz="4" w:space="0" w:color="auto"/>
            </w:tcBorders>
            <w:shd w:val="clear" w:color="auto" w:fill="auto"/>
            <w:noWrap/>
            <w:vAlign w:val="bottom"/>
            <w:hideMark/>
          </w:tcPr>
          <w:p w14:paraId="5A32F6D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2,3</w:t>
            </w:r>
          </w:p>
        </w:tc>
      </w:tr>
      <w:tr w:rsidR="00A36AA3" w:rsidRPr="00A36AA3" w14:paraId="70C3D3A2" w14:textId="77777777" w:rsidTr="00A36AA3">
        <w:trPr>
          <w:trHeight w:val="240"/>
        </w:trPr>
        <w:tc>
          <w:tcPr>
            <w:tcW w:w="1871" w:type="dxa"/>
            <w:tcBorders>
              <w:bottom w:val="single" w:sz="12" w:space="0" w:color="auto"/>
            </w:tcBorders>
            <w:shd w:val="clear" w:color="auto" w:fill="auto"/>
            <w:noWrap/>
            <w:hideMark/>
          </w:tcPr>
          <w:p w14:paraId="24E89D69"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Todos los inmigrantes</w:t>
            </w:r>
          </w:p>
        </w:tc>
        <w:tc>
          <w:tcPr>
            <w:tcW w:w="484" w:type="dxa"/>
            <w:tcBorders>
              <w:bottom w:val="single" w:sz="12" w:space="0" w:color="auto"/>
            </w:tcBorders>
            <w:shd w:val="clear" w:color="auto" w:fill="auto"/>
            <w:noWrap/>
            <w:vAlign w:val="bottom"/>
            <w:hideMark/>
          </w:tcPr>
          <w:p w14:paraId="0AEB839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5,6</w:t>
            </w:r>
          </w:p>
        </w:tc>
        <w:tc>
          <w:tcPr>
            <w:tcW w:w="484" w:type="dxa"/>
            <w:tcBorders>
              <w:bottom w:val="single" w:sz="12" w:space="0" w:color="auto"/>
            </w:tcBorders>
            <w:shd w:val="clear" w:color="auto" w:fill="auto"/>
            <w:noWrap/>
            <w:vAlign w:val="bottom"/>
            <w:hideMark/>
          </w:tcPr>
          <w:p w14:paraId="0822EA8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w:t>
            </w:r>
          </w:p>
        </w:tc>
        <w:tc>
          <w:tcPr>
            <w:tcW w:w="484" w:type="dxa"/>
            <w:tcBorders>
              <w:bottom w:val="single" w:sz="12" w:space="0" w:color="auto"/>
            </w:tcBorders>
            <w:shd w:val="clear" w:color="auto" w:fill="auto"/>
            <w:noWrap/>
            <w:vAlign w:val="bottom"/>
            <w:hideMark/>
          </w:tcPr>
          <w:p w14:paraId="3E8D08C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c>
          <w:tcPr>
            <w:tcW w:w="484" w:type="dxa"/>
            <w:tcBorders>
              <w:bottom w:val="single" w:sz="12" w:space="0" w:color="auto"/>
            </w:tcBorders>
            <w:shd w:val="clear" w:color="auto" w:fill="auto"/>
            <w:noWrap/>
            <w:vAlign w:val="bottom"/>
            <w:hideMark/>
          </w:tcPr>
          <w:p w14:paraId="43958C4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9,2</w:t>
            </w:r>
          </w:p>
        </w:tc>
        <w:tc>
          <w:tcPr>
            <w:tcW w:w="484" w:type="dxa"/>
            <w:tcBorders>
              <w:bottom w:val="single" w:sz="12" w:space="0" w:color="auto"/>
            </w:tcBorders>
            <w:shd w:val="clear" w:color="auto" w:fill="auto"/>
            <w:noWrap/>
            <w:vAlign w:val="bottom"/>
            <w:hideMark/>
          </w:tcPr>
          <w:p w14:paraId="5B34956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w:t>
            </w:r>
          </w:p>
        </w:tc>
        <w:tc>
          <w:tcPr>
            <w:tcW w:w="485" w:type="dxa"/>
            <w:tcBorders>
              <w:bottom w:val="single" w:sz="12" w:space="0" w:color="auto"/>
            </w:tcBorders>
            <w:shd w:val="clear" w:color="auto" w:fill="auto"/>
            <w:noWrap/>
            <w:vAlign w:val="bottom"/>
            <w:hideMark/>
          </w:tcPr>
          <w:p w14:paraId="0B538C8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5,0</w:t>
            </w:r>
          </w:p>
        </w:tc>
        <w:tc>
          <w:tcPr>
            <w:tcW w:w="484" w:type="dxa"/>
            <w:tcBorders>
              <w:bottom w:val="single" w:sz="12" w:space="0" w:color="auto"/>
            </w:tcBorders>
            <w:shd w:val="clear" w:color="auto" w:fill="auto"/>
            <w:noWrap/>
            <w:vAlign w:val="bottom"/>
            <w:hideMark/>
          </w:tcPr>
          <w:p w14:paraId="1F43965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w:t>
            </w:r>
          </w:p>
        </w:tc>
        <w:tc>
          <w:tcPr>
            <w:tcW w:w="484" w:type="dxa"/>
            <w:tcBorders>
              <w:bottom w:val="single" w:sz="12" w:space="0" w:color="auto"/>
            </w:tcBorders>
            <w:shd w:val="clear" w:color="auto" w:fill="auto"/>
            <w:noWrap/>
            <w:vAlign w:val="bottom"/>
            <w:hideMark/>
          </w:tcPr>
          <w:p w14:paraId="7EEAC23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9,0</w:t>
            </w:r>
          </w:p>
        </w:tc>
        <w:tc>
          <w:tcPr>
            <w:tcW w:w="484" w:type="dxa"/>
            <w:tcBorders>
              <w:bottom w:val="single" w:sz="12" w:space="0" w:color="auto"/>
            </w:tcBorders>
            <w:shd w:val="clear" w:color="auto" w:fill="auto"/>
            <w:noWrap/>
            <w:vAlign w:val="bottom"/>
            <w:hideMark/>
          </w:tcPr>
          <w:p w14:paraId="0F29D6E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w:t>
            </w:r>
          </w:p>
        </w:tc>
        <w:tc>
          <w:tcPr>
            <w:tcW w:w="484" w:type="dxa"/>
            <w:tcBorders>
              <w:bottom w:val="single" w:sz="12" w:space="0" w:color="auto"/>
            </w:tcBorders>
            <w:shd w:val="clear" w:color="auto" w:fill="auto"/>
            <w:noWrap/>
            <w:vAlign w:val="bottom"/>
            <w:hideMark/>
          </w:tcPr>
          <w:p w14:paraId="53263FC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5,9</w:t>
            </w:r>
          </w:p>
        </w:tc>
        <w:tc>
          <w:tcPr>
            <w:tcW w:w="484" w:type="dxa"/>
            <w:tcBorders>
              <w:bottom w:val="single" w:sz="12" w:space="0" w:color="auto"/>
            </w:tcBorders>
            <w:shd w:val="clear" w:color="auto" w:fill="auto"/>
            <w:noWrap/>
            <w:vAlign w:val="bottom"/>
            <w:hideMark/>
          </w:tcPr>
          <w:p w14:paraId="7D6A53D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5,4</w:t>
            </w:r>
          </w:p>
        </w:tc>
        <w:tc>
          <w:tcPr>
            <w:tcW w:w="485" w:type="dxa"/>
            <w:tcBorders>
              <w:bottom w:val="single" w:sz="12" w:space="0" w:color="auto"/>
            </w:tcBorders>
            <w:shd w:val="clear" w:color="auto" w:fill="auto"/>
            <w:noWrap/>
            <w:vAlign w:val="bottom"/>
            <w:hideMark/>
          </w:tcPr>
          <w:p w14:paraId="731E698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9,3</w:t>
            </w:r>
          </w:p>
        </w:tc>
      </w:tr>
    </w:tbl>
    <w:p w14:paraId="239ADB79" w14:textId="77777777" w:rsidR="00DA21FF" w:rsidRPr="003F1C60" w:rsidRDefault="00DA21FF" w:rsidP="003F1C60">
      <w:pPr>
        <w:pStyle w:val="SingleTxtG"/>
        <w:spacing w:before="120" w:after="240"/>
        <w:ind w:left="1304"/>
        <w:jc w:val="left"/>
        <w:rPr>
          <w:sz w:val="18"/>
          <w:szCs w:val="18"/>
        </w:rPr>
      </w:pPr>
      <w:r w:rsidRPr="00FE11B9">
        <w:rPr>
          <w:i/>
          <w:sz w:val="18"/>
          <w:szCs w:val="18"/>
        </w:rPr>
        <w:t>Fuente:</w:t>
      </w:r>
      <w:r w:rsidRPr="003F1C60">
        <w:rPr>
          <w:sz w:val="18"/>
          <w:szCs w:val="18"/>
        </w:rPr>
        <w:t xml:space="preserve"> Datos registrados, Instituto Nacional de Estadística de Noruega.</w:t>
      </w:r>
    </w:p>
    <w:p w14:paraId="06E280E9" w14:textId="77777777" w:rsidR="00DA21FF" w:rsidRPr="00DA21FF" w:rsidRDefault="00DA21FF" w:rsidP="00DA21FF">
      <w:pPr>
        <w:pStyle w:val="SingleTxtG"/>
        <w:rPr>
          <w:lang w:val="en-GB"/>
        </w:rPr>
      </w:pPr>
      <w:r w:rsidRPr="00DA21FF">
        <w:t>51.</w:t>
      </w:r>
      <w:r w:rsidRPr="00DA21FF">
        <w:tab/>
        <w:t xml:space="preserve">En la encuesta de población activa de 2020, el 40,6 % de los encuestados que declararon tener una </w:t>
      </w:r>
      <w:r w:rsidRPr="00117F19">
        <w:rPr>
          <w:u w:val="single"/>
        </w:rPr>
        <w:t>discapacidad</w:t>
      </w:r>
      <w:r w:rsidRPr="00DA21FF">
        <w:t xml:space="preserve"> estaban empleados (el 40,3 % de los hombres y el 40,8 % de las mujeres), como se muestra en el cuadro siguiente. El 3,3 % de las personas con discapacidad estaban desempleadas. La tasa de desempleo era más elevada entre los hombres que entre las mujeres.</w:t>
      </w:r>
    </w:p>
    <w:p w14:paraId="3A7816DA" w14:textId="0EA4AC91" w:rsidR="00DA21FF" w:rsidRPr="00DA21FF" w:rsidRDefault="00FE11B9" w:rsidP="00FE11B9">
      <w:pPr>
        <w:pStyle w:val="H23G"/>
        <w:rPr>
          <w:lang w:val="en-GB"/>
        </w:rPr>
      </w:pPr>
      <w:r>
        <w:lastRenderedPageBreak/>
        <w:tab/>
      </w:r>
      <w:r w:rsidR="00DA21FF" w:rsidRPr="00DA21FF">
        <w:tab/>
        <w:t xml:space="preserve">Porcentaje de personas con discapacidad empleadas y desempleadas </w:t>
      </w:r>
      <w:r>
        <w:br/>
      </w:r>
      <w:r w:rsidR="00DA21FF" w:rsidRPr="00DA21FF">
        <w:t xml:space="preserve">en el grupo de edad de 15 a 66 años. </w:t>
      </w:r>
      <w:proofErr w:type="spellStart"/>
      <w:r w:rsidR="00DA21FF" w:rsidRPr="00DA21FF">
        <w:t>2T</w:t>
      </w:r>
      <w:proofErr w:type="spellEnd"/>
      <w:r w:rsidR="00DA21FF" w:rsidRPr="00DA21FF">
        <w:t xml:space="preserve"> 2017 a 2020</w:t>
      </w:r>
    </w:p>
    <w:tbl>
      <w:tblPr>
        <w:tblW w:w="7893"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73"/>
        <w:gridCol w:w="1497"/>
        <w:gridCol w:w="755"/>
        <w:gridCol w:w="756"/>
        <w:gridCol w:w="756"/>
        <w:gridCol w:w="756"/>
      </w:tblGrid>
      <w:tr w:rsidR="00FE11B9" w:rsidRPr="00A36AA3" w14:paraId="4CA5B168" w14:textId="77777777" w:rsidTr="00FE11B9">
        <w:trPr>
          <w:trHeight w:val="240"/>
          <w:tblHeader/>
        </w:trPr>
        <w:tc>
          <w:tcPr>
            <w:tcW w:w="3373" w:type="dxa"/>
            <w:tcBorders>
              <w:top w:val="single" w:sz="4" w:space="0" w:color="auto"/>
              <w:bottom w:val="single" w:sz="12" w:space="0" w:color="auto"/>
            </w:tcBorders>
            <w:shd w:val="clear" w:color="auto" w:fill="auto"/>
            <w:noWrap/>
            <w:vAlign w:val="bottom"/>
            <w:hideMark/>
          </w:tcPr>
          <w:p w14:paraId="2C11897B"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p>
        </w:tc>
        <w:tc>
          <w:tcPr>
            <w:tcW w:w="1497" w:type="dxa"/>
            <w:tcBorders>
              <w:top w:val="single" w:sz="4" w:space="0" w:color="auto"/>
              <w:bottom w:val="single" w:sz="12" w:space="0" w:color="auto"/>
            </w:tcBorders>
            <w:shd w:val="clear" w:color="auto" w:fill="auto"/>
            <w:noWrap/>
            <w:vAlign w:val="bottom"/>
            <w:hideMark/>
          </w:tcPr>
          <w:p w14:paraId="37D3F6D2" w14:textId="77777777" w:rsidR="00DA21FF" w:rsidRPr="00DA21FF" w:rsidRDefault="00DA21FF" w:rsidP="00FE11B9">
            <w:pPr>
              <w:pStyle w:val="SingleTxtG"/>
              <w:tabs>
                <w:tab w:val="clear" w:pos="1701"/>
                <w:tab w:val="clear" w:pos="2268"/>
                <w:tab w:val="clear" w:pos="2835"/>
              </w:tabs>
              <w:spacing w:before="80" w:after="80" w:line="200" w:lineRule="exact"/>
              <w:ind w:left="0" w:right="0"/>
              <w:jc w:val="left"/>
              <w:rPr>
                <w:i/>
                <w:sz w:val="16"/>
                <w:lang w:val="en-GB"/>
              </w:rPr>
            </w:pPr>
          </w:p>
        </w:tc>
        <w:tc>
          <w:tcPr>
            <w:tcW w:w="755" w:type="dxa"/>
            <w:tcBorders>
              <w:top w:val="single" w:sz="4" w:space="0" w:color="auto"/>
              <w:bottom w:val="single" w:sz="12" w:space="0" w:color="auto"/>
            </w:tcBorders>
            <w:shd w:val="clear" w:color="auto" w:fill="auto"/>
            <w:noWrap/>
            <w:vAlign w:val="bottom"/>
            <w:hideMark/>
          </w:tcPr>
          <w:p w14:paraId="59B0A689"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2017</w:t>
            </w:r>
          </w:p>
        </w:tc>
        <w:tc>
          <w:tcPr>
            <w:tcW w:w="756" w:type="dxa"/>
            <w:tcBorders>
              <w:top w:val="single" w:sz="4" w:space="0" w:color="auto"/>
              <w:bottom w:val="single" w:sz="12" w:space="0" w:color="auto"/>
            </w:tcBorders>
            <w:shd w:val="clear" w:color="auto" w:fill="auto"/>
            <w:noWrap/>
            <w:vAlign w:val="bottom"/>
            <w:hideMark/>
          </w:tcPr>
          <w:p w14:paraId="68F1C436"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2018</w:t>
            </w:r>
          </w:p>
        </w:tc>
        <w:tc>
          <w:tcPr>
            <w:tcW w:w="756" w:type="dxa"/>
            <w:tcBorders>
              <w:top w:val="single" w:sz="4" w:space="0" w:color="auto"/>
              <w:bottom w:val="single" w:sz="12" w:space="0" w:color="auto"/>
            </w:tcBorders>
            <w:shd w:val="clear" w:color="auto" w:fill="auto"/>
            <w:noWrap/>
            <w:vAlign w:val="bottom"/>
            <w:hideMark/>
          </w:tcPr>
          <w:p w14:paraId="1E0141C8"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2019</w:t>
            </w:r>
          </w:p>
        </w:tc>
        <w:tc>
          <w:tcPr>
            <w:tcW w:w="756" w:type="dxa"/>
            <w:tcBorders>
              <w:top w:val="single" w:sz="4" w:space="0" w:color="auto"/>
              <w:bottom w:val="single" w:sz="12" w:space="0" w:color="auto"/>
            </w:tcBorders>
            <w:shd w:val="clear" w:color="auto" w:fill="auto"/>
            <w:noWrap/>
            <w:vAlign w:val="bottom"/>
            <w:hideMark/>
          </w:tcPr>
          <w:p w14:paraId="31455A4B"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2020</w:t>
            </w:r>
          </w:p>
        </w:tc>
      </w:tr>
      <w:tr w:rsidR="00FE11B9" w:rsidRPr="00DA21FF" w14:paraId="3643C254" w14:textId="77777777" w:rsidTr="00FE11B9">
        <w:trPr>
          <w:trHeight w:val="240"/>
        </w:trPr>
        <w:tc>
          <w:tcPr>
            <w:tcW w:w="3373" w:type="dxa"/>
            <w:vMerge w:val="restart"/>
            <w:tcBorders>
              <w:top w:val="single" w:sz="12" w:space="0" w:color="auto"/>
            </w:tcBorders>
            <w:shd w:val="clear" w:color="auto" w:fill="auto"/>
            <w:noWrap/>
            <w:hideMark/>
          </w:tcPr>
          <w:p w14:paraId="0B93CB89"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Porcentaje de personas con discapacidad empleadas</w:t>
            </w:r>
          </w:p>
        </w:tc>
        <w:tc>
          <w:tcPr>
            <w:tcW w:w="1497" w:type="dxa"/>
            <w:tcBorders>
              <w:top w:val="single" w:sz="12" w:space="0" w:color="auto"/>
            </w:tcBorders>
            <w:shd w:val="clear" w:color="auto" w:fill="auto"/>
            <w:noWrap/>
            <w:vAlign w:val="bottom"/>
            <w:hideMark/>
          </w:tcPr>
          <w:p w14:paraId="3FF3F7B3" w14:textId="77777777" w:rsidR="00DA21FF" w:rsidRPr="00DA21FF" w:rsidRDefault="00DA21FF" w:rsidP="00FE11B9">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Ambos sexos</w:t>
            </w:r>
          </w:p>
        </w:tc>
        <w:tc>
          <w:tcPr>
            <w:tcW w:w="755" w:type="dxa"/>
            <w:tcBorders>
              <w:top w:val="single" w:sz="12" w:space="0" w:color="auto"/>
            </w:tcBorders>
            <w:shd w:val="clear" w:color="auto" w:fill="auto"/>
            <w:noWrap/>
            <w:vAlign w:val="bottom"/>
            <w:hideMark/>
          </w:tcPr>
          <w:p w14:paraId="0D7258F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43,0</w:t>
            </w:r>
          </w:p>
        </w:tc>
        <w:tc>
          <w:tcPr>
            <w:tcW w:w="756" w:type="dxa"/>
            <w:tcBorders>
              <w:top w:val="single" w:sz="12" w:space="0" w:color="auto"/>
            </w:tcBorders>
            <w:shd w:val="clear" w:color="auto" w:fill="auto"/>
            <w:noWrap/>
            <w:vAlign w:val="bottom"/>
            <w:hideMark/>
          </w:tcPr>
          <w:p w14:paraId="76CB7B0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43,9</w:t>
            </w:r>
          </w:p>
        </w:tc>
        <w:tc>
          <w:tcPr>
            <w:tcW w:w="756" w:type="dxa"/>
            <w:tcBorders>
              <w:top w:val="single" w:sz="12" w:space="0" w:color="auto"/>
            </w:tcBorders>
            <w:shd w:val="clear" w:color="auto" w:fill="auto"/>
            <w:noWrap/>
            <w:vAlign w:val="bottom"/>
            <w:hideMark/>
          </w:tcPr>
          <w:p w14:paraId="773CAFE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43,8</w:t>
            </w:r>
          </w:p>
        </w:tc>
        <w:tc>
          <w:tcPr>
            <w:tcW w:w="756" w:type="dxa"/>
            <w:tcBorders>
              <w:top w:val="single" w:sz="12" w:space="0" w:color="auto"/>
            </w:tcBorders>
            <w:shd w:val="clear" w:color="auto" w:fill="auto"/>
            <w:noWrap/>
            <w:vAlign w:val="bottom"/>
            <w:hideMark/>
          </w:tcPr>
          <w:p w14:paraId="6E365AB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40,6</w:t>
            </w:r>
          </w:p>
        </w:tc>
      </w:tr>
      <w:tr w:rsidR="00FE11B9" w:rsidRPr="00DA21FF" w14:paraId="3B39B2F9" w14:textId="77777777" w:rsidTr="00FE11B9">
        <w:trPr>
          <w:trHeight w:val="240"/>
        </w:trPr>
        <w:tc>
          <w:tcPr>
            <w:tcW w:w="3373" w:type="dxa"/>
            <w:vMerge/>
            <w:shd w:val="clear" w:color="auto" w:fill="auto"/>
            <w:noWrap/>
            <w:hideMark/>
          </w:tcPr>
          <w:p w14:paraId="6082D6D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497" w:type="dxa"/>
            <w:shd w:val="clear" w:color="auto" w:fill="auto"/>
            <w:noWrap/>
            <w:vAlign w:val="bottom"/>
            <w:hideMark/>
          </w:tcPr>
          <w:p w14:paraId="167A185C" w14:textId="77777777" w:rsidR="00DA21FF" w:rsidRPr="00DA21FF" w:rsidRDefault="00DA21FF" w:rsidP="00FE11B9">
            <w:pPr>
              <w:pStyle w:val="SingleTxtG"/>
              <w:tabs>
                <w:tab w:val="clear" w:pos="1701"/>
                <w:tab w:val="clear" w:pos="2268"/>
                <w:tab w:val="clear" w:pos="2835"/>
              </w:tabs>
              <w:spacing w:before="40" w:after="40" w:line="220" w:lineRule="exact"/>
              <w:ind w:left="284" w:right="0"/>
              <w:jc w:val="left"/>
              <w:rPr>
                <w:sz w:val="18"/>
                <w:lang w:val="en-GB"/>
              </w:rPr>
            </w:pPr>
            <w:r w:rsidRPr="00DA21FF">
              <w:rPr>
                <w:sz w:val="18"/>
              </w:rPr>
              <w:t>Hombres</w:t>
            </w:r>
          </w:p>
        </w:tc>
        <w:tc>
          <w:tcPr>
            <w:tcW w:w="755" w:type="dxa"/>
            <w:shd w:val="clear" w:color="auto" w:fill="auto"/>
            <w:noWrap/>
            <w:vAlign w:val="bottom"/>
            <w:hideMark/>
          </w:tcPr>
          <w:p w14:paraId="650531C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47,1</w:t>
            </w:r>
          </w:p>
        </w:tc>
        <w:tc>
          <w:tcPr>
            <w:tcW w:w="756" w:type="dxa"/>
            <w:shd w:val="clear" w:color="auto" w:fill="auto"/>
            <w:noWrap/>
            <w:vAlign w:val="bottom"/>
            <w:hideMark/>
          </w:tcPr>
          <w:p w14:paraId="135272A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46,0</w:t>
            </w:r>
          </w:p>
        </w:tc>
        <w:tc>
          <w:tcPr>
            <w:tcW w:w="756" w:type="dxa"/>
            <w:shd w:val="clear" w:color="auto" w:fill="auto"/>
            <w:noWrap/>
            <w:vAlign w:val="bottom"/>
            <w:hideMark/>
          </w:tcPr>
          <w:p w14:paraId="5D05840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43,2</w:t>
            </w:r>
          </w:p>
        </w:tc>
        <w:tc>
          <w:tcPr>
            <w:tcW w:w="756" w:type="dxa"/>
            <w:shd w:val="clear" w:color="auto" w:fill="auto"/>
            <w:noWrap/>
            <w:vAlign w:val="bottom"/>
            <w:hideMark/>
          </w:tcPr>
          <w:p w14:paraId="37A7CB9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40,3</w:t>
            </w:r>
          </w:p>
        </w:tc>
      </w:tr>
      <w:tr w:rsidR="00FE11B9" w:rsidRPr="00DA21FF" w14:paraId="586C5344" w14:textId="77777777" w:rsidTr="00FE11B9">
        <w:trPr>
          <w:trHeight w:val="240"/>
        </w:trPr>
        <w:tc>
          <w:tcPr>
            <w:tcW w:w="3373" w:type="dxa"/>
            <w:vMerge/>
            <w:shd w:val="clear" w:color="auto" w:fill="auto"/>
            <w:noWrap/>
            <w:hideMark/>
          </w:tcPr>
          <w:p w14:paraId="2F93DBDD"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497" w:type="dxa"/>
            <w:shd w:val="clear" w:color="auto" w:fill="auto"/>
            <w:noWrap/>
            <w:vAlign w:val="bottom"/>
            <w:hideMark/>
          </w:tcPr>
          <w:p w14:paraId="56668C38" w14:textId="77777777" w:rsidR="00DA21FF" w:rsidRPr="00DA21FF" w:rsidRDefault="00DA21FF" w:rsidP="00FE11B9">
            <w:pPr>
              <w:pStyle w:val="SingleTxtG"/>
              <w:tabs>
                <w:tab w:val="clear" w:pos="1701"/>
                <w:tab w:val="clear" w:pos="2268"/>
                <w:tab w:val="clear" w:pos="2835"/>
              </w:tabs>
              <w:spacing w:before="40" w:after="40" w:line="220" w:lineRule="exact"/>
              <w:ind w:left="284" w:right="0"/>
              <w:jc w:val="left"/>
              <w:rPr>
                <w:sz w:val="18"/>
                <w:lang w:val="en-GB"/>
              </w:rPr>
            </w:pPr>
            <w:r w:rsidRPr="00DA21FF">
              <w:rPr>
                <w:sz w:val="18"/>
              </w:rPr>
              <w:t>Mujeres</w:t>
            </w:r>
          </w:p>
        </w:tc>
        <w:tc>
          <w:tcPr>
            <w:tcW w:w="755" w:type="dxa"/>
            <w:shd w:val="clear" w:color="auto" w:fill="auto"/>
            <w:noWrap/>
            <w:vAlign w:val="bottom"/>
            <w:hideMark/>
          </w:tcPr>
          <w:p w14:paraId="371E1F8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39,7</w:t>
            </w:r>
          </w:p>
        </w:tc>
        <w:tc>
          <w:tcPr>
            <w:tcW w:w="756" w:type="dxa"/>
            <w:shd w:val="clear" w:color="auto" w:fill="auto"/>
            <w:noWrap/>
            <w:vAlign w:val="bottom"/>
            <w:hideMark/>
          </w:tcPr>
          <w:p w14:paraId="19AB659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42,2</w:t>
            </w:r>
          </w:p>
        </w:tc>
        <w:tc>
          <w:tcPr>
            <w:tcW w:w="756" w:type="dxa"/>
            <w:shd w:val="clear" w:color="auto" w:fill="auto"/>
            <w:noWrap/>
            <w:vAlign w:val="bottom"/>
            <w:hideMark/>
          </w:tcPr>
          <w:p w14:paraId="5F642D0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44,2</w:t>
            </w:r>
          </w:p>
        </w:tc>
        <w:tc>
          <w:tcPr>
            <w:tcW w:w="756" w:type="dxa"/>
            <w:shd w:val="clear" w:color="auto" w:fill="auto"/>
            <w:noWrap/>
            <w:vAlign w:val="bottom"/>
            <w:hideMark/>
          </w:tcPr>
          <w:p w14:paraId="211FB4E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40,8</w:t>
            </w:r>
          </w:p>
        </w:tc>
      </w:tr>
      <w:tr w:rsidR="00FE11B9" w:rsidRPr="00DA21FF" w14:paraId="014476AD" w14:textId="77777777" w:rsidTr="00FE11B9">
        <w:trPr>
          <w:trHeight w:val="240"/>
        </w:trPr>
        <w:tc>
          <w:tcPr>
            <w:tcW w:w="3373" w:type="dxa"/>
            <w:vMerge w:val="restart"/>
            <w:shd w:val="clear" w:color="auto" w:fill="auto"/>
            <w:noWrap/>
            <w:hideMark/>
          </w:tcPr>
          <w:p w14:paraId="4EC344E0"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Porcentaje de personas con discapacidad desempleadas</w:t>
            </w:r>
          </w:p>
        </w:tc>
        <w:tc>
          <w:tcPr>
            <w:tcW w:w="1497" w:type="dxa"/>
            <w:shd w:val="clear" w:color="auto" w:fill="auto"/>
            <w:noWrap/>
            <w:vAlign w:val="bottom"/>
            <w:hideMark/>
          </w:tcPr>
          <w:p w14:paraId="343611CE" w14:textId="77777777" w:rsidR="00DA21FF" w:rsidRPr="00DA21FF" w:rsidRDefault="00DA21FF" w:rsidP="00FE11B9">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Ambos sexos</w:t>
            </w:r>
          </w:p>
        </w:tc>
        <w:tc>
          <w:tcPr>
            <w:tcW w:w="755" w:type="dxa"/>
            <w:shd w:val="clear" w:color="auto" w:fill="auto"/>
            <w:noWrap/>
            <w:vAlign w:val="bottom"/>
            <w:hideMark/>
          </w:tcPr>
          <w:p w14:paraId="1955C9C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w:t>
            </w:r>
          </w:p>
        </w:tc>
        <w:tc>
          <w:tcPr>
            <w:tcW w:w="756" w:type="dxa"/>
            <w:shd w:val="clear" w:color="auto" w:fill="auto"/>
            <w:noWrap/>
            <w:vAlign w:val="bottom"/>
            <w:hideMark/>
          </w:tcPr>
          <w:p w14:paraId="0B2B9FA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c>
          <w:tcPr>
            <w:tcW w:w="756" w:type="dxa"/>
            <w:shd w:val="clear" w:color="auto" w:fill="auto"/>
            <w:noWrap/>
            <w:vAlign w:val="bottom"/>
            <w:hideMark/>
          </w:tcPr>
          <w:p w14:paraId="2397BB6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c>
          <w:tcPr>
            <w:tcW w:w="756" w:type="dxa"/>
            <w:shd w:val="clear" w:color="auto" w:fill="auto"/>
            <w:noWrap/>
            <w:vAlign w:val="bottom"/>
            <w:hideMark/>
          </w:tcPr>
          <w:p w14:paraId="0EFC548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3,3</w:t>
            </w:r>
          </w:p>
        </w:tc>
      </w:tr>
      <w:tr w:rsidR="00FE11B9" w:rsidRPr="00DA21FF" w14:paraId="4F0999F0" w14:textId="77777777" w:rsidTr="00FE11B9">
        <w:trPr>
          <w:trHeight w:val="240"/>
        </w:trPr>
        <w:tc>
          <w:tcPr>
            <w:tcW w:w="3373" w:type="dxa"/>
            <w:vMerge/>
            <w:shd w:val="clear" w:color="auto" w:fill="auto"/>
            <w:noWrap/>
            <w:hideMark/>
          </w:tcPr>
          <w:p w14:paraId="3A8968F8"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497" w:type="dxa"/>
            <w:shd w:val="clear" w:color="auto" w:fill="auto"/>
            <w:noWrap/>
            <w:vAlign w:val="bottom"/>
            <w:hideMark/>
          </w:tcPr>
          <w:p w14:paraId="448CCCAF" w14:textId="77777777" w:rsidR="00DA21FF" w:rsidRPr="00DA21FF" w:rsidRDefault="00DA21FF" w:rsidP="00FE11B9">
            <w:pPr>
              <w:pStyle w:val="SingleTxtG"/>
              <w:tabs>
                <w:tab w:val="clear" w:pos="1701"/>
                <w:tab w:val="clear" w:pos="2268"/>
                <w:tab w:val="clear" w:pos="2835"/>
              </w:tabs>
              <w:spacing w:before="40" w:after="40" w:line="220" w:lineRule="exact"/>
              <w:ind w:left="284" w:right="0"/>
              <w:jc w:val="left"/>
              <w:rPr>
                <w:sz w:val="18"/>
                <w:lang w:val="en-GB"/>
              </w:rPr>
            </w:pPr>
            <w:r w:rsidRPr="00DA21FF">
              <w:rPr>
                <w:sz w:val="18"/>
              </w:rPr>
              <w:t>Hombres</w:t>
            </w:r>
          </w:p>
        </w:tc>
        <w:tc>
          <w:tcPr>
            <w:tcW w:w="755" w:type="dxa"/>
            <w:shd w:val="clear" w:color="auto" w:fill="auto"/>
            <w:noWrap/>
            <w:vAlign w:val="bottom"/>
            <w:hideMark/>
          </w:tcPr>
          <w:p w14:paraId="68952BAA"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w:t>
            </w:r>
          </w:p>
        </w:tc>
        <w:tc>
          <w:tcPr>
            <w:tcW w:w="756" w:type="dxa"/>
            <w:shd w:val="clear" w:color="auto" w:fill="auto"/>
            <w:noWrap/>
            <w:vAlign w:val="bottom"/>
            <w:hideMark/>
          </w:tcPr>
          <w:p w14:paraId="3DB90DA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3,4</w:t>
            </w:r>
          </w:p>
        </w:tc>
        <w:tc>
          <w:tcPr>
            <w:tcW w:w="756" w:type="dxa"/>
            <w:shd w:val="clear" w:color="auto" w:fill="auto"/>
            <w:noWrap/>
            <w:vAlign w:val="bottom"/>
            <w:hideMark/>
          </w:tcPr>
          <w:p w14:paraId="7F4D5A9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3,5</w:t>
            </w:r>
          </w:p>
        </w:tc>
        <w:tc>
          <w:tcPr>
            <w:tcW w:w="756" w:type="dxa"/>
            <w:shd w:val="clear" w:color="auto" w:fill="auto"/>
            <w:noWrap/>
            <w:vAlign w:val="bottom"/>
            <w:hideMark/>
          </w:tcPr>
          <w:p w14:paraId="55984E8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w:t>
            </w:r>
          </w:p>
        </w:tc>
      </w:tr>
      <w:tr w:rsidR="00FE11B9" w:rsidRPr="00DA21FF" w14:paraId="0325E3A8" w14:textId="77777777" w:rsidTr="00FE11B9">
        <w:trPr>
          <w:trHeight w:val="240"/>
        </w:trPr>
        <w:tc>
          <w:tcPr>
            <w:tcW w:w="3373" w:type="dxa"/>
            <w:vMerge/>
            <w:tcBorders>
              <w:bottom w:val="single" w:sz="12" w:space="0" w:color="auto"/>
            </w:tcBorders>
            <w:shd w:val="clear" w:color="auto" w:fill="auto"/>
            <w:noWrap/>
            <w:hideMark/>
          </w:tcPr>
          <w:p w14:paraId="3E63608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497" w:type="dxa"/>
            <w:tcBorders>
              <w:bottom w:val="single" w:sz="12" w:space="0" w:color="auto"/>
            </w:tcBorders>
            <w:shd w:val="clear" w:color="auto" w:fill="auto"/>
            <w:noWrap/>
            <w:vAlign w:val="bottom"/>
            <w:hideMark/>
          </w:tcPr>
          <w:p w14:paraId="057C15A9" w14:textId="77777777" w:rsidR="00DA21FF" w:rsidRPr="00DA21FF" w:rsidRDefault="00DA21FF" w:rsidP="00FE11B9">
            <w:pPr>
              <w:pStyle w:val="SingleTxtG"/>
              <w:tabs>
                <w:tab w:val="clear" w:pos="1701"/>
                <w:tab w:val="clear" w:pos="2268"/>
                <w:tab w:val="clear" w:pos="2835"/>
              </w:tabs>
              <w:spacing w:before="40" w:after="40" w:line="220" w:lineRule="exact"/>
              <w:ind w:left="284" w:right="0"/>
              <w:jc w:val="left"/>
              <w:rPr>
                <w:sz w:val="18"/>
                <w:lang w:val="en-GB"/>
              </w:rPr>
            </w:pPr>
            <w:r w:rsidRPr="00DA21FF">
              <w:rPr>
                <w:sz w:val="18"/>
              </w:rPr>
              <w:t>Mujeres</w:t>
            </w:r>
          </w:p>
        </w:tc>
        <w:tc>
          <w:tcPr>
            <w:tcW w:w="755" w:type="dxa"/>
            <w:tcBorders>
              <w:bottom w:val="single" w:sz="12" w:space="0" w:color="auto"/>
            </w:tcBorders>
            <w:shd w:val="clear" w:color="auto" w:fill="auto"/>
            <w:noWrap/>
            <w:vAlign w:val="bottom"/>
            <w:hideMark/>
          </w:tcPr>
          <w:p w14:paraId="0457A15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c>
          <w:tcPr>
            <w:tcW w:w="756" w:type="dxa"/>
            <w:tcBorders>
              <w:bottom w:val="single" w:sz="12" w:space="0" w:color="auto"/>
            </w:tcBorders>
            <w:shd w:val="clear" w:color="auto" w:fill="auto"/>
            <w:noWrap/>
            <w:vAlign w:val="bottom"/>
            <w:hideMark/>
          </w:tcPr>
          <w:p w14:paraId="30D5D2F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2,5</w:t>
            </w:r>
          </w:p>
        </w:tc>
        <w:tc>
          <w:tcPr>
            <w:tcW w:w="756" w:type="dxa"/>
            <w:tcBorders>
              <w:bottom w:val="single" w:sz="12" w:space="0" w:color="auto"/>
            </w:tcBorders>
            <w:shd w:val="clear" w:color="auto" w:fill="auto"/>
            <w:noWrap/>
            <w:vAlign w:val="bottom"/>
            <w:hideMark/>
          </w:tcPr>
          <w:p w14:paraId="160A017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c>
          <w:tcPr>
            <w:tcW w:w="756" w:type="dxa"/>
            <w:tcBorders>
              <w:bottom w:val="single" w:sz="12" w:space="0" w:color="auto"/>
            </w:tcBorders>
            <w:shd w:val="clear" w:color="auto" w:fill="auto"/>
            <w:noWrap/>
            <w:vAlign w:val="bottom"/>
            <w:hideMark/>
          </w:tcPr>
          <w:p w14:paraId="18E7795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2,6</w:t>
            </w:r>
          </w:p>
        </w:tc>
      </w:tr>
    </w:tbl>
    <w:p w14:paraId="5F9B6598" w14:textId="77777777" w:rsidR="00DA21FF" w:rsidRPr="003F1C60" w:rsidRDefault="00DA21FF" w:rsidP="00FE11B9">
      <w:pPr>
        <w:pStyle w:val="SingleTxtG"/>
        <w:spacing w:before="120" w:after="240"/>
        <w:ind w:firstLine="170"/>
        <w:jc w:val="left"/>
        <w:rPr>
          <w:sz w:val="18"/>
          <w:szCs w:val="18"/>
        </w:rPr>
      </w:pPr>
      <w:r w:rsidRPr="00FE11B9">
        <w:rPr>
          <w:i/>
          <w:sz w:val="18"/>
          <w:szCs w:val="18"/>
        </w:rPr>
        <w:t>Fuente:</w:t>
      </w:r>
      <w:r w:rsidRPr="003F1C60">
        <w:rPr>
          <w:sz w:val="18"/>
          <w:szCs w:val="18"/>
        </w:rPr>
        <w:t xml:space="preserve"> Personas con discapacidad, encuesta de población activa, Instituto Nacional de Estadística de Noruega.</w:t>
      </w:r>
    </w:p>
    <w:p w14:paraId="67954F96" w14:textId="191E9DA7" w:rsidR="00DA21FF" w:rsidRPr="00DA21FF" w:rsidRDefault="00FE11B9" w:rsidP="00FE11B9">
      <w:pPr>
        <w:pStyle w:val="H23G"/>
        <w:rPr>
          <w:lang w:val="en-GB"/>
        </w:rPr>
      </w:pPr>
      <w:r>
        <w:tab/>
      </w:r>
      <w:r w:rsidR="00DA21FF" w:rsidRPr="00DA21FF">
        <w:t>g)</w:t>
      </w:r>
      <w:r w:rsidR="00DA21FF" w:rsidRPr="00DA21FF">
        <w:tab/>
        <w:t xml:space="preserve">Proporción de la ayuda internacional proporcionada en relación con el </w:t>
      </w:r>
      <w:proofErr w:type="spellStart"/>
      <w:r w:rsidR="00DA21FF" w:rsidRPr="00DA21FF">
        <w:t>INB</w:t>
      </w:r>
      <w:proofErr w:type="spellEnd"/>
    </w:p>
    <w:p w14:paraId="661B1664" w14:textId="77777777" w:rsidR="00DA21FF" w:rsidRPr="00DA21FF" w:rsidRDefault="00DA21FF" w:rsidP="00DA21FF">
      <w:pPr>
        <w:pStyle w:val="SingleTxtG"/>
        <w:rPr>
          <w:lang w:val="en-GB"/>
        </w:rPr>
      </w:pPr>
      <w:r w:rsidRPr="00DA21FF">
        <w:t>52.</w:t>
      </w:r>
      <w:r w:rsidRPr="00DA21FF">
        <w:tab/>
        <w:t xml:space="preserve">Desde 2013, Noruega ha mantenido un alto nivel de </w:t>
      </w:r>
      <w:r w:rsidRPr="00117F19">
        <w:rPr>
          <w:u w:val="single"/>
        </w:rPr>
        <w:t>asistencia oficial para el desarrollo</w:t>
      </w:r>
      <w:r w:rsidRPr="00DA21FF">
        <w:t>, en torno al 1 % del ingreso nacional bruto (</w:t>
      </w:r>
      <w:proofErr w:type="spellStart"/>
      <w:r w:rsidRPr="00DA21FF">
        <w:t>INB</w:t>
      </w:r>
      <w:proofErr w:type="spellEnd"/>
      <w:r w:rsidRPr="00DA21FF">
        <w:t xml:space="preserve">), lo que refleja un consenso entre los partidos para mantener un nivel de gasto elevado. En 2024, el presupuesto de ayuda asciende a 52.700 millones de coronas noruegas, lo que corresponde al 0,96 % del </w:t>
      </w:r>
      <w:proofErr w:type="spellStart"/>
      <w:r w:rsidRPr="00DA21FF">
        <w:t>INB</w:t>
      </w:r>
      <w:proofErr w:type="spellEnd"/>
      <w:r w:rsidRPr="00DA21FF">
        <w:t xml:space="preserve">. </w:t>
      </w:r>
    </w:p>
    <w:p w14:paraId="3836DF8F" w14:textId="73CF29E0" w:rsidR="00DA21FF" w:rsidRPr="00DA21FF" w:rsidRDefault="00DA21FF" w:rsidP="00124A9F">
      <w:pPr>
        <w:pStyle w:val="H1G"/>
        <w:rPr>
          <w:lang w:val="en-GB"/>
        </w:rPr>
      </w:pPr>
      <w:r w:rsidRPr="00DA21FF">
        <w:tab/>
        <w:t>B.</w:t>
      </w:r>
      <w:r w:rsidR="00124A9F">
        <w:tab/>
      </w:r>
      <w:r w:rsidRPr="00DA21FF">
        <w:t>Estructura constitucional, política y jurídica del Estado</w:t>
      </w:r>
      <w:bookmarkStart w:id="23" w:name="_Toc243126013"/>
      <w:bookmarkStart w:id="24" w:name="_Toc245183238"/>
      <w:bookmarkStart w:id="25" w:name="_Toc498605410"/>
      <w:bookmarkStart w:id="26" w:name="_Toc169082434"/>
      <w:bookmarkStart w:id="27" w:name="_Toc174450862"/>
      <w:bookmarkStart w:id="28" w:name="_Hlk163736905"/>
      <w:bookmarkEnd w:id="23"/>
      <w:bookmarkEnd w:id="24"/>
      <w:bookmarkEnd w:id="25"/>
      <w:bookmarkEnd w:id="26"/>
      <w:bookmarkEnd w:id="27"/>
    </w:p>
    <w:p w14:paraId="2C2B33A3" w14:textId="37F8DBE5" w:rsidR="00DA21FF" w:rsidRPr="00DA21FF" w:rsidRDefault="00124A9F" w:rsidP="00124A9F">
      <w:pPr>
        <w:pStyle w:val="H23G"/>
        <w:rPr>
          <w:lang w:val="en-GB"/>
        </w:rPr>
      </w:pPr>
      <w:bookmarkStart w:id="29" w:name="_Toc243126014"/>
      <w:bookmarkStart w:id="30" w:name="_Toc245183239"/>
      <w:bookmarkEnd w:id="28"/>
      <w:r>
        <w:tab/>
      </w:r>
      <w:r w:rsidR="00DA21FF" w:rsidRPr="00DA21FF">
        <w:t>a)</w:t>
      </w:r>
      <w:r w:rsidR="00DA21FF" w:rsidRPr="00DA21FF">
        <w:tab/>
        <w:t>Forma de gobierno</w:t>
      </w:r>
      <w:bookmarkEnd w:id="29"/>
      <w:bookmarkEnd w:id="30"/>
    </w:p>
    <w:p w14:paraId="1068C105" w14:textId="77777777" w:rsidR="00DA21FF" w:rsidRPr="00DA21FF" w:rsidRDefault="00DA21FF" w:rsidP="00DA21FF">
      <w:pPr>
        <w:pStyle w:val="SingleTxtG"/>
        <w:rPr>
          <w:lang w:val="en-GB"/>
        </w:rPr>
      </w:pPr>
      <w:r w:rsidRPr="00DA21FF">
        <w:t>53.</w:t>
      </w:r>
      <w:r w:rsidRPr="00DA21FF">
        <w:tab/>
        <w:t xml:space="preserve">Noruega es una </w:t>
      </w:r>
      <w:r w:rsidRPr="00117F19">
        <w:rPr>
          <w:u w:val="single"/>
        </w:rPr>
        <w:t>monarquía constitucional con una forma de gobierno parlamentaria</w:t>
      </w:r>
      <w:r w:rsidRPr="00DA21FF">
        <w:t xml:space="preserve">. La Constitución de Noruega se basa en la separación de poderes, con poderes legislativo, ejecutivo y judicial independientes. Sin embargo, desde la introducción del principio de gobierno parlamentario en 1884, ya no puede sostenerse que el poder ejecutivo sea independiente del legislativo, ya que no puede gobernar sin la confianza de la Asamblea Legislativa. El marco jurídico del sistema político noruego está conformado por la Constitución junto con el derecho consuetudinario constitucional. </w:t>
      </w:r>
    </w:p>
    <w:p w14:paraId="1DC19743" w14:textId="1801941D" w:rsidR="00DA21FF" w:rsidRPr="00DA21FF" w:rsidRDefault="00124A9F" w:rsidP="00124A9F">
      <w:pPr>
        <w:pStyle w:val="H23G"/>
        <w:rPr>
          <w:lang w:val="en-GB"/>
        </w:rPr>
      </w:pPr>
      <w:bookmarkStart w:id="31" w:name="_Toc243126015"/>
      <w:bookmarkStart w:id="32" w:name="_Toc245183240"/>
      <w:r>
        <w:tab/>
      </w:r>
      <w:r w:rsidR="00DA21FF" w:rsidRPr="00DA21FF">
        <w:t>b)</w:t>
      </w:r>
      <w:r w:rsidR="00DA21FF" w:rsidRPr="00DA21FF">
        <w:tab/>
        <w:t>Democracia, partidos políticos y sistema electoral</w:t>
      </w:r>
      <w:bookmarkEnd w:id="31"/>
      <w:bookmarkEnd w:id="32"/>
    </w:p>
    <w:p w14:paraId="26D4B2E4" w14:textId="77777777" w:rsidR="00DA21FF" w:rsidRPr="00DA21FF" w:rsidRDefault="00DA21FF" w:rsidP="00DA21FF">
      <w:pPr>
        <w:pStyle w:val="SingleTxtG"/>
        <w:rPr>
          <w:lang w:val="en-GB"/>
        </w:rPr>
      </w:pPr>
      <w:r w:rsidRPr="00DA21FF">
        <w:t>54.</w:t>
      </w:r>
      <w:r w:rsidRPr="00DA21FF">
        <w:tab/>
        <w:t xml:space="preserve">La </w:t>
      </w:r>
      <w:r w:rsidRPr="00117F19">
        <w:rPr>
          <w:u w:val="single"/>
        </w:rPr>
        <w:t>Asamblea Legislativa</w:t>
      </w:r>
      <w:r w:rsidRPr="00DA21FF">
        <w:t xml:space="preserve"> de Noruega es el </w:t>
      </w:r>
      <w:proofErr w:type="spellStart"/>
      <w:r w:rsidRPr="00DA21FF">
        <w:t>Storting</w:t>
      </w:r>
      <w:proofErr w:type="spellEnd"/>
      <w:r w:rsidRPr="00DA21FF">
        <w:t xml:space="preserve">. El </w:t>
      </w:r>
      <w:proofErr w:type="spellStart"/>
      <w:r w:rsidRPr="00DA21FF">
        <w:t>Storting</w:t>
      </w:r>
      <w:proofErr w:type="spellEnd"/>
      <w:r w:rsidRPr="00DA21FF">
        <w:t xml:space="preserve"> tiene 169 miembros, y las elecciones parlamentarias se celebran cada cuatro años. No hay elecciones parciales, ni la Constitución prevé la disolución del </w:t>
      </w:r>
      <w:proofErr w:type="spellStart"/>
      <w:r w:rsidRPr="00DA21FF">
        <w:t>Storting</w:t>
      </w:r>
      <w:proofErr w:type="spellEnd"/>
      <w:r w:rsidRPr="00DA21FF">
        <w:t xml:space="preserve"> entre elecciones. Como Noruega tiene una forma de gobierno parlamentaria, un partido político o una coalición de partidos solo puede formar gobierno si cuenta con el apoyo de la mayor representación del </w:t>
      </w:r>
      <w:proofErr w:type="spellStart"/>
      <w:r w:rsidRPr="00DA21FF">
        <w:t>Storting</w:t>
      </w:r>
      <w:proofErr w:type="spellEnd"/>
      <w:r w:rsidRPr="00DA21FF">
        <w:t xml:space="preserve">. El </w:t>
      </w:r>
      <w:proofErr w:type="spellStart"/>
      <w:r w:rsidRPr="00DA21FF">
        <w:t>Storting</w:t>
      </w:r>
      <w:proofErr w:type="spellEnd"/>
      <w:r w:rsidRPr="00DA21FF">
        <w:t xml:space="preserve"> cuenta con un </w:t>
      </w:r>
      <w:proofErr w:type="spellStart"/>
      <w:r w:rsidRPr="00DA21FF">
        <w:t>Presidium</w:t>
      </w:r>
      <w:proofErr w:type="spellEnd"/>
      <w:r w:rsidRPr="00DA21FF">
        <w:t xml:space="preserve">, presidido por el Presidente del </w:t>
      </w:r>
      <w:proofErr w:type="spellStart"/>
      <w:r w:rsidRPr="00DA21FF">
        <w:t>Storting</w:t>
      </w:r>
      <w:proofErr w:type="spellEnd"/>
      <w:r w:rsidRPr="00DA21FF">
        <w:t xml:space="preserve"> y cuyas responsabilidades incluyen determinar el orden del día del </w:t>
      </w:r>
      <w:proofErr w:type="spellStart"/>
      <w:r w:rsidRPr="00DA21FF">
        <w:t>Storting</w:t>
      </w:r>
      <w:proofErr w:type="spellEnd"/>
      <w:r w:rsidRPr="00DA21FF">
        <w:t xml:space="preserve"> y garantizar el cumplimiento de las normas constitucionales en todos los asuntos. En la medida de lo posible, el Presidente evita pronunciarse sobre cuestiones puramente políticas sobre las que existen opiniones divergentes. Las leyes son promulgadas por el </w:t>
      </w:r>
      <w:proofErr w:type="spellStart"/>
      <w:r w:rsidRPr="00DA21FF">
        <w:t>Storting</w:t>
      </w:r>
      <w:proofErr w:type="spellEnd"/>
      <w:r w:rsidRPr="00DA21FF">
        <w:t xml:space="preserve">, normalmente sobre la base de un proyecto presentado por el Gobierno. El </w:t>
      </w:r>
      <w:proofErr w:type="spellStart"/>
      <w:r w:rsidRPr="00DA21FF">
        <w:t>Storting</w:t>
      </w:r>
      <w:proofErr w:type="spellEnd"/>
      <w:r w:rsidRPr="00DA21FF">
        <w:t xml:space="preserve"> también puede decidir que se celebre un referendo sobre una cuestión concreta.</w:t>
      </w:r>
    </w:p>
    <w:p w14:paraId="48DFAE98" w14:textId="5F034AB2" w:rsidR="00DA21FF" w:rsidRPr="00DA21FF" w:rsidRDefault="00DA21FF" w:rsidP="00DA21FF">
      <w:pPr>
        <w:pStyle w:val="SingleTxtG"/>
        <w:rPr>
          <w:lang w:val="en-GB"/>
        </w:rPr>
      </w:pPr>
      <w:r w:rsidRPr="00DA21FF">
        <w:t>55.</w:t>
      </w:r>
      <w:r w:rsidRPr="00DA21FF">
        <w:tab/>
        <w:t xml:space="preserve">Las </w:t>
      </w:r>
      <w:r w:rsidRPr="00117F19">
        <w:rPr>
          <w:u w:val="single"/>
        </w:rPr>
        <w:t xml:space="preserve">elecciones al </w:t>
      </w:r>
      <w:proofErr w:type="spellStart"/>
      <w:r w:rsidRPr="00117F19">
        <w:rPr>
          <w:u w:val="single"/>
        </w:rPr>
        <w:t>Storting</w:t>
      </w:r>
      <w:proofErr w:type="spellEnd"/>
      <w:r w:rsidRPr="00DA21FF">
        <w:t xml:space="preserve"> se celebran cada cuatro años. Actualmente, la edad mínima para votar es de 18 años. Noruega practica el sufragio universal. Toda persona con derecho a voto en las elecciones parlamentarias es elegible. El sistema electoral noruego se basa en los principios de elección por sufragio directo y representación proporcional en 19 circunscripciones electorales plurinominales. En mayo de 2024, diez partidos políticos están representados en el </w:t>
      </w:r>
      <w:proofErr w:type="spellStart"/>
      <w:r w:rsidRPr="00DA21FF">
        <w:t>Storting</w:t>
      </w:r>
      <w:proofErr w:type="spellEnd"/>
      <w:r w:rsidRPr="00DA21FF">
        <w:t xml:space="preserve">: el Partido Laborista con 48 representantes, el Partido Conservador con 36 representantes, el Partido del Progreso con 21 representantes, el Partido de Centro con 28 representantes, el Partido Socialista de Izquierda con 13 representantes, el Partido Demócrata Cristiano con 3 representantes, el Partido Liberal con 8 representantes, el Partido Verde con 3 representantes, el Partido Rojo con 8 representantes y la lista Enfoque en el Paciente con 1 representante. Además, hay una serie de partidos políticos registrados </w:t>
      </w:r>
      <w:r w:rsidRPr="00DA21FF">
        <w:lastRenderedPageBreak/>
        <w:t xml:space="preserve">más pequeños que no están representados en el </w:t>
      </w:r>
      <w:proofErr w:type="spellStart"/>
      <w:r w:rsidRPr="00DA21FF">
        <w:t>Storting</w:t>
      </w:r>
      <w:proofErr w:type="spellEnd"/>
      <w:r w:rsidRPr="00DA21FF">
        <w:t xml:space="preserve">. Las agrupaciones que no sean partidos políticos también pueden presentar propuestas de listas de candidatos a las elecciones. En las elecciones generales de septiembre de 2021, la participación electoral fue del 77,2 %, y el 40 % de los 5.174 candidatos eran mujeres. En las listas de los partidos ya representados en el </w:t>
      </w:r>
      <w:proofErr w:type="spellStart"/>
      <w:r w:rsidRPr="00DA21FF">
        <w:t>Storting</w:t>
      </w:r>
      <w:proofErr w:type="spellEnd"/>
      <w:r w:rsidRPr="00DA21FF">
        <w:t xml:space="preserve">, el 49 % de los candidatos eran mujeres. En el </w:t>
      </w:r>
      <w:proofErr w:type="spellStart"/>
      <w:r w:rsidRPr="00DA21FF">
        <w:t>Storting</w:t>
      </w:r>
      <w:proofErr w:type="spellEnd"/>
      <w:r w:rsidRPr="00DA21FF">
        <w:rPr>
          <w:i/>
          <w:iCs/>
        </w:rPr>
        <w:t xml:space="preserve"> </w:t>
      </w:r>
      <w:r w:rsidRPr="00DA21FF">
        <w:t>actual, el</w:t>
      </w:r>
      <w:r w:rsidR="00124A9F">
        <w:t> </w:t>
      </w:r>
      <w:r w:rsidRPr="00DA21FF">
        <w:t xml:space="preserve">45 % de los miembros son mujeres. </w:t>
      </w:r>
    </w:p>
    <w:p w14:paraId="4839C7EC" w14:textId="69CBE75C" w:rsidR="00DA21FF" w:rsidRPr="00DA21FF" w:rsidRDefault="00DA21FF" w:rsidP="00124A9F">
      <w:pPr>
        <w:pStyle w:val="H23G"/>
        <w:rPr>
          <w:lang w:val="en-GB"/>
        </w:rPr>
      </w:pPr>
      <w:r w:rsidRPr="00DA21FF">
        <w:tab/>
      </w:r>
      <w:r w:rsidR="00124A9F">
        <w:tab/>
      </w:r>
      <w:r w:rsidRPr="00DA21FF">
        <w:t xml:space="preserve">Distribución de escaños en el </w:t>
      </w:r>
      <w:proofErr w:type="spellStart"/>
      <w:r w:rsidRPr="00DA21FF">
        <w:t>Storting</w:t>
      </w:r>
      <w:proofErr w:type="spellEnd"/>
      <w:r w:rsidRPr="00DA21FF">
        <w:t xml:space="preserve"> por partido político/organización</w:t>
      </w:r>
    </w:p>
    <w:tbl>
      <w:tblPr>
        <w:tblW w:w="7418" w:type="dxa"/>
        <w:tblInd w:w="1134" w:type="dxa"/>
        <w:tblBorders>
          <w:top w:val="single" w:sz="4" w:space="0" w:color="auto"/>
        </w:tblBorders>
        <w:tblCellMar>
          <w:left w:w="0" w:type="dxa"/>
          <w:right w:w="0" w:type="dxa"/>
        </w:tblCellMar>
        <w:tblLook w:val="04A0" w:firstRow="1" w:lastRow="0" w:firstColumn="1" w:lastColumn="0" w:noHBand="0" w:noVBand="1"/>
      </w:tblPr>
      <w:tblGrid>
        <w:gridCol w:w="4000"/>
        <w:gridCol w:w="1733"/>
        <w:gridCol w:w="1733"/>
      </w:tblGrid>
      <w:tr w:rsidR="00A36AA3" w:rsidRPr="00A36AA3" w14:paraId="738CDA59" w14:textId="77777777" w:rsidTr="00124A9F">
        <w:trPr>
          <w:trHeight w:val="240"/>
          <w:tblHeader/>
        </w:trPr>
        <w:tc>
          <w:tcPr>
            <w:tcW w:w="3984" w:type="dxa"/>
            <w:tcBorders>
              <w:top w:val="single" w:sz="4" w:space="0" w:color="auto"/>
              <w:bottom w:val="single" w:sz="12" w:space="0" w:color="auto"/>
            </w:tcBorders>
            <w:shd w:val="clear" w:color="auto" w:fill="auto"/>
            <w:noWrap/>
            <w:vAlign w:val="bottom"/>
          </w:tcPr>
          <w:p w14:paraId="6BB7863E"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Partido</w:t>
            </w:r>
          </w:p>
        </w:tc>
        <w:tc>
          <w:tcPr>
            <w:tcW w:w="1717" w:type="dxa"/>
            <w:tcBorders>
              <w:top w:val="single" w:sz="4" w:space="0" w:color="auto"/>
              <w:bottom w:val="single" w:sz="12" w:space="0" w:color="auto"/>
            </w:tcBorders>
            <w:shd w:val="clear" w:color="auto" w:fill="auto"/>
            <w:noWrap/>
            <w:vAlign w:val="bottom"/>
          </w:tcPr>
          <w:p w14:paraId="7AA5ECBC"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Período electoral</w:t>
            </w:r>
          </w:p>
        </w:tc>
        <w:tc>
          <w:tcPr>
            <w:tcW w:w="1717" w:type="dxa"/>
            <w:tcBorders>
              <w:top w:val="single" w:sz="4" w:space="0" w:color="auto"/>
              <w:bottom w:val="single" w:sz="12" w:space="0" w:color="auto"/>
            </w:tcBorders>
            <w:shd w:val="clear" w:color="auto" w:fill="auto"/>
            <w:noWrap/>
            <w:vAlign w:val="bottom"/>
          </w:tcPr>
          <w:p w14:paraId="4A77DE02"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Número de escaños</w:t>
            </w:r>
          </w:p>
        </w:tc>
      </w:tr>
      <w:tr w:rsidR="00A36AA3" w:rsidRPr="00DA21FF" w14:paraId="54EFB1A1" w14:textId="77777777" w:rsidTr="00124A9F">
        <w:trPr>
          <w:trHeight w:val="240"/>
        </w:trPr>
        <w:tc>
          <w:tcPr>
            <w:tcW w:w="3984" w:type="dxa"/>
            <w:vMerge w:val="restart"/>
            <w:shd w:val="clear" w:color="auto" w:fill="auto"/>
          </w:tcPr>
          <w:p w14:paraId="16DCF45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del Centro (</w:t>
            </w:r>
            <w:proofErr w:type="spellStart"/>
            <w:r w:rsidRPr="00DA21FF">
              <w:rPr>
                <w:iCs/>
                <w:sz w:val="18"/>
              </w:rPr>
              <w:t>Senterpartiet</w:t>
            </w:r>
            <w:proofErr w:type="spellEnd"/>
            <w:r w:rsidRPr="00DA21FF">
              <w:rPr>
                <w:sz w:val="18"/>
              </w:rPr>
              <w:t>)</w:t>
            </w:r>
          </w:p>
        </w:tc>
        <w:tc>
          <w:tcPr>
            <w:tcW w:w="1717" w:type="dxa"/>
            <w:shd w:val="clear" w:color="auto" w:fill="auto"/>
            <w:noWrap/>
            <w:vAlign w:val="bottom"/>
          </w:tcPr>
          <w:p w14:paraId="3595EDC4" w14:textId="2DC2DE9A"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53CF5B5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r>
      <w:tr w:rsidR="00A36AA3" w:rsidRPr="00DA21FF" w14:paraId="548D6596" w14:textId="77777777" w:rsidTr="00124A9F">
        <w:trPr>
          <w:trHeight w:val="240"/>
        </w:trPr>
        <w:tc>
          <w:tcPr>
            <w:tcW w:w="3984" w:type="dxa"/>
            <w:vMerge/>
            <w:shd w:val="clear" w:color="auto" w:fill="auto"/>
          </w:tcPr>
          <w:p w14:paraId="0A7E60F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2D5A46F6" w14:textId="3863ADAD"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7B61086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r>
      <w:tr w:rsidR="00A36AA3" w:rsidRPr="00DA21FF" w14:paraId="19D89768" w14:textId="77777777" w:rsidTr="00124A9F">
        <w:trPr>
          <w:trHeight w:val="240"/>
        </w:trPr>
        <w:tc>
          <w:tcPr>
            <w:tcW w:w="3984" w:type="dxa"/>
            <w:vMerge/>
            <w:shd w:val="clear" w:color="auto" w:fill="auto"/>
          </w:tcPr>
          <w:p w14:paraId="4F7F0E9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5860CF83" w14:textId="2B0CE40F"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1505C80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19</w:t>
            </w:r>
          </w:p>
        </w:tc>
      </w:tr>
      <w:tr w:rsidR="00A36AA3" w:rsidRPr="00DA21FF" w14:paraId="35189AD8" w14:textId="77777777" w:rsidTr="00124A9F">
        <w:trPr>
          <w:trHeight w:val="240"/>
        </w:trPr>
        <w:tc>
          <w:tcPr>
            <w:tcW w:w="3984" w:type="dxa"/>
            <w:shd w:val="clear" w:color="auto" w:fill="auto"/>
          </w:tcPr>
          <w:p w14:paraId="25352DDA"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042CB919" w14:textId="165BF3FF"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42C5B0B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28</w:t>
            </w:r>
          </w:p>
        </w:tc>
      </w:tr>
      <w:tr w:rsidR="00A36AA3" w:rsidRPr="00DA21FF" w14:paraId="0852FB0E" w14:textId="77777777" w:rsidTr="00124A9F">
        <w:trPr>
          <w:trHeight w:val="240"/>
        </w:trPr>
        <w:tc>
          <w:tcPr>
            <w:tcW w:w="3984" w:type="dxa"/>
            <w:vMerge w:val="restart"/>
            <w:shd w:val="clear" w:color="auto" w:fill="auto"/>
            <w:noWrap/>
          </w:tcPr>
          <w:p w14:paraId="0BF925D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Demócrata Cristiano (</w:t>
            </w:r>
            <w:proofErr w:type="spellStart"/>
            <w:r w:rsidRPr="00DA21FF">
              <w:rPr>
                <w:iCs/>
                <w:sz w:val="18"/>
              </w:rPr>
              <w:t>Kristelig</w:t>
            </w:r>
            <w:proofErr w:type="spellEnd"/>
            <w:r w:rsidRPr="00DA21FF">
              <w:rPr>
                <w:iCs/>
                <w:sz w:val="18"/>
              </w:rPr>
              <w:t xml:space="preserve"> </w:t>
            </w:r>
            <w:proofErr w:type="spellStart"/>
            <w:r w:rsidRPr="00DA21FF">
              <w:rPr>
                <w:iCs/>
                <w:sz w:val="18"/>
              </w:rPr>
              <w:t>folkeparti</w:t>
            </w:r>
            <w:proofErr w:type="spellEnd"/>
            <w:r w:rsidRPr="00DA21FF">
              <w:rPr>
                <w:sz w:val="18"/>
              </w:rPr>
              <w:t>)</w:t>
            </w:r>
          </w:p>
        </w:tc>
        <w:tc>
          <w:tcPr>
            <w:tcW w:w="1717" w:type="dxa"/>
            <w:shd w:val="clear" w:color="auto" w:fill="auto"/>
            <w:noWrap/>
            <w:vAlign w:val="bottom"/>
          </w:tcPr>
          <w:p w14:paraId="702C7221" w14:textId="48387EF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7423467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r>
      <w:tr w:rsidR="00A36AA3" w:rsidRPr="00DA21FF" w14:paraId="7A2FA712" w14:textId="77777777" w:rsidTr="00124A9F">
        <w:trPr>
          <w:trHeight w:val="240"/>
        </w:trPr>
        <w:tc>
          <w:tcPr>
            <w:tcW w:w="3984" w:type="dxa"/>
            <w:vMerge/>
            <w:shd w:val="clear" w:color="auto" w:fill="auto"/>
          </w:tcPr>
          <w:p w14:paraId="727607F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351DBF84" w14:textId="50ED0D00"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51490AC9"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10</w:t>
            </w:r>
          </w:p>
        </w:tc>
      </w:tr>
      <w:tr w:rsidR="00A36AA3" w:rsidRPr="00DA21FF" w14:paraId="18AFCB59" w14:textId="77777777" w:rsidTr="00124A9F">
        <w:trPr>
          <w:trHeight w:val="240"/>
        </w:trPr>
        <w:tc>
          <w:tcPr>
            <w:tcW w:w="3984" w:type="dxa"/>
            <w:vMerge/>
            <w:shd w:val="clear" w:color="auto" w:fill="auto"/>
          </w:tcPr>
          <w:p w14:paraId="1129468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7782FBDC" w14:textId="17950A78"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770512D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r>
      <w:tr w:rsidR="00A36AA3" w:rsidRPr="00DA21FF" w14:paraId="6CA82A42" w14:textId="77777777" w:rsidTr="00124A9F">
        <w:trPr>
          <w:trHeight w:val="240"/>
        </w:trPr>
        <w:tc>
          <w:tcPr>
            <w:tcW w:w="3984" w:type="dxa"/>
            <w:shd w:val="clear" w:color="auto" w:fill="auto"/>
          </w:tcPr>
          <w:p w14:paraId="2B18CCB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7171F825" w14:textId="070BA06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3C498CB7"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A36AA3" w:rsidRPr="00DA21FF" w14:paraId="5D407EC1" w14:textId="77777777" w:rsidTr="00124A9F">
        <w:trPr>
          <w:trHeight w:val="240"/>
        </w:trPr>
        <w:tc>
          <w:tcPr>
            <w:tcW w:w="3984" w:type="dxa"/>
            <w:vMerge w:val="restart"/>
            <w:shd w:val="clear" w:color="auto" w:fill="auto"/>
            <w:noWrap/>
          </w:tcPr>
          <w:p w14:paraId="0A6A27C2"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Conservador (</w:t>
            </w:r>
            <w:proofErr w:type="spellStart"/>
            <w:r w:rsidRPr="00DA21FF">
              <w:rPr>
                <w:iCs/>
                <w:sz w:val="18"/>
              </w:rPr>
              <w:t>Høyre</w:t>
            </w:r>
            <w:proofErr w:type="spellEnd"/>
            <w:r w:rsidRPr="00DA21FF">
              <w:rPr>
                <w:sz w:val="18"/>
              </w:rPr>
              <w:t>)</w:t>
            </w:r>
          </w:p>
        </w:tc>
        <w:tc>
          <w:tcPr>
            <w:tcW w:w="1717" w:type="dxa"/>
            <w:shd w:val="clear" w:color="auto" w:fill="auto"/>
            <w:noWrap/>
            <w:vAlign w:val="bottom"/>
          </w:tcPr>
          <w:p w14:paraId="2583E1AB" w14:textId="1ED69B50"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4F752CB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30</w:t>
            </w:r>
          </w:p>
        </w:tc>
      </w:tr>
      <w:tr w:rsidR="00A36AA3" w:rsidRPr="00DA21FF" w14:paraId="13B6B091" w14:textId="77777777" w:rsidTr="00124A9F">
        <w:trPr>
          <w:trHeight w:val="240"/>
        </w:trPr>
        <w:tc>
          <w:tcPr>
            <w:tcW w:w="3984" w:type="dxa"/>
            <w:vMerge/>
            <w:shd w:val="clear" w:color="auto" w:fill="auto"/>
          </w:tcPr>
          <w:p w14:paraId="0E4BA70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075292A1" w14:textId="6D2D3481"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05CFE5F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w:t>
            </w:r>
          </w:p>
        </w:tc>
      </w:tr>
      <w:tr w:rsidR="00A36AA3" w:rsidRPr="00DA21FF" w14:paraId="3D6DCDAA" w14:textId="77777777" w:rsidTr="00124A9F">
        <w:trPr>
          <w:trHeight w:val="240"/>
        </w:trPr>
        <w:tc>
          <w:tcPr>
            <w:tcW w:w="3984" w:type="dxa"/>
            <w:vMerge/>
            <w:shd w:val="clear" w:color="auto" w:fill="auto"/>
          </w:tcPr>
          <w:p w14:paraId="62A0711B"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40200F1F" w14:textId="239C31F6"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28F0EAD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w:t>
            </w:r>
          </w:p>
        </w:tc>
      </w:tr>
      <w:tr w:rsidR="00A36AA3" w:rsidRPr="00DA21FF" w14:paraId="6F23D526" w14:textId="77777777" w:rsidTr="00124A9F">
        <w:trPr>
          <w:trHeight w:val="240"/>
        </w:trPr>
        <w:tc>
          <w:tcPr>
            <w:tcW w:w="3984" w:type="dxa"/>
            <w:shd w:val="clear" w:color="auto" w:fill="auto"/>
          </w:tcPr>
          <w:p w14:paraId="3877B5E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6389E270" w14:textId="31D8BA08"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3BC0D122"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36</w:t>
            </w:r>
          </w:p>
        </w:tc>
      </w:tr>
      <w:tr w:rsidR="00A36AA3" w:rsidRPr="00DA21FF" w14:paraId="69D98141" w14:textId="77777777" w:rsidTr="00124A9F">
        <w:trPr>
          <w:trHeight w:val="240"/>
        </w:trPr>
        <w:tc>
          <w:tcPr>
            <w:tcW w:w="3984" w:type="dxa"/>
            <w:vMerge w:val="restart"/>
            <w:shd w:val="clear" w:color="auto" w:fill="auto"/>
            <w:noWrap/>
          </w:tcPr>
          <w:p w14:paraId="4CB4FDCD"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Verde (</w:t>
            </w:r>
            <w:proofErr w:type="spellStart"/>
            <w:r w:rsidRPr="00DA21FF">
              <w:rPr>
                <w:iCs/>
                <w:sz w:val="18"/>
              </w:rPr>
              <w:t>Miljøpartiet</w:t>
            </w:r>
            <w:proofErr w:type="spellEnd"/>
            <w:r w:rsidRPr="00DA21FF">
              <w:rPr>
                <w:iCs/>
                <w:sz w:val="18"/>
              </w:rPr>
              <w:t xml:space="preserve"> de </w:t>
            </w:r>
            <w:proofErr w:type="spellStart"/>
            <w:r w:rsidRPr="00DA21FF">
              <w:rPr>
                <w:iCs/>
                <w:sz w:val="18"/>
              </w:rPr>
              <w:t>Grønne</w:t>
            </w:r>
            <w:proofErr w:type="spellEnd"/>
            <w:r w:rsidRPr="00DA21FF">
              <w:rPr>
                <w:sz w:val="18"/>
              </w:rPr>
              <w:t>)</w:t>
            </w:r>
          </w:p>
        </w:tc>
        <w:tc>
          <w:tcPr>
            <w:tcW w:w="1717" w:type="dxa"/>
            <w:shd w:val="clear" w:color="auto" w:fill="auto"/>
            <w:noWrap/>
            <w:vAlign w:val="bottom"/>
          </w:tcPr>
          <w:p w14:paraId="567989FF" w14:textId="6D09B3C4"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0FAFE46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w:t>
            </w:r>
          </w:p>
        </w:tc>
      </w:tr>
      <w:tr w:rsidR="00A36AA3" w:rsidRPr="00DA21FF" w14:paraId="5E543155" w14:textId="77777777" w:rsidTr="00124A9F">
        <w:trPr>
          <w:trHeight w:val="240"/>
        </w:trPr>
        <w:tc>
          <w:tcPr>
            <w:tcW w:w="3984" w:type="dxa"/>
            <w:vMerge/>
            <w:shd w:val="clear" w:color="auto" w:fill="auto"/>
          </w:tcPr>
          <w:p w14:paraId="58408BE7"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3F440F55" w14:textId="156E0065"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310D17B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r>
      <w:tr w:rsidR="00A36AA3" w:rsidRPr="00DA21FF" w14:paraId="0F53F3DB" w14:textId="77777777" w:rsidTr="00124A9F">
        <w:trPr>
          <w:trHeight w:val="240"/>
        </w:trPr>
        <w:tc>
          <w:tcPr>
            <w:tcW w:w="3984" w:type="dxa"/>
            <w:vMerge/>
            <w:shd w:val="clear" w:color="auto" w:fill="auto"/>
          </w:tcPr>
          <w:p w14:paraId="5EF55FE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066CC21D" w14:textId="206E947E"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155F97E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r>
      <w:tr w:rsidR="00A36AA3" w:rsidRPr="00DA21FF" w14:paraId="3DB7B06C" w14:textId="77777777" w:rsidTr="00124A9F">
        <w:trPr>
          <w:trHeight w:val="240"/>
        </w:trPr>
        <w:tc>
          <w:tcPr>
            <w:tcW w:w="3984" w:type="dxa"/>
            <w:shd w:val="clear" w:color="auto" w:fill="auto"/>
          </w:tcPr>
          <w:p w14:paraId="22BED81A"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0E751220" w14:textId="2DCC0684"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3C44FD5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p>
        </w:tc>
      </w:tr>
      <w:tr w:rsidR="00A36AA3" w:rsidRPr="00DA21FF" w14:paraId="3EE971C4" w14:textId="77777777" w:rsidTr="00124A9F">
        <w:trPr>
          <w:trHeight w:val="240"/>
        </w:trPr>
        <w:tc>
          <w:tcPr>
            <w:tcW w:w="3984" w:type="dxa"/>
            <w:vMerge w:val="restart"/>
            <w:shd w:val="clear" w:color="auto" w:fill="auto"/>
            <w:noWrap/>
          </w:tcPr>
          <w:p w14:paraId="4AF7F37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Laborista (</w:t>
            </w:r>
            <w:proofErr w:type="spellStart"/>
            <w:r w:rsidRPr="00DA21FF">
              <w:rPr>
                <w:iCs/>
                <w:sz w:val="18"/>
              </w:rPr>
              <w:t>Arbeiderpartiet</w:t>
            </w:r>
            <w:proofErr w:type="spellEnd"/>
            <w:r w:rsidRPr="00DA21FF">
              <w:rPr>
                <w:sz w:val="18"/>
              </w:rPr>
              <w:t>)</w:t>
            </w:r>
          </w:p>
        </w:tc>
        <w:tc>
          <w:tcPr>
            <w:tcW w:w="1717" w:type="dxa"/>
            <w:shd w:val="clear" w:color="auto" w:fill="auto"/>
            <w:noWrap/>
            <w:vAlign w:val="bottom"/>
          </w:tcPr>
          <w:p w14:paraId="25438947" w14:textId="5AECAE8D"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2AF61DF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64</w:t>
            </w:r>
          </w:p>
        </w:tc>
      </w:tr>
      <w:tr w:rsidR="00A36AA3" w:rsidRPr="00DA21FF" w14:paraId="1D0CCFBC" w14:textId="77777777" w:rsidTr="00124A9F">
        <w:trPr>
          <w:trHeight w:val="240"/>
        </w:trPr>
        <w:tc>
          <w:tcPr>
            <w:tcW w:w="3984" w:type="dxa"/>
            <w:vMerge/>
            <w:shd w:val="clear" w:color="auto" w:fill="auto"/>
          </w:tcPr>
          <w:p w14:paraId="1CBE338A"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47CBE59C" w14:textId="740DE351"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74347F8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55</w:t>
            </w:r>
          </w:p>
        </w:tc>
      </w:tr>
      <w:tr w:rsidR="00A36AA3" w:rsidRPr="00DA21FF" w14:paraId="4CD5C981" w14:textId="77777777" w:rsidTr="00124A9F">
        <w:trPr>
          <w:trHeight w:val="240"/>
        </w:trPr>
        <w:tc>
          <w:tcPr>
            <w:tcW w:w="3984" w:type="dxa"/>
            <w:vMerge/>
            <w:shd w:val="clear" w:color="auto" w:fill="auto"/>
          </w:tcPr>
          <w:p w14:paraId="0F8A1E9D"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40C5332B" w14:textId="6B1682E3"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6848D30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49</w:t>
            </w:r>
          </w:p>
        </w:tc>
      </w:tr>
      <w:tr w:rsidR="00A36AA3" w:rsidRPr="00DA21FF" w14:paraId="28BB8B80" w14:textId="77777777" w:rsidTr="00124A9F">
        <w:trPr>
          <w:trHeight w:val="240"/>
        </w:trPr>
        <w:tc>
          <w:tcPr>
            <w:tcW w:w="3984" w:type="dxa"/>
            <w:shd w:val="clear" w:color="auto" w:fill="auto"/>
          </w:tcPr>
          <w:p w14:paraId="40A038A6"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5DAA0987" w14:textId="21B34EE9"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5F3C55F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48</w:t>
            </w:r>
          </w:p>
        </w:tc>
      </w:tr>
      <w:tr w:rsidR="00A36AA3" w:rsidRPr="00DA21FF" w14:paraId="1F138C19" w14:textId="77777777" w:rsidTr="00124A9F">
        <w:trPr>
          <w:trHeight w:val="240"/>
        </w:trPr>
        <w:tc>
          <w:tcPr>
            <w:tcW w:w="3984" w:type="dxa"/>
            <w:vMerge w:val="restart"/>
            <w:shd w:val="clear" w:color="auto" w:fill="auto"/>
            <w:noWrap/>
          </w:tcPr>
          <w:p w14:paraId="3DE3770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Liberal (</w:t>
            </w:r>
            <w:proofErr w:type="spellStart"/>
            <w:r w:rsidRPr="00DA21FF">
              <w:rPr>
                <w:iCs/>
                <w:sz w:val="18"/>
              </w:rPr>
              <w:t>Venstre</w:t>
            </w:r>
            <w:proofErr w:type="spellEnd"/>
            <w:r w:rsidRPr="00DA21FF">
              <w:rPr>
                <w:sz w:val="18"/>
              </w:rPr>
              <w:t>)</w:t>
            </w:r>
          </w:p>
        </w:tc>
        <w:tc>
          <w:tcPr>
            <w:tcW w:w="1717" w:type="dxa"/>
            <w:shd w:val="clear" w:color="auto" w:fill="auto"/>
            <w:noWrap/>
            <w:vAlign w:val="bottom"/>
          </w:tcPr>
          <w:p w14:paraId="5A594278" w14:textId="1538BA8C"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2D57DF05"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w:t>
            </w:r>
          </w:p>
        </w:tc>
      </w:tr>
      <w:tr w:rsidR="00A36AA3" w:rsidRPr="00DA21FF" w14:paraId="5384DF4E" w14:textId="77777777" w:rsidTr="00124A9F">
        <w:trPr>
          <w:trHeight w:val="240"/>
        </w:trPr>
        <w:tc>
          <w:tcPr>
            <w:tcW w:w="3984" w:type="dxa"/>
            <w:vMerge/>
            <w:shd w:val="clear" w:color="auto" w:fill="auto"/>
          </w:tcPr>
          <w:p w14:paraId="4BF26749"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2D712AF2" w14:textId="4ADD08AF"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69894E1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9</w:t>
            </w:r>
          </w:p>
        </w:tc>
      </w:tr>
      <w:tr w:rsidR="00A36AA3" w:rsidRPr="00DA21FF" w14:paraId="4BC3A8C3" w14:textId="77777777" w:rsidTr="00124A9F">
        <w:trPr>
          <w:trHeight w:val="240"/>
        </w:trPr>
        <w:tc>
          <w:tcPr>
            <w:tcW w:w="3984" w:type="dxa"/>
            <w:vMerge/>
            <w:shd w:val="clear" w:color="auto" w:fill="auto"/>
          </w:tcPr>
          <w:p w14:paraId="2B779A37"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2663F285" w14:textId="3503D2A0"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635B972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r>
      <w:tr w:rsidR="00A36AA3" w:rsidRPr="00DA21FF" w14:paraId="1F772DCB" w14:textId="77777777" w:rsidTr="00124A9F">
        <w:trPr>
          <w:trHeight w:val="240"/>
        </w:trPr>
        <w:tc>
          <w:tcPr>
            <w:tcW w:w="3984" w:type="dxa"/>
            <w:shd w:val="clear" w:color="auto" w:fill="auto"/>
          </w:tcPr>
          <w:p w14:paraId="2C2E0DA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7DCE2D62" w14:textId="104D0EA1"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69AFFC8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r>
      <w:tr w:rsidR="00A36AA3" w:rsidRPr="00DA21FF" w14:paraId="6AED5E6D" w14:textId="77777777" w:rsidTr="00124A9F">
        <w:trPr>
          <w:trHeight w:val="240"/>
        </w:trPr>
        <w:tc>
          <w:tcPr>
            <w:tcW w:w="3984" w:type="dxa"/>
            <w:vMerge w:val="restart"/>
            <w:shd w:val="clear" w:color="auto" w:fill="auto"/>
            <w:noWrap/>
          </w:tcPr>
          <w:p w14:paraId="3A24966B"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del Progreso (</w:t>
            </w:r>
            <w:proofErr w:type="spellStart"/>
            <w:r w:rsidRPr="00DA21FF">
              <w:rPr>
                <w:iCs/>
                <w:sz w:val="18"/>
              </w:rPr>
              <w:t>Fremskrittspartiet</w:t>
            </w:r>
            <w:proofErr w:type="spellEnd"/>
            <w:r w:rsidRPr="00DA21FF">
              <w:rPr>
                <w:sz w:val="18"/>
              </w:rPr>
              <w:t>)</w:t>
            </w:r>
          </w:p>
        </w:tc>
        <w:tc>
          <w:tcPr>
            <w:tcW w:w="1717" w:type="dxa"/>
            <w:shd w:val="clear" w:color="auto" w:fill="auto"/>
            <w:noWrap/>
            <w:vAlign w:val="bottom"/>
          </w:tcPr>
          <w:p w14:paraId="28AB6043" w14:textId="100E022A"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5198B89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41</w:t>
            </w:r>
          </w:p>
        </w:tc>
      </w:tr>
      <w:tr w:rsidR="00A36AA3" w:rsidRPr="00DA21FF" w14:paraId="23C1ACE0" w14:textId="77777777" w:rsidTr="00124A9F">
        <w:trPr>
          <w:trHeight w:val="240"/>
        </w:trPr>
        <w:tc>
          <w:tcPr>
            <w:tcW w:w="3984" w:type="dxa"/>
            <w:vMerge/>
            <w:shd w:val="clear" w:color="auto" w:fill="auto"/>
          </w:tcPr>
          <w:p w14:paraId="2F4C6DF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22227139" w14:textId="35C0B900"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1E5E53CD"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29</w:t>
            </w:r>
          </w:p>
        </w:tc>
      </w:tr>
      <w:tr w:rsidR="00A36AA3" w:rsidRPr="00DA21FF" w14:paraId="48C021C2" w14:textId="77777777" w:rsidTr="00124A9F">
        <w:trPr>
          <w:trHeight w:val="240"/>
        </w:trPr>
        <w:tc>
          <w:tcPr>
            <w:tcW w:w="3984" w:type="dxa"/>
            <w:vMerge/>
            <w:shd w:val="clear" w:color="auto" w:fill="auto"/>
          </w:tcPr>
          <w:p w14:paraId="5811D93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3FC672D6" w14:textId="5A86E4B1"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3B30588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27</w:t>
            </w:r>
          </w:p>
        </w:tc>
      </w:tr>
      <w:tr w:rsidR="00A36AA3" w:rsidRPr="00DA21FF" w14:paraId="2FCECD4C" w14:textId="77777777" w:rsidTr="00124A9F">
        <w:trPr>
          <w:trHeight w:val="240"/>
        </w:trPr>
        <w:tc>
          <w:tcPr>
            <w:tcW w:w="3984" w:type="dxa"/>
            <w:shd w:val="clear" w:color="auto" w:fill="auto"/>
          </w:tcPr>
          <w:p w14:paraId="0DDBE19A"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476A876B" w14:textId="17449619"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5CD9EFB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w:t>
            </w:r>
          </w:p>
        </w:tc>
      </w:tr>
      <w:tr w:rsidR="00A36AA3" w:rsidRPr="00DA21FF" w14:paraId="482BBCF8" w14:textId="77777777" w:rsidTr="00124A9F">
        <w:trPr>
          <w:trHeight w:val="240"/>
        </w:trPr>
        <w:tc>
          <w:tcPr>
            <w:tcW w:w="3984" w:type="dxa"/>
            <w:vMerge w:val="restart"/>
            <w:shd w:val="clear" w:color="auto" w:fill="auto"/>
            <w:noWrap/>
          </w:tcPr>
          <w:p w14:paraId="2BA6B9D2"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Rojo (</w:t>
            </w:r>
            <w:proofErr w:type="spellStart"/>
            <w:r w:rsidRPr="00DA21FF">
              <w:rPr>
                <w:iCs/>
                <w:sz w:val="18"/>
              </w:rPr>
              <w:t>Rødt</w:t>
            </w:r>
            <w:proofErr w:type="spellEnd"/>
            <w:r w:rsidRPr="00DA21FF">
              <w:rPr>
                <w:sz w:val="18"/>
              </w:rPr>
              <w:t>)</w:t>
            </w:r>
          </w:p>
        </w:tc>
        <w:tc>
          <w:tcPr>
            <w:tcW w:w="1717" w:type="dxa"/>
            <w:shd w:val="clear" w:color="auto" w:fill="auto"/>
            <w:noWrap/>
            <w:vAlign w:val="bottom"/>
          </w:tcPr>
          <w:p w14:paraId="363385A1" w14:textId="3351A79B"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719A513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w:t>
            </w:r>
          </w:p>
        </w:tc>
      </w:tr>
      <w:tr w:rsidR="00A36AA3" w:rsidRPr="00DA21FF" w14:paraId="3A785795" w14:textId="77777777" w:rsidTr="00124A9F">
        <w:trPr>
          <w:trHeight w:val="240"/>
        </w:trPr>
        <w:tc>
          <w:tcPr>
            <w:tcW w:w="3984" w:type="dxa"/>
            <w:vMerge/>
            <w:shd w:val="clear" w:color="auto" w:fill="auto"/>
            <w:noWrap/>
          </w:tcPr>
          <w:p w14:paraId="50FD634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23D5F422" w14:textId="7AB012F6"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62037A5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0</w:t>
            </w:r>
          </w:p>
        </w:tc>
      </w:tr>
      <w:tr w:rsidR="00A36AA3" w:rsidRPr="00DA21FF" w14:paraId="0EAEC32D" w14:textId="77777777" w:rsidTr="00124A9F">
        <w:trPr>
          <w:trHeight w:val="240"/>
        </w:trPr>
        <w:tc>
          <w:tcPr>
            <w:tcW w:w="3984" w:type="dxa"/>
            <w:vMerge/>
            <w:shd w:val="clear" w:color="auto" w:fill="auto"/>
            <w:noWrap/>
          </w:tcPr>
          <w:p w14:paraId="35C4C705"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5913E720" w14:textId="223FE1AB"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6B96AE6F"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r>
      <w:tr w:rsidR="00A36AA3" w:rsidRPr="00DA21FF" w14:paraId="181A4228" w14:textId="77777777" w:rsidTr="00124A9F">
        <w:trPr>
          <w:trHeight w:val="240"/>
        </w:trPr>
        <w:tc>
          <w:tcPr>
            <w:tcW w:w="3984" w:type="dxa"/>
            <w:shd w:val="clear" w:color="auto" w:fill="auto"/>
            <w:noWrap/>
          </w:tcPr>
          <w:p w14:paraId="618249B9"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5E5316C5" w14:textId="16E85543"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349D783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8</w:t>
            </w:r>
          </w:p>
        </w:tc>
      </w:tr>
      <w:tr w:rsidR="00A36AA3" w:rsidRPr="00DA21FF" w14:paraId="47555ECB" w14:textId="77777777" w:rsidTr="00124A9F">
        <w:trPr>
          <w:trHeight w:val="240"/>
        </w:trPr>
        <w:tc>
          <w:tcPr>
            <w:tcW w:w="3984" w:type="dxa"/>
            <w:vMerge w:val="restart"/>
            <w:shd w:val="clear" w:color="auto" w:fill="auto"/>
            <w:noWrap/>
          </w:tcPr>
          <w:p w14:paraId="4268C06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Partido Socialista de Izquierda (</w:t>
            </w:r>
            <w:proofErr w:type="spellStart"/>
            <w:r w:rsidRPr="00DA21FF">
              <w:rPr>
                <w:iCs/>
                <w:sz w:val="18"/>
              </w:rPr>
              <w:t>Sosialistisk</w:t>
            </w:r>
            <w:proofErr w:type="spellEnd"/>
            <w:r w:rsidRPr="00DA21FF">
              <w:rPr>
                <w:iCs/>
                <w:sz w:val="18"/>
              </w:rPr>
              <w:t xml:space="preserve"> </w:t>
            </w:r>
            <w:proofErr w:type="spellStart"/>
            <w:r w:rsidRPr="00DA21FF">
              <w:rPr>
                <w:iCs/>
                <w:sz w:val="18"/>
              </w:rPr>
              <w:t>Venstreparti</w:t>
            </w:r>
            <w:proofErr w:type="spellEnd"/>
            <w:r w:rsidRPr="00DA21FF">
              <w:rPr>
                <w:sz w:val="18"/>
              </w:rPr>
              <w:t>)</w:t>
            </w:r>
          </w:p>
        </w:tc>
        <w:tc>
          <w:tcPr>
            <w:tcW w:w="1717" w:type="dxa"/>
            <w:shd w:val="clear" w:color="auto" w:fill="auto"/>
            <w:noWrap/>
            <w:vAlign w:val="bottom"/>
          </w:tcPr>
          <w:p w14:paraId="47A97739" w14:textId="42F00F58"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2009</w:t>
            </w:r>
            <w:r w:rsidR="00124A9F">
              <w:rPr>
                <w:sz w:val="18"/>
              </w:rPr>
              <w:t>-</w:t>
            </w:r>
            <w:r w:rsidRPr="00DA21FF">
              <w:rPr>
                <w:sz w:val="18"/>
              </w:rPr>
              <w:t>2013</w:t>
            </w:r>
          </w:p>
        </w:tc>
        <w:tc>
          <w:tcPr>
            <w:tcW w:w="1717" w:type="dxa"/>
            <w:shd w:val="clear" w:color="auto" w:fill="auto"/>
            <w:noWrap/>
            <w:vAlign w:val="bottom"/>
          </w:tcPr>
          <w:p w14:paraId="4B4F96B4"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r>
      <w:tr w:rsidR="00A36AA3" w:rsidRPr="00DA21FF" w14:paraId="2D42A2A8" w14:textId="77777777" w:rsidTr="00124A9F">
        <w:trPr>
          <w:trHeight w:val="240"/>
        </w:trPr>
        <w:tc>
          <w:tcPr>
            <w:tcW w:w="3984" w:type="dxa"/>
            <w:vMerge/>
            <w:shd w:val="clear" w:color="auto" w:fill="auto"/>
          </w:tcPr>
          <w:p w14:paraId="31225EB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0E97C169" w14:textId="4C9136D8"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2013</w:t>
            </w:r>
            <w:r w:rsidR="00124A9F">
              <w:rPr>
                <w:sz w:val="18"/>
              </w:rPr>
              <w:t>-</w:t>
            </w:r>
            <w:r w:rsidRPr="00DA21FF">
              <w:rPr>
                <w:sz w:val="18"/>
              </w:rPr>
              <w:t>2017</w:t>
            </w:r>
          </w:p>
        </w:tc>
        <w:tc>
          <w:tcPr>
            <w:tcW w:w="1717" w:type="dxa"/>
            <w:shd w:val="clear" w:color="auto" w:fill="auto"/>
            <w:noWrap/>
            <w:vAlign w:val="bottom"/>
          </w:tcPr>
          <w:p w14:paraId="6EE39E73"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7</w:t>
            </w:r>
          </w:p>
        </w:tc>
      </w:tr>
      <w:tr w:rsidR="00A36AA3" w:rsidRPr="00DA21FF" w14:paraId="6373DBAD" w14:textId="77777777" w:rsidTr="00124A9F">
        <w:trPr>
          <w:trHeight w:val="240"/>
        </w:trPr>
        <w:tc>
          <w:tcPr>
            <w:tcW w:w="3984" w:type="dxa"/>
            <w:vMerge/>
            <w:shd w:val="clear" w:color="auto" w:fill="auto"/>
          </w:tcPr>
          <w:p w14:paraId="7066CAB0"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327AC2F7" w14:textId="4DB48680"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2017</w:t>
            </w:r>
            <w:r w:rsidR="00124A9F">
              <w:rPr>
                <w:sz w:val="18"/>
              </w:rPr>
              <w:t>-</w:t>
            </w:r>
            <w:r w:rsidRPr="00DA21FF">
              <w:rPr>
                <w:sz w:val="18"/>
              </w:rPr>
              <w:t>2021</w:t>
            </w:r>
          </w:p>
        </w:tc>
        <w:tc>
          <w:tcPr>
            <w:tcW w:w="1717" w:type="dxa"/>
            <w:shd w:val="clear" w:color="auto" w:fill="auto"/>
            <w:noWrap/>
            <w:vAlign w:val="bottom"/>
          </w:tcPr>
          <w:p w14:paraId="2A964F7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11</w:t>
            </w:r>
          </w:p>
        </w:tc>
      </w:tr>
      <w:tr w:rsidR="00A36AA3" w:rsidRPr="00DA21FF" w14:paraId="3EF20546" w14:textId="77777777" w:rsidTr="00124A9F">
        <w:trPr>
          <w:trHeight w:val="240"/>
        </w:trPr>
        <w:tc>
          <w:tcPr>
            <w:tcW w:w="3984" w:type="dxa"/>
            <w:shd w:val="clear" w:color="auto" w:fill="auto"/>
          </w:tcPr>
          <w:p w14:paraId="6EBF6C50"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p>
        </w:tc>
        <w:tc>
          <w:tcPr>
            <w:tcW w:w="1717" w:type="dxa"/>
            <w:shd w:val="clear" w:color="auto" w:fill="auto"/>
            <w:noWrap/>
            <w:vAlign w:val="bottom"/>
          </w:tcPr>
          <w:p w14:paraId="40AB2B8E" w14:textId="7B27B2CF"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shd w:val="clear" w:color="auto" w:fill="auto"/>
            <w:noWrap/>
            <w:vAlign w:val="bottom"/>
          </w:tcPr>
          <w:p w14:paraId="01B2AF0C"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13</w:t>
            </w:r>
          </w:p>
        </w:tc>
      </w:tr>
      <w:tr w:rsidR="00A36AA3" w:rsidRPr="00DA21FF" w14:paraId="4E02800E" w14:textId="77777777" w:rsidTr="00124A9F">
        <w:trPr>
          <w:trHeight w:val="240"/>
        </w:trPr>
        <w:tc>
          <w:tcPr>
            <w:tcW w:w="3984" w:type="dxa"/>
            <w:tcBorders>
              <w:bottom w:val="single" w:sz="12" w:space="0" w:color="auto"/>
            </w:tcBorders>
            <w:shd w:val="clear" w:color="auto" w:fill="auto"/>
          </w:tcPr>
          <w:p w14:paraId="65C124D3"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Lista Enfoque en el Paciente (</w:t>
            </w:r>
            <w:proofErr w:type="spellStart"/>
            <w:r w:rsidRPr="00DA21FF">
              <w:rPr>
                <w:iCs/>
                <w:sz w:val="18"/>
              </w:rPr>
              <w:t>Pasientfokus</w:t>
            </w:r>
            <w:proofErr w:type="spellEnd"/>
            <w:r w:rsidRPr="00DA21FF">
              <w:rPr>
                <w:sz w:val="18"/>
              </w:rPr>
              <w:t>)</w:t>
            </w:r>
          </w:p>
        </w:tc>
        <w:tc>
          <w:tcPr>
            <w:tcW w:w="1717" w:type="dxa"/>
            <w:tcBorders>
              <w:bottom w:val="single" w:sz="12" w:space="0" w:color="auto"/>
            </w:tcBorders>
            <w:shd w:val="clear" w:color="auto" w:fill="auto"/>
            <w:noWrap/>
            <w:vAlign w:val="bottom"/>
          </w:tcPr>
          <w:p w14:paraId="3DAE8DB1" w14:textId="4F396D83"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2021</w:t>
            </w:r>
            <w:r w:rsidR="00124A9F">
              <w:rPr>
                <w:sz w:val="18"/>
              </w:rPr>
              <w:t>-</w:t>
            </w:r>
            <w:r w:rsidRPr="00DA21FF">
              <w:rPr>
                <w:sz w:val="18"/>
              </w:rPr>
              <w:t>2025</w:t>
            </w:r>
          </w:p>
        </w:tc>
        <w:tc>
          <w:tcPr>
            <w:tcW w:w="1717" w:type="dxa"/>
            <w:tcBorders>
              <w:bottom w:val="single" w:sz="12" w:space="0" w:color="auto"/>
            </w:tcBorders>
            <w:shd w:val="clear" w:color="auto" w:fill="auto"/>
            <w:noWrap/>
            <w:vAlign w:val="bottom"/>
          </w:tcPr>
          <w:p w14:paraId="6C7E8D6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1</w:t>
            </w:r>
          </w:p>
        </w:tc>
      </w:tr>
    </w:tbl>
    <w:p w14:paraId="50F76D61" w14:textId="7E6D1937" w:rsidR="00DA21FF" w:rsidRPr="00DA21FF" w:rsidRDefault="00DA21FF" w:rsidP="003F1C60">
      <w:pPr>
        <w:pStyle w:val="H23G"/>
        <w:rPr>
          <w:lang w:val="en-GB"/>
        </w:rPr>
      </w:pPr>
      <w:r w:rsidRPr="00DA21FF">
        <w:lastRenderedPageBreak/>
        <w:tab/>
      </w:r>
      <w:r w:rsidR="003F1C60">
        <w:tab/>
      </w:r>
      <w:r w:rsidRPr="00DA21FF">
        <w:t>Número de partidos políticos nacionales reconocidos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01"/>
        <w:gridCol w:w="3701"/>
      </w:tblGrid>
      <w:tr w:rsidR="00A36AA3" w:rsidRPr="00A36AA3" w14:paraId="1E13733A" w14:textId="77777777" w:rsidTr="00A36AA3">
        <w:trPr>
          <w:trHeight w:val="240"/>
          <w:tblHeader/>
        </w:trPr>
        <w:tc>
          <w:tcPr>
            <w:tcW w:w="3685" w:type="dxa"/>
            <w:tcBorders>
              <w:top w:val="single" w:sz="4" w:space="0" w:color="auto"/>
              <w:bottom w:val="single" w:sz="12" w:space="0" w:color="auto"/>
            </w:tcBorders>
            <w:shd w:val="clear" w:color="auto" w:fill="auto"/>
            <w:noWrap/>
            <w:vAlign w:val="bottom"/>
          </w:tcPr>
          <w:p w14:paraId="3F2C0957"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 de elección</w:t>
            </w:r>
          </w:p>
        </w:tc>
        <w:tc>
          <w:tcPr>
            <w:tcW w:w="3685" w:type="dxa"/>
            <w:tcBorders>
              <w:top w:val="single" w:sz="4" w:space="0" w:color="auto"/>
              <w:bottom w:val="single" w:sz="12" w:space="0" w:color="auto"/>
            </w:tcBorders>
            <w:shd w:val="clear" w:color="auto" w:fill="auto"/>
            <w:noWrap/>
            <w:vAlign w:val="bottom"/>
          </w:tcPr>
          <w:p w14:paraId="176F260D" w14:textId="0546D7EF"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Núm</w:t>
            </w:r>
            <w:r w:rsidR="003F1C60">
              <w:rPr>
                <w:i/>
                <w:iCs/>
                <w:sz w:val="16"/>
              </w:rPr>
              <w:t>ero</w:t>
            </w:r>
          </w:p>
        </w:tc>
      </w:tr>
      <w:tr w:rsidR="00A36AA3" w:rsidRPr="00DA21FF" w14:paraId="1E7F45F6" w14:textId="77777777" w:rsidTr="00A36AA3">
        <w:trPr>
          <w:trHeight w:val="240"/>
        </w:trPr>
        <w:tc>
          <w:tcPr>
            <w:tcW w:w="3685" w:type="dxa"/>
            <w:tcBorders>
              <w:top w:val="single" w:sz="12" w:space="0" w:color="auto"/>
            </w:tcBorders>
            <w:shd w:val="clear" w:color="auto" w:fill="auto"/>
            <w:noWrap/>
          </w:tcPr>
          <w:p w14:paraId="6B383BE1"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2009</w:t>
            </w:r>
          </w:p>
        </w:tc>
        <w:tc>
          <w:tcPr>
            <w:tcW w:w="3685" w:type="dxa"/>
            <w:tcBorders>
              <w:top w:val="single" w:sz="12" w:space="0" w:color="auto"/>
            </w:tcBorders>
            <w:shd w:val="clear" w:color="auto" w:fill="auto"/>
            <w:noWrap/>
            <w:vAlign w:val="bottom"/>
          </w:tcPr>
          <w:p w14:paraId="675E0F5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r>
      <w:tr w:rsidR="00DA21FF" w:rsidRPr="00DA21FF" w14:paraId="2C940F38" w14:textId="77777777" w:rsidTr="00A36AA3">
        <w:trPr>
          <w:trHeight w:val="240"/>
        </w:trPr>
        <w:tc>
          <w:tcPr>
            <w:tcW w:w="3685" w:type="dxa"/>
            <w:shd w:val="clear" w:color="auto" w:fill="auto"/>
            <w:noWrap/>
          </w:tcPr>
          <w:p w14:paraId="13ABC18A"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2013</w:t>
            </w:r>
          </w:p>
        </w:tc>
        <w:tc>
          <w:tcPr>
            <w:tcW w:w="3685" w:type="dxa"/>
            <w:shd w:val="clear" w:color="auto" w:fill="auto"/>
            <w:noWrap/>
            <w:vAlign w:val="bottom"/>
          </w:tcPr>
          <w:p w14:paraId="3F2C967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20</w:t>
            </w:r>
          </w:p>
        </w:tc>
      </w:tr>
      <w:tr w:rsidR="00DA21FF" w:rsidRPr="00DA21FF" w14:paraId="17E3F767" w14:textId="77777777" w:rsidTr="00A36AA3">
        <w:trPr>
          <w:trHeight w:val="240"/>
        </w:trPr>
        <w:tc>
          <w:tcPr>
            <w:tcW w:w="3685" w:type="dxa"/>
            <w:shd w:val="clear" w:color="auto" w:fill="auto"/>
            <w:noWrap/>
          </w:tcPr>
          <w:p w14:paraId="4718AA97"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3685" w:type="dxa"/>
            <w:shd w:val="clear" w:color="auto" w:fill="auto"/>
            <w:noWrap/>
            <w:vAlign w:val="bottom"/>
          </w:tcPr>
          <w:p w14:paraId="18553521"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21</w:t>
            </w:r>
          </w:p>
        </w:tc>
      </w:tr>
      <w:tr w:rsidR="00A36AA3" w:rsidRPr="00DA21FF" w14:paraId="4B2181C0" w14:textId="77777777" w:rsidTr="00A36AA3">
        <w:trPr>
          <w:trHeight w:val="240"/>
        </w:trPr>
        <w:tc>
          <w:tcPr>
            <w:tcW w:w="3685" w:type="dxa"/>
            <w:tcBorders>
              <w:bottom w:val="single" w:sz="12" w:space="0" w:color="auto"/>
            </w:tcBorders>
            <w:shd w:val="clear" w:color="auto" w:fill="auto"/>
            <w:noWrap/>
          </w:tcPr>
          <w:p w14:paraId="1F96D7AD"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3685" w:type="dxa"/>
            <w:tcBorders>
              <w:bottom w:val="single" w:sz="12" w:space="0" w:color="auto"/>
            </w:tcBorders>
            <w:shd w:val="clear" w:color="auto" w:fill="auto"/>
            <w:noWrap/>
            <w:vAlign w:val="bottom"/>
          </w:tcPr>
          <w:p w14:paraId="78DCD698"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22</w:t>
            </w:r>
          </w:p>
        </w:tc>
      </w:tr>
    </w:tbl>
    <w:p w14:paraId="5F7B7864" w14:textId="004F5499" w:rsidR="00DA21FF" w:rsidRPr="00DA21FF" w:rsidRDefault="00DA21FF" w:rsidP="003F1C60">
      <w:pPr>
        <w:pStyle w:val="H23G"/>
        <w:rPr>
          <w:lang w:val="en-GB"/>
        </w:rPr>
      </w:pPr>
      <w:r w:rsidRPr="00DA21FF">
        <w:tab/>
      </w:r>
      <w:r w:rsidR="003F1C60">
        <w:tab/>
      </w:r>
      <w:r w:rsidRPr="00DA21FF">
        <w:t>Número de personas con derecho a voto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01"/>
        <w:gridCol w:w="3701"/>
      </w:tblGrid>
      <w:tr w:rsidR="00A36AA3" w:rsidRPr="00A36AA3" w14:paraId="38B01732" w14:textId="77777777" w:rsidTr="00A36AA3">
        <w:trPr>
          <w:trHeight w:val="240"/>
          <w:tblHeader/>
        </w:trPr>
        <w:tc>
          <w:tcPr>
            <w:tcW w:w="3685" w:type="dxa"/>
            <w:tcBorders>
              <w:top w:val="single" w:sz="4" w:space="0" w:color="auto"/>
              <w:bottom w:val="single" w:sz="12" w:space="0" w:color="auto"/>
            </w:tcBorders>
            <w:shd w:val="clear" w:color="auto" w:fill="auto"/>
            <w:noWrap/>
            <w:vAlign w:val="bottom"/>
          </w:tcPr>
          <w:p w14:paraId="1EC685C6"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Año de elección</w:t>
            </w:r>
          </w:p>
        </w:tc>
        <w:tc>
          <w:tcPr>
            <w:tcW w:w="3685" w:type="dxa"/>
            <w:tcBorders>
              <w:top w:val="single" w:sz="4" w:space="0" w:color="auto"/>
              <w:bottom w:val="single" w:sz="12" w:space="0" w:color="auto"/>
            </w:tcBorders>
            <w:shd w:val="clear" w:color="auto" w:fill="auto"/>
            <w:noWrap/>
            <w:vAlign w:val="bottom"/>
          </w:tcPr>
          <w:p w14:paraId="4106B08E" w14:textId="65039D3A"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Núm</w:t>
            </w:r>
            <w:r w:rsidR="003F1C60">
              <w:rPr>
                <w:i/>
                <w:iCs/>
                <w:sz w:val="16"/>
              </w:rPr>
              <w:t>ero</w:t>
            </w:r>
          </w:p>
        </w:tc>
      </w:tr>
      <w:tr w:rsidR="00A36AA3" w:rsidRPr="00DA21FF" w14:paraId="7605DA57" w14:textId="77777777" w:rsidTr="00A36AA3">
        <w:trPr>
          <w:trHeight w:val="240"/>
        </w:trPr>
        <w:tc>
          <w:tcPr>
            <w:tcW w:w="3685" w:type="dxa"/>
            <w:tcBorders>
              <w:top w:val="single" w:sz="12" w:space="0" w:color="auto"/>
            </w:tcBorders>
            <w:shd w:val="clear" w:color="auto" w:fill="auto"/>
            <w:noWrap/>
          </w:tcPr>
          <w:p w14:paraId="5676AA4F"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2009</w:t>
            </w:r>
          </w:p>
        </w:tc>
        <w:tc>
          <w:tcPr>
            <w:tcW w:w="3685" w:type="dxa"/>
            <w:tcBorders>
              <w:top w:val="single" w:sz="12" w:space="0" w:color="auto"/>
            </w:tcBorders>
            <w:shd w:val="clear" w:color="auto" w:fill="auto"/>
            <w:noWrap/>
            <w:vAlign w:val="bottom"/>
          </w:tcPr>
          <w:p w14:paraId="21708E0A" w14:textId="05EC9912"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124A9F">
              <w:rPr>
                <w:sz w:val="18"/>
              </w:rPr>
              <w:t xml:space="preserve"> </w:t>
            </w:r>
            <w:r w:rsidRPr="00DA21FF">
              <w:rPr>
                <w:sz w:val="18"/>
              </w:rPr>
              <w:t>530</w:t>
            </w:r>
            <w:r w:rsidR="00124A9F">
              <w:rPr>
                <w:sz w:val="18"/>
              </w:rPr>
              <w:t xml:space="preserve"> </w:t>
            </w:r>
            <w:r w:rsidRPr="00DA21FF">
              <w:rPr>
                <w:sz w:val="18"/>
              </w:rPr>
              <w:t>785</w:t>
            </w:r>
          </w:p>
        </w:tc>
      </w:tr>
      <w:tr w:rsidR="00DA21FF" w:rsidRPr="00DA21FF" w14:paraId="320C17C9" w14:textId="77777777" w:rsidTr="00A36AA3">
        <w:trPr>
          <w:trHeight w:val="240"/>
        </w:trPr>
        <w:tc>
          <w:tcPr>
            <w:tcW w:w="3685" w:type="dxa"/>
            <w:shd w:val="clear" w:color="auto" w:fill="auto"/>
            <w:noWrap/>
          </w:tcPr>
          <w:p w14:paraId="59962B19"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2013</w:t>
            </w:r>
          </w:p>
        </w:tc>
        <w:tc>
          <w:tcPr>
            <w:tcW w:w="3685" w:type="dxa"/>
            <w:shd w:val="clear" w:color="auto" w:fill="auto"/>
            <w:noWrap/>
            <w:vAlign w:val="bottom"/>
          </w:tcPr>
          <w:p w14:paraId="710042B5" w14:textId="52D17A96"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124A9F">
              <w:rPr>
                <w:sz w:val="18"/>
              </w:rPr>
              <w:t xml:space="preserve"> </w:t>
            </w:r>
            <w:r w:rsidRPr="00DA21FF">
              <w:rPr>
                <w:sz w:val="18"/>
              </w:rPr>
              <w:t>643</w:t>
            </w:r>
            <w:r w:rsidR="00124A9F">
              <w:rPr>
                <w:sz w:val="18"/>
              </w:rPr>
              <w:t xml:space="preserve"> </w:t>
            </w:r>
            <w:r w:rsidRPr="00DA21FF">
              <w:rPr>
                <w:sz w:val="18"/>
              </w:rPr>
              <w:t>600</w:t>
            </w:r>
          </w:p>
        </w:tc>
      </w:tr>
      <w:tr w:rsidR="00DA21FF" w:rsidRPr="00DA21FF" w14:paraId="2287E34A" w14:textId="77777777" w:rsidTr="00A36AA3">
        <w:trPr>
          <w:trHeight w:val="240"/>
        </w:trPr>
        <w:tc>
          <w:tcPr>
            <w:tcW w:w="3685" w:type="dxa"/>
            <w:shd w:val="clear" w:color="auto" w:fill="auto"/>
            <w:noWrap/>
          </w:tcPr>
          <w:p w14:paraId="14F94194"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p>
        </w:tc>
        <w:tc>
          <w:tcPr>
            <w:tcW w:w="3685" w:type="dxa"/>
            <w:shd w:val="clear" w:color="auto" w:fill="auto"/>
            <w:noWrap/>
            <w:vAlign w:val="bottom"/>
          </w:tcPr>
          <w:p w14:paraId="39559026" w14:textId="5C0BA201"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124A9F">
              <w:rPr>
                <w:sz w:val="18"/>
              </w:rPr>
              <w:t xml:space="preserve"> </w:t>
            </w:r>
            <w:r w:rsidRPr="00DA21FF">
              <w:rPr>
                <w:sz w:val="18"/>
              </w:rPr>
              <w:t>765</w:t>
            </w:r>
            <w:r w:rsidR="00124A9F">
              <w:rPr>
                <w:sz w:val="18"/>
              </w:rPr>
              <w:t xml:space="preserve"> </w:t>
            </w:r>
            <w:r w:rsidRPr="00DA21FF">
              <w:rPr>
                <w:sz w:val="18"/>
              </w:rPr>
              <w:t>245</w:t>
            </w:r>
          </w:p>
        </w:tc>
      </w:tr>
      <w:tr w:rsidR="00A36AA3" w:rsidRPr="00DA21FF" w14:paraId="3BD46281" w14:textId="77777777" w:rsidTr="00A36AA3">
        <w:trPr>
          <w:trHeight w:val="240"/>
        </w:trPr>
        <w:tc>
          <w:tcPr>
            <w:tcW w:w="3685" w:type="dxa"/>
            <w:tcBorders>
              <w:bottom w:val="single" w:sz="12" w:space="0" w:color="auto"/>
            </w:tcBorders>
            <w:shd w:val="clear" w:color="auto" w:fill="auto"/>
            <w:noWrap/>
          </w:tcPr>
          <w:p w14:paraId="52274D6C" w14:textId="77777777"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p>
        </w:tc>
        <w:tc>
          <w:tcPr>
            <w:tcW w:w="3685" w:type="dxa"/>
            <w:tcBorders>
              <w:bottom w:val="single" w:sz="12" w:space="0" w:color="auto"/>
            </w:tcBorders>
            <w:shd w:val="clear" w:color="auto" w:fill="auto"/>
            <w:noWrap/>
            <w:vAlign w:val="bottom"/>
          </w:tcPr>
          <w:p w14:paraId="48D20346" w14:textId="7B1821EE"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w:t>
            </w:r>
            <w:r w:rsidR="00124A9F">
              <w:rPr>
                <w:sz w:val="18"/>
              </w:rPr>
              <w:t xml:space="preserve"> </w:t>
            </w:r>
            <w:r w:rsidRPr="00DA21FF">
              <w:rPr>
                <w:sz w:val="18"/>
              </w:rPr>
              <w:t>891</w:t>
            </w:r>
            <w:r w:rsidR="00124A9F">
              <w:rPr>
                <w:sz w:val="18"/>
              </w:rPr>
              <w:t xml:space="preserve"> </w:t>
            </w:r>
            <w:r w:rsidRPr="00DA21FF">
              <w:rPr>
                <w:sz w:val="18"/>
              </w:rPr>
              <w:t>987</w:t>
            </w:r>
          </w:p>
        </w:tc>
      </w:tr>
    </w:tbl>
    <w:p w14:paraId="5DD3D30A" w14:textId="0F35F97F" w:rsidR="00DA21FF" w:rsidRPr="00DA21FF" w:rsidRDefault="00DA21FF" w:rsidP="003F1C60">
      <w:pPr>
        <w:pStyle w:val="H23G"/>
        <w:rPr>
          <w:lang w:val="en-GB"/>
        </w:rPr>
      </w:pPr>
      <w:r w:rsidRPr="00DA21FF">
        <w:tab/>
      </w:r>
      <w:r w:rsidR="003F1C60">
        <w:tab/>
      </w:r>
      <w:r w:rsidRPr="00DA21FF">
        <w:t xml:space="preserve">Porcentaje de mujeres miembros del </w:t>
      </w:r>
      <w:proofErr w:type="spellStart"/>
      <w:r w:rsidRPr="00DA21FF">
        <w:t>Storting</w:t>
      </w:r>
      <w:proofErr w:type="spellEnd"/>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01"/>
        <w:gridCol w:w="3701"/>
      </w:tblGrid>
      <w:tr w:rsidR="00A36AA3" w:rsidRPr="00A36AA3" w14:paraId="439C0319" w14:textId="77777777" w:rsidTr="00A36AA3">
        <w:trPr>
          <w:trHeight w:val="240"/>
          <w:tblHeader/>
        </w:trPr>
        <w:tc>
          <w:tcPr>
            <w:tcW w:w="3685" w:type="dxa"/>
            <w:tcBorders>
              <w:top w:val="single" w:sz="4" w:space="0" w:color="auto"/>
              <w:bottom w:val="single" w:sz="12" w:space="0" w:color="auto"/>
            </w:tcBorders>
            <w:shd w:val="clear" w:color="auto" w:fill="auto"/>
            <w:noWrap/>
            <w:vAlign w:val="bottom"/>
          </w:tcPr>
          <w:p w14:paraId="22542138"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Período parlamentario</w:t>
            </w:r>
            <w:r w:rsidRPr="00DA21FF">
              <w:rPr>
                <w:i/>
                <w:sz w:val="16"/>
              </w:rPr>
              <w:t xml:space="preserve"> </w:t>
            </w:r>
          </w:p>
        </w:tc>
        <w:tc>
          <w:tcPr>
            <w:tcW w:w="3685" w:type="dxa"/>
            <w:tcBorders>
              <w:top w:val="single" w:sz="4" w:space="0" w:color="auto"/>
              <w:bottom w:val="single" w:sz="12" w:space="0" w:color="auto"/>
            </w:tcBorders>
            <w:shd w:val="clear" w:color="auto" w:fill="auto"/>
            <w:noWrap/>
            <w:vAlign w:val="bottom"/>
          </w:tcPr>
          <w:p w14:paraId="108B1B1E" w14:textId="77777777" w:rsidR="00DA21FF" w:rsidRPr="00DA21FF" w:rsidRDefault="00DA21FF" w:rsidP="00A36AA3">
            <w:pPr>
              <w:pStyle w:val="SingleTxtG"/>
              <w:tabs>
                <w:tab w:val="clear" w:pos="1701"/>
                <w:tab w:val="clear" w:pos="2268"/>
                <w:tab w:val="clear" w:pos="2835"/>
              </w:tabs>
              <w:spacing w:before="80" w:after="80" w:line="200" w:lineRule="exact"/>
              <w:ind w:left="113" w:right="0"/>
              <w:jc w:val="right"/>
              <w:rPr>
                <w:i/>
                <w:sz w:val="16"/>
                <w:lang w:val="en-GB"/>
              </w:rPr>
            </w:pPr>
            <w:r w:rsidRPr="00DA21FF">
              <w:rPr>
                <w:i/>
                <w:iCs/>
                <w:sz w:val="16"/>
              </w:rPr>
              <w:t>Porcentaje</w:t>
            </w:r>
          </w:p>
        </w:tc>
      </w:tr>
      <w:tr w:rsidR="00A36AA3" w:rsidRPr="00DA21FF" w14:paraId="77477723" w14:textId="77777777" w:rsidTr="00A36AA3">
        <w:trPr>
          <w:trHeight w:val="240"/>
        </w:trPr>
        <w:tc>
          <w:tcPr>
            <w:tcW w:w="3685" w:type="dxa"/>
            <w:tcBorders>
              <w:top w:val="single" w:sz="12" w:space="0" w:color="auto"/>
            </w:tcBorders>
            <w:shd w:val="clear" w:color="auto" w:fill="auto"/>
            <w:noWrap/>
          </w:tcPr>
          <w:p w14:paraId="532FAE92" w14:textId="452F967A"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2009</w:t>
            </w:r>
            <w:r w:rsidR="003F1C60">
              <w:rPr>
                <w:sz w:val="18"/>
              </w:rPr>
              <w:t>-</w:t>
            </w:r>
            <w:r w:rsidRPr="00DA21FF">
              <w:rPr>
                <w:sz w:val="18"/>
              </w:rPr>
              <w:t>2013</w:t>
            </w:r>
          </w:p>
        </w:tc>
        <w:tc>
          <w:tcPr>
            <w:tcW w:w="3685" w:type="dxa"/>
            <w:tcBorders>
              <w:top w:val="single" w:sz="12" w:space="0" w:color="auto"/>
            </w:tcBorders>
            <w:shd w:val="clear" w:color="auto" w:fill="auto"/>
            <w:noWrap/>
            <w:vAlign w:val="bottom"/>
          </w:tcPr>
          <w:p w14:paraId="674904BB"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39,6</w:t>
            </w:r>
          </w:p>
        </w:tc>
      </w:tr>
      <w:tr w:rsidR="00DA21FF" w:rsidRPr="00DA21FF" w14:paraId="4CF02DEA" w14:textId="77777777" w:rsidTr="00A36AA3">
        <w:trPr>
          <w:trHeight w:val="240"/>
        </w:trPr>
        <w:tc>
          <w:tcPr>
            <w:tcW w:w="3685" w:type="dxa"/>
            <w:shd w:val="clear" w:color="auto" w:fill="auto"/>
            <w:noWrap/>
          </w:tcPr>
          <w:p w14:paraId="0BB26790" w14:textId="75467702"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2013</w:t>
            </w:r>
            <w:r w:rsidR="003F1C60">
              <w:rPr>
                <w:sz w:val="18"/>
              </w:rPr>
              <w:t>-</w:t>
            </w:r>
            <w:r w:rsidRPr="00DA21FF">
              <w:rPr>
                <w:sz w:val="18"/>
              </w:rPr>
              <w:t>2017</w:t>
            </w:r>
          </w:p>
        </w:tc>
        <w:tc>
          <w:tcPr>
            <w:tcW w:w="3685" w:type="dxa"/>
            <w:shd w:val="clear" w:color="auto" w:fill="auto"/>
            <w:noWrap/>
            <w:vAlign w:val="bottom"/>
          </w:tcPr>
          <w:p w14:paraId="563BBDE0"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39,6</w:t>
            </w:r>
          </w:p>
        </w:tc>
      </w:tr>
      <w:tr w:rsidR="00DA21FF" w:rsidRPr="00DA21FF" w14:paraId="0F3D0E3A" w14:textId="77777777" w:rsidTr="00A36AA3">
        <w:trPr>
          <w:trHeight w:val="240"/>
        </w:trPr>
        <w:tc>
          <w:tcPr>
            <w:tcW w:w="3685" w:type="dxa"/>
            <w:shd w:val="clear" w:color="auto" w:fill="auto"/>
            <w:noWrap/>
          </w:tcPr>
          <w:p w14:paraId="351E474B" w14:textId="4A33D5F3"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2017</w:t>
            </w:r>
            <w:r w:rsidR="003F1C60">
              <w:rPr>
                <w:sz w:val="18"/>
              </w:rPr>
              <w:t>-</w:t>
            </w:r>
            <w:r w:rsidRPr="00DA21FF">
              <w:rPr>
                <w:sz w:val="18"/>
              </w:rPr>
              <w:t>2021</w:t>
            </w:r>
          </w:p>
        </w:tc>
        <w:tc>
          <w:tcPr>
            <w:tcW w:w="3685" w:type="dxa"/>
            <w:shd w:val="clear" w:color="auto" w:fill="auto"/>
            <w:noWrap/>
            <w:vAlign w:val="bottom"/>
          </w:tcPr>
          <w:p w14:paraId="65A1E78E"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42,1</w:t>
            </w:r>
          </w:p>
        </w:tc>
      </w:tr>
      <w:tr w:rsidR="00A36AA3" w:rsidRPr="00DA21FF" w14:paraId="7D122698" w14:textId="77777777" w:rsidTr="00A36AA3">
        <w:trPr>
          <w:trHeight w:val="240"/>
        </w:trPr>
        <w:tc>
          <w:tcPr>
            <w:tcW w:w="3685" w:type="dxa"/>
            <w:tcBorders>
              <w:bottom w:val="single" w:sz="12" w:space="0" w:color="auto"/>
            </w:tcBorders>
            <w:shd w:val="clear" w:color="auto" w:fill="auto"/>
            <w:noWrap/>
          </w:tcPr>
          <w:p w14:paraId="3457802B" w14:textId="40668606" w:rsidR="00DA21FF" w:rsidRPr="00DA21FF" w:rsidRDefault="00DA21FF" w:rsidP="00A36AA3">
            <w:pPr>
              <w:pStyle w:val="SingleTxtG"/>
              <w:tabs>
                <w:tab w:val="clear" w:pos="1701"/>
                <w:tab w:val="clear" w:pos="2268"/>
                <w:tab w:val="clear" w:pos="2835"/>
              </w:tabs>
              <w:spacing w:before="40" w:after="40" w:line="220" w:lineRule="exact"/>
              <w:ind w:left="0" w:right="0"/>
              <w:jc w:val="left"/>
              <w:rPr>
                <w:sz w:val="18"/>
                <w:lang w:val="en-GB"/>
              </w:rPr>
            </w:pPr>
            <w:r w:rsidRPr="00DA21FF">
              <w:rPr>
                <w:sz w:val="18"/>
              </w:rPr>
              <w:t>2021</w:t>
            </w:r>
            <w:r w:rsidR="003F1C60">
              <w:rPr>
                <w:sz w:val="18"/>
              </w:rPr>
              <w:t>-</w:t>
            </w:r>
            <w:r w:rsidRPr="00DA21FF">
              <w:rPr>
                <w:sz w:val="18"/>
              </w:rPr>
              <w:t>2025</w:t>
            </w:r>
          </w:p>
        </w:tc>
        <w:tc>
          <w:tcPr>
            <w:tcW w:w="3685" w:type="dxa"/>
            <w:tcBorders>
              <w:bottom w:val="single" w:sz="12" w:space="0" w:color="auto"/>
            </w:tcBorders>
            <w:shd w:val="clear" w:color="auto" w:fill="auto"/>
            <w:noWrap/>
            <w:vAlign w:val="bottom"/>
          </w:tcPr>
          <w:p w14:paraId="1BDCB4D6" w14:textId="77777777" w:rsidR="00DA21FF" w:rsidRPr="00DA21FF" w:rsidRDefault="00DA21FF" w:rsidP="00A36AA3">
            <w:pPr>
              <w:pStyle w:val="SingleTxtG"/>
              <w:tabs>
                <w:tab w:val="clear" w:pos="1701"/>
                <w:tab w:val="clear" w:pos="2268"/>
                <w:tab w:val="clear" w:pos="2835"/>
              </w:tabs>
              <w:spacing w:before="40" w:after="40" w:line="220" w:lineRule="exact"/>
              <w:ind w:left="113" w:right="0"/>
              <w:jc w:val="right"/>
              <w:rPr>
                <w:sz w:val="18"/>
                <w:lang w:val="en-GB"/>
              </w:rPr>
            </w:pPr>
            <w:r w:rsidRPr="00DA21FF">
              <w:rPr>
                <w:sz w:val="18"/>
              </w:rPr>
              <w:t>45,0</w:t>
            </w:r>
          </w:p>
        </w:tc>
      </w:tr>
    </w:tbl>
    <w:p w14:paraId="3C5F7F8B" w14:textId="4B44EC28" w:rsidR="00DA21FF" w:rsidRPr="00DA21FF" w:rsidRDefault="00DA21FF" w:rsidP="003F1C60">
      <w:pPr>
        <w:pStyle w:val="SingleTxtG"/>
        <w:spacing w:before="240"/>
        <w:rPr>
          <w:lang w:val="en-GB"/>
        </w:rPr>
      </w:pPr>
      <w:r w:rsidRPr="00DA21FF">
        <w:t>56.</w:t>
      </w:r>
      <w:r w:rsidRPr="00DA21FF">
        <w:tab/>
        <w:t xml:space="preserve">En Noruega se han celebrado seis </w:t>
      </w:r>
      <w:r w:rsidRPr="00117F19">
        <w:rPr>
          <w:u w:val="single"/>
        </w:rPr>
        <w:t>referendos</w:t>
      </w:r>
      <w:r w:rsidRPr="00DA21FF">
        <w:t xml:space="preserve"> nacionales, que tradicionalmente han gozado de una mayor participación que las elecciones al </w:t>
      </w:r>
      <w:proofErr w:type="spellStart"/>
      <w:r w:rsidRPr="00DA21FF">
        <w:t>Storting</w:t>
      </w:r>
      <w:proofErr w:type="spellEnd"/>
      <w:r w:rsidRPr="00DA21FF">
        <w:t>, alcanzando un récord del</w:t>
      </w:r>
      <w:r w:rsidR="00124A9F">
        <w:t> </w:t>
      </w:r>
      <w:r w:rsidRPr="00DA21FF">
        <w:t xml:space="preserve">89 % cuando Noruega votó sobre la adhesión a la Unión Europea (UE) en 1994. En dos referendos celebrados en 1905, los noruegos votaron a favor de la disolución de la unión con Suecia y a favor de ofrecer el trono al príncipe Carlos de Dinamarca (que aceptó y se convirtió en el rey </w:t>
      </w:r>
      <w:proofErr w:type="spellStart"/>
      <w:r w:rsidRPr="00DA21FF">
        <w:t>Haakon</w:t>
      </w:r>
      <w:proofErr w:type="spellEnd"/>
      <w:r w:rsidRPr="00DA21FF">
        <w:t xml:space="preserve"> VII). En un referendo celebrado en 1919, los noruegos votaron a favor de la prohibición de las bebidas alcohólicas. Sin embargo, tras un nuevo referendo en 1926, esta prohibición fue derogada. En los dos referendos sobre la adhesión a la Comunidad Económica Europea (CEE), en 1972, y a la UE, en 1994, la mayoría de los noruegos votó en contra.</w:t>
      </w:r>
    </w:p>
    <w:p w14:paraId="36ACC7BF" w14:textId="318D27A0" w:rsidR="00DA21FF" w:rsidRPr="00DA21FF" w:rsidRDefault="003F1C60" w:rsidP="003F1C60">
      <w:pPr>
        <w:pStyle w:val="H23G"/>
        <w:rPr>
          <w:lang w:val="en-GB"/>
        </w:rPr>
      </w:pPr>
      <w:bookmarkStart w:id="33" w:name="_Toc243126016"/>
      <w:bookmarkStart w:id="34" w:name="_Toc245183241"/>
      <w:r>
        <w:tab/>
      </w:r>
      <w:r w:rsidR="00DA21FF" w:rsidRPr="00DA21FF">
        <w:t>c)</w:t>
      </w:r>
      <w:r w:rsidR="00DA21FF" w:rsidRPr="00DA21FF">
        <w:tab/>
        <w:t>El Gobierno noruego</w:t>
      </w:r>
      <w:bookmarkEnd w:id="33"/>
      <w:bookmarkEnd w:id="34"/>
    </w:p>
    <w:p w14:paraId="1D77B278" w14:textId="77777777" w:rsidR="00DA21FF" w:rsidRPr="00DA21FF" w:rsidRDefault="00DA21FF" w:rsidP="00DA21FF">
      <w:pPr>
        <w:pStyle w:val="SingleTxtG"/>
        <w:rPr>
          <w:lang w:val="en-GB"/>
        </w:rPr>
      </w:pPr>
      <w:r w:rsidRPr="00DA21FF">
        <w:t>57.</w:t>
      </w:r>
      <w:r w:rsidRPr="00DA21FF">
        <w:tab/>
        <w:t xml:space="preserve">El </w:t>
      </w:r>
      <w:r w:rsidRPr="00117F19">
        <w:rPr>
          <w:u w:val="single"/>
        </w:rPr>
        <w:t>Gobierno</w:t>
      </w:r>
      <w:r w:rsidRPr="00DA21FF">
        <w:t xml:space="preserve"> lo forma el partido o coalición de partidos con mayoría de escaños en el </w:t>
      </w:r>
      <w:proofErr w:type="spellStart"/>
      <w:r w:rsidRPr="00DA21FF">
        <w:t>Storting</w:t>
      </w:r>
      <w:proofErr w:type="spellEnd"/>
      <w:r w:rsidRPr="00DA21FF">
        <w:t xml:space="preserve"> o que constituyan una minoría capaz de gobernar. Así, el Gobierno es elegido indirectamente por el electorado. El Gobierno está formado por el Primer Ministro y varios ministros (19 ministros en mayo de 2024). La Oficina del Primer Ministro ayuda al Primer Ministro a dirigir y coordinar la labor del Gobierno. Los ministerios se encargan de ejecutar las políticas decididas por sus respectivos ministros en los distintos sectores de la administración pública. Las decisiones oficiales del Gobierno se adoptan en forma de Real Decreto. </w:t>
      </w:r>
    </w:p>
    <w:p w14:paraId="14067565" w14:textId="77777777" w:rsidR="00DA21FF" w:rsidRPr="00DA21FF" w:rsidRDefault="00DA21FF" w:rsidP="00DA21FF">
      <w:pPr>
        <w:pStyle w:val="SingleTxtG"/>
        <w:rPr>
          <w:lang w:val="en-GB"/>
        </w:rPr>
      </w:pPr>
      <w:r w:rsidRPr="00DA21FF">
        <w:t>58.</w:t>
      </w:r>
      <w:r w:rsidRPr="00DA21FF">
        <w:tab/>
        <w:t xml:space="preserve">El </w:t>
      </w:r>
      <w:r w:rsidRPr="00117F19">
        <w:rPr>
          <w:u w:val="single"/>
        </w:rPr>
        <w:t>poder ejecutivo</w:t>
      </w:r>
      <w:r w:rsidRPr="00DA21FF">
        <w:t xml:space="preserve"> corresponde constitucional y formalmente al Rey. Sin embargo, los Reales Decretos son adoptados por el Rey en Consejo, que está formado por el Rey y un mínimo de la mitad de todos los ministros del Gobierno. El Rey cumple una importante función simbólica como Jefe de Estado y representante oficial de Noruega. </w:t>
      </w:r>
    </w:p>
    <w:p w14:paraId="56D26853" w14:textId="08C8E2B7" w:rsidR="00DA21FF" w:rsidRPr="00DA21FF" w:rsidRDefault="00124A9F" w:rsidP="00124A9F">
      <w:pPr>
        <w:pStyle w:val="H23G"/>
        <w:rPr>
          <w:lang w:val="en-GB"/>
        </w:rPr>
      </w:pPr>
      <w:bookmarkStart w:id="35" w:name="_Toc243126018"/>
      <w:bookmarkStart w:id="36" w:name="_Toc245183243"/>
      <w:r>
        <w:tab/>
      </w:r>
      <w:r w:rsidR="00DA21FF" w:rsidRPr="00DA21FF">
        <w:t>d)</w:t>
      </w:r>
      <w:r w:rsidR="00DA21FF" w:rsidRPr="00DA21FF">
        <w:tab/>
        <w:t xml:space="preserve">Condados y municipios </w:t>
      </w:r>
      <w:bookmarkEnd w:id="35"/>
      <w:bookmarkEnd w:id="36"/>
    </w:p>
    <w:p w14:paraId="60F920AD" w14:textId="77777777" w:rsidR="00DA21FF" w:rsidRPr="00DA21FF" w:rsidRDefault="00DA21FF" w:rsidP="00DA21FF">
      <w:pPr>
        <w:pStyle w:val="SingleTxtG"/>
        <w:rPr>
          <w:lang w:val="en-GB"/>
        </w:rPr>
      </w:pPr>
      <w:r w:rsidRPr="00DA21FF">
        <w:t>59.</w:t>
      </w:r>
      <w:r w:rsidRPr="00DA21FF">
        <w:tab/>
        <w:t xml:space="preserve">Noruega está dividida en 15 </w:t>
      </w:r>
      <w:r w:rsidRPr="00117F19">
        <w:rPr>
          <w:u w:val="single"/>
        </w:rPr>
        <w:t>autoridades de condado</w:t>
      </w:r>
      <w:r w:rsidRPr="00124A9F">
        <w:t xml:space="preserve"> </w:t>
      </w:r>
      <w:r w:rsidRPr="00DA21FF">
        <w:t xml:space="preserve">(condados) y 357 </w:t>
      </w:r>
      <w:r w:rsidRPr="00117F19">
        <w:rPr>
          <w:u w:val="single"/>
        </w:rPr>
        <w:t>municipios</w:t>
      </w:r>
      <w:r w:rsidRPr="00DA21FF">
        <w:t xml:space="preserve"> (2024), y varias decisiones políticas se toman en estos dos niveles. Los consejos municipales y de condado tienen competencias autónomas en determinados ámbitos de política que se </w:t>
      </w:r>
      <w:r w:rsidRPr="00DA21FF">
        <w:lastRenderedPageBreak/>
        <w:t>especifican en la legislación. Gran parte de la administración pública también se lleva a cabo en estos niveles.</w:t>
      </w:r>
    </w:p>
    <w:p w14:paraId="50677599" w14:textId="77777777" w:rsidR="00DA21FF" w:rsidRPr="00DA21FF" w:rsidRDefault="00DA21FF" w:rsidP="00DA21FF">
      <w:pPr>
        <w:pStyle w:val="SingleTxtG"/>
        <w:rPr>
          <w:lang w:val="en-GB"/>
        </w:rPr>
      </w:pPr>
      <w:r w:rsidRPr="00DA21FF">
        <w:t>60.</w:t>
      </w:r>
      <w:r w:rsidRPr="00DA21FF">
        <w:tab/>
        <w:t xml:space="preserve">Antes de 2014, Noruega tenía 428 municipios y 19 condados. El número de municipios y condados se redujo como consecuencia de una </w:t>
      </w:r>
      <w:r w:rsidRPr="00117F19">
        <w:rPr>
          <w:u w:val="single"/>
        </w:rPr>
        <w:t>reforma municipal y de los condados</w:t>
      </w:r>
      <w:r w:rsidRPr="00DA21FF">
        <w:rPr>
          <w:i/>
          <w:iCs/>
        </w:rPr>
        <w:t xml:space="preserve"> </w:t>
      </w:r>
      <w:r w:rsidRPr="00DA21FF">
        <w:t>entre 2014 y 2020. En 2021, los municipios y condados que se fusionaron en contra de las decisiones locales tomadas por los consejos municipales y de condados tuvieron la oportunidad de solicitar una división del municipio y del condado, para restablecer sus límites anteriores. Un municipio (</w:t>
      </w:r>
      <w:proofErr w:type="spellStart"/>
      <w:r w:rsidRPr="00DA21FF">
        <w:t>Ålesund</w:t>
      </w:r>
      <w:proofErr w:type="spellEnd"/>
      <w:r w:rsidRPr="00DA21FF">
        <w:t>) y tres condados (</w:t>
      </w:r>
      <w:proofErr w:type="spellStart"/>
      <w:r w:rsidRPr="00DA21FF">
        <w:t>Viken</w:t>
      </w:r>
      <w:proofErr w:type="spellEnd"/>
      <w:r w:rsidRPr="00DA21FF">
        <w:t xml:space="preserve">, Vestfold </w:t>
      </w:r>
      <w:proofErr w:type="spellStart"/>
      <w:r w:rsidRPr="00DA21FF">
        <w:t>og</w:t>
      </w:r>
      <w:proofErr w:type="spellEnd"/>
      <w:r w:rsidRPr="00DA21FF">
        <w:t xml:space="preserve"> Telemark y Troms </w:t>
      </w:r>
      <w:proofErr w:type="spellStart"/>
      <w:r w:rsidRPr="00DA21FF">
        <w:t>og</w:t>
      </w:r>
      <w:proofErr w:type="spellEnd"/>
      <w:r w:rsidRPr="00DA21FF">
        <w:t xml:space="preserve"> Finnmark) solicitaron dicha división, que entró en vigor el 1 de enero de 2024.</w:t>
      </w:r>
    </w:p>
    <w:p w14:paraId="2C1745E0" w14:textId="77777777" w:rsidR="00DA21FF" w:rsidRPr="00DA21FF" w:rsidRDefault="00DA21FF" w:rsidP="00DA21FF">
      <w:pPr>
        <w:pStyle w:val="SingleTxtG"/>
        <w:rPr>
          <w:lang w:val="en-GB"/>
        </w:rPr>
      </w:pPr>
      <w:r w:rsidRPr="00DA21FF">
        <w:t>61.</w:t>
      </w:r>
      <w:r w:rsidRPr="00DA21FF">
        <w:tab/>
        <w:t xml:space="preserve">Las </w:t>
      </w:r>
      <w:r w:rsidRPr="00117F19">
        <w:rPr>
          <w:u w:val="single"/>
        </w:rPr>
        <w:t>elecciones a los consejos municipales y de condado</w:t>
      </w:r>
      <w:r w:rsidRPr="00DA21FF">
        <w:t xml:space="preserve"> se celebran cada cuatro años. Al igual que en las elecciones al </w:t>
      </w:r>
      <w:proofErr w:type="spellStart"/>
      <w:r w:rsidRPr="00DA21FF">
        <w:t>Storting</w:t>
      </w:r>
      <w:proofErr w:type="spellEnd"/>
      <w:r w:rsidRPr="00DA21FF">
        <w:t xml:space="preserve">, la edad mínima para votar es de 18 años. Los extranjeros tienen derecho a votar en las elecciones a los consejos municipales y de condado si han residido en Noruega durante los tres últimos años anteriores al día de las elecciones. Los ciudadanos de otros países nórdicos tienen derecho a votar </w:t>
      </w:r>
      <w:proofErr w:type="spellStart"/>
      <w:r w:rsidRPr="00DA21FF">
        <w:t>si</w:t>
      </w:r>
      <w:proofErr w:type="spellEnd"/>
      <w:r w:rsidRPr="00DA21FF">
        <w:t xml:space="preserve"> estaban registrados como residentes en Noruega a más tardar el 30 de junio del año de las elecciones. La participación electoral en las elecciones a los consejos municipales y de condado de 2023 fue del 62,4 %. A diferencia de las elecciones al </w:t>
      </w:r>
      <w:proofErr w:type="spellStart"/>
      <w:r w:rsidRPr="00DA21FF">
        <w:t>Storting</w:t>
      </w:r>
      <w:proofErr w:type="spellEnd"/>
      <w:r w:rsidRPr="00DA21FF">
        <w:t>, donde la gran mayoría de los candidatos representan a partidos registrados, las listas de candidatos locales independientes son habituales en las elecciones municipales y de condado.</w:t>
      </w:r>
    </w:p>
    <w:p w14:paraId="13E06D4E" w14:textId="1DAE3311" w:rsidR="00DA21FF" w:rsidRPr="00DA21FF" w:rsidRDefault="00124A9F" w:rsidP="00124A9F">
      <w:pPr>
        <w:pStyle w:val="H23G"/>
        <w:rPr>
          <w:lang w:val="en-GB"/>
        </w:rPr>
      </w:pPr>
      <w:bookmarkStart w:id="37" w:name="_Toc243126019"/>
      <w:bookmarkStart w:id="38" w:name="_Toc245183244"/>
      <w:r>
        <w:tab/>
      </w:r>
      <w:r w:rsidR="00DA21FF" w:rsidRPr="00DA21FF">
        <w:t>e)</w:t>
      </w:r>
      <w:r w:rsidR="00DA21FF" w:rsidRPr="00DA21FF">
        <w:tab/>
        <w:t xml:space="preserve">Estructura jurídica </w:t>
      </w:r>
      <w:bookmarkEnd w:id="37"/>
      <w:bookmarkEnd w:id="38"/>
    </w:p>
    <w:p w14:paraId="23CE1564" w14:textId="77777777" w:rsidR="00DA21FF" w:rsidRPr="00DA21FF" w:rsidRDefault="00DA21FF" w:rsidP="00DA21FF">
      <w:pPr>
        <w:pStyle w:val="SingleTxtG"/>
        <w:rPr>
          <w:lang w:val="en-GB"/>
        </w:rPr>
      </w:pPr>
      <w:r w:rsidRPr="00DA21FF">
        <w:t>62.</w:t>
      </w:r>
      <w:r w:rsidRPr="00DA21FF">
        <w:tab/>
        <w:t xml:space="preserve">La </w:t>
      </w:r>
      <w:r w:rsidRPr="00117F19">
        <w:rPr>
          <w:u w:val="single"/>
        </w:rPr>
        <w:t>administración de justicia</w:t>
      </w:r>
      <w:r w:rsidRPr="00DA21FF">
        <w:t xml:space="preserve"> corre a cargo de los tribunales de justicia, que son totalmente independientes de los demás poderes constitucionales. Hay tres niveles de tribunales: el Tribunal de Distrito de primera instancia, el Tribunal de Apelación y el Tribunal Supremo, al más alto nivel. Los asuntos civiles y penales pueden juzgarse a todos los niveles. Los casos civiles son llevados ante los tribunales por las partes en la causa, mientras que los casos penales son llevados ante los tribunales por la Fiscalía. La legalidad de las decisiones administrativas puede estar sujeta al control de un tribunal. Por regla general, los litigios civiles son examinados inicialmente por una Junta de Conciliación, que existe en todos los municipios y está compuesta por legos. Los tribunales ordinarios se complementan con tribunales especiales, como el Tribunal Laboral y los Tribunales de Concentración Parcelaria. </w:t>
      </w:r>
    </w:p>
    <w:p w14:paraId="34175ED1" w14:textId="77777777" w:rsidR="00DA21FF" w:rsidRPr="00DA21FF" w:rsidRDefault="00DA21FF" w:rsidP="00DA21FF">
      <w:pPr>
        <w:pStyle w:val="SingleTxtG"/>
        <w:rPr>
          <w:lang w:val="en-GB"/>
        </w:rPr>
      </w:pPr>
      <w:r w:rsidRPr="00DA21FF">
        <w:t>63.</w:t>
      </w:r>
      <w:r w:rsidRPr="00DA21FF">
        <w:tab/>
        <w:t xml:space="preserve">En 2002, el control administrativo de los tribunales pasó del Ministerio de Justicia y Policía, donde había residido desde la creación del Estado noruego en 1814, a la </w:t>
      </w:r>
      <w:r w:rsidRPr="00117F19">
        <w:rPr>
          <w:u w:val="single"/>
        </w:rPr>
        <w:t>Administración Nacional de Tribunales</w:t>
      </w:r>
      <w:r w:rsidRPr="00DA21FF">
        <w:t xml:space="preserve">. Este órgano se creó para salvaguardar la independencia de los tribunales en relación con los demás poderes del Estado. El Ministerio de Justicia y Seguridad Pública no tiene competencias para dar instrucciones a la Administración Nacional de Tribunales, pero es el principal responsable de elaborar la legislación relativa a los tribunales. </w:t>
      </w:r>
    </w:p>
    <w:p w14:paraId="7F9D4852" w14:textId="77777777" w:rsidR="00DA21FF" w:rsidRPr="00DA21FF" w:rsidRDefault="00DA21FF" w:rsidP="00DA21FF">
      <w:pPr>
        <w:pStyle w:val="SingleTxtG"/>
        <w:rPr>
          <w:lang w:val="en-GB"/>
        </w:rPr>
      </w:pPr>
      <w:r w:rsidRPr="00DA21FF">
        <w:t>64.</w:t>
      </w:r>
      <w:r w:rsidRPr="00DA21FF">
        <w:tab/>
        <w:t xml:space="preserve">Los organismos de la administración pública también son supervisados por el </w:t>
      </w:r>
      <w:r w:rsidRPr="00117F19">
        <w:rPr>
          <w:u w:val="single"/>
        </w:rPr>
        <w:t>Defensor del Pueblo Parlamentario de Control de la Administración Pública</w:t>
      </w:r>
      <w:r w:rsidRPr="00DA21FF">
        <w:t xml:space="preserve">. El Defensor del Pueblo Parlamentario investiga las quejas de los ciudadanos que creen haber sufrido una injusticia o un error por parte de la administración pública. Además, examina las reclamaciones relativas a decisiones administrativas de la administración central, los condados y los municipios, y también puede tomar la iniciativa de investigar un asunto. </w:t>
      </w:r>
    </w:p>
    <w:p w14:paraId="4FEC6E2B" w14:textId="77777777" w:rsidR="00DA21FF" w:rsidRPr="00DA21FF" w:rsidRDefault="00DA21FF" w:rsidP="00DA21FF">
      <w:pPr>
        <w:pStyle w:val="SingleTxtG"/>
        <w:rPr>
          <w:lang w:val="en-GB"/>
        </w:rPr>
      </w:pPr>
      <w:r w:rsidRPr="00DA21FF">
        <w:t>65.</w:t>
      </w:r>
      <w:r w:rsidRPr="00DA21FF">
        <w:tab/>
        <w:t xml:space="preserve">El </w:t>
      </w:r>
      <w:r w:rsidRPr="00117F19">
        <w:rPr>
          <w:u w:val="single"/>
        </w:rPr>
        <w:t>sistema jurídico</w:t>
      </w:r>
      <w:r w:rsidRPr="00DA21FF">
        <w:t xml:space="preserve"> se basa tanto en la legislación como en el derecho consuetudinario como fuentes del derecho. Para cumplir los requisitos del derecho consuetudinario, la costumbre debe haberse practicado sistemáticamente durante un largo período de tiempo, y tanto los profesionales del derecho como la sociedad deben haber considerado que la costumbre es jurídicamente vinculante. El derecho consuetudinario desempeña un papel considerable en el derecho de daños, el derecho de la responsabilidad civil extracontractual, el derecho contractual, el derecho de la administración pública y el derecho constitucional.</w:t>
      </w:r>
    </w:p>
    <w:p w14:paraId="3C4B558B" w14:textId="18369797" w:rsidR="00DA21FF" w:rsidRPr="00DA21FF" w:rsidRDefault="007D7208" w:rsidP="007D7208">
      <w:pPr>
        <w:pStyle w:val="H23G"/>
        <w:rPr>
          <w:lang w:val="en-GB"/>
        </w:rPr>
      </w:pPr>
      <w:r>
        <w:tab/>
      </w:r>
      <w:r w:rsidR="00DA21FF" w:rsidRPr="00DA21FF">
        <w:t>f)</w:t>
      </w:r>
      <w:r w:rsidR="00DA21FF" w:rsidRPr="00DA21FF">
        <w:tab/>
        <w:t>Pueblos Indígenas</w:t>
      </w:r>
      <w:bookmarkStart w:id="39" w:name="_Hlk164254261"/>
    </w:p>
    <w:p w14:paraId="311D7AE2" w14:textId="77777777" w:rsidR="00DA21FF" w:rsidRPr="00DA21FF" w:rsidRDefault="00DA21FF" w:rsidP="00DA21FF">
      <w:pPr>
        <w:pStyle w:val="SingleTxtG"/>
        <w:rPr>
          <w:lang w:val="en-GB"/>
        </w:rPr>
      </w:pPr>
      <w:r w:rsidRPr="00DA21FF">
        <w:t>66.</w:t>
      </w:r>
      <w:r w:rsidRPr="00DA21FF">
        <w:tab/>
        <w:t>Los samis son el Pueblo Indígena de Noruega. Los samis viven tradicionalmente en el norte y el este de Noruega y en partes de Suecia, Finlandia y Rusia.</w:t>
      </w:r>
    </w:p>
    <w:p w14:paraId="52FFEB38" w14:textId="77777777" w:rsidR="00DA21FF" w:rsidRPr="00DA21FF" w:rsidRDefault="00DA21FF" w:rsidP="00DA21FF">
      <w:pPr>
        <w:pStyle w:val="SingleTxtG"/>
        <w:rPr>
          <w:lang w:val="en-GB"/>
        </w:rPr>
      </w:pPr>
      <w:r w:rsidRPr="00DA21FF">
        <w:lastRenderedPageBreak/>
        <w:t>67.</w:t>
      </w:r>
      <w:r w:rsidRPr="00DA21FF">
        <w:tab/>
        <w:t xml:space="preserve">La política noruega hacia los samis se basa en el reconocimiento de que el Estado de Noruega se estableció en el territorio de dos pueblos, los noruegos y los samis, y que ambos pueblos tienen el mismo derecho a desarrollar su cultura y su lengua. </w:t>
      </w:r>
    </w:p>
    <w:p w14:paraId="3EEFA93F" w14:textId="3235C039" w:rsidR="00DA21FF" w:rsidRPr="00DA21FF" w:rsidRDefault="00DA21FF" w:rsidP="00DA21FF">
      <w:pPr>
        <w:pStyle w:val="SingleTxtG"/>
        <w:rPr>
          <w:lang w:val="en-GB"/>
        </w:rPr>
      </w:pPr>
      <w:r w:rsidRPr="00DA21FF">
        <w:t>68.</w:t>
      </w:r>
      <w:r w:rsidRPr="00DA21FF">
        <w:tab/>
        <w:t xml:space="preserve">Los </w:t>
      </w:r>
      <w:r w:rsidRPr="00117F19">
        <w:rPr>
          <w:u w:val="single"/>
        </w:rPr>
        <w:t>derechos de los samis</w:t>
      </w:r>
      <w:r w:rsidRPr="00DA21FF">
        <w:t xml:space="preserve"> están protegidos por el artículo 108 de la Constitución de Noruega, que establece que </w:t>
      </w:r>
      <w:r w:rsidR="00AF1B93">
        <w:t>“</w:t>
      </w:r>
      <w:r w:rsidRPr="00DA21FF">
        <w:t>es responsabilidad de las autoridades del Estado crear las condiciones que permitan al pueblo sami conservar y desarrollar su lengua, cultura y modo de vida</w:t>
      </w:r>
      <w:r w:rsidR="00AF1B93">
        <w:t>”</w:t>
      </w:r>
      <w:r w:rsidRPr="00DA21FF">
        <w:t xml:space="preserve">. Los derechos de los samis también están protegidos en disposiciones más específicas de la Ley del </w:t>
      </w:r>
      <w:proofErr w:type="spellStart"/>
      <w:r w:rsidRPr="00DA21FF">
        <w:t>Sámediggi</w:t>
      </w:r>
      <w:proofErr w:type="spellEnd"/>
      <w:r w:rsidRPr="00DA21FF">
        <w:rPr>
          <w:i/>
          <w:iCs/>
        </w:rPr>
        <w:t xml:space="preserve"> </w:t>
      </w:r>
      <w:r w:rsidRPr="00DA21FF">
        <w:t>(Parlamento sami) y Otras Cuestiones Jurídicas Samis (la Ley Sami), en otras leyes y a través de las obligaciones contraídas por Noruega en virtud de varios convenios internacionales, en particular el artículo 27 del Pacto Internacional de Derechos Civiles y Políticos y el Convenio sobre Pueblos Indígenas y Tribales, 1989 (núm.</w:t>
      </w:r>
      <w:r w:rsidR="007D7208">
        <w:t> </w:t>
      </w:r>
      <w:r w:rsidRPr="00DA21FF">
        <w:t>169) de la OIT.</w:t>
      </w:r>
    </w:p>
    <w:p w14:paraId="0B3CB0EE" w14:textId="77777777" w:rsidR="00DA21FF" w:rsidRPr="00DA21FF" w:rsidRDefault="00DA21FF" w:rsidP="00DA21FF">
      <w:pPr>
        <w:pStyle w:val="SingleTxtG"/>
        <w:rPr>
          <w:lang w:val="en-GB"/>
        </w:rPr>
      </w:pPr>
      <w:r w:rsidRPr="00DA21FF">
        <w:t>69.</w:t>
      </w:r>
      <w:r w:rsidRPr="00DA21FF">
        <w:tab/>
        <w:t xml:space="preserve">Los samis tienen su propio Parlamento, el </w:t>
      </w:r>
      <w:proofErr w:type="spellStart"/>
      <w:r w:rsidRPr="00117F19">
        <w:rPr>
          <w:u w:val="single"/>
        </w:rPr>
        <w:t>Sámediggi</w:t>
      </w:r>
      <w:proofErr w:type="spellEnd"/>
      <w:r w:rsidRPr="00DA21FF">
        <w:t xml:space="preserve">, creado en 1989 en virtud de la Ley Sami. Es un órgano político representativo y electo de los samis de Noruega, en particular como parte en el diálogo con el Gobierno central. La competencia del </w:t>
      </w:r>
      <w:proofErr w:type="spellStart"/>
      <w:r w:rsidRPr="00DA21FF">
        <w:t>Sámediggi</w:t>
      </w:r>
      <w:proofErr w:type="spellEnd"/>
      <w:r w:rsidRPr="00DA21FF">
        <w:t xml:space="preserve"> se extiende a cualquier asunto que el </w:t>
      </w:r>
      <w:proofErr w:type="spellStart"/>
      <w:r w:rsidRPr="00DA21FF">
        <w:t>Sámediggi</w:t>
      </w:r>
      <w:proofErr w:type="spellEnd"/>
      <w:r w:rsidRPr="00DA21FF">
        <w:t xml:space="preserve"> considere que afecta especialmente al pueblo sami. Aproximadamente 23.500 samis se inscribieron en el censo electoral para las elecciones al </w:t>
      </w:r>
      <w:proofErr w:type="spellStart"/>
      <w:r w:rsidRPr="00DA21FF">
        <w:t>Sámediggi</w:t>
      </w:r>
      <w:proofErr w:type="spellEnd"/>
      <w:r w:rsidRPr="00DA21FF">
        <w:t xml:space="preserve"> de 2023.</w:t>
      </w:r>
    </w:p>
    <w:p w14:paraId="325C422D" w14:textId="77777777" w:rsidR="00DA21FF" w:rsidRPr="00DA21FF" w:rsidRDefault="00DA21FF" w:rsidP="00DA21FF">
      <w:pPr>
        <w:pStyle w:val="SingleTxtG"/>
        <w:rPr>
          <w:lang w:val="en-GB"/>
        </w:rPr>
      </w:pPr>
      <w:r w:rsidRPr="00DA21FF">
        <w:t>70.</w:t>
      </w:r>
      <w:r w:rsidRPr="00DA21FF">
        <w:tab/>
        <w:t xml:space="preserve">Las </w:t>
      </w:r>
      <w:r w:rsidRPr="00117F19">
        <w:rPr>
          <w:u w:val="single"/>
        </w:rPr>
        <w:t>políticas dirigidas a los samis</w:t>
      </w:r>
      <w:r w:rsidRPr="00DA21FF">
        <w:t xml:space="preserve"> dan prioridad al reconocimiento y fortalecimiento de los derechos de las minorías y los indígenas y al desarrollo de una infraestructura de instituciones en la sociedad sami. Se han establecido leyes, procedimientos y programas para fortalecer las lenguas, la cultura, las industrias y la sociedad sami. Se destacan entre ellos la Ley Sami y la Ley de Finnmark. De común acuerdo con el </w:t>
      </w:r>
      <w:proofErr w:type="spellStart"/>
      <w:r w:rsidRPr="00DA21FF">
        <w:t>Sámediggi</w:t>
      </w:r>
      <w:proofErr w:type="spellEnd"/>
      <w:r w:rsidRPr="00DA21FF">
        <w:t xml:space="preserve">, el Gobierno también ha establecido un plan por el que en cada sesión parlamentaria del segundo trimestre se presentará un libro blanco prospectivo sobre las políticas relativas a los samis. El informe abordará la evolución de las lenguas, la cultura y la sociedad samis, así como los servicios prestados a sus ciudadanos. El libro blanco se elabora en colaboración con el </w:t>
      </w:r>
      <w:proofErr w:type="spellStart"/>
      <w:r w:rsidRPr="00DA21FF">
        <w:t>Sámediggi</w:t>
      </w:r>
      <w:proofErr w:type="spellEnd"/>
      <w:r w:rsidRPr="00DA21FF">
        <w:t>.</w:t>
      </w:r>
    </w:p>
    <w:p w14:paraId="1863762B" w14:textId="77777777" w:rsidR="00DA21FF" w:rsidRPr="00DA21FF" w:rsidRDefault="00DA21FF" w:rsidP="00DA21FF">
      <w:pPr>
        <w:pStyle w:val="SingleTxtG"/>
        <w:rPr>
          <w:lang w:val="en-GB"/>
        </w:rPr>
      </w:pPr>
      <w:r w:rsidRPr="00DA21FF">
        <w:t>71.</w:t>
      </w:r>
      <w:r w:rsidRPr="00DA21FF">
        <w:tab/>
        <w:t xml:space="preserve">Las </w:t>
      </w:r>
      <w:r w:rsidRPr="00117F19">
        <w:rPr>
          <w:u w:val="single"/>
        </w:rPr>
        <w:t>lenguas samis</w:t>
      </w:r>
      <w:r w:rsidRPr="00DA21FF">
        <w:t xml:space="preserve"> son idiomas oficiales en Noruega, junto con las dos formas del noruego escrito, el </w:t>
      </w:r>
      <w:r w:rsidRPr="00DA21FF">
        <w:rPr>
          <w:i/>
          <w:iCs/>
        </w:rPr>
        <w:t>bokmål</w:t>
      </w:r>
      <w:r w:rsidRPr="00DA21FF">
        <w:t xml:space="preserve"> y el </w:t>
      </w:r>
      <w:r w:rsidRPr="00DA21FF">
        <w:rPr>
          <w:i/>
          <w:iCs/>
        </w:rPr>
        <w:t>nynorsk</w:t>
      </w:r>
      <w:r w:rsidRPr="00DA21FF">
        <w:t xml:space="preserve">. El sami del norte, el sami de Lule y el sami del sur también están reconocidos como lenguas regionales o minoritarias en Noruega y están protegidos por la Carta Europea de las Lenguas Regionales o Minoritarias. </w:t>
      </w:r>
    </w:p>
    <w:p w14:paraId="3AB8FD7A" w14:textId="558556A8" w:rsidR="00DA21FF" w:rsidRPr="00DA21FF" w:rsidRDefault="00DA21FF" w:rsidP="00DA21FF">
      <w:pPr>
        <w:pStyle w:val="SingleTxtG"/>
        <w:rPr>
          <w:lang w:val="en-GB"/>
        </w:rPr>
      </w:pPr>
      <w:r w:rsidRPr="00DA21FF">
        <w:t>72.</w:t>
      </w:r>
      <w:r w:rsidRPr="00DA21FF">
        <w:tab/>
        <w:t xml:space="preserve">Como Pueblo Indígena, los samis tienen derecho a ser consultados sobre los asuntos que puedan afectarlos directamente. Las nuevas </w:t>
      </w:r>
      <w:r w:rsidRPr="00117F19">
        <w:rPr>
          <w:u w:val="single"/>
        </w:rPr>
        <w:t>disposiciones legales sobre consultas</w:t>
      </w:r>
      <w:r w:rsidRPr="00DA21FF">
        <w:t xml:space="preserve"> entraron en vigor en julio de 2021. Estas disposiciones legales constituyen en buena medida una prolongación de los denominados </w:t>
      </w:r>
      <w:r w:rsidR="00AF1B93">
        <w:t>“</w:t>
      </w:r>
      <w:r w:rsidRPr="00DA21FF">
        <w:t xml:space="preserve">Procedimientos de consulta entre las autoridades nacionales y el </w:t>
      </w:r>
      <w:proofErr w:type="spellStart"/>
      <w:r w:rsidRPr="00DA21FF">
        <w:t>Sámediggi</w:t>
      </w:r>
      <w:proofErr w:type="spellEnd"/>
      <w:r w:rsidRPr="00DA21FF">
        <w:t xml:space="preserve"> (Parlamento Sami)</w:t>
      </w:r>
      <w:r w:rsidR="00AF1B93">
        <w:t>”</w:t>
      </w:r>
      <w:r w:rsidRPr="00DA21FF">
        <w:t xml:space="preserve"> de 2005. El deber de consulta se aplica a las autoridades del Gobierno central, las autoridades de los condados y de los municipios, así como a las personas jurídicas de derecho privado cuando ejercen autoridad en representación del Estado. El objetivo de las consultas es garantizar que los intereses de los samis sean tomados en cuenta en una fase temprana de los procesos pertinentes, y que el pueblo sami tenga la oportunidad de incidir en su resultado. El derecho a ser consultado se aplica al </w:t>
      </w:r>
      <w:proofErr w:type="spellStart"/>
      <w:r w:rsidRPr="00DA21FF">
        <w:t>Sámediggi</w:t>
      </w:r>
      <w:proofErr w:type="spellEnd"/>
      <w:r w:rsidRPr="00DA21FF">
        <w:t xml:space="preserve"> y a otros representantes de los intereses de los samis en asuntos relativos a la legislación, los reglamentos y otras decisiones o medidas que puedan afectar directamente a los intereses de los samis. </w:t>
      </w:r>
    </w:p>
    <w:p w14:paraId="65E11174" w14:textId="77777777" w:rsidR="00DA21FF" w:rsidRPr="00DA21FF" w:rsidRDefault="00DA21FF" w:rsidP="00DA21FF">
      <w:pPr>
        <w:pStyle w:val="SingleTxtG"/>
        <w:rPr>
          <w:lang w:val="en-GB"/>
        </w:rPr>
      </w:pPr>
      <w:r w:rsidRPr="00DA21FF">
        <w:t>73.</w:t>
      </w:r>
      <w:r w:rsidRPr="00DA21FF">
        <w:tab/>
        <w:t xml:space="preserve">En 2005, el </w:t>
      </w:r>
      <w:proofErr w:type="spellStart"/>
      <w:r w:rsidRPr="00DA21FF">
        <w:t>Storting</w:t>
      </w:r>
      <w:proofErr w:type="spellEnd"/>
      <w:r w:rsidRPr="00DA21FF">
        <w:t xml:space="preserve"> aprobó la </w:t>
      </w:r>
      <w:r w:rsidRPr="00117F19">
        <w:rPr>
          <w:u w:val="single"/>
        </w:rPr>
        <w:t>Ley de Finnmark</w:t>
      </w:r>
      <w:r w:rsidRPr="00DA21FF">
        <w:t xml:space="preserve">. Mediante la Ley de Finnmark, los derechos de propiedad de las zonas del condado de Finnmark sobre las que el Estado poseía un título formal o era considerado propietario sin título formal (aproximadamente el 95 % del condado de Finnmark) se transfirieron a una entidad independiente, la </w:t>
      </w:r>
      <w:proofErr w:type="spellStart"/>
      <w:r w:rsidRPr="00117F19">
        <w:rPr>
          <w:iCs/>
        </w:rPr>
        <w:t>Finnmarkseiendommen</w:t>
      </w:r>
      <w:proofErr w:type="spellEnd"/>
      <w:r w:rsidRPr="00DA21FF">
        <w:t xml:space="preserve"> (la Hacienda de Finnmark). Un Consejo de Administración compuesto por 6 miembros, 3 de los cuales son nombrados por el </w:t>
      </w:r>
      <w:proofErr w:type="spellStart"/>
      <w:r w:rsidRPr="00DA21FF">
        <w:t>Sámediggi</w:t>
      </w:r>
      <w:proofErr w:type="spellEnd"/>
      <w:r w:rsidRPr="00DA21FF">
        <w:t xml:space="preserve"> y 3 por el Consejo del Condado de Finnmark, gestiona la Hacienda de Finnmark. La Ley de Finnmark también regula el uso que la población local y otras personas hacen de determinados recursos naturales en las tierras de la Hacienda de Finnmark.</w:t>
      </w:r>
    </w:p>
    <w:p w14:paraId="06676AB5" w14:textId="77777777" w:rsidR="00DA21FF" w:rsidRPr="00DA21FF" w:rsidRDefault="00DA21FF" w:rsidP="00DA21FF">
      <w:pPr>
        <w:pStyle w:val="SingleTxtG"/>
        <w:rPr>
          <w:lang w:val="en-GB"/>
        </w:rPr>
      </w:pPr>
      <w:r w:rsidRPr="00DA21FF">
        <w:t>74.</w:t>
      </w:r>
      <w:r w:rsidRPr="00DA21FF">
        <w:tab/>
        <w:t xml:space="preserve">La Ley de Finnmark confirma que los samis tienen, colectiva e individualmente, derechos adquiridos sobre la tierra en Finnmark a través del uso prolongado de las zonas terrestres y acuáticas. La Ley establece explícitamente que no interfiere con ningún derecho </w:t>
      </w:r>
      <w:r w:rsidRPr="00DA21FF">
        <w:lastRenderedPageBreak/>
        <w:t xml:space="preserve">adquirido por los samis y otros pueblos por prescripción o uso inmemorial. La </w:t>
      </w:r>
      <w:r w:rsidRPr="00117F19">
        <w:rPr>
          <w:u w:val="single"/>
        </w:rPr>
        <w:t>Comisión de Finnmark</w:t>
      </w:r>
      <w:r w:rsidRPr="00DA21FF">
        <w:t xml:space="preserve"> se creó para aclarar la existencia de tales derechos. La tarea de la Comisión consiste en investigar los derechos de uso y propiedad de los terrenos que se transfirieron a la Hacienda de Finnmark mediante la Ley de Finnmark. A febrero de 2024, la Comisión ha concluido sus investigaciones en 6 zonas geográficas y trabaja actualmente en otras 4. Los litigios que surjan después de que la Comisión haya finalizado sus investigaciones en una zona pueden presentarse ante el </w:t>
      </w:r>
      <w:r w:rsidRPr="00117F19">
        <w:rPr>
          <w:u w:val="single"/>
        </w:rPr>
        <w:t>Tribunal de Tierras No Cultivadas de Finnmark</w:t>
      </w:r>
      <w:r w:rsidRPr="00DA21FF">
        <w:t xml:space="preserve">. Las sentencias del Tribunal pueden recurrirse ante el Tribunal Supremo de Noruega. </w:t>
      </w:r>
    </w:p>
    <w:bookmarkEnd w:id="39"/>
    <w:p w14:paraId="487553E1" w14:textId="46BE98A5" w:rsidR="00DA21FF" w:rsidRPr="00DA21FF" w:rsidRDefault="00E95817" w:rsidP="00E95817">
      <w:pPr>
        <w:pStyle w:val="H23G"/>
        <w:rPr>
          <w:lang w:val="en-GB"/>
        </w:rPr>
      </w:pPr>
      <w:r>
        <w:tab/>
      </w:r>
      <w:r w:rsidR="00DA21FF" w:rsidRPr="00DA21FF">
        <w:t>g)</w:t>
      </w:r>
      <w:r w:rsidR="00DA21FF" w:rsidRPr="00DA21FF">
        <w:tab/>
        <w:t>Minorías nacionales</w:t>
      </w:r>
    </w:p>
    <w:p w14:paraId="581FCC6F" w14:textId="77777777" w:rsidR="00DA21FF" w:rsidRPr="00DA21FF" w:rsidRDefault="00DA21FF" w:rsidP="00DA21FF">
      <w:pPr>
        <w:pStyle w:val="SingleTxtG"/>
        <w:rPr>
          <w:lang w:val="en-GB"/>
        </w:rPr>
      </w:pPr>
      <w:r w:rsidRPr="00DA21FF">
        <w:t>75.</w:t>
      </w:r>
      <w:r w:rsidRPr="00DA21FF">
        <w:tab/>
        <w:t xml:space="preserve">Los judíos, los </w:t>
      </w:r>
      <w:proofErr w:type="spellStart"/>
      <w:r w:rsidRPr="00DA21FF">
        <w:t>kvens</w:t>
      </w:r>
      <w:proofErr w:type="spellEnd"/>
      <w:r w:rsidRPr="00DA21FF">
        <w:t>/noruegos de ascendencia finlandesa, los romaníes, el pueblo romaní/</w:t>
      </w:r>
      <w:proofErr w:type="spellStart"/>
      <w:r w:rsidRPr="00DA21FF">
        <w:t>tatere</w:t>
      </w:r>
      <w:proofErr w:type="spellEnd"/>
      <w:r w:rsidRPr="00DA21FF">
        <w:t xml:space="preserve"> y los finlandeses del bosque están reconocidos como </w:t>
      </w:r>
      <w:r w:rsidRPr="00117F19">
        <w:rPr>
          <w:u w:val="single"/>
        </w:rPr>
        <w:t>minorías nacionales</w:t>
      </w:r>
      <w:r w:rsidRPr="00DA21FF">
        <w:t xml:space="preserve"> en Noruega. Las minorías nacionales se definen como grupos con vínculos duraderos con el reino.</w:t>
      </w:r>
    </w:p>
    <w:p w14:paraId="56F2952A" w14:textId="77777777" w:rsidR="00DA21FF" w:rsidRPr="00DA21FF" w:rsidRDefault="00DA21FF" w:rsidP="00DA21FF">
      <w:pPr>
        <w:pStyle w:val="SingleTxtG"/>
        <w:rPr>
          <w:lang w:val="en-GB"/>
        </w:rPr>
      </w:pPr>
      <w:r w:rsidRPr="00DA21FF">
        <w:t>76.</w:t>
      </w:r>
      <w:r w:rsidRPr="00DA21FF">
        <w:tab/>
        <w:t xml:space="preserve">Noruega ratificó la </w:t>
      </w:r>
      <w:r w:rsidRPr="00117F19">
        <w:rPr>
          <w:u w:val="single"/>
        </w:rPr>
        <w:t>Carta Europea de las Lenguas Regionales o Minoritarias</w:t>
      </w:r>
      <w:r w:rsidRPr="00DA21FF">
        <w:t xml:space="preserve"> en 1993 y el </w:t>
      </w:r>
      <w:r w:rsidRPr="00117F19">
        <w:rPr>
          <w:u w:val="single"/>
        </w:rPr>
        <w:t>Convenio Marco Europeo para la Protección de las Minorías Nacionales</w:t>
      </w:r>
      <w:r w:rsidRPr="00DA21FF">
        <w:t xml:space="preserve"> en 1999. El </w:t>
      </w:r>
      <w:proofErr w:type="spellStart"/>
      <w:r w:rsidRPr="00DA21FF">
        <w:t>kven</w:t>
      </w:r>
      <w:proofErr w:type="spellEnd"/>
      <w:r w:rsidRPr="00DA21FF">
        <w:t xml:space="preserve">, el romanés y el romaní están reconocidos como lenguas regionales o minoritarias. Además, la Ley de Lenguas, que entró en vigor el 1 de enero de 2022, otorga a las lenguas </w:t>
      </w:r>
      <w:proofErr w:type="spellStart"/>
      <w:r w:rsidRPr="00DA21FF">
        <w:t>kven</w:t>
      </w:r>
      <w:proofErr w:type="spellEnd"/>
      <w:r w:rsidRPr="00DA21FF">
        <w:t>, romaní y romanés el estatuto de lenguas minoritarias nacionales de Noruega.</w:t>
      </w:r>
    </w:p>
    <w:p w14:paraId="33515A1B" w14:textId="77777777" w:rsidR="00DA21FF" w:rsidRPr="00DA21FF" w:rsidRDefault="00DA21FF" w:rsidP="00DA21FF">
      <w:pPr>
        <w:pStyle w:val="SingleTxtG"/>
        <w:rPr>
          <w:lang w:val="en-GB"/>
        </w:rPr>
      </w:pPr>
      <w:r w:rsidRPr="00DA21FF">
        <w:t>77.</w:t>
      </w:r>
      <w:r w:rsidRPr="00DA21FF">
        <w:tab/>
        <w:t>El objetivo de las autoridades públicas es desarrollar una política coherente para las minorías nacionales en diálogo con las organizaciones de minorías nacionales. Estas organizaciones participan en el Foro de Contacto periódico entre las minorías nacionales y las autoridades centrales, contribuyendo así a promover una mayor conciencia sobre el estatus de las minorías nacionales en la sociedad y las actividades de las minorías nacionales en la sociedad civil. Además de con el Foro de Contacto, el Ministerio de Administración Local y Desarrollo Regional celebra reuniones bilaterales anuales con cada una de las organizaciones de minorías nacionales, y otros ministerios y direcciones gubernamentales se reúnen con representantes de las minorías nacionales, cuando procede.</w:t>
      </w:r>
    </w:p>
    <w:p w14:paraId="52FA7C39" w14:textId="77777777" w:rsidR="00DA21FF" w:rsidRPr="00DA21FF" w:rsidRDefault="00DA21FF" w:rsidP="00DA21FF">
      <w:pPr>
        <w:pStyle w:val="SingleTxtG"/>
        <w:rPr>
          <w:lang w:val="en-GB"/>
        </w:rPr>
      </w:pPr>
      <w:r w:rsidRPr="00DA21FF">
        <w:t>78.</w:t>
      </w:r>
      <w:r w:rsidRPr="00DA21FF">
        <w:tab/>
        <w:t xml:space="preserve">Cada año se concede una </w:t>
      </w:r>
      <w:r w:rsidRPr="00117F19">
        <w:rPr>
          <w:u w:val="single"/>
        </w:rPr>
        <w:t>subvención a las minorías nacionales</w:t>
      </w:r>
      <w:r w:rsidRPr="00DA21FF">
        <w:t xml:space="preserve"> con cargo al presupuesto del Gobierno central, que administra Artes y Cultura de Noruega, la principal institución gubernamental para la aplicación de la política cultural noruega. El programa de subvenciones tiene por objeto apoyar actividades que fomenten la participación activa en la sociedad, garanticen la igualdad de oportunidades para todos y combatan la discriminación. Asimismo, pretende contribuir a garantizar la aplicación práctica de los principios consagrados en el Convenio Marco. </w:t>
      </w:r>
    </w:p>
    <w:p w14:paraId="6E7C7C4F" w14:textId="77777777" w:rsidR="00DA21FF" w:rsidRPr="00DA21FF" w:rsidRDefault="00DA21FF" w:rsidP="00DA21FF">
      <w:pPr>
        <w:pStyle w:val="SingleTxtG"/>
        <w:rPr>
          <w:lang w:val="en-GB"/>
        </w:rPr>
      </w:pPr>
      <w:r w:rsidRPr="00DA21FF">
        <w:t>79.</w:t>
      </w:r>
      <w:r w:rsidRPr="00DA21FF">
        <w:tab/>
        <w:t>Pueden presentarse solicitudes de ayuda básica para cubrir los gastos de funcionamiento de organizaciones que representen a minorías nacionales o para financiar proyectos destinados a difundir información sobre la situación de las minorías nacionales, promover actividades de autoayuda y fomentar la cooperación entre grupos minoritarios.</w:t>
      </w:r>
    </w:p>
    <w:p w14:paraId="38B9C83A" w14:textId="77777777" w:rsidR="00DA21FF" w:rsidRPr="00DA21FF" w:rsidRDefault="00DA21FF" w:rsidP="00DA21FF">
      <w:pPr>
        <w:pStyle w:val="SingleTxtG"/>
        <w:rPr>
          <w:lang w:val="en-GB"/>
        </w:rPr>
      </w:pPr>
      <w:r w:rsidRPr="00DA21FF">
        <w:t>80.</w:t>
      </w:r>
      <w:r w:rsidRPr="00DA21FF">
        <w:tab/>
        <w:t>Para fomentar la participación activa en la sociedad y prevenir la discriminación, se presta especial atención a la educación, tanto de adultos como de niños. Además, se procura promover la reconciliación y el fomento de la confianza entre las autoridades noruegas y las minorías nacionales.</w:t>
      </w:r>
    </w:p>
    <w:p w14:paraId="4A4337B4" w14:textId="77777777" w:rsidR="00DA21FF" w:rsidRPr="00DA21FF" w:rsidRDefault="00DA21FF" w:rsidP="00DA21FF">
      <w:pPr>
        <w:pStyle w:val="SingleTxtG"/>
        <w:rPr>
          <w:lang w:val="en-GB"/>
        </w:rPr>
      </w:pPr>
      <w:r w:rsidRPr="00DA21FF">
        <w:t>81.</w:t>
      </w:r>
      <w:r w:rsidRPr="00DA21FF">
        <w:tab/>
        <w:t xml:space="preserve">En 2018, el </w:t>
      </w:r>
      <w:proofErr w:type="spellStart"/>
      <w:r w:rsidRPr="00DA21FF">
        <w:t>Storting</w:t>
      </w:r>
      <w:proofErr w:type="spellEnd"/>
      <w:r w:rsidRPr="00DA21FF">
        <w:t xml:space="preserve"> nombró la </w:t>
      </w:r>
      <w:r w:rsidRPr="00117F19">
        <w:rPr>
          <w:u w:val="single"/>
        </w:rPr>
        <w:t>Comisión de la Verdad y la Reconciliación</w:t>
      </w:r>
      <w:r w:rsidRPr="00DA21FF">
        <w:t xml:space="preserve">, comisión independiente encargada de investigar la política de </w:t>
      </w:r>
      <w:proofErr w:type="spellStart"/>
      <w:r w:rsidRPr="00DA21FF">
        <w:t>norueguización</w:t>
      </w:r>
      <w:proofErr w:type="spellEnd"/>
      <w:r w:rsidRPr="00DA21FF">
        <w:t xml:space="preserve"> y las injusticias históricas cometidas contra los samis, los </w:t>
      </w:r>
      <w:proofErr w:type="spellStart"/>
      <w:r w:rsidRPr="00DA21FF">
        <w:t>kvens</w:t>
      </w:r>
      <w:proofErr w:type="spellEnd"/>
      <w:r w:rsidRPr="00DA21FF">
        <w:t xml:space="preserve">/noruegos de ascendencia finlandesa y los finlandeses del bosque. El mandato de la Comisión consistía en realizar una evaluación histórica que describiera las políticas y actividades de las autoridades noruegas y examinar las repercusiones de la política de </w:t>
      </w:r>
      <w:proofErr w:type="spellStart"/>
      <w:r w:rsidRPr="00DA21FF">
        <w:t>norueguización</w:t>
      </w:r>
      <w:proofErr w:type="spellEnd"/>
      <w:r w:rsidRPr="00DA21FF">
        <w:t xml:space="preserve"> en la actualidad, colectiva e individualmente. También se pidió a la Comisión que propusiera iniciativas para contribuir a la reconciliación. El informe de la Comisión se presentó al </w:t>
      </w:r>
      <w:proofErr w:type="spellStart"/>
      <w:r w:rsidRPr="00DA21FF">
        <w:t>Storting</w:t>
      </w:r>
      <w:proofErr w:type="spellEnd"/>
      <w:r w:rsidRPr="00DA21FF">
        <w:t xml:space="preserve"> en junio de 2023. </w:t>
      </w:r>
    </w:p>
    <w:p w14:paraId="0FBCDE0B" w14:textId="67523803" w:rsidR="00DA21FF" w:rsidRPr="00DA21FF" w:rsidRDefault="002340E6" w:rsidP="002340E6">
      <w:pPr>
        <w:pStyle w:val="H23G"/>
        <w:rPr>
          <w:lang w:val="en-GB"/>
        </w:rPr>
      </w:pPr>
      <w:bookmarkStart w:id="40" w:name="_Toc243126021"/>
      <w:bookmarkStart w:id="41" w:name="_Toc245183246"/>
      <w:r>
        <w:tab/>
      </w:r>
      <w:r w:rsidR="00DA21FF" w:rsidRPr="00DA21FF">
        <w:t>h)</w:t>
      </w:r>
      <w:r w:rsidR="00DA21FF" w:rsidRPr="00DA21FF">
        <w:tab/>
        <w:t>Reconocimiento de las organizaciones no gubernamentales</w:t>
      </w:r>
      <w:bookmarkEnd w:id="40"/>
      <w:bookmarkEnd w:id="41"/>
    </w:p>
    <w:p w14:paraId="5B9F03D1" w14:textId="5323F9FD" w:rsidR="00DA21FF" w:rsidRPr="00DA21FF" w:rsidRDefault="00DA21FF" w:rsidP="00DA21FF">
      <w:pPr>
        <w:pStyle w:val="SingleTxtG"/>
        <w:rPr>
          <w:lang w:val="en-GB"/>
        </w:rPr>
      </w:pPr>
      <w:r w:rsidRPr="00DA21FF">
        <w:t>82.</w:t>
      </w:r>
      <w:r w:rsidRPr="00DA21FF">
        <w:tab/>
        <w:t xml:space="preserve">El </w:t>
      </w:r>
      <w:r w:rsidRPr="00117F19">
        <w:rPr>
          <w:u w:val="single"/>
        </w:rPr>
        <w:t>Registro Noruego de Organizaciones sin Fines de Lucro</w:t>
      </w:r>
      <w:r w:rsidRPr="00DA21FF">
        <w:t xml:space="preserve"> se creó en diciembre de</w:t>
      </w:r>
      <w:r w:rsidR="007D7208">
        <w:t> </w:t>
      </w:r>
      <w:r w:rsidRPr="00DA21FF">
        <w:t xml:space="preserve">2008 e incluye más de 40.000 organizaciones sin fines de lucro registradas. El Registro </w:t>
      </w:r>
      <w:r w:rsidRPr="00DA21FF">
        <w:lastRenderedPageBreak/>
        <w:t xml:space="preserve">está gestionado por el Centro de Registro de </w:t>
      </w:r>
      <w:proofErr w:type="spellStart"/>
      <w:r w:rsidRPr="00DA21FF">
        <w:t>Brønnøysund</w:t>
      </w:r>
      <w:proofErr w:type="spellEnd"/>
      <w:r w:rsidRPr="00DA21FF">
        <w:t xml:space="preserve"> y la inscripción es voluntaria. El principal objetivo del Registro es facilitar y mejorar la interacción entre el Gobierno y el tercer sector.</w:t>
      </w:r>
    </w:p>
    <w:p w14:paraId="7E624F20" w14:textId="583BC0F3" w:rsidR="00DA21FF" w:rsidRPr="00DA21FF" w:rsidRDefault="002340E6" w:rsidP="002340E6">
      <w:pPr>
        <w:pStyle w:val="H23G"/>
        <w:rPr>
          <w:lang w:val="en-GB"/>
        </w:rPr>
      </w:pPr>
      <w:r>
        <w:tab/>
      </w:r>
      <w:r w:rsidR="00DA21FF" w:rsidRPr="00DA21FF">
        <w:t>i)</w:t>
      </w:r>
      <w:r w:rsidR="00DA21FF" w:rsidRPr="00DA21FF">
        <w:tab/>
        <w:t>Delincuencia y administración de justicia</w:t>
      </w:r>
    </w:p>
    <w:p w14:paraId="1C82758A" w14:textId="77777777" w:rsidR="00DA21FF" w:rsidRPr="00DA21FF" w:rsidRDefault="00DA21FF" w:rsidP="00DA21FF">
      <w:pPr>
        <w:pStyle w:val="SingleTxtG"/>
        <w:rPr>
          <w:lang w:val="en-GB"/>
        </w:rPr>
      </w:pPr>
      <w:r w:rsidRPr="00DA21FF">
        <w:t>83.</w:t>
      </w:r>
      <w:r w:rsidRPr="00DA21FF">
        <w:tab/>
        <w:t xml:space="preserve">El </w:t>
      </w:r>
      <w:r w:rsidRPr="00117F19">
        <w:rPr>
          <w:u w:val="single"/>
        </w:rPr>
        <w:t>Servicio de Policía de Noruega</w:t>
      </w:r>
      <w:r w:rsidRPr="002340E6">
        <w:t xml:space="preserve"> </w:t>
      </w:r>
      <w:r w:rsidRPr="00DA21FF">
        <w:t xml:space="preserve">tiene unos 14.700 empleados. Colectivamente, forman una fuerza policial unificada. Todos los futuros policías deben cursar una formación universitaria de tres años a tiempo completo en la Escuela Superior de Policía de Noruega, que proporciona una amplia base teórica y práctica para trabajar en el Servicio de Policía. La Policía noruega está capacitada para realizar todo tipo de tareas policiales. </w:t>
      </w:r>
    </w:p>
    <w:p w14:paraId="53E3ECCC" w14:textId="77777777" w:rsidR="00DA21FF" w:rsidRPr="00DA21FF" w:rsidRDefault="00DA21FF" w:rsidP="00DA21FF">
      <w:pPr>
        <w:pStyle w:val="SingleTxtG"/>
        <w:rPr>
          <w:lang w:val="en-GB"/>
        </w:rPr>
      </w:pPr>
      <w:r w:rsidRPr="00DA21FF">
        <w:t>84.</w:t>
      </w:r>
      <w:r w:rsidRPr="00DA21FF">
        <w:tab/>
        <w:t>La Oficina de Investigación de Asuntos Policiales de Noruega es el órgano responsable de investigar los casos en los que se sospecha que empleados del Servicio de Policía de Noruega o de la Fiscalía han cometido delitos penales en el ejercicio de sus funciones. La Oficina puede imponer una multa o emitir una notificación de sanción, determinar una renuncia al enjuiciamiento o formular una acusación, si llega a la conclusión de que se ha cometido un delito. La Oficina ha recibido una mayor financiación para el período 2020-2024 con el fin de aumentar su capacidad y nivel de competencia.</w:t>
      </w:r>
    </w:p>
    <w:p w14:paraId="6A003AC1" w14:textId="77777777" w:rsidR="00DA21FF" w:rsidRPr="00DA21FF" w:rsidRDefault="00DA21FF" w:rsidP="00DA21FF">
      <w:pPr>
        <w:pStyle w:val="SingleTxtG"/>
        <w:rPr>
          <w:lang w:val="en-GB"/>
        </w:rPr>
      </w:pPr>
      <w:r w:rsidRPr="00DA21FF">
        <w:t>85.</w:t>
      </w:r>
      <w:r w:rsidRPr="00DA21FF">
        <w:tab/>
        <w:t xml:space="preserve">En 2023 había aproximadamente 200 </w:t>
      </w:r>
      <w:r w:rsidRPr="00117F19">
        <w:rPr>
          <w:u w:val="single"/>
        </w:rPr>
        <w:t>efectivos de policía</w:t>
      </w:r>
      <w:r w:rsidRPr="002340E6">
        <w:t xml:space="preserve"> </w:t>
      </w:r>
      <w:r w:rsidRPr="00DA21FF">
        <w:t xml:space="preserve">por cada 100.000 habitantes. En 2023, había 380 </w:t>
      </w:r>
      <w:r w:rsidRPr="00117F19">
        <w:rPr>
          <w:u w:val="single"/>
        </w:rPr>
        <w:t>jueces</w:t>
      </w:r>
      <w:r w:rsidRPr="00DA21FF">
        <w:t xml:space="preserve"> titulares y aproximadamente 130 jueces suplentes en los tribunales de primera instancia, 172 jueces en los tribunales de segunda instancia y 20 jueces en el Tribunal Supremo.</w:t>
      </w:r>
    </w:p>
    <w:p w14:paraId="25DAE67E" w14:textId="77777777" w:rsidR="00DA21FF" w:rsidRPr="00DA21FF" w:rsidRDefault="00DA21FF" w:rsidP="00DA21FF">
      <w:pPr>
        <w:pStyle w:val="SingleTxtG"/>
        <w:rPr>
          <w:lang w:val="en-GB"/>
        </w:rPr>
      </w:pPr>
      <w:r w:rsidRPr="00DA21FF">
        <w:t>86.</w:t>
      </w:r>
      <w:r w:rsidRPr="00DA21FF">
        <w:tab/>
        <w:t>En 2022 (estadísticas disponibles más recientes), 258.392 personas recibieron un total de 288.660 sanciones, lo que supone un aumento del 6,2 % y del 6,4 %, respectivamente, con respecto al año anterior. El 9 % de todas las personas que recibieron sanciones en 2022 fueron sancionadas más de una vez durante ese año. Los tribunales impusieron 15.600 sanciones. Esto supuso una disminución del 2,9 % con respecto al año anterior. Se registraron 1.600 condenas como penas comunitarias, 4.300 como condenas condicionales y 7.200 como penas privativas de libertad. Las penas comunitarias disminuyeron un 15 % y las privativas de libertad un 12 % en comparación con el año anterior, mientras que las condenas condicionales aumentaron un 14 %.</w:t>
      </w:r>
    </w:p>
    <w:p w14:paraId="59C92439" w14:textId="77777777" w:rsidR="00DA21FF" w:rsidRPr="00DA21FF" w:rsidRDefault="00DA21FF" w:rsidP="00DA21FF">
      <w:pPr>
        <w:pStyle w:val="SingleTxtG"/>
        <w:rPr>
          <w:lang w:val="en-GB"/>
        </w:rPr>
      </w:pPr>
      <w:r w:rsidRPr="00DA21FF">
        <w:t>87.</w:t>
      </w:r>
      <w:r w:rsidRPr="00DA21FF">
        <w:tab/>
        <w:t xml:space="preserve">En 2023, se registró una media de 2.989 personas </w:t>
      </w:r>
      <w:r w:rsidRPr="00117F19">
        <w:rPr>
          <w:u w:val="single"/>
        </w:rPr>
        <w:t>encarceladas</w:t>
      </w:r>
      <w:r w:rsidRPr="00DA21FF">
        <w:t xml:space="preserve"> en Noruega, lo que supone un descenso del 20 % respecto a 2015. En promedio, 2.143 personas estaban condenadas, 152 en detención preventiva, 691 en prisión preventiva y 4 encarceladas por impago de multas. El número de presos condenados disminuyó de 2015 a 2023 en un 17 % y el número de personas en prisión preventiva disminuyó en un 31 %. El número de reclusas se ha mantenido bastante estable en los últimos años, con 174 tanto en 2023 como en 2022 y 167 en 2021. En 2023 fueron encarcelados 58 menores (de entre 15 y 18 años), 29 en 2022, 28 en 2021 y 25 en 2020. En 2005, el primer año con cifras comparables, 59 personas menores de 18 años fueron encarceladas.</w:t>
      </w:r>
    </w:p>
    <w:p w14:paraId="147F7E3E" w14:textId="77777777" w:rsidR="00DA21FF" w:rsidRPr="00DA21FF" w:rsidRDefault="00DA21FF" w:rsidP="00DA21FF">
      <w:pPr>
        <w:pStyle w:val="SingleTxtG"/>
        <w:rPr>
          <w:lang w:val="en-GB"/>
        </w:rPr>
      </w:pPr>
      <w:r w:rsidRPr="00DA21FF">
        <w:t>88.</w:t>
      </w:r>
      <w:r w:rsidRPr="00DA21FF">
        <w:tab/>
        <w:t xml:space="preserve">La prevención de la reincidencia es un objetivo primordial del sistema de justicia penal noruego. El Servicio Penitenciario practica un </w:t>
      </w:r>
      <w:r w:rsidRPr="00117F19">
        <w:rPr>
          <w:u w:val="single"/>
        </w:rPr>
        <w:t>principio de normalidad</w:t>
      </w:r>
      <w:r w:rsidRPr="00DA21FF">
        <w:t>, lo que significa que la pena es la restricción de la libertad. Por lo demás, los infractores condenados gozan de los mismos derechos que las demás personas que viven en Noruega. Mediante un modelo de importación, los proveedores de servicios locales y municipales prestan a la prisión servicios cruciales para la reinserción. De conformidad con el principio de normalidad, la progresión a lo largo de la condena debe tener como objetivo la reinserción en la comunidad. En consecuencia, los infractores condenados procederán a la excarcelación gradualmente desde prisiones de alta seguridad a prisiones de menor seguridad, pasando por establecimientos de transición y, finalmente, la ejecución de la condena fuera de prisión, salvo que sea necesaria otra cosa por motivos de seguridad.</w:t>
      </w:r>
    </w:p>
    <w:p w14:paraId="7A1ADAB3" w14:textId="77777777" w:rsidR="00DA21FF" w:rsidRPr="00DA21FF" w:rsidRDefault="00DA21FF" w:rsidP="00DA21FF">
      <w:pPr>
        <w:pStyle w:val="SingleTxtG"/>
        <w:rPr>
          <w:lang w:val="en-GB"/>
        </w:rPr>
      </w:pPr>
      <w:bookmarkStart w:id="42" w:name="_Hlk166682219"/>
      <w:r w:rsidRPr="00DA21FF">
        <w:t>89.</w:t>
      </w:r>
      <w:r w:rsidRPr="00DA21FF">
        <w:tab/>
        <w:t>El Departamento de Estudios Penitenciarios de la Escuela Universitaria del Servicio Penitenciario Noruego es responsable del programa universitario de dos años exigido a todos los funcionarios de prisiones y de un programa complementario de grado universitario, así como de la formación del personal de los talleres penitenciarios. La formación se basa en la investigación y la experiencia y requiere una estrecha colaboración con los centros penitenciarios docentes designados.</w:t>
      </w:r>
    </w:p>
    <w:bookmarkEnd w:id="42"/>
    <w:p w14:paraId="7344FE7C" w14:textId="5B857C47" w:rsidR="00DA21FF" w:rsidRPr="00DA21FF" w:rsidRDefault="00DA21FF" w:rsidP="00DA21FF">
      <w:pPr>
        <w:pStyle w:val="SingleTxtG"/>
        <w:rPr>
          <w:lang w:val="en-GB"/>
        </w:rPr>
      </w:pPr>
      <w:r w:rsidRPr="00DA21FF">
        <w:lastRenderedPageBreak/>
        <w:t>90.</w:t>
      </w:r>
      <w:r w:rsidRPr="00DA21FF">
        <w:tab/>
        <w:t>En 2022 se denunciaron 304.621 delitos a la policía, lo que supone un aumento del</w:t>
      </w:r>
      <w:r w:rsidR="002E0A90">
        <w:t> </w:t>
      </w:r>
      <w:r w:rsidRPr="00DA21FF">
        <w:t>9,2</w:t>
      </w:r>
      <w:r w:rsidR="002E0A90">
        <w:t> </w:t>
      </w:r>
      <w:r w:rsidRPr="00DA21FF">
        <w:t>% con respecto a 2021 y del 1,3 % con respecto a 2020. Teniendo en cuenta el crecimiento de la población, los delitos denunciados han disminuido considerablemente en los 20 últimos años. Noruega ha abolido la pena de muerte para todos los delitos, tanto en tiempos de paz como de guerra.</w:t>
      </w:r>
    </w:p>
    <w:p w14:paraId="38E3C5D2" w14:textId="3D721A1F" w:rsidR="00DA21FF" w:rsidRPr="00DA21FF" w:rsidRDefault="00DA21FF" w:rsidP="002340E6">
      <w:pPr>
        <w:pStyle w:val="SingleTxtG"/>
        <w:rPr>
          <w:lang w:val="en-GB"/>
        </w:rPr>
      </w:pPr>
      <w:r w:rsidRPr="00DA21FF">
        <w:t>91.</w:t>
      </w:r>
      <w:r w:rsidRPr="00DA21FF">
        <w:tab/>
        <w:t xml:space="preserve">En 2023 se denunciaron a la policía cerca de 7.500 </w:t>
      </w:r>
      <w:r w:rsidRPr="00117F19">
        <w:rPr>
          <w:u w:val="single"/>
        </w:rPr>
        <w:t>delitos sexuales</w:t>
      </w:r>
      <w:r w:rsidRPr="00DA21FF">
        <w:t>. Esta cifra es un</w:t>
      </w:r>
      <w:r w:rsidR="002340E6">
        <w:t> </w:t>
      </w:r>
      <w:r w:rsidRPr="00DA21FF">
        <w:t>3</w:t>
      </w:r>
      <w:r w:rsidR="002340E6">
        <w:t> </w:t>
      </w:r>
      <w:r w:rsidRPr="00DA21FF">
        <w:t xml:space="preserve">% superior a la media anual para 2019-2022. </w:t>
      </w:r>
    </w:p>
    <w:p w14:paraId="1528DCFD" w14:textId="77777777" w:rsidR="00DA21FF" w:rsidRPr="00DA21FF" w:rsidRDefault="00DA21FF" w:rsidP="00DA21FF">
      <w:pPr>
        <w:pStyle w:val="SingleTxtG"/>
        <w:rPr>
          <w:lang w:val="en-GB"/>
        </w:rPr>
      </w:pPr>
      <w:r w:rsidRPr="00DA21FF">
        <w:t>92.</w:t>
      </w:r>
      <w:r w:rsidRPr="00DA21FF">
        <w:tab/>
        <w:t xml:space="preserve">En 2023 se denunciaron a la policía aproximadamente 118.100 casos de </w:t>
      </w:r>
      <w:r w:rsidRPr="00117F19">
        <w:rPr>
          <w:u w:val="single"/>
        </w:rPr>
        <w:t>robo y otros delitos</w:t>
      </w:r>
      <w:r w:rsidRPr="00DA21FF">
        <w:t xml:space="preserve"> con fines de lucro. El número de casos de </w:t>
      </w:r>
      <w:proofErr w:type="spellStart"/>
      <w:r w:rsidRPr="00DA21FF">
        <w:t>carterismo</w:t>
      </w:r>
      <w:proofErr w:type="spellEnd"/>
      <w:r w:rsidRPr="00DA21FF">
        <w:t xml:space="preserve">, robos de vehículos y robos en propiedades privadas lleva varios años disminuyendo. </w:t>
      </w:r>
    </w:p>
    <w:p w14:paraId="5BB28543" w14:textId="77777777" w:rsidR="00DA21FF" w:rsidRPr="00DA21FF" w:rsidRDefault="00DA21FF" w:rsidP="00DA21FF">
      <w:pPr>
        <w:pStyle w:val="SingleTxtG"/>
        <w:rPr>
          <w:lang w:val="en-GB"/>
        </w:rPr>
      </w:pPr>
      <w:r w:rsidRPr="00DA21FF">
        <w:t>93.</w:t>
      </w:r>
      <w:r w:rsidRPr="00DA21FF">
        <w:tab/>
        <w:t xml:space="preserve">En 2023 se registraron ocho muertes en prisiones. De entre ellas, 7 fueron suicidios y 1 por causas naturales. Se registraron cuatro </w:t>
      </w:r>
      <w:r w:rsidRPr="00117F19">
        <w:rPr>
          <w:u w:val="single"/>
        </w:rPr>
        <w:t>muertes de reclusos</w:t>
      </w:r>
      <w:r w:rsidRPr="00DA21FF">
        <w:t xml:space="preserve"> fuera de prisión, todas por causas naturales.</w:t>
      </w:r>
    </w:p>
    <w:p w14:paraId="6AAF53BF" w14:textId="5FE88BBB" w:rsidR="00DA21FF" w:rsidRPr="00DA21FF" w:rsidRDefault="002340E6" w:rsidP="002340E6">
      <w:pPr>
        <w:pStyle w:val="HChG"/>
        <w:rPr>
          <w:lang w:val="en-GB"/>
        </w:rPr>
      </w:pPr>
      <w:bookmarkStart w:id="43" w:name="_Toc243126022"/>
      <w:bookmarkStart w:id="44" w:name="_Toc245183247"/>
      <w:bookmarkStart w:id="45" w:name="_Toc498605411"/>
      <w:bookmarkStart w:id="46" w:name="_Toc169082435"/>
      <w:bookmarkStart w:id="47" w:name="_Hlk163736939"/>
      <w:r>
        <w:tab/>
      </w:r>
      <w:r w:rsidR="00DA21FF" w:rsidRPr="00DA21FF">
        <w:t>II.</w:t>
      </w:r>
      <w:r w:rsidR="00DA21FF" w:rsidRPr="00DA21FF">
        <w:tab/>
        <w:t xml:space="preserve">Marco general de protección y promoción de los </w:t>
      </w:r>
      <w:r>
        <w:br/>
      </w:r>
      <w:r w:rsidR="00DA21FF" w:rsidRPr="00DA21FF">
        <w:t>derechos humanos</w:t>
      </w:r>
      <w:bookmarkStart w:id="48" w:name="_Toc174450863"/>
      <w:bookmarkEnd w:id="43"/>
      <w:bookmarkEnd w:id="44"/>
      <w:bookmarkEnd w:id="45"/>
      <w:bookmarkEnd w:id="46"/>
      <w:bookmarkEnd w:id="48"/>
    </w:p>
    <w:p w14:paraId="632CC29E" w14:textId="7BDBCF33" w:rsidR="00DA21FF" w:rsidRPr="00DA21FF" w:rsidRDefault="002340E6" w:rsidP="002340E6">
      <w:pPr>
        <w:pStyle w:val="H1G"/>
        <w:rPr>
          <w:lang w:val="en-GB"/>
        </w:rPr>
      </w:pPr>
      <w:bookmarkStart w:id="49" w:name="_Toc498605412"/>
      <w:bookmarkStart w:id="50" w:name="_Toc169082436"/>
      <w:bookmarkEnd w:id="47"/>
      <w:r>
        <w:tab/>
      </w:r>
      <w:r w:rsidR="00DA21FF" w:rsidRPr="00DA21FF">
        <w:t>A.</w:t>
      </w:r>
      <w:r w:rsidR="00DA21FF" w:rsidRPr="00DA21FF">
        <w:tab/>
        <w:t>Aceptación de las normas internacionales de derechos humanos</w:t>
      </w:r>
      <w:bookmarkStart w:id="51" w:name="_Toc174450864"/>
      <w:bookmarkEnd w:id="49"/>
      <w:bookmarkEnd w:id="50"/>
      <w:bookmarkEnd w:id="51"/>
    </w:p>
    <w:p w14:paraId="47330762" w14:textId="0482DA19" w:rsidR="00DA21FF" w:rsidRPr="00DA21FF" w:rsidRDefault="002340E6" w:rsidP="002340E6">
      <w:pPr>
        <w:pStyle w:val="H23G"/>
        <w:rPr>
          <w:lang w:val="en-GB"/>
        </w:rPr>
      </w:pPr>
      <w:bookmarkStart w:id="52" w:name="_Toc243126024"/>
      <w:bookmarkStart w:id="53" w:name="_Toc245183249"/>
      <w:r>
        <w:tab/>
      </w:r>
      <w:r w:rsidR="00DA21FF" w:rsidRPr="00DA21FF">
        <w:t>a)</w:t>
      </w:r>
      <w:r w:rsidR="00DA21FF" w:rsidRPr="00DA21FF">
        <w:tab/>
        <w:t>Principales convenciones y protocolos internacionales de derechos humanos</w:t>
      </w:r>
      <w:bookmarkEnd w:id="52"/>
      <w:bookmarkEnd w:id="53"/>
    </w:p>
    <w:p w14:paraId="0BAF083B" w14:textId="77777777" w:rsidR="00DA21FF" w:rsidRPr="00DA21FF" w:rsidRDefault="00DA21FF" w:rsidP="00DA21FF">
      <w:pPr>
        <w:pStyle w:val="SingleTxtG"/>
        <w:rPr>
          <w:lang w:val="en-GB"/>
        </w:rPr>
      </w:pPr>
      <w:r w:rsidRPr="00DA21FF">
        <w:t>94.</w:t>
      </w:r>
      <w:r w:rsidRPr="00DA21FF">
        <w:tab/>
        <w:t>En el cuadro que figura a continuación se consignan el estado de las ratificaciones.</w:t>
      </w:r>
    </w:p>
    <w:tbl>
      <w:tblPr>
        <w:tblW w:w="5000" w:type="pct"/>
        <w:tblBorders>
          <w:top w:val="single" w:sz="4" w:space="0" w:color="auto"/>
        </w:tblBorders>
        <w:tblCellMar>
          <w:left w:w="0" w:type="dxa"/>
          <w:right w:w="113" w:type="dxa"/>
        </w:tblCellMar>
        <w:tblLook w:val="04A0" w:firstRow="1" w:lastRow="0" w:firstColumn="1" w:lastColumn="0" w:noHBand="0" w:noVBand="1"/>
      </w:tblPr>
      <w:tblGrid>
        <w:gridCol w:w="2269"/>
        <w:gridCol w:w="2126"/>
        <w:gridCol w:w="2814"/>
        <w:gridCol w:w="2429"/>
      </w:tblGrid>
      <w:tr w:rsidR="00A36AA3" w:rsidRPr="002340E6" w14:paraId="3E265ADF" w14:textId="77777777" w:rsidTr="002340E6">
        <w:trPr>
          <w:trHeight w:val="240"/>
          <w:tblHeader/>
        </w:trPr>
        <w:tc>
          <w:tcPr>
            <w:tcW w:w="1177" w:type="pct"/>
            <w:tcBorders>
              <w:top w:val="single" w:sz="4" w:space="0" w:color="auto"/>
              <w:bottom w:val="single" w:sz="12" w:space="0" w:color="auto"/>
            </w:tcBorders>
            <w:shd w:val="clear" w:color="auto" w:fill="auto"/>
            <w:vAlign w:val="bottom"/>
          </w:tcPr>
          <w:p w14:paraId="54DB79CD" w14:textId="77777777" w:rsidR="00DA21FF" w:rsidRPr="002340E6" w:rsidRDefault="00DA21FF" w:rsidP="00A36AA3">
            <w:pPr>
              <w:pStyle w:val="SingleTxtG"/>
              <w:tabs>
                <w:tab w:val="clear" w:pos="1701"/>
                <w:tab w:val="clear" w:pos="2268"/>
                <w:tab w:val="clear" w:pos="2835"/>
              </w:tabs>
              <w:spacing w:before="80" w:after="80" w:line="200" w:lineRule="exact"/>
              <w:ind w:left="0" w:right="0"/>
              <w:jc w:val="left"/>
              <w:rPr>
                <w:i/>
                <w:sz w:val="16"/>
                <w:szCs w:val="16"/>
                <w:lang w:val="en-GB"/>
              </w:rPr>
            </w:pPr>
            <w:r w:rsidRPr="002340E6">
              <w:rPr>
                <w:i/>
                <w:iCs/>
                <w:sz w:val="16"/>
                <w:szCs w:val="16"/>
              </w:rPr>
              <w:t>Convención/Protocolo</w:t>
            </w:r>
          </w:p>
        </w:tc>
        <w:tc>
          <w:tcPr>
            <w:tcW w:w="1103" w:type="pct"/>
            <w:tcBorders>
              <w:top w:val="single" w:sz="4" w:space="0" w:color="auto"/>
              <w:bottom w:val="single" w:sz="12" w:space="0" w:color="auto"/>
            </w:tcBorders>
            <w:shd w:val="clear" w:color="auto" w:fill="auto"/>
            <w:vAlign w:val="bottom"/>
          </w:tcPr>
          <w:p w14:paraId="02DC9A6C" w14:textId="77777777" w:rsidR="00DA21FF" w:rsidRPr="002340E6" w:rsidRDefault="00DA21FF" w:rsidP="00A36AA3">
            <w:pPr>
              <w:pStyle w:val="SingleTxtG"/>
              <w:tabs>
                <w:tab w:val="clear" w:pos="1701"/>
                <w:tab w:val="clear" w:pos="2268"/>
                <w:tab w:val="clear" w:pos="2835"/>
              </w:tabs>
              <w:spacing w:before="80" w:after="80" w:line="200" w:lineRule="exact"/>
              <w:ind w:left="0" w:right="0"/>
              <w:jc w:val="left"/>
              <w:rPr>
                <w:i/>
                <w:sz w:val="16"/>
                <w:szCs w:val="16"/>
                <w:lang w:val="en-GB"/>
              </w:rPr>
            </w:pPr>
            <w:r w:rsidRPr="002340E6">
              <w:rPr>
                <w:i/>
                <w:iCs/>
                <w:sz w:val="16"/>
                <w:szCs w:val="16"/>
              </w:rPr>
              <w:t>Firma (F) Ratificaciones (R)</w:t>
            </w:r>
          </w:p>
        </w:tc>
        <w:tc>
          <w:tcPr>
            <w:tcW w:w="1460" w:type="pct"/>
            <w:tcBorders>
              <w:top w:val="single" w:sz="4" w:space="0" w:color="auto"/>
              <w:bottom w:val="single" w:sz="12" w:space="0" w:color="auto"/>
            </w:tcBorders>
            <w:shd w:val="clear" w:color="auto" w:fill="auto"/>
            <w:vAlign w:val="bottom"/>
          </w:tcPr>
          <w:p w14:paraId="641CD8C1" w14:textId="77777777" w:rsidR="00DA21FF" w:rsidRPr="002340E6" w:rsidRDefault="00DA21FF" w:rsidP="00A36AA3">
            <w:pPr>
              <w:pStyle w:val="SingleTxtG"/>
              <w:tabs>
                <w:tab w:val="clear" w:pos="1701"/>
                <w:tab w:val="clear" w:pos="2268"/>
                <w:tab w:val="clear" w:pos="2835"/>
              </w:tabs>
              <w:spacing w:before="80" w:after="80" w:line="200" w:lineRule="exact"/>
              <w:ind w:left="0" w:right="0"/>
              <w:jc w:val="left"/>
              <w:rPr>
                <w:i/>
                <w:sz w:val="16"/>
                <w:szCs w:val="16"/>
                <w:lang w:val="en-GB"/>
              </w:rPr>
            </w:pPr>
            <w:r w:rsidRPr="002340E6">
              <w:rPr>
                <w:i/>
                <w:iCs/>
                <w:sz w:val="16"/>
                <w:szCs w:val="16"/>
              </w:rPr>
              <w:t>Reservas y declaraciones</w:t>
            </w:r>
          </w:p>
        </w:tc>
        <w:tc>
          <w:tcPr>
            <w:tcW w:w="1260" w:type="pct"/>
            <w:tcBorders>
              <w:top w:val="single" w:sz="4" w:space="0" w:color="auto"/>
              <w:bottom w:val="single" w:sz="12" w:space="0" w:color="auto"/>
            </w:tcBorders>
            <w:shd w:val="clear" w:color="auto" w:fill="auto"/>
            <w:vAlign w:val="bottom"/>
          </w:tcPr>
          <w:p w14:paraId="41B454CF" w14:textId="77777777" w:rsidR="00DA21FF" w:rsidRPr="002340E6" w:rsidRDefault="00DA21FF" w:rsidP="00A36AA3">
            <w:pPr>
              <w:pStyle w:val="SingleTxtG"/>
              <w:tabs>
                <w:tab w:val="clear" w:pos="1701"/>
                <w:tab w:val="clear" w:pos="2268"/>
                <w:tab w:val="clear" w:pos="2835"/>
              </w:tabs>
              <w:spacing w:before="80" w:after="80" w:line="200" w:lineRule="exact"/>
              <w:ind w:left="0" w:right="0"/>
              <w:jc w:val="left"/>
              <w:rPr>
                <w:i/>
                <w:sz w:val="16"/>
                <w:szCs w:val="16"/>
                <w:lang w:val="en-GB"/>
              </w:rPr>
            </w:pPr>
            <w:r w:rsidRPr="002340E6">
              <w:rPr>
                <w:i/>
                <w:iCs/>
                <w:sz w:val="16"/>
                <w:szCs w:val="16"/>
              </w:rPr>
              <w:t>Aceptación de procedimientos opcionales</w:t>
            </w:r>
          </w:p>
        </w:tc>
      </w:tr>
      <w:tr w:rsidR="00A36AA3" w:rsidRPr="002340E6" w14:paraId="7BC0CC07" w14:textId="77777777" w:rsidTr="002340E6">
        <w:trPr>
          <w:trHeight w:val="240"/>
        </w:trPr>
        <w:tc>
          <w:tcPr>
            <w:tcW w:w="1177" w:type="pct"/>
            <w:shd w:val="clear" w:color="auto" w:fill="auto"/>
          </w:tcPr>
          <w:p w14:paraId="7267036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Pacto Internacional de Derechos Económicos, Sociales y Culturales, 1966</w:t>
            </w:r>
          </w:p>
        </w:tc>
        <w:tc>
          <w:tcPr>
            <w:tcW w:w="1103" w:type="pct"/>
            <w:shd w:val="clear" w:color="auto" w:fill="auto"/>
          </w:tcPr>
          <w:p w14:paraId="74F9C29B"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13/09/1972</w:t>
            </w:r>
          </w:p>
        </w:tc>
        <w:tc>
          <w:tcPr>
            <w:tcW w:w="1460" w:type="pct"/>
            <w:shd w:val="clear" w:color="auto" w:fill="auto"/>
          </w:tcPr>
          <w:p w14:paraId="2CABA5D4" w14:textId="1D115F9C"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Con sujeción a las reservas al artículo 8, párrafo 1 d), </w:t>
            </w:r>
            <w:r w:rsidR="00AF1B93">
              <w:rPr>
                <w:sz w:val="18"/>
                <w:szCs w:val="18"/>
              </w:rPr>
              <w:t>“</w:t>
            </w:r>
            <w:r w:rsidRPr="002340E6">
              <w:rPr>
                <w:sz w:val="18"/>
                <w:szCs w:val="18"/>
              </w:rPr>
              <w:t>en el sentido de que la práctica noruega actual de remitir los conflictos laborales a la Junta Estatal de Salarios (comisión arbitral tripartita permanente en materia de salarios) mediante Ley del Parlamento para el conflicto concreto no se considerará incompatible con el derecho de huelga, estando este derecho plenamente reconocido en Noruega</w:t>
            </w:r>
            <w:r w:rsidR="00AF1B93">
              <w:rPr>
                <w:sz w:val="18"/>
                <w:szCs w:val="18"/>
              </w:rPr>
              <w:t>”</w:t>
            </w:r>
            <w:r w:rsidRPr="002340E6">
              <w:rPr>
                <w:sz w:val="18"/>
                <w:szCs w:val="18"/>
              </w:rPr>
              <w:t>.</w:t>
            </w:r>
          </w:p>
        </w:tc>
        <w:tc>
          <w:tcPr>
            <w:tcW w:w="1260" w:type="pct"/>
            <w:shd w:val="clear" w:color="auto" w:fill="auto"/>
          </w:tcPr>
          <w:p w14:paraId="500570A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198EF0D2" w14:textId="77777777" w:rsidTr="002340E6">
        <w:trPr>
          <w:trHeight w:val="240"/>
        </w:trPr>
        <w:tc>
          <w:tcPr>
            <w:tcW w:w="1177" w:type="pct"/>
            <w:shd w:val="clear" w:color="auto" w:fill="auto"/>
          </w:tcPr>
          <w:p w14:paraId="2E601C4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Pacto Internacional de Derechos Civiles y Políticos, 1966</w:t>
            </w:r>
          </w:p>
        </w:tc>
        <w:tc>
          <w:tcPr>
            <w:tcW w:w="1103" w:type="pct"/>
            <w:shd w:val="clear" w:color="auto" w:fill="auto"/>
          </w:tcPr>
          <w:p w14:paraId="382ACE9A"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13/09/1972</w:t>
            </w:r>
          </w:p>
        </w:tc>
        <w:tc>
          <w:tcPr>
            <w:tcW w:w="1460" w:type="pct"/>
            <w:shd w:val="clear" w:color="auto" w:fill="auto"/>
          </w:tcPr>
          <w:p w14:paraId="5D44C3DC" w14:textId="1B9623C3"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Con sujeción a las reservas al artículo 10, párrafo 2 b) y párrafo 3, </w:t>
            </w:r>
            <w:r w:rsidR="00AF1B93">
              <w:rPr>
                <w:sz w:val="18"/>
                <w:szCs w:val="18"/>
              </w:rPr>
              <w:t>“</w:t>
            </w:r>
            <w:r w:rsidRPr="002340E6">
              <w:rPr>
                <w:sz w:val="18"/>
                <w:szCs w:val="18"/>
              </w:rPr>
              <w:t>en lo que respecta a la obligación de mantener a los menores acusados y a los menores infractores separados de los adultos</w:t>
            </w:r>
            <w:r w:rsidR="00AF1B93">
              <w:rPr>
                <w:sz w:val="18"/>
                <w:szCs w:val="18"/>
              </w:rPr>
              <w:t>”</w:t>
            </w:r>
            <w:r w:rsidRPr="002340E6">
              <w:rPr>
                <w:sz w:val="18"/>
                <w:szCs w:val="18"/>
              </w:rPr>
              <w:t xml:space="preserve"> y al artículo 14, párrafos 5 y 7 y al artículo 20, párrafo 1.</w:t>
            </w:r>
          </w:p>
          <w:p w14:paraId="321AA790"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19 de septiembre de 1995</w:t>
            </w:r>
          </w:p>
          <w:p w14:paraId="439B1495"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[El Gobierno de Noruega declara que] con la entrada en vigor de una modificación de la Ley de Procedimiento Penal, que introduce el derecho a que una condena sea revisada por un tribunal superior en todos los casos, la reserva formulada por el Reino de Noruega con respecto al artículo 14, párrafo 5 del Pacto continuará aplicándose </w:t>
            </w:r>
            <w:r w:rsidRPr="002340E6">
              <w:rPr>
                <w:sz w:val="18"/>
                <w:szCs w:val="18"/>
              </w:rPr>
              <w:lastRenderedPageBreak/>
              <w:t>únicamente en las siguientes circunstancias excepcionales:</w:t>
            </w:r>
          </w:p>
          <w:p w14:paraId="2F7166BB" w14:textId="6E92F05B"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1. </w:t>
            </w:r>
            <w:r w:rsidR="00AF1B93">
              <w:rPr>
                <w:sz w:val="18"/>
                <w:szCs w:val="18"/>
              </w:rPr>
              <w:t>“</w:t>
            </w:r>
            <w:proofErr w:type="spellStart"/>
            <w:r w:rsidRPr="002340E6">
              <w:rPr>
                <w:iCs/>
                <w:sz w:val="18"/>
                <w:szCs w:val="18"/>
              </w:rPr>
              <w:t>Riksrett</w:t>
            </w:r>
            <w:proofErr w:type="spellEnd"/>
            <w:r w:rsidR="00AF1B93">
              <w:rPr>
                <w:sz w:val="18"/>
                <w:szCs w:val="18"/>
              </w:rPr>
              <w:t>”</w:t>
            </w:r>
            <w:r w:rsidRPr="002340E6">
              <w:rPr>
                <w:sz w:val="18"/>
                <w:szCs w:val="18"/>
              </w:rPr>
              <w:t xml:space="preserve"> (Tribunal de Enjuiciamiento de Altos Funcionarios del Estado)</w:t>
            </w:r>
          </w:p>
          <w:p w14:paraId="2C7EDC2A"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De conformidad con el artículo 86 de la Constitución noruega, se convocará un tribunal especial en los casos penales contra miembros del Gobierno, el </w:t>
            </w:r>
            <w:proofErr w:type="spellStart"/>
            <w:r w:rsidRPr="002340E6">
              <w:rPr>
                <w:sz w:val="18"/>
                <w:szCs w:val="18"/>
              </w:rPr>
              <w:t>Storting</w:t>
            </w:r>
            <w:proofErr w:type="spellEnd"/>
            <w:r w:rsidRPr="002340E6">
              <w:rPr>
                <w:sz w:val="18"/>
                <w:szCs w:val="18"/>
              </w:rPr>
              <w:t xml:space="preserve"> (Parlamento) o el Tribunal Supremo, sin derecho de apelación.</w:t>
            </w:r>
          </w:p>
        </w:tc>
        <w:tc>
          <w:tcPr>
            <w:tcW w:w="1260" w:type="pct"/>
            <w:shd w:val="clear" w:color="auto" w:fill="auto"/>
          </w:tcPr>
          <w:p w14:paraId="19D114F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lastRenderedPageBreak/>
              <w:t>31 de agosto de 1972</w:t>
            </w:r>
          </w:p>
          <w:p w14:paraId="051F3708" w14:textId="3F9D5C35" w:rsidR="00DA21FF" w:rsidRPr="002340E6" w:rsidRDefault="00AF1B93" w:rsidP="00A36AA3">
            <w:pPr>
              <w:pStyle w:val="SingleTxtG"/>
              <w:tabs>
                <w:tab w:val="clear" w:pos="1701"/>
                <w:tab w:val="clear" w:pos="2268"/>
                <w:tab w:val="clear" w:pos="2835"/>
              </w:tabs>
              <w:spacing w:before="40"/>
              <w:ind w:left="0" w:right="0"/>
              <w:jc w:val="left"/>
              <w:rPr>
                <w:sz w:val="18"/>
                <w:szCs w:val="18"/>
                <w:lang w:val="en-GB"/>
              </w:rPr>
            </w:pPr>
            <w:r>
              <w:rPr>
                <w:sz w:val="18"/>
                <w:szCs w:val="18"/>
              </w:rPr>
              <w:t>“</w:t>
            </w:r>
            <w:r w:rsidR="00DA21FF" w:rsidRPr="002340E6">
              <w:rPr>
                <w:sz w:val="18"/>
                <w:szCs w:val="18"/>
              </w:rPr>
              <w:t>Noruega reconoce la competencia del Comité de Derechos Humanos a que se refiere el artículo 28 del Pacto para recibir y examinar comunicaciones en las que un Estado parte alegue que otro Estado parte no cumple las obligaciones que le impone el Pacto.</w:t>
            </w:r>
            <w:r>
              <w:rPr>
                <w:sz w:val="18"/>
                <w:szCs w:val="18"/>
              </w:rPr>
              <w:t>”</w:t>
            </w:r>
          </w:p>
        </w:tc>
      </w:tr>
      <w:tr w:rsidR="00A36AA3" w:rsidRPr="002340E6" w14:paraId="7C862A80" w14:textId="77777777" w:rsidTr="002340E6">
        <w:trPr>
          <w:trHeight w:val="240"/>
        </w:trPr>
        <w:tc>
          <w:tcPr>
            <w:tcW w:w="1177" w:type="pct"/>
            <w:shd w:val="clear" w:color="auto" w:fill="auto"/>
          </w:tcPr>
          <w:p w14:paraId="1BB963A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103" w:type="pct"/>
            <w:shd w:val="clear" w:color="auto" w:fill="auto"/>
          </w:tcPr>
          <w:p w14:paraId="3230124C"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460" w:type="pct"/>
            <w:shd w:val="clear" w:color="auto" w:fill="auto"/>
          </w:tcPr>
          <w:p w14:paraId="793ABC4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2. Condena por un tribunal de apelación</w:t>
            </w:r>
          </w:p>
          <w:p w14:paraId="5D560BB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En los casos en que el acusado haya sido absuelto en primera instancia, pero condenado por un tribunal de apelación, la condena no podrá recurrirse por motivos de error en la apreciación de las pruebas en relación con la cuestión de la culpabilidad. Si el tribunal de apelación que condena al acusado es el Tribunal Supremo, la condena no puede recurrirse en ningún caso.</w:t>
            </w:r>
          </w:p>
        </w:tc>
        <w:tc>
          <w:tcPr>
            <w:tcW w:w="1260" w:type="pct"/>
            <w:shd w:val="clear" w:color="auto" w:fill="auto"/>
          </w:tcPr>
          <w:p w14:paraId="490C6B8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7C346127" w14:textId="77777777" w:rsidTr="002340E6">
        <w:trPr>
          <w:trHeight w:val="240"/>
        </w:trPr>
        <w:tc>
          <w:tcPr>
            <w:tcW w:w="1177" w:type="pct"/>
            <w:shd w:val="clear" w:color="auto" w:fill="auto"/>
          </w:tcPr>
          <w:p w14:paraId="4219787F" w14:textId="3EF219D4"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Convención Internacional sobre la Eliminación de </w:t>
            </w:r>
            <w:r w:rsidR="002E0A90">
              <w:rPr>
                <w:sz w:val="18"/>
                <w:szCs w:val="18"/>
              </w:rPr>
              <w:t>T</w:t>
            </w:r>
            <w:r w:rsidRPr="002340E6">
              <w:rPr>
                <w:sz w:val="18"/>
                <w:szCs w:val="18"/>
              </w:rPr>
              <w:t>odas las Formas de Discriminación Racial, 1965</w:t>
            </w:r>
          </w:p>
        </w:tc>
        <w:tc>
          <w:tcPr>
            <w:tcW w:w="1103" w:type="pct"/>
            <w:shd w:val="clear" w:color="auto" w:fill="auto"/>
          </w:tcPr>
          <w:p w14:paraId="66306DA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06/08/1970</w:t>
            </w:r>
          </w:p>
        </w:tc>
        <w:tc>
          <w:tcPr>
            <w:tcW w:w="1460" w:type="pct"/>
            <w:shd w:val="clear" w:color="auto" w:fill="auto"/>
          </w:tcPr>
          <w:p w14:paraId="6AECD2B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1A5C0E1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23 de enero de 1976</w:t>
            </w:r>
          </w:p>
          <w:p w14:paraId="58958C4E"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Noruega reconoce la competencia del Comité para la Eliminación de la Discriminación Racial para recibir y examinar comunicaciones de individuos o grupos de individuos dentro de la jurisdicción de Noruega de conformidad con el artículo 14, con la reserva de que el Comité no examinará ninguna comunicación de una persona o grupo de personas a menos que el Comité se haya cerciorado de que el mismo asunto no está siendo examinado o no ha sido examinado con arreglo a otro procedimiento de investigación o solución internacional.</w:t>
            </w:r>
          </w:p>
        </w:tc>
      </w:tr>
      <w:tr w:rsidR="00A36AA3" w:rsidRPr="002340E6" w14:paraId="46BE3259" w14:textId="77777777" w:rsidTr="002340E6">
        <w:trPr>
          <w:trHeight w:val="240"/>
        </w:trPr>
        <w:tc>
          <w:tcPr>
            <w:tcW w:w="1177" w:type="pct"/>
            <w:shd w:val="clear" w:color="auto" w:fill="auto"/>
          </w:tcPr>
          <w:p w14:paraId="008006B0"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Convención sobre la Eliminación de Todas las Formas de Discriminación contra la Mujer, 1979</w:t>
            </w:r>
          </w:p>
        </w:tc>
        <w:tc>
          <w:tcPr>
            <w:tcW w:w="1103" w:type="pct"/>
            <w:shd w:val="clear" w:color="auto" w:fill="auto"/>
          </w:tcPr>
          <w:p w14:paraId="4A8D489B"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21/05/1981</w:t>
            </w:r>
          </w:p>
        </w:tc>
        <w:tc>
          <w:tcPr>
            <w:tcW w:w="1460" w:type="pct"/>
            <w:shd w:val="clear" w:color="auto" w:fill="auto"/>
          </w:tcPr>
          <w:p w14:paraId="292744C4"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6285EC11"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3BC73C4F" w14:textId="77777777" w:rsidTr="002340E6">
        <w:trPr>
          <w:trHeight w:val="240"/>
        </w:trPr>
        <w:tc>
          <w:tcPr>
            <w:tcW w:w="1177" w:type="pct"/>
            <w:shd w:val="clear" w:color="auto" w:fill="auto"/>
          </w:tcPr>
          <w:p w14:paraId="099E68F0" w14:textId="77777777" w:rsidR="00DA21FF" w:rsidRPr="002340E6" w:rsidRDefault="00DA21FF" w:rsidP="004A0F53">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lastRenderedPageBreak/>
              <w:t>Convención contra la Tortura y Otros Tratos o Penas Crueles, Inhumanos o Degradantes, 1984</w:t>
            </w:r>
          </w:p>
        </w:tc>
        <w:tc>
          <w:tcPr>
            <w:tcW w:w="1103" w:type="pct"/>
            <w:shd w:val="clear" w:color="auto" w:fill="auto"/>
          </w:tcPr>
          <w:p w14:paraId="1D2C622E" w14:textId="77777777" w:rsidR="00DA21FF" w:rsidRPr="002340E6" w:rsidRDefault="00DA21FF" w:rsidP="004A0F53">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t>R 09/07/1986</w:t>
            </w:r>
          </w:p>
        </w:tc>
        <w:tc>
          <w:tcPr>
            <w:tcW w:w="1460" w:type="pct"/>
            <w:shd w:val="clear" w:color="auto" w:fill="auto"/>
          </w:tcPr>
          <w:p w14:paraId="4ABF51E2" w14:textId="77777777" w:rsidR="00DA21FF" w:rsidRPr="002340E6" w:rsidRDefault="00DA21FF" w:rsidP="004A0F53">
            <w:pPr>
              <w:pStyle w:val="SingleTxtG"/>
              <w:keepNext/>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28B51668" w14:textId="77777777" w:rsidR="00DA21FF" w:rsidRPr="002340E6" w:rsidRDefault="00DA21FF" w:rsidP="004A0F53">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t>Noruega reconoce la competencia del Comité para recibir y examinar las comunicaciones en que un Estado parte alegue que otro Estado parte no cumple las obligaciones que le impone la Convención.</w:t>
            </w:r>
          </w:p>
          <w:p w14:paraId="46295C50" w14:textId="77777777" w:rsidR="00DA21FF" w:rsidRPr="002340E6" w:rsidRDefault="00DA21FF" w:rsidP="004A0F53">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t>Noruega reconoce la competencia del Comité para recibir y examinar las comunicaciones enviadas por personas sometidas a su jurisdicción, o en su nombre, que aleguen ser víctimas de una violación por un Estado parte de las disposiciones de la Convención.</w:t>
            </w:r>
          </w:p>
        </w:tc>
      </w:tr>
      <w:tr w:rsidR="00A36AA3" w:rsidRPr="002340E6" w14:paraId="46D18918" w14:textId="77777777" w:rsidTr="002340E6">
        <w:trPr>
          <w:trHeight w:val="240"/>
        </w:trPr>
        <w:tc>
          <w:tcPr>
            <w:tcW w:w="1177" w:type="pct"/>
            <w:shd w:val="clear" w:color="auto" w:fill="auto"/>
          </w:tcPr>
          <w:p w14:paraId="656174F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Convención sobre los Derechos del Niño, 1989 </w:t>
            </w:r>
          </w:p>
        </w:tc>
        <w:tc>
          <w:tcPr>
            <w:tcW w:w="1103" w:type="pct"/>
            <w:shd w:val="clear" w:color="auto" w:fill="auto"/>
          </w:tcPr>
          <w:p w14:paraId="66D138DD"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08/01/1991</w:t>
            </w:r>
          </w:p>
        </w:tc>
        <w:tc>
          <w:tcPr>
            <w:tcW w:w="1460" w:type="pct"/>
            <w:shd w:val="clear" w:color="auto" w:fill="auto"/>
          </w:tcPr>
          <w:p w14:paraId="037F704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4B02D5D1"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6660680B" w14:textId="77777777" w:rsidTr="002340E6">
        <w:trPr>
          <w:trHeight w:val="240"/>
        </w:trPr>
        <w:tc>
          <w:tcPr>
            <w:tcW w:w="1177" w:type="pct"/>
            <w:shd w:val="clear" w:color="auto" w:fill="auto"/>
          </w:tcPr>
          <w:p w14:paraId="6F85333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Convención Internacional sobre la Protección de los Derechos de Todos los Trabajadores Migratorios y de Sus Familiares, 1990</w:t>
            </w:r>
          </w:p>
        </w:tc>
        <w:tc>
          <w:tcPr>
            <w:tcW w:w="1103" w:type="pct"/>
            <w:shd w:val="clear" w:color="auto" w:fill="auto"/>
          </w:tcPr>
          <w:p w14:paraId="640A821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En 2002, Noruega decidió no adherirse a esta Convención, por considerar que su redacción era tan vaga e imprecisa en varios puntos que sería difícil aclarar las consecuencias y obligaciones que conllevaría la ratificación. A Noruega también le preocupaba que la Convención pudiera socavar las obligaciones existentes en virtud del Pacto Internacional de Derechos Civiles y Políticos y el Pacto Internacional de Derechos Económicos, Sociales y Culturales. La duplicación de derechos existentes, en cierta medida con variaciones, podría ser desafortunada, ya que podría dar lugar a ambigüedad. Noruega ha ratificado los convenios fundamentales de la OIT sobre los derechos de los trabajadores. Estos también se aplican a los ciudadanos extranjeros residentes en Noruega. Noruega participa activamente en las Naciones Unidas, en el </w:t>
            </w:r>
            <w:r w:rsidRPr="002340E6">
              <w:rPr>
                <w:sz w:val="18"/>
                <w:szCs w:val="18"/>
              </w:rPr>
              <w:lastRenderedPageBreak/>
              <w:t>Foro Mundial sobre Migración y Desarrollo y en otros foros internacionales en los que los derechos de los migrantes figuran en la agenda. Noruega concede gran prioridad a la labor encaminada a mejorar las normas laborales, que también es crucial en el contexto de los derechos de los migrantes.</w:t>
            </w:r>
          </w:p>
        </w:tc>
        <w:tc>
          <w:tcPr>
            <w:tcW w:w="1460" w:type="pct"/>
            <w:shd w:val="clear" w:color="auto" w:fill="auto"/>
          </w:tcPr>
          <w:p w14:paraId="022EC17F"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56C1DDA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215EDD5C" w14:textId="77777777" w:rsidTr="002340E6">
        <w:trPr>
          <w:trHeight w:val="240"/>
        </w:trPr>
        <w:tc>
          <w:tcPr>
            <w:tcW w:w="1177" w:type="pct"/>
            <w:shd w:val="clear" w:color="auto" w:fill="auto"/>
          </w:tcPr>
          <w:p w14:paraId="1B8456D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Convención sobre los Derechos de las Personas con Discapacidad, 2006</w:t>
            </w:r>
          </w:p>
        </w:tc>
        <w:tc>
          <w:tcPr>
            <w:tcW w:w="1103" w:type="pct"/>
            <w:shd w:val="clear" w:color="auto" w:fill="auto"/>
          </w:tcPr>
          <w:p w14:paraId="3F03948D"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03/06/2013</w:t>
            </w:r>
          </w:p>
        </w:tc>
        <w:tc>
          <w:tcPr>
            <w:tcW w:w="1460" w:type="pct"/>
            <w:shd w:val="clear" w:color="auto" w:fill="auto"/>
          </w:tcPr>
          <w:p w14:paraId="0766AC0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Declaraciones:</w:t>
            </w:r>
          </w:p>
          <w:p w14:paraId="08E27B5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Artículo 12</w:t>
            </w:r>
          </w:p>
          <w:p w14:paraId="73A25034" w14:textId="31FC118E" w:rsidR="00DA21FF" w:rsidRPr="002340E6" w:rsidRDefault="00AF1B93" w:rsidP="00A36AA3">
            <w:pPr>
              <w:pStyle w:val="SingleTxtG"/>
              <w:tabs>
                <w:tab w:val="clear" w:pos="1701"/>
                <w:tab w:val="clear" w:pos="2268"/>
                <w:tab w:val="clear" w:pos="2835"/>
              </w:tabs>
              <w:spacing w:before="40"/>
              <w:ind w:left="0" w:right="0"/>
              <w:jc w:val="left"/>
              <w:rPr>
                <w:sz w:val="18"/>
                <w:szCs w:val="18"/>
                <w:lang w:val="en-GB"/>
              </w:rPr>
            </w:pPr>
            <w:r>
              <w:rPr>
                <w:sz w:val="18"/>
                <w:szCs w:val="18"/>
              </w:rPr>
              <w:t>“</w:t>
            </w:r>
            <w:r w:rsidR="00DA21FF" w:rsidRPr="002340E6">
              <w:rPr>
                <w:sz w:val="18"/>
                <w:szCs w:val="18"/>
              </w:rPr>
              <w:t>Noruega reconoce que las personas con discapacidad tienen capacidad jurídica en igualdad de condiciones con las demás en todos los aspectos de la vida. Noruega también reconoce sus obligaciones de adoptar las medidas pertinentes para proporcionar acceso a las personas con discapacidad al apoyo que puedan necesitar en el ejercicio de su capacidad jurídica. Además, Noruega declara que entiende que la Convención permite la retirada de la capacidad jurídica o del apoyo en el ejercicio de la capacidad jurídica, o la tutela obligatoria, en los casos en que tales medidas sean necesarias, como último recurso y sujetas a salvaguardias.</w:t>
            </w:r>
            <w:r>
              <w:rPr>
                <w:sz w:val="18"/>
                <w:szCs w:val="18"/>
              </w:rPr>
              <w:t>”</w:t>
            </w:r>
          </w:p>
          <w:p w14:paraId="34EBE36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Artículos 14 y 25 </w:t>
            </w:r>
          </w:p>
          <w:p w14:paraId="58800B2F" w14:textId="07770CDB" w:rsidR="00DA21FF" w:rsidRPr="002340E6" w:rsidDel="00D92C39" w:rsidRDefault="00AF1B93" w:rsidP="00A36AA3">
            <w:pPr>
              <w:pStyle w:val="SingleTxtG"/>
              <w:tabs>
                <w:tab w:val="clear" w:pos="1701"/>
                <w:tab w:val="clear" w:pos="2268"/>
                <w:tab w:val="clear" w:pos="2835"/>
              </w:tabs>
              <w:spacing w:before="40"/>
              <w:ind w:left="0" w:right="0"/>
              <w:jc w:val="left"/>
              <w:rPr>
                <w:sz w:val="18"/>
                <w:szCs w:val="18"/>
                <w:lang w:val="en-GB"/>
              </w:rPr>
            </w:pPr>
            <w:r>
              <w:rPr>
                <w:sz w:val="18"/>
                <w:szCs w:val="18"/>
              </w:rPr>
              <w:t>“</w:t>
            </w:r>
            <w:r w:rsidR="00DA21FF" w:rsidRPr="002340E6">
              <w:rPr>
                <w:sz w:val="18"/>
                <w:szCs w:val="18"/>
              </w:rPr>
              <w:t>Noruega reconoce que todas las personas con discapacidad disfrutan del derecho a la libertad y a la seguridad de su persona, y del derecho al respeto de su integridad física y mental en igualdad de condiciones con las demás. Además, Noruega declara que entiende que la Convención permite el cuidado o tratamiento obligatorio de las personas, incluidas las medidas para tratar enfermedades mentales, cuando las circunstancias hagan necesario un tratamiento de este tipo como último recurso, y el tratamiento esté sujeto a garantías jurídicas.</w:t>
            </w:r>
            <w:r>
              <w:rPr>
                <w:sz w:val="18"/>
                <w:szCs w:val="18"/>
              </w:rPr>
              <w:t>”</w:t>
            </w:r>
          </w:p>
        </w:tc>
        <w:tc>
          <w:tcPr>
            <w:tcW w:w="1260" w:type="pct"/>
            <w:shd w:val="clear" w:color="auto" w:fill="auto"/>
          </w:tcPr>
          <w:p w14:paraId="4339F45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70FACBEC" w14:textId="77777777" w:rsidTr="002340E6">
        <w:trPr>
          <w:trHeight w:val="240"/>
        </w:trPr>
        <w:tc>
          <w:tcPr>
            <w:tcW w:w="1177" w:type="pct"/>
            <w:shd w:val="clear" w:color="auto" w:fill="auto"/>
          </w:tcPr>
          <w:p w14:paraId="4F5ED7A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lastRenderedPageBreak/>
              <w:t>Convención Internacional para la Protección de Todas las Personas contra las Desapariciones Forzadas, 2006</w:t>
            </w:r>
          </w:p>
        </w:tc>
        <w:tc>
          <w:tcPr>
            <w:tcW w:w="1103" w:type="pct"/>
            <w:shd w:val="clear" w:color="auto" w:fill="auto"/>
          </w:tcPr>
          <w:p w14:paraId="04841B95"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07/06/2019</w:t>
            </w:r>
          </w:p>
        </w:tc>
        <w:tc>
          <w:tcPr>
            <w:tcW w:w="1460" w:type="pct"/>
            <w:shd w:val="clear" w:color="auto" w:fill="auto"/>
          </w:tcPr>
          <w:p w14:paraId="5B22C48C"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Noruega ratificó la Convención Internacional para la Protección de Todas las Personas contra las Desapariciones Forzadas en 2019. Noruega hizo una declaración interpretativa relativa al artículo 20, párrafo 1, en conjunción con el artículo 18 (limitaciones del derecho a la información), así como una declaración interpretativa y una reserva con respecto al artículo 17, párrafo 2, (condiciones y garantías relacionadas con la privación de libertad). </w:t>
            </w:r>
          </w:p>
        </w:tc>
        <w:tc>
          <w:tcPr>
            <w:tcW w:w="1260" w:type="pct"/>
            <w:shd w:val="clear" w:color="auto" w:fill="auto"/>
          </w:tcPr>
          <w:p w14:paraId="5FDB0925"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0E15E29A" w14:textId="77777777" w:rsidTr="002340E6">
        <w:trPr>
          <w:trHeight w:val="240"/>
        </w:trPr>
        <w:tc>
          <w:tcPr>
            <w:tcW w:w="1177" w:type="pct"/>
            <w:shd w:val="clear" w:color="auto" w:fill="auto"/>
          </w:tcPr>
          <w:p w14:paraId="606E03C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 la Convención sobre los Derechos del Niño relativo a la participación de niños en los conflictos armados, 2000</w:t>
            </w:r>
          </w:p>
        </w:tc>
        <w:tc>
          <w:tcPr>
            <w:tcW w:w="1103" w:type="pct"/>
            <w:shd w:val="clear" w:color="auto" w:fill="auto"/>
          </w:tcPr>
          <w:p w14:paraId="7793206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23/09/2003</w:t>
            </w:r>
          </w:p>
        </w:tc>
        <w:tc>
          <w:tcPr>
            <w:tcW w:w="1460" w:type="pct"/>
            <w:shd w:val="clear" w:color="auto" w:fill="auto"/>
          </w:tcPr>
          <w:p w14:paraId="624E59EB"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lang w:val="en-GB"/>
              </w:rPr>
              <w:t xml:space="preserve"> </w:t>
            </w:r>
          </w:p>
        </w:tc>
        <w:tc>
          <w:tcPr>
            <w:tcW w:w="1260" w:type="pct"/>
            <w:shd w:val="clear" w:color="auto" w:fill="auto"/>
          </w:tcPr>
          <w:p w14:paraId="72DC723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6F397EC0" w14:textId="77777777" w:rsidTr="002340E6">
        <w:trPr>
          <w:trHeight w:val="240"/>
        </w:trPr>
        <w:tc>
          <w:tcPr>
            <w:tcW w:w="1177" w:type="pct"/>
            <w:shd w:val="clear" w:color="auto" w:fill="auto"/>
          </w:tcPr>
          <w:p w14:paraId="78A2D9ED"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 la Convención sobre los Derechos del Niño relativo a la venta de niños, la prostitución infantil y la utilización de niños en la pornografía, 2000</w:t>
            </w:r>
          </w:p>
        </w:tc>
        <w:tc>
          <w:tcPr>
            <w:tcW w:w="1103" w:type="pct"/>
            <w:shd w:val="clear" w:color="auto" w:fill="auto"/>
          </w:tcPr>
          <w:p w14:paraId="1A8F4AD7"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02/10/2001</w:t>
            </w:r>
          </w:p>
        </w:tc>
        <w:tc>
          <w:tcPr>
            <w:tcW w:w="1460" w:type="pct"/>
            <w:shd w:val="clear" w:color="auto" w:fill="auto"/>
          </w:tcPr>
          <w:p w14:paraId="0636E9C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03B26E2E"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2C6BC075" w14:textId="77777777" w:rsidTr="002340E6">
        <w:trPr>
          <w:trHeight w:val="240"/>
        </w:trPr>
        <w:tc>
          <w:tcPr>
            <w:tcW w:w="1177" w:type="pct"/>
            <w:shd w:val="clear" w:color="auto" w:fill="auto"/>
          </w:tcPr>
          <w:p w14:paraId="0BC073C1"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del Pacto Internacional de Derechos Civiles y Políticos relativo a las comunicaciones de particulares, 1966</w:t>
            </w:r>
          </w:p>
        </w:tc>
        <w:tc>
          <w:tcPr>
            <w:tcW w:w="1103" w:type="pct"/>
            <w:shd w:val="clear" w:color="auto" w:fill="auto"/>
          </w:tcPr>
          <w:p w14:paraId="71256B15"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13/09/1972</w:t>
            </w:r>
          </w:p>
        </w:tc>
        <w:tc>
          <w:tcPr>
            <w:tcW w:w="1460" w:type="pct"/>
            <w:shd w:val="clear" w:color="auto" w:fill="auto"/>
          </w:tcPr>
          <w:p w14:paraId="4389F8C5" w14:textId="3B319E1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Con sujeción a la siguiente reserva al artículo 5, párrafo 2: </w:t>
            </w:r>
            <w:r w:rsidR="00AF1B93">
              <w:rPr>
                <w:sz w:val="18"/>
                <w:szCs w:val="18"/>
              </w:rPr>
              <w:t>“</w:t>
            </w:r>
            <w:r w:rsidRPr="002340E6">
              <w:rPr>
                <w:sz w:val="18"/>
                <w:szCs w:val="18"/>
              </w:rPr>
              <w:t>... El Comité no tendrá competencia para examinar una comunicación de un particular si el mismo asunto ya ha sido examinado con arreglo a otros procedimientos de investigación o solución internacionales</w:t>
            </w:r>
            <w:r w:rsidR="00D52DBF">
              <w:rPr>
                <w:sz w:val="18"/>
                <w:szCs w:val="18"/>
              </w:rPr>
              <w:t>”</w:t>
            </w:r>
            <w:r w:rsidRPr="002340E6">
              <w:rPr>
                <w:sz w:val="18"/>
                <w:szCs w:val="18"/>
              </w:rPr>
              <w:t>.</w:t>
            </w:r>
          </w:p>
        </w:tc>
        <w:tc>
          <w:tcPr>
            <w:tcW w:w="1260" w:type="pct"/>
            <w:shd w:val="clear" w:color="auto" w:fill="auto"/>
          </w:tcPr>
          <w:p w14:paraId="1F19660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448E0D91" w14:textId="77777777" w:rsidTr="002340E6">
        <w:trPr>
          <w:trHeight w:val="240"/>
        </w:trPr>
        <w:tc>
          <w:tcPr>
            <w:tcW w:w="1177" w:type="pct"/>
            <w:shd w:val="clear" w:color="auto" w:fill="auto"/>
          </w:tcPr>
          <w:p w14:paraId="3CC31EE6" w14:textId="77777777" w:rsidR="00DA21FF" w:rsidRPr="002340E6" w:rsidRDefault="00DA21FF" w:rsidP="002340E6">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t>Segundo Protocolo Facultativo del Pacto Internacional de Derechos Civiles y Políticos, destinado a abolir la pena de muerte, 1989</w:t>
            </w:r>
          </w:p>
        </w:tc>
        <w:tc>
          <w:tcPr>
            <w:tcW w:w="1103" w:type="pct"/>
            <w:shd w:val="clear" w:color="auto" w:fill="auto"/>
          </w:tcPr>
          <w:p w14:paraId="24852197" w14:textId="77777777" w:rsidR="00DA21FF" w:rsidRPr="002340E6" w:rsidRDefault="00DA21FF" w:rsidP="002340E6">
            <w:pPr>
              <w:pStyle w:val="SingleTxtG"/>
              <w:keepNext/>
              <w:tabs>
                <w:tab w:val="clear" w:pos="1701"/>
                <w:tab w:val="clear" w:pos="2268"/>
                <w:tab w:val="clear" w:pos="2835"/>
              </w:tabs>
              <w:spacing w:before="40"/>
              <w:ind w:left="0" w:right="0"/>
              <w:jc w:val="left"/>
              <w:rPr>
                <w:sz w:val="18"/>
                <w:szCs w:val="18"/>
                <w:lang w:val="en-GB"/>
              </w:rPr>
            </w:pPr>
            <w:r w:rsidRPr="002340E6">
              <w:rPr>
                <w:sz w:val="18"/>
                <w:szCs w:val="18"/>
              </w:rPr>
              <w:t>R 05/09/1991</w:t>
            </w:r>
          </w:p>
        </w:tc>
        <w:tc>
          <w:tcPr>
            <w:tcW w:w="1460" w:type="pct"/>
            <w:shd w:val="clear" w:color="auto" w:fill="auto"/>
          </w:tcPr>
          <w:p w14:paraId="22667500" w14:textId="77777777" w:rsidR="00DA21FF" w:rsidRPr="002340E6" w:rsidRDefault="00DA21FF" w:rsidP="002340E6">
            <w:pPr>
              <w:pStyle w:val="SingleTxtG"/>
              <w:keepNext/>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4FA33DFE" w14:textId="77777777" w:rsidR="00DA21FF" w:rsidRPr="002340E6" w:rsidRDefault="00DA21FF" w:rsidP="002340E6">
            <w:pPr>
              <w:pStyle w:val="SingleTxtG"/>
              <w:keepNext/>
              <w:tabs>
                <w:tab w:val="clear" w:pos="1701"/>
                <w:tab w:val="clear" w:pos="2268"/>
                <w:tab w:val="clear" w:pos="2835"/>
              </w:tabs>
              <w:spacing w:before="40"/>
              <w:ind w:left="0" w:right="0"/>
              <w:jc w:val="left"/>
              <w:rPr>
                <w:sz w:val="18"/>
                <w:szCs w:val="18"/>
                <w:lang w:val="en-GB"/>
              </w:rPr>
            </w:pPr>
          </w:p>
        </w:tc>
      </w:tr>
      <w:tr w:rsidR="00A36AA3" w:rsidRPr="002340E6" w14:paraId="1813A73E" w14:textId="77777777" w:rsidTr="002340E6">
        <w:trPr>
          <w:trHeight w:val="240"/>
        </w:trPr>
        <w:tc>
          <w:tcPr>
            <w:tcW w:w="1177" w:type="pct"/>
            <w:shd w:val="clear" w:color="auto" w:fill="auto"/>
          </w:tcPr>
          <w:p w14:paraId="18AB5AC8"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 la Convención sobre la Eliminación de Todas las Formas de Discriminación contra la Mujer relativo a las comunicaciones individuales y los procedimientos de examen, 1999</w:t>
            </w:r>
          </w:p>
        </w:tc>
        <w:tc>
          <w:tcPr>
            <w:tcW w:w="1103" w:type="pct"/>
            <w:shd w:val="clear" w:color="auto" w:fill="auto"/>
          </w:tcPr>
          <w:p w14:paraId="00C65BBD"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R 05/03/2002</w:t>
            </w:r>
          </w:p>
        </w:tc>
        <w:tc>
          <w:tcPr>
            <w:tcW w:w="1460" w:type="pct"/>
            <w:shd w:val="clear" w:color="auto" w:fill="auto"/>
          </w:tcPr>
          <w:p w14:paraId="54BA142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01A4531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4CF13709" w14:textId="77777777" w:rsidTr="002340E6">
        <w:trPr>
          <w:trHeight w:val="240"/>
        </w:trPr>
        <w:tc>
          <w:tcPr>
            <w:tcW w:w="1177" w:type="pct"/>
            <w:shd w:val="clear" w:color="auto" w:fill="auto"/>
          </w:tcPr>
          <w:p w14:paraId="4503B6DD"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Protocolo Facultativo de la Convención contra la Tortura relativo a un sistema de visitas periódicas de órganos </w:t>
            </w:r>
            <w:r w:rsidRPr="002340E6">
              <w:rPr>
                <w:sz w:val="18"/>
                <w:szCs w:val="18"/>
              </w:rPr>
              <w:lastRenderedPageBreak/>
              <w:t>internacionales y nacionales a los lugares de detención, 2002</w:t>
            </w:r>
          </w:p>
        </w:tc>
        <w:tc>
          <w:tcPr>
            <w:tcW w:w="1103" w:type="pct"/>
            <w:shd w:val="clear" w:color="auto" w:fill="auto"/>
          </w:tcPr>
          <w:p w14:paraId="3A8B0A40"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lastRenderedPageBreak/>
              <w:t>R 27/06/2013</w:t>
            </w:r>
          </w:p>
        </w:tc>
        <w:tc>
          <w:tcPr>
            <w:tcW w:w="1460" w:type="pct"/>
            <w:shd w:val="clear" w:color="auto" w:fill="auto"/>
          </w:tcPr>
          <w:p w14:paraId="0314FFD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57A76C43"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6FC5B81F" w14:textId="77777777" w:rsidTr="002340E6">
        <w:trPr>
          <w:trHeight w:val="240"/>
        </w:trPr>
        <w:tc>
          <w:tcPr>
            <w:tcW w:w="1177" w:type="pct"/>
            <w:shd w:val="clear" w:color="auto" w:fill="auto"/>
          </w:tcPr>
          <w:p w14:paraId="5CD925F1"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 la Convención sobre los Derechos de las Personas con Discapacidad relativo a las comunicaciones individuales, 1966</w:t>
            </w:r>
          </w:p>
          <w:p w14:paraId="119167F2"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del Pacto Internacional de Derechos Económicos, Sociales y Culturales, relativo a las comunicaciones individuales, 2008</w:t>
            </w:r>
          </w:p>
        </w:tc>
        <w:tc>
          <w:tcPr>
            <w:tcW w:w="1103" w:type="pct"/>
            <w:shd w:val="clear" w:color="auto" w:fill="auto"/>
          </w:tcPr>
          <w:p w14:paraId="124D56C7"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 xml:space="preserve">En septiembre de 2016, el Gobierno presentó al Parlamento un libro blanco sobre los mecanismos de comunicaciones individuales ante la Convención sobre los Derechos de las Personas con Discapacidad, el Pacto Internacional de Derechos Económicos, Sociales y Culturales y la Convención sobre los Derechos del Niño. La conclusión fue que el Gobierno no presentaría por el momento propuestas para que Noruega se adhiriera a los Protocolos Facultativos pertinentes. Esto se debió a la considerable incertidumbre sobre las consecuencias. El Gobierno opina que muchas de las disposiciones sobre derechos económicos y sociales del Pacto Internacional de Derechos Económicos, Sociales y Culturales y de la Convención sobre los Derechos del Niño no son adecuadas para una revisión internacional basada en comunicaciones individuales, porque establecen objetivos vagos y de gran alcance que dan a los Estados partes un margen de apreciación considerable. Las decisiones sobre cómo hacer efectivos estos derechos deben ser tomadas por instituciones elegidas por votación popular. En cuanto al Protocolo Facultativo de la Convención sobre los Derechos de las Personas con Discapacidad, la principal razón del Gobierno para no proponer </w:t>
            </w:r>
            <w:r w:rsidRPr="002340E6">
              <w:rPr>
                <w:sz w:val="18"/>
                <w:szCs w:val="18"/>
              </w:rPr>
              <w:lastRenderedPageBreak/>
              <w:t>convertirse en parte por el momento fue que el Comité sobre los Derechos de las Personas con Discapacidad en algunas esferas interpreta la Convención de una manera de largo alcance que no se corresponde con la comprensión de la mayoría de los Estados partes. En enero de 2017, una amplia mayoría del Parlamento coincidió con la conclusión del Gobierno.</w:t>
            </w:r>
          </w:p>
        </w:tc>
        <w:tc>
          <w:tcPr>
            <w:tcW w:w="1460" w:type="pct"/>
            <w:shd w:val="clear" w:color="auto" w:fill="auto"/>
          </w:tcPr>
          <w:p w14:paraId="3C06DC0C"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shd w:val="clear" w:color="auto" w:fill="auto"/>
          </w:tcPr>
          <w:p w14:paraId="6E34845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r w:rsidR="00A36AA3" w:rsidRPr="002340E6" w14:paraId="562C0A39" w14:textId="77777777" w:rsidTr="002340E6">
        <w:trPr>
          <w:trHeight w:val="240"/>
        </w:trPr>
        <w:tc>
          <w:tcPr>
            <w:tcW w:w="1177" w:type="pct"/>
            <w:tcBorders>
              <w:bottom w:val="single" w:sz="12" w:space="0" w:color="auto"/>
            </w:tcBorders>
            <w:shd w:val="clear" w:color="auto" w:fill="auto"/>
          </w:tcPr>
          <w:p w14:paraId="0F35783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Protocolo Facultativo de la Convención sobre los Derechos del Niño relativo a un procedimiento de comunicaciones, 2011</w:t>
            </w:r>
          </w:p>
        </w:tc>
        <w:tc>
          <w:tcPr>
            <w:tcW w:w="1103" w:type="pct"/>
            <w:tcBorders>
              <w:bottom w:val="single" w:sz="12" w:space="0" w:color="auto"/>
            </w:tcBorders>
            <w:shd w:val="clear" w:color="auto" w:fill="auto"/>
          </w:tcPr>
          <w:p w14:paraId="1151D909"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r w:rsidRPr="002340E6">
              <w:rPr>
                <w:sz w:val="18"/>
                <w:szCs w:val="18"/>
              </w:rPr>
              <w:t>En 2022, el Parlamento noruego estudió una propuesta para ratificar el tercer Protocolo Facultativo de la Convención sobre los Derechos del Niño de 1989. La propuesta no obtuvo apoyo en el Parlamento. Dado que la cuestión se ha debatido recientemente en el Parlamento y no ha obtenido apoyo, el Gobierno no se plantea actualmente ratificar este Protocolo.</w:t>
            </w:r>
          </w:p>
        </w:tc>
        <w:tc>
          <w:tcPr>
            <w:tcW w:w="1460" w:type="pct"/>
            <w:tcBorders>
              <w:bottom w:val="single" w:sz="12" w:space="0" w:color="auto"/>
            </w:tcBorders>
            <w:shd w:val="clear" w:color="auto" w:fill="auto"/>
          </w:tcPr>
          <w:p w14:paraId="0BFFD5D6"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c>
          <w:tcPr>
            <w:tcW w:w="1260" w:type="pct"/>
            <w:tcBorders>
              <w:bottom w:val="single" w:sz="12" w:space="0" w:color="auto"/>
            </w:tcBorders>
            <w:shd w:val="clear" w:color="auto" w:fill="auto"/>
          </w:tcPr>
          <w:p w14:paraId="70BB229E" w14:textId="77777777" w:rsidR="00DA21FF" w:rsidRPr="002340E6" w:rsidRDefault="00DA21FF" w:rsidP="00A36AA3">
            <w:pPr>
              <w:pStyle w:val="SingleTxtG"/>
              <w:tabs>
                <w:tab w:val="clear" w:pos="1701"/>
                <w:tab w:val="clear" w:pos="2268"/>
                <w:tab w:val="clear" w:pos="2835"/>
              </w:tabs>
              <w:spacing w:before="40"/>
              <w:ind w:left="0" w:right="0"/>
              <w:jc w:val="left"/>
              <w:rPr>
                <w:sz w:val="18"/>
                <w:szCs w:val="18"/>
                <w:lang w:val="en-GB"/>
              </w:rPr>
            </w:pPr>
          </w:p>
        </w:tc>
      </w:tr>
    </w:tbl>
    <w:p w14:paraId="72910C3D" w14:textId="7BFAD3DF" w:rsidR="00DA21FF" w:rsidRPr="00DA21FF" w:rsidRDefault="002340E6" w:rsidP="002340E6">
      <w:pPr>
        <w:pStyle w:val="H23G"/>
        <w:rPr>
          <w:lang w:val="en-GB"/>
        </w:rPr>
      </w:pPr>
      <w:bookmarkStart w:id="54" w:name="_Toc243126025"/>
      <w:bookmarkStart w:id="55" w:name="_Toc245183250"/>
      <w:r>
        <w:tab/>
      </w:r>
      <w:r w:rsidR="00DA21FF" w:rsidRPr="00DA21FF">
        <w:t>b)</w:t>
      </w:r>
      <w:r w:rsidR="00DA21FF" w:rsidRPr="00DA21FF">
        <w:tab/>
        <w:t xml:space="preserve">Otras convenciones de derechos humanos y convenciones conexas </w:t>
      </w:r>
      <w:r>
        <w:br/>
      </w:r>
      <w:r w:rsidR="00DA21FF" w:rsidRPr="00DA21FF">
        <w:t>de las Naciones Unidas</w:t>
      </w:r>
      <w:bookmarkEnd w:id="54"/>
      <w:bookmarkEnd w:id="55"/>
    </w:p>
    <w:p w14:paraId="418F70B4" w14:textId="77777777" w:rsidR="00DA21FF" w:rsidRPr="00DA21FF" w:rsidRDefault="00DA21FF" w:rsidP="00DA21FF">
      <w:pPr>
        <w:pStyle w:val="SingleTxtG"/>
        <w:rPr>
          <w:lang w:val="en-GB"/>
        </w:rPr>
      </w:pPr>
      <w:r w:rsidRPr="00DA21FF">
        <w:t>95.</w:t>
      </w:r>
      <w:r w:rsidRPr="00DA21FF">
        <w:tab/>
        <w:t>Noruega es Estado parte en las convenciones enumeradas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237"/>
        <w:gridCol w:w="1276"/>
      </w:tblGrid>
      <w:tr w:rsidR="00A36AA3" w:rsidRPr="00A36AA3" w14:paraId="0E29BED3" w14:textId="77777777" w:rsidTr="002340E6">
        <w:trPr>
          <w:trHeight w:val="240"/>
          <w:tblHeader/>
        </w:trPr>
        <w:tc>
          <w:tcPr>
            <w:tcW w:w="6237" w:type="dxa"/>
            <w:tcBorders>
              <w:top w:val="single" w:sz="4" w:space="0" w:color="auto"/>
              <w:bottom w:val="single" w:sz="12" w:space="0" w:color="auto"/>
            </w:tcBorders>
            <w:shd w:val="clear" w:color="auto" w:fill="auto"/>
            <w:vAlign w:val="bottom"/>
          </w:tcPr>
          <w:p w14:paraId="36E37CA3"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Convención/Protocolo</w:t>
            </w:r>
          </w:p>
        </w:tc>
        <w:tc>
          <w:tcPr>
            <w:tcW w:w="1276" w:type="dxa"/>
            <w:tcBorders>
              <w:top w:val="single" w:sz="4" w:space="0" w:color="auto"/>
              <w:bottom w:val="single" w:sz="12" w:space="0" w:color="auto"/>
            </w:tcBorders>
            <w:shd w:val="clear" w:color="auto" w:fill="auto"/>
            <w:vAlign w:val="bottom"/>
          </w:tcPr>
          <w:p w14:paraId="50314B7C"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 Adhesión (A)</w:t>
            </w:r>
          </w:p>
        </w:tc>
      </w:tr>
      <w:tr w:rsidR="00A36AA3" w:rsidRPr="00DA21FF" w14:paraId="51BA6686" w14:textId="77777777" w:rsidTr="002340E6">
        <w:trPr>
          <w:trHeight w:val="240"/>
        </w:trPr>
        <w:tc>
          <w:tcPr>
            <w:tcW w:w="6237" w:type="dxa"/>
            <w:shd w:val="clear" w:color="auto" w:fill="auto"/>
          </w:tcPr>
          <w:p w14:paraId="45329B4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para la Prevención y la Sanción del Delito de Genocidio, 1948</w:t>
            </w:r>
          </w:p>
        </w:tc>
        <w:tc>
          <w:tcPr>
            <w:tcW w:w="1276" w:type="dxa"/>
            <w:shd w:val="clear" w:color="auto" w:fill="auto"/>
          </w:tcPr>
          <w:p w14:paraId="417C1EE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22/07/1949</w:t>
            </w:r>
          </w:p>
        </w:tc>
      </w:tr>
      <w:tr w:rsidR="00A36AA3" w:rsidRPr="00DA21FF" w14:paraId="68D74843" w14:textId="77777777" w:rsidTr="002340E6">
        <w:trPr>
          <w:trHeight w:val="240"/>
        </w:trPr>
        <w:tc>
          <w:tcPr>
            <w:tcW w:w="6237" w:type="dxa"/>
            <w:shd w:val="clear" w:color="auto" w:fill="auto"/>
          </w:tcPr>
          <w:p w14:paraId="76FBFE04"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la Esclavitud de 1926, modificada en 1955</w:t>
            </w:r>
          </w:p>
        </w:tc>
        <w:tc>
          <w:tcPr>
            <w:tcW w:w="1276" w:type="dxa"/>
            <w:shd w:val="clear" w:color="auto" w:fill="auto"/>
          </w:tcPr>
          <w:p w14:paraId="3C4CC96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11/04/1957</w:t>
            </w:r>
          </w:p>
        </w:tc>
      </w:tr>
      <w:tr w:rsidR="00A36AA3" w:rsidRPr="00DA21FF" w14:paraId="281242AB" w14:textId="77777777" w:rsidTr="002340E6">
        <w:trPr>
          <w:trHeight w:val="240"/>
        </w:trPr>
        <w:tc>
          <w:tcPr>
            <w:tcW w:w="6237" w:type="dxa"/>
            <w:shd w:val="clear" w:color="auto" w:fill="auto"/>
          </w:tcPr>
          <w:p w14:paraId="25FC15F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para la Represión de la Trata de Personas y de la Explotación de la Prostitución Ajena, 1949</w:t>
            </w:r>
          </w:p>
        </w:tc>
        <w:tc>
          <w:tcPr>
            <w:tcW w:w="1276" w:type="dxa"/>
            <w:shd w:val="clear" w:color="auto" w:fill="auto"/>
          </w:tcPr>
          <w:p w14:paraId="52E4A17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A 23/01/1952</w:t>
            </w:r>
          </w:p>
        </w:tc>
      </w:tr>
      <w:tr w:rsidR="00A36AA3" w:rsidRPr="00DA21FF" w14:paraId="223D4056" w14:textId="77777777" w:rsidTr="002340E6">
        <w:trPr>
          <w:trHeight w:val="240"/>
        </w:trPr>
        <w:tc>
          <w:tcPr>
            <w:tcW w:w="6237" w:type="dxa"/>
            <w:shd w:val="clear" w:color="auto" w:fill="auto"/>
          </w:tcPr>
          <w:p w14:paraId="5F94730F" w14:textId="56F691D4"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el Estatuto de los Refugiados de 1951 y Protocolo de</w:t>
            </w:r>
            <w:r w:rsidR="002340E6">
              <w:t> </w:t>
            </w:r>
            <w:r w:rsidRPr="00DA21FF">
              <w:t>1967</w:t>
            </w:r>
          </w:p>
        </w:tc>
        <w:tc>
          <w:tcPr>
            <w:tcW w:w="1276" w:type="dxa"/>
            <w:shd w:val="clear" w:color="auto" w:fill="auto"/>
          </w:tcPr>
          <w:p w14:paraId="5D0EF79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23/03/1953</w:t>
            </w:r>
          </w:p>
        </w:tc>
      </w:tr>
      <w:tr w:rsidR="00A36AA3" w:rsidRPr="00DA21FF" w14:paraId="415CD4DF" w14:textId="77777777" w:rsidTr="002340E6">
        <w:trPr>
          <w:trHeight w:val="240"/>
        </w:trPr>
        <w:tc>
          <w:tcPr>
            <w:tcW w:w="6237" w:type="dxa"/>
            <w:shd w:val="clear" w:color="auto" w:fill="auto"/>
          </w:tcPr>
          <w:p w14:paraId="22D9ECF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el Estatuto de los Apátridas, 1954</w:t>
            </w:r>
          </w:p>
        </w:tc>
        <w:tc>
          <w:tcPr>
            <w:tcW w:w="1276" w:type="dxa"/>
            <w:shd w:val="clear" w:color="auto" w:fill="auto"/>
          </w:tcPr>
          <w:p w14:paraId="1D64DC1C"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19/11/1956</w:t>
            </w:r>
          </w:p>
        </w:tc>
      </w:tr>
      <w:tr w:rsidR="00A36AA3" w:rsidRPr="00DA21FF" w14:paraId="426A7C90" w14:textId="77777777" w:rsidTr="002340E6">
        <w:trPr>
          <w:trHeight w:val="240"/>
        </w:trPr>
        <w:tc>
          <w:tcPr>
            <w:tcW w:w="6237" w:type="dxa"/>
            <w:shd w:val="clear" w:color="auto" w:fill="auto"/>
          </w:tcPr>
          <w:p w14:paraId="215F396B"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para Reducir los Casos de Apatridia, 1961</w:t>
            </w:r>
          </w:p>
        </w:tc>
        <w:tc>
          <w:tcPr>
            <w:tcW w:w="1276" w:type="dxa"/>
            <w:shd w:val="clear" w:color="auto" w:fill="auto"/>
          </w:tcPr>
          <w:p w14:paraId="5D2A7F8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A 11/08/1971</w:t>
            </w:r>
          </w:p>
        </w:tc>
      </w:tr>
      <w:tr w:rsidR="00A36AA3" w:rsidRPr="00DA21FF" w14:paraId="57F4A819" w14:textId="77777777" w:rsidTr="002340E6">
        <w:trPr>
          <w:trHeight w:val="240"/>
        </w:trPr>
        <w:tc>
          <w:tcPr>
            <w:tcW w:w="6237" w:type="dxa"/>
            <w:shd w:val="clear" w:color="auto" w:fill="auto"/>
          </w:tcPr>
          <w:p w14:paraId="0A396E1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Estatuto de Roma de la Corte Penal Internacional, 1998</w:t>
            </w:r>
          </w:p>
        </w:tc>
        <w:tc>
          <w:tcPr>
            <w:tcW w:w="1276" w:type="dxa"/>
            <w:shd w:val="clear" w:color="auto" w:fill="auto"/>
          </w:tcPr>
          <w:p w14:paraId="584130A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16/02/2000</w:t>
            </w:r>
          </w:p>
        </w:tc>
      </w:tr>
      <w:tr w:rsidR="00A36AA3" w:rsidRPr="00DA21FF" w14:paraId="6F789B2C" w14:textId="77777777" w:rsidTr="002340E6">
        <w:trPr>
          <w:trHeight w:val="240"/>
        </w:trPr>
        <w:tc>
          <w:tcPr>
            <w:tcW w:w="6237" w:type="dxa"/>
            <w:shd w:val="clear" w:color="auto" w:fill="auto"/>
          </w:tcPr>
          <w:p w14:paraId="5FE1A5B7" w14:textId="77777777" w:rsidR="00DA21FF" w:rsidRPr="00DA21FF" w:rsidRDefault="00DA21FF" w:rsidP="0010796B">
            <w:pPr>
              <w:pStyle w:val="SingleTxtG"/>
              <w:keepNext/>
              <w:tabs>
                <w:tab w:val="clear" w:pos="1701"/>
                <w:tab w:val="clear" w:pos="2268"/>
                <w:tab w:val="clear" w:pos="2835"/>
              </w:tabs>
              <w:spacing w:before="40"/>
              <w:ind w:left="0" w:right="0"/>
              <w:jc w:val="left"/>
              <w:rPr>
                <w:lang w:val="en-GB"/>
              </w:rPr>
            </w:pPr>
            <w:r w:rsidRPr="00DA21FF">
              <w:lastRenderedPageBreak/>
              <w:t>Convención de las Naciones Unidas contra la Delincuencia Organizada Transnacional de 2000, su Protocolo contra el Tráfico Ilícito de Migrantes por Tierra, Mar y Aire, y su Protocolo para Prevenir, Reprimir y Sancionar la Trata de Personas, Especialmente Mujeres y Niños</w:t>
            </w:r>
          </w:p>
        </w:tc>
        <w:tc>
          <w:tcPr>
            <w:tcW w:w="1276" w:type="dxa"/>
            <w:shd w:val="clear" w:color="auto" w:fill="auto"/>
          </w:tcPr>
          <w:p w14:paraId="6E9F4720" w14:textId="77777777" w:rsidR="00DA21FF" w:rsidRPr="00DA21FF" w:rsidRDefault="00DA21FF" w:rsidP="0010796B">
            <w:pPr>
              <w:pStyle w:val="SingleTxtG"/>
              <w:keepNext/>
              <w:tabs>
                <w:tab w:val="clear" w:pos="1701"/>
                <w:tab w:val="clear" w:pos="2268"/>
                <w:tab w:val="clear" w:pos="2835"/>
              </w:tabs>
              <w:spacing w:before="40"/>
              <w:ind w:left="0" w:right="0"/>
              <w:jc w:val="left"/>
              <w:rPr>
                <w:lang w:val="en-GB"/>
              </w:rPr>
            </w:pPr>
            <w:r w:rsidRPr="00DA21FF">
              <w:t>R 23/09/2003</w:t>
            </w:r>
          </w:p>
        </w:tc>
      </w:tr>
      <w:tr w:rsidR="00A36AA3" w:rsidRPr="00DA21FF" w14:paraId="27AD4344" w14:textId="77777777" w:rsidTr="002340E6">
        <w:trPr>
          <w:trHeight w:val="240"/>
        </w:trPr>
        <w:tc>
          <w:tcPr>
            <w:tcW w:w="6237" w:type="dxa"/>
            <w:tcBorders>
              <w:bottom w:val="single" w:sz="12" w:space="0" w:color="auto"/>
            </w:tcBorders>
            <w:shd w:val="clear" w:color="auto" w:fill="auto"/>
          </w:tcPr>
          <w:p w14:paraId="00E5CD44"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Tratado sobre el Comercio de Armas, 2013</w:t>
            </w:r>
          </w:p>
        </w:tc>
        <w:tc>
          <w:tcPr>
            <w:tcW w:w="1276" w:type="dxa"/>
            <w:tcBorders>
              <w:bottom w:val="single" w:sz="12" w:space="0" w:color="auto"/>
            </w:tcBorders>
            <w:shd w:val="clear" w:color="auto" w:fill="auto"/>
          </w:tcPr>
          <w:p w14:paraId="0B005AE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12/02/2014</w:t>
            </w:r>
          </w:p>
        </w:tc>
      </w:tr>
    </w:tbl>
    <w:p w14:paraId="3CFA4EC6" w14:textId="2CA57A7B" w:rsidR="00DA21FF" w:rsidRPr="00DA21FF" w:rsidRDefault="002340E6" w:rsidP="002340E6">
      <w:pPr>
        <w:pStyle w:val="H23G"/>
        <w:rPr>
          <w:lang w:val="en-GB"/>
        </w:rPr>
      </w:pPr>
      <w:bookmarkStart w:id="56" w:name="_Toc243126026"/>
      <w:bookmarkStart w:id="57" w:name="_Toc245183251"/>
      <w:r>
        <w:tab/>
      </w:r>
      <w:r w:rsidR="00DA21FF" w:rsidRPr="00DA21FF">
        <w:t>c)</w:t>
      </w:r>
      <w:r w:rsidR="00DA21FF" w:rsidRPr="00DA21FF">
        <w:tab/>
        <w:t>Convenios de la Organización Internacional del Trabajo (selección)</w:t>
      </w:r>
      <w:bookmarkEnd w:id="56"/>
      <w:bookmarkEnd w:id="57"/>
    </w:p>
    <w:p w14:paraId="69ACD390" w14:textId="77777777" w:rsidR="00DA21FF" w:rsidRPr="00DA21FF" w:rsidRDefault="00DA21FF" w:rsidP="00DA21FF">
      <w:pPr>
        <w:pStyle w:val="SingleTxtG"/>
        <w:rPr>
          <w:lang w:val="en-GB"/>
        </w:rPr>
      </w:pPr>
      <w:r w:rsidRPr="00DA21FF">
        <w:t xml:space="preserve">96. </w:t>
      </w:r>
      <w:r w:rsidRPr="00DA21FF">
        <w:tab/>
        <w:t>Noruega es Estado parte en los convenios enumerados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237"/>
        <w:gridCol w:w="1276"/>
      </w:tblGrid>
      <w:tr w:rsidR="00A36AA3" w:rsidRPr="00A36AA3" w14:paraId="7156EB4C" w14:textId="77777777" w:rsidTr="002340E6">
        <w:trPr>
          <w:trHeight w:val="240"/>
          <w:tblHeader/>
        </w:trPr>
        <w:tc>
          <w:tcPr>
            <w:tcW w:w="6237" w:type="dxa"/>
            <w:tcBorders>
              <w:top w:val="single" w:sz="4" w:space="0" w:color="auto"/>
              <w:bottom w:val="single" w:sz="12" w:space="0" w:color="auto"/>
            </w:tcBorders>
            <w:shd w:val="clear" w:color="auto" w:fill="auto"/>
            <w:vAlign w:val="bottom"/>
          </w:tcPr>
          <w:p w14:paraId="263D245D"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Convenio/Protocolo</w:t>
            </w:r>
          </w:p>
        </w:tc>
        <w:tc>
          <w:tcPr>
            <w:tcW w:w="1276" w:type="dxa"/>
            <w:tcBorders>
              <w:top w:val="single" w:sz="4" w:space="0" w:color="auto"/>
              <w:bottom w:val="single" w:sz="12" w:space="0" w:color="auto"/>
            </w:tcBorders>
            <w:shd w:val="clear" w:color="auto" w:fill="auto"/>
            <w:vAlign w:val="bottom"/>
          </w:tcPr>
          <w:p w14:paraId="12A8D097"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w:t>
            </w:r>
          </w:p>
        </w:tc>
      </w:tr>
      <w:tr w:rsidR="00A36AA3" w:rsidRPr="00DA21FF" w14:paraId="70280A47" w14:textId="77777777" w:rsidTr="002340E6">
        <w:trPr>
          <w:trHeight w:val="240"/>
        </w:trPr>
        <w:tc>
          <w:tcPr>
            <w:tcW w:w="6237" w:type="dxa"/>
            <w:shd w:val="clear" w:color="auto" w:fill="auto"/>
          </w:tcPr>
          <w:p w14:paraId="21F7924D"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Descanso Semanal (Industria), 1921 (núm. 14)</w:t>
            </w:r>
          </w:p>
        </w:tc>
        <w:tc>
          <w:tcPr>
            <w:tcW w:w="1276" w:type="dxa"/>
            <w:shd w:val="clear" w:color="auto" w:fill="auto"/>
          </w:tcPr>
          <w:p w14:paraId="31B4623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07/07/1937</w:t>
            </w:r>
          </w:p>
        </w:tc>
      </w:tr>
      <w:tr w:rsidR="00A36AA3" w:rsidRPr="00DA21FF" w14:paraId="6B73FF0E" w14:textId="77777777" w:rsidTr="002340E6">
        <w:trPr>
          <w:trHeight w:val="240"/>
        </w:trPr>
        <w:tc>
          <w:tcPr>
            <w:tcW w:w="6237" w:type="dxa"/>
            <w:shd w:val="clear" w:color="auto" w:fill="auto"/>
          </w:tcPr>
          <w:p w14:paraId="4B1F382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Trabajo Forzoso, 1930 (núm. 29)</w:t>
            </w:r>
          </w:p>
        </w:tc>
        <w:tc>
          <w:tcPr>
            <w:tcW w:w="1276" w:type="dxa"/>
            <w:shd w:val="clear" w:color="auto" w:fill="auto"/>
          </w:tcPr>
          <w:p w14:paraId="07B9516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01/07/1932</w:t>
            </w:r>
          </w:p>
        </w:tc>
      </w:tr>
      <w:tr w:rsidR="00A36AA3" w:rsidRPr="00DA21FF" w14:paraId="6E673AFE" w14:textId="77777777" w:rsidTr="002340E6">
        <w:trPr>
          <w:trHeight w:val="240"/>
        </w:trPr>
        <w:tc>
          <w:tcPr>
            <w:tcW w:w="6237" w:type="dxa"/>
            <w:shd w:val="clear" w:color="auto" w:fill="auto"/>
          </w:tcPr>
          <w:p w14:paraId="5C0CAFD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Protocolo de 2014 relativo al Convenio sobre el Trabajo Forzoso, 1930 (núm. 29); </w:t>
            </w:r>
          </w:p>
        </w:tc>
        <w:tc>
          <w:tcPr>
            <w:tcW w:w="1276" w:type="dxa"/>
            <w:shd w:val="clear" w:color="auto" w:fill="auto"/>
          </w:tcPr>
          <w:p w14:paraId="6DC30A1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09/11/2015</w:t>
            </w:r>
          </w:p>
        </w:tc>
      </w:tr>
      <w:tr w:rsidR="00A36AA3" w:rsidRPr="00DA21FF" w14:paraId="480CF248" w14:textId="77777777" w:rsidTr="002340E6">
        <w:trPr>
          <w:trHeight w:val="240"/>
        </w:trPr>
        <w:tc>
          <w:tcPr>
            <w:tcW w:w="6237" w:type="dxa"/>
            <w:shd w:val="clear" w:color="auto" w:fill="auto"/>
          </w:tcPr>
          <w:p w14:paraId="094F214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Inspección del Trabajo, 1947 (núm. 81)</w:t>
            </w:r>
          </w:p>
        </w:tc>
        <w:tc>
          <w:tcPr>
            <w:tcW w:w="1276" w:type="dxa"/>
            <w:shd w:val="clear" w:color="auto" w:fill="auto"/>
          </w:tcPr>
          <w:p w14:paraId="3BBC762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05/01/1949</w:t>
            </w:r>
          </w:p>
        </w:tc>
      </w:tr>
      <w:tr w:rsidR="00A36AA3" w:rsidRPr="00DA21FF" w14:paraId="021920D2" w14:textId="77777777" w:rsidTr="002340E6">
        <w:trPr>
          <w:trHeight w:val="240"/>
        </w:trPr>
        <w:tc>
          <w:tcPr>
            <w:tcW w:w="6237" w:type="dxa"/>
            <w:shd w:val="clear" w:color="auto" w:fill="auto"/>
          </w:tcPr>
          <w:p w14:paraId="33B79EA1" w14:textId="1A593846"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Recomendación sobre los Trabajadores Migrantes (Revisada), 1949 (núm.</w:t>
            </w:r>
            <w:r w:rsidR="002340E6">
              <w:t> </w:t>
            </w:r>
            <w:r w:rsidRPr="00DA21FF">
              <w:t>86)</w:t>
            </w:r>
          </w:p>
        </w:tc>
        <w:tc>
          <w:tcPr>
            <w:tcW w:w="1276" w:type="dxa"/>
            <w:shd w:val="clear" w:color="auto" w:fill="auto"/>
          </w:tcPr>
          <w:p w14:paraId="264D649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17/02/1955</w:t>
            </w:r>
          </w:p>
        </w:tc>
      </w:tr>
      <w:tr w:rsidR="00A36AA3" w:rsidRPr="00DA21FF" w14:paraId="1591CA51" w14:textId="77777777" w:rsidTr="002340E6">
        <w:trPr>
          <w:trHeight w:val="240"/>
        </w:trPr>
        <w:tc>
          <w:tcPr>
            <w:tcW w:w="6237" w:type="dxa"/>
            <w:shd w:val="clear" w:color="auto" w:fill="auto"/>
          </w:tcPr>
          <w:p w14:paraId="190CC69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Libertad Sindical y la Protección del Derecho de Sindicación, 1948 (núm. 87)</w:t>
            </w:r>
          </w:p>
        </w:tc>
        <w:tc>
          <w:tcPr>
            <w:tcW w:w="1276" w:type="dxa"/>
            <w:shd w:val="clear" w:color="auto" w:fill="auto"/>
          </w:tcPr>
          <w:p w14:paraId="1A2B98C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04/07/1949</w:t>
            </w:r>
          </w:p>
        </w:tc>
      </w:tr>
      <w:tr w:rsidR="00A36AA3" w:rsidRPr="00DA21FF" w14:paraId="2804AF2A" w14:textId="77777777" w:rsidTr="002340E6">
        <w:trPr>
          <w:trHeight w:val="240"/>
        </w:trPr>
        <w:tc>
          <w:tcPr>
            <w:tcW w:w="6237" w:type="dxa"/>
            <w:shd w:val="clear" w:color="auto" w:fill="auto"/>
          </w:tcPr>
          <w:p w14:paraId="150B30BD"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los Trabajadores Migrantes (Revisado), 1949 (núm. 97)</w:t>
            </w:r>
          </w:p>
        </w:tc>
        <w:tc>
          <w:tcPr>
            <w:tcW w:w="1276" w:type="dxa"/>
            <w:shd w:val="clear" w:color="auto" w:fill="auto"/>
          </w:tcPr>
          <w:p w14:paraId="695975A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17/02/1955</w:t>
            </w:r>
          </w:p>
        </w:tc>
      </w:tr>
      <w:tr w:rsidR="00A36AA3" w:rsidRPr="00DA21FF" w14:paraId="1700CA10" w14:textId="77777777" w:rsidTr="002340E6">
        <w:trPr>
          <w:trHeight w:val="240"/>
        </w:trPr>
        <w:tc>
          <w:tcPr>
            <w:tcW w:w="6237" w:type="dxa"/>
            <w:shd w:val="clear" w:color="auto" w:fill="auto"/>
          </w:tcPr>
          <w:p w14:paraId="56C0AA0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Derecho de Sindicación y de Negociación Colectiva, 1949 (núm. 98)</w:t>
            </w:r>
          </w:p>
        </w:tc>
        <w:tc>
          <w:tcPr>
            <w:tcW w:w="1276" w:type="dxa"/>
            <w:shd w:val="clear" w:color="auto" w:fill="auto"/>
          </w:tcPr>
          <w:p w14:paraId="3847011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17/02/1955</w:t>
            </w:r>
          </w:p>
        </w:tc>
      </w:tr>
      <w:tr w:rsidR="00A36AA3" w:rsidRPr="00DA21FF" w14:paraId="03DD9DBE" w14:textId="77777777" w:rsidTr="002340E6">
        <w:trPr>
          <w:trHeight w:val="240"/>
        </w:trPr>
        <w:tc>
          <w:tcPr>
            <w:tcW w:w="6237" w:type="dxa"/>
            <w:shd w:val="clear" w:color="auto" w:fill="auto"/>
          </w:tcPr>
          <w:p w14:paraId="145475F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Igualdad de Remuneración, 1951 (núm. 100);</w:t>
            </w:r>
          </w:p>
        </w:tc>
        <w:tc>
          <w:tcPr>
            <w:tcW w:w="1276" w:type="dxa"/>
            <w:shd w:val="clear" w:color="auto" w:fill="auto"/>
          </w:tcPr>
          <w:p w14:paraId="073E80B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24/09/1959</w:t>
            </w:r>
          </w:p>
        </w:tc>
      </w:tr>
      <w:tr w:rsidR="00A36AA3" w:rsidRPr="00DA21FF" w14:paraId="3C0BE228" w14:textId="77777777" w:rsidTr="002340E6">
        <w:trPr>
          <w:trHeight w:val="240"/>
        </w:trPr>
        <w:tc>
          <w:tcPr>
            <w:tcW w:w="6237" w:type="dxa"/>
            <w:shd w:val="clear" w:color="auto" w:fill="auto"/>
          </w:tcPr>
          <w:p w14:paraId="67F935A6"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Seguridad Social (Norma Mínima), 1952 (núm. 102)</w:t>
            </w:r>
          </w:p>
        </w:tc>
        <w:tc>
          <w:tcPr>
            <w:tcW w:w="1276" w:type="dxa"/>
            <w:shd w:val="clear" w:color="auto" w:fill="auto"/>
          </w:tcPr>
          <w:p w14:paraId="5E8C00E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30/09/1954</w:t>
            </w:r>
          </w:p>
        </w:tc>
      </w:tr>
      <w:tr w:rsidR="00A36AA3" w:rsidRPr="00DA21FF" w14:paraId="10290252" w14:textId="77777777" w:rsidTr="002340E6">
        <w:trPr>
          <w:trHeight w:val="240"/>
        </w:trPr>
        <w:tc>
          <w:tcPr>
            <w:tcW w:w="6237" w:type="dxa"/>
            <w:shd w:val="clear" w:color="auto" w:fill="auto"/>
          </w:tcPr>
          <w:p w14:paraId="2EEFE78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Abolición del Trabajo Forzoso, 1957 (núm. 105)</w:t>
            </w:r>
          </w:p>
        </w:tc>
        <w:tc>
          <w:tcPr>
            <w:tcW w:w="1276" w:type="dxa"/>
            <w:shd w:val="clear" w:color="auto" w:fill="auto"/>
          </w:tcPr>
          <w:p w14:paraId="44912AF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14/04/1958</w:t>
            </w:r>
          </w:p>
        </w:tc>
      </w:tr>
      <w:tr w:rsidR="00A36AA3" w:rsidRPr="00DA21FF" w14:paraId="61233585" w14:textId="77777777" w:rsidTr="002340E6">
        <w:trPr>
          <w:trHeight w:val="240"/>
        </w:trPr>
        <w:tc>
          <w:tcPr>
            <w:tcW w:w="6237" w:type="dxa"/>
            <w:shd w:val="clear" w:color="auto" w:fill="auto"/>
          </w:tcPr>
          <w:p w14:paraId="104AC20F" w14:textId="3E3FEE7E"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Descanso Semanal (Comercio y Oficinas), 1957 (núm.</w:t>
            </w:r>
            <w:r w:rsidR="002340E6">
              <w:t> </w:t>
            </w:r>
            <w:r w:rsidRPr="00DA21FF">
              <w:t>106)</w:t>
            </w:r>
          </w:p>
        </w:tc>
        <w:tc>
          <w:tcPr>
            <w:tcW w:w="1276" w:type="dxa"/>
            <w:shd w:val="clear" w:color="auto" w:fill="auto"/>
          </w:tcPr>
          <w:p w14:paraId="1F036AC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p>
        </w:tc>
      </w:tr>
      <w:tr w:rsidR="00A36AA3" w:rsidRPr="00DA21FF" w14:paraId="5EDB317C" w14:textId="77777777" w:rsidTr="002340E6">
        <w:trPr>
          <w:trHeight w:val="240"/>
        </w:trPr>
        <w:tc>
          <w:tcPr>
            <w:tcW w:w="6237" w:type="dxa"/>
            <w:shd w:val="clear" w:color="auto" w:fill="auto"/>
          </w:tcPr>
          <w:p w14:paraId="1EC90D21" w14:textId="4DD7026B"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Discriminación (Empleo y Ocupación), 1958 (núm.</w:t>
            </w:r>
            <w:r w:rsidR="002340E6">
              <w:t> </w:t>
            </w:r>
            <w:r w:rsidRPr="00DA21FF">
              <w:t>111)</w:t>
            </w:r>
          </w:p>
        </w:tc>
        <w:tc>
          <w:tcPr>
            <w:tcW w:w="1276" w:type="dxa"/>
            <w:shd w:val="clear" w:color="auto" w:fill="auto"/>
          </w:tcPr>
          <w:p w14:paraId="22096E5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24/09/1959</w:t>
            </w:r>
          </w:p>
        </w:tc>
      </w:tr>
      <w:tr w:rsidR="00A36AA3" w:rsidRPr="00DA21FF" w14:paraId="5E8EA913" w14:textId="77777777" w:rsidTr="002340E6">
        <w:trPr>
          <w:trHeight w:val="240"/>
        </w:trPr>
        <w:tc>
          <w:tcPr>
            <w:tcW w:w="6237" w:type="dxa"/>
            <w:shd w:val="clear" w:color="auto" w:fill="auto"/>
          </w:tcPr>
          <w:p w14:paraId="1A06442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Igualdad de Trato (Seguridad Social), 1962 (núm. 118)</w:t>
            </w:r>
          </w:p>
        </w:tc>
        <w:tc>
          <w:tcPr>
            <w:tcW w:w="1276" w:type="dxa"/>
            <w:shd w:val="clear" w:color="auto" w:fill="auto"/>
          </w:tcPr>
          <w:p w14:paraId="7D7076E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28/08/1963</w:t>
            </w:r>
          </w:p>
        </w:tc>
      </w:tr>
      <w:tr w:rsidR="00A36AA3" w:rsidRPr="00DA21FF" w14:paraId="6A9D43C1" w14:textId="77777777" w:rsidTr="002340E6">
        <w:trPr>
          <w:trHeight w:val="240"/>
        </w:trPr>
        <w:tc>
          <w:tcPr>
            <w:tcW w:w="6237" w:type="dxa"/>
            <w:shd w:val="clear" w:color="auto" w:fill="auto"/>
          </w:tcPr>
          <w:p w14:paraId="21F9356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Política del Empleo, 1964 (núm. 122)</w:t>
            </w:r>
          </w:p>
        </w:tc>
        <w:tc>
          <w:tcPr>
            <w:tcW w:w="1276" w:type="dxa"/>
            <w:shd w:val="clear" w:color="auto" w:fill="auto"/>
          </w:tcPr>
          <w:p w14:paraId="7082F27B"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06/06/1966</w:t>
            </w:r>
          </w:p>
        </w:tc>
      </w:tr>
      <w:tr w:rsidR="00A36AA3" w:rsidRPr="00DA21FF" w14:paraId="0C0060BF" w14:textId="77777777" w:rsidTr="002340E6">
        <w:trPr>
          <w:trHeight w:val="240"/>
        </w:trPr>
        <w:tc>
          <w:tcPr>
            <w:tcW w:w="6237" w:type="dxa"/>
            <w:shd w:val="clear" w:color="auto" w:fill="auto"/>
          </w:tcPr>
          <w:p w14:paraId="2E3D32A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Inspección del Trabajo (Agricultura), 1969 (núm. 129)</w:t>
            </w:r>
          </w:p>
        </w:tc>
        <w:tc>
          <w:tcPr>
            <w:tcW w:w="1276" w:type="dxa"/>
            <w:shd w:val="clear" w:color="auto" w:fill="auto"/>
          </w:tcPr>
          <w:p w14:paraId="7CCE28C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14/04/1971</w:t>
            </w:r>
          </w:p>
        </w:tc>
      </w:tr>
      <w:tr w:rsidR="00A36AA3" w:rsidRPr="00DA21FF" w14:paraId="212927A8" w14:textId="77777777" w:rsidTr="002340E6">
        <w:trPr>
          <w:trHeight w:val="240"/>
        </w:trPr>
        <w:tc>
          <w:tcPr>
            <w:tcW w:w="6237" w:type="dxa"/>
            <w:shd w:val="clear" w:color="auto" w:fill="auto"/>
          </w:tcPr>
          <w:p w14:paraId="058C473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Fijación de Salarios Mínimos, 1970 (núm. 131)</w:t>
            </w:r>
          </w:p>
        </w:tc>
        <w:tc>
          <w:tcPr>
            <w:tcW w:w="1276" w:type="dxa"/>
            <w:shd w:val="clear" w:color="auto" w:fill="auto"/>
          </w:tcPr>
          <w:p w14:paraId="7195F6C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p>
        </w:tc>
      </w:tr>
      <w:tr w:rsidR="00A36AA3" w:rsidRPr="00DA21FF" w14:paraId="7FA4D80B" w14:textId="77777777" w:rsidTr="002340E6">
        <w:trPr>
          <w:trHeight w:val="240"/>
        </w:trPr>
        <w:tc>
          <w:tcPr>
            <w:tcW w:w="6237" w:type="dxa"/>
            <w:shd w:val="clear" w:color="auto" w:fill="auto"/>
          </w:tcPr>
          <w:p w14:paraId="42E31925"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las Vacaciones Pagadas (Revisado), 1970 (núm. 132)</w:t>
            </w:r>
          </w:p>
        </w:tc>
        <w:tc>
          <w:tcPr>
            <w:tcW w:w="1276" w:type="dxa"/>
            <w:shd w:val="clear" w:color="auto" w:fill="auto"/>
          </w:tcPr>
          <w:p w14:paraId="1D48745D"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22/06/1973</w:t>
            </w:r>
          </w:p>
        </w:tc>
      </w:tr>
      <w:tr w:rsidR="00A36AA3" w:rsidRPr="00DA21FF" w14:paraId="53166525" w14:textId="77777777" w:rsidTr="002340E6">
        <w:trPr>
          <w:trHeight w:val="240"/>
        </w:trPr>
        <w:tc>
          <w:tcPr>
            <w:tcW w:w="6237" w:type="dxa"/>
            <w:shd w:val="clear" w:color="auto" w:fill="auto"/>
          </w:tcPr>
          <w:p w14:paraId="72010A0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Edad Mínima, 1973 (núm. 138)</w:t>
            </w:r>
          </w:p>
        </w:tc>
        <w:tc>
          <w:tcPr>
            <w:tcW w:w="1276" w:type="dxa"/>
            <w:shd w:val="clear" w:color="auto" w:fill="auto"/>
          </w:tcPr>
          <w:p w14:paraId="2CEB1F24"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08/07/1980</w:t>
            </w:r>
          </w:p>
        </w:tc>
      </w:tr>
      <w:tr w:rsidR="00A36AA3" w:rsidRPr="00DA21FF" w14:paraId="31560F54" w14:textId="77777777" w:rsidTr="002340E6">
        <w:trPr>
          <w:trHeight w:val="240"/>
        </w:trPr>
        <w:tc>
          <w:tcPr>
            <w:tcW w:w="6237" w:type="dxa"/>
            <w:shd w:val="clear" w:color="auto" w:fill="auto"/>
          </w:tcPr>
          <w:p w14:paraId="1D3317B5"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los Trabajadores Migrantes (Disposiciones Complementarias), 1975 (núm. 143)</w:t>
            </w:r>
          </w:p>
        </w:tc>
        <w:tc>
          <w:tcPr>
            <w:tcW w:w="1276" w:type="dxa"/>
            <w:shd w:val="clear" w:color="auto" w:fill="auto"/>
          </w:tcPr>
          <w:p w14:paraId="4C21375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24/01/1979</w:t>
            </w:r>
          </w:p>
        </w:tc>
      </w:tr>
      <w:tr w:rsidR="00A36AA3" w:rsidRPr="00DA21FF" w14:paraId="368B6CE2" w14:textId="77777777" w:rsidTr="002340E6">
        <w:trPr>
          <w:trHeight w:val="240"/>
        </w:trPr>
        <w:tc>
          <w:tcPr>
            <w:tcW w:w="6237" w:type="dxa"/>
            <w:shd w:val="clear" w:color="auto" w:fill="auto"/>
          </w:tcPr>
          <w:p w14:paraId="4D96DEDC"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las Relaciones de Trabajo en la Administración Pública, 1978 (núm. 151)</w:t>
            </w:r>
          </w:p>
        </w:tc>
        <w:tc>
          <w:tcPr>
            <w:tcW w:w="1276" w:type="dxa"/>
            <w:shd w:val="clear" w:color="auto" w:fill="auto"/>
          </w:tcPr>
          <w:p w14:paraId="2FF0737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19/03/1980</w:t>
            </w:r>
          </w:p>
        </w:tc>
      </w:tr>
      <w:tr w:rsidR="00A36AA3" w:rsidRPr="00DA21FF" w14:paraId="2BE595DE" w14:textId="77777777" w:rsidTr="002340E6">
        <w:trPr>
          <w:trHeight w:val="240"/>
        </w:trPr>
        <w:tc>
          <w:tcPr>
            <w:tcW w:w="6237" w:type="dxa"/>
            <w:shd w:val="clear" w:color="auto" w:fill="auto"/>
          </w:tcPr>
          <w:p w14:paraId="1DDCF83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Seguridad y Salud de los Trabajadores, 1981 (núm. 155)</w:t>
            </w:r>
          </w:p>
        </w:tc>
        <w:tc>
          <w:tcPr>
            <w:tcW w:w="1276" w:type="dxa"/>
            <w:shd w:val="clear" w:color="auto" w:fill="auto"/>
          </w:tcPr>
          <w:p w14:paraId="412B0ED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22/06/1982</w:t>
            </w:r>
          </w:p>
        </w:tc>
      </w:tr>
      <w:tr w:rsidR="00A36AA3" w:rsidRPr="00DA21FF" w14:paraId="63A1ACC8" w14:textId="77777777" w:rsidTr="002340E6">
        <w:trPr>
          <w:trHeight w:val="240"/>
        </w:trPr>
        <w:tc>
          <w:tcPr>
            <w:tcW w:w="6237" w:type="dxa"/>
            <w:shd w:val="clear" w:color="auto" w:fill="auto"/>
          </w:tcPr>
          <w:p w14:paraId="21B322D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lastRenderedPageBreak/>
              <w:t>Convenio sobre la Igualdad de Oportunidades y de Trato entre Trabajadores y Trabajadoras: Trabajadores con Responsabilidades Familiares, 1981 (núm. 156)</w:t>
            </w:r>
          </w:p>
        </w:tc>
        <w:tc>
          <w:tcPr>
            <w:tcW w:w="1276" w:type="dxa"/>
            <w:shd w:val="clear" w:color="auto" w:fill="auto"/>
          </w:tcPr>
          <w:p w14:paraId="704D617B"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22/06/1982</w:t>
            </w:r>
          </w:p>
        </w:tc>
      </w:tr>
      <w:tr w:rsidR="00A36AA3" w:rsidRPr="00DA21FF" w14:paraId="7C921B5B" w14:textId="77777777" w:rsidTr="002340E6">
        <w:trPr>
          <w:trHeight w:val="240"/>
        </w:trPr>
        <w:tc>
          <w:tcPr>
            <w:tcW w:w="6237" w:type="dxa"/>
            <w:shd w:val="clear" w:color="auto" w:fill="auto"/>
          </w:tcPr>
          <w:p w14:paraId="4C6E73A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Pueblos Indígenas y Tribales en Países Independientes, 1989 (núm. 169)</w:t>
            </w:r>
          </w:p>
        </w:tc>
        <w:tc>
          <w:tcPr>
            <w:tcW w:w="1276" w:type="dxa"/>
            <w:shd w:val="clear" w:color="auto" w:fill="auto"/>
          </w:tcPr>
          <w:p w14:paraId="4457EFA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19/06/1990</w:t>
            </w:r>
          </w:p>
        </w:tc>
      </w:tr>
      <w:tr w:rsidR="00A36AA3" w:rsidRPr="00DA21FF" w14:paraId="0093862D" w14:textId="77777777" w:rsidTr="002340E6">
        <w:trPr>
          <w:trHeight w:val="240"/>
        </w:trPr>
        <w:tc>
          <w:tcPr>
            <w:tcW w:w="6237" w:type="dxa"/>
            <w:shd w:val="clear" w:color="auto" w:fill="auto"/>
          </w:tcPr>
          <w:p w14:paraId="0C3060A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las Peores Formas de Trabajo Infantil, 1999 (núm. 182)</w:t>
            </w:r>
          </w:p>
        </w:tc>
        <w:tc>
          <w:tcPr>
            <w:tcW w:w="1276" w:type="dxa"/>
            <w:shd w:val="clear" w:color="auto" w:fill="auto"/>
          </w:tcPr>
          <w:p w14:paraId="36F8C46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21/12/2000</w:t>
            </w:r>
          </w:p>
        </w:tc>
      </w:tr>
      <w:tr w:rsidR="00A36AA3" w:rsidRPr="00DA21FF" w14:paraId="70C9917B" w14:textId="77777777" w:rsidTr="002340E6">
        <w:trPr>
          <w:trHeight w:val="240"/>
        </w:trPr>
        <w:tc>
          <w:tcPr>
            <w:tcW w:w="6237" w:type="dxa"/>
            <w:shd w:val="clear" w:color="auto" w:fill="auto"/>
          </w:tcPr>
          <w:p w14:paraId="368F2F4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la Protección de la Maternidad, 2000 (núm. 183)</w:t>
            </w:r>
          </w:p>
        </w:tc>
        <w:tc>
          <w:tcPr>
            <w:tcW w:w="1276" w:type="dxa"/>
            <w:shd w:val="clear" w:color="auto" w:fill="auto"/>
          </w:tcPr>
          <w:p w14:paraId="2E14D8B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09/11/2015</w:t>
            </w:r>
          </w:p>
        </w:tc>
      </w:tr>
      <w:tr w:rsidR="00A36AA3" w:rsidRPr="00DA21FF" w14:paraId="6A8E050A" w14:textId="77777777" w:rsidTr="002340E6">
        <w:trPr>
          <w:trHeight w:val="240"/>
        </w:trPr>
        <w:tc>
          <w:tcPr>
            <w:tcW w:w="6237" w:type="dxa"/>
            <w:tcBorders>
              <w:bottom w:val="single" w:sz="12" w:space="0" w:color="auto"/>
            </w:tcBorders>
            <w:shd w:val="clear" w:color="auto" w:fill="auto"/>
          </w:tcPr>
          <w:p w14:paraId="7FDF08B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Trabajo Marítimo, 2006</w:t>
            </w:r>
          </w:p>
        </w:tc>
        <w:tc>
          <w:tcPr>
            <w:tcW w:w="1276" w:type="dxa"/>
            <w:tcBorders>
              <w:bottom w:val="single" w:sz="12" w:space="0" w:color="auto"/>
            </w:tcBorders>
            <w:shd w:val="clear" w:color="auto" w:fill="auto"/>
          </w:tcPr>
          <w:p w14:paraId="2A5DC65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10/2/2009</w:t>
            </w:r>
          </w:p>
        </w:tc>
      </w:tr>
    </w:tbl>
    <w:p w14:paraId="656434E3" w14:textId="58EAFFC9" w:rsidR="00DA21FF" w:rsidRPr="00DA21FF" w:rsidRDefault="002340E6" w:rsidP="002340E6">
      <w:pPr>
        <w:pStyle w:val="H23G"/>
        <w:rPr>
          <w:lang w:val="en-GB"/>
        </w:rPr>
      </w:pPr>
      <w:bookmarkStart w:id="58" w:name="_Toc243126027"/>
      <w:bookmarkStart w:id="59" w:name="_Toc245183252"/>
      <w:r>
        <w:tab/>
      </w:r>
      <w:r w:rsidR="00DA21FF" w:rsidRPr="00DA21FF">
        <w:t>d)</w:t>
      </w:r>
      <w:r w:rsidR="00DA21FF" w:rsidRPr="00DA21FF">
        <w:tab/>
        <w:t xml:space="preserve">Convenciones de la Organización de las Naciones Unidas para la Educación, </w:t>
      </w:r>
      <w:r>
        <w:br/>
      </w:r>
      <w:r w:rsidR="00DA21FF" w:rsidRPr="00DA21FF">
        <w:t>la Ciencia y la Cultura</w:t>
      </w:r>
      <w:bookmarkEnd w:id="58"/>
      <w:bookmarkEnd w:id="59"/>
    </w:p>
    <w:p w14:paraId="504DC3A7" w14:textId="77777777" w:rsidR="00DA21FF" w:rsidRPr="00DA21FF" w:rsidRDefault="00DA21FF" w:rsidP="00DA21FF">
      <w:pPr>
        <w:pStyle w:val="SingleTxtG"/>
        <w:rPr>
          <w:lang w:val="en-GB"/>
        </w:rPr>
      </w:pPr>
      <w:r w:rsidRPr="00DA21FF">
        <w:t>97.</w:t>
      </w:r>
      <w:r w:rsidRPr="00DA21FF">
        <w:tab/>
        <w:t>Noruega es Estado parte en las convenciones enumeradas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096"/>
        <w:gridCol w:w="1417"/>
      </w:tblGrid>
      <w:tr w:rsidR="00A36AA3" w:rsidRPr="00A36AA3" w14:paraId="31269AC6" w14:textId="77777777" w:rsidTr="0010796B">
        <w:trPr>
          <w:trHeight w:val="240"/>
          <w:tblHeader/>
        </w:trPr>
        <w:tc>
          <w:tcPr>
            <w:tcW w:w="6096" w:type="dxa"/>
            <w:tcBorders>
              <w:top w:val="single" w:sz="4" w:space="0" w:color="auto"/>
              <w:bottom w:val="single" w:sz="12" w:space="0" w:color="auto"/>
            </w:tcBorders>
            <w:shd w:val="clear" w:color="auto" w:fill="auto"/>
            <w:vAlign w:val="bottom"/>
          </w:tcPr>
          <w:p w14:paraId="5257B9AE"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Convención/Protocolo</w:t>
            </w:r>
          </w:p>
        </w:tc>
        <w:tc>
          <w:tcPr>
            <w:tcW w:w="1417" w:type="dxa"/>
            <w:tcBorders>
              <w:top w:val="single" w:sz="4" w:space="0" w:color="auto"/>
              <w:bottom w:val="single" w:sz="12" w:space="0" w:color="auto"/>
            </w:tcBorders>
            <w:shd w:val="clear" w:color="auto" w:fill="auto"/>
            <w:vAlign w:val="bottom"/>
          </w:tcPr>
          <w:p w14:paraId="0A7B2427"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w:t>
            </w:r>
          </w:p>
        </w:tc>
      </w:tr>
      <w:tr w:rsidR="00A36AA3" w:rsidRPr="00DA21FF" w14:paraId="06C8A510" w14:textId="77777777" w:rsidTr="0010796B">
        <w:trPr>
          <w:trHeight w:val="240"/>
        </w:trPr>
        <w:tc>
          <w:tcPr>
            <w:tcW w:w="6096" w:type="dxa"/>
            <w:shd w:val="clear" w:color="auto" w:fill="auto"/>
          </w:tcPr>
          <w:p w14:paraId="5B61586B"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relativa a la Lucha contra las Discriminaciones en la Esfera de la Enseñanza, 1960</w:t>
            </w:r>
          </w:p>
        </w:tc>
        <w:tc>
          <w:tcPr>
            <w:tcW w:w="1417" w:type="dxa"/>
            <w:shd w:val="clear" w:color="auto" w:fill="auto"/>
          </w:tcPr>
          <w:p w14:paraId="4089EFFD"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08/01/1963</w:t>
            </w:r>
          </w:p>
        </w:tc>
      </w:tr>
      <w:tr w:rsidR="00A36AA3" w:rsidRPr="00DA21FF" w14:paraId="640E0414" w14:textId="77777777" w:rsidTr="0010796B">
        <w:trPr>
          <w:trHeight w:val="240"/>
        </w:trPr>
        <w:tc>
          <w:tcPr>
            <w:tcW w:w="6096" w:type="dxa"/>
            <w:shd w:val="clear" w:color="auto" w:fill="auto"/>
          </w:tcPr>
          <w:p w14:paraId="5A711CB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las Medidas que deben Adoptarse para Prohibir e Impedir la Importación, la Exportación y la Transferencia de Propiedad Ilícitas de Bienes Culturales, 1970</w:t>
            </w:r>
          </w:p>
        </w:tc>
        <w:tc>
          <w:tcPr>
            <w:tcW w:w="1417" w:type="dxa"/>
            <w:shd w:val="clear" w:color="auto" w:fill="auto"/>
          </w:tcPr>
          <w:p w14:paraId="4067AAB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15/12/2006</w:t>
            </w:r>
          </w:p>
        </w:tc>
      </w:tr>
      <w:tr w:rsidR="00A36AA3" w:rsidRPr="00DA21FF" w14:paraId="76211E7E" w14:textId="77777777" w:rsidTr="0010796B">
        <w:trPr>
          <w:trHeight w:val="240"/>
        </w:trPr>
        <w:tc>
          <w:tcPr>
            <w:tcW w:w="6096" w:type="dxa"/>
            <w:shd w:val="clear" w:color="auto" w:fill="auto"/>
          </w:tcPr>
          <w:p w14:paraId="08BF50E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para la Salvaguardia del Patrimonio Cultural Inmaterial, 2003.</w:t>
            </w:r>
          </w:p>
        </w:tc>
        <w:tc>
          <w:tcPr>
            <w:tcW w:w="1417" w:type="dxa"/>
            <w:shd w:val="clear" w:color="auto" w:fill="auto"/>
          </w:tcPr>
          <w:p w14:paraId="2E906FE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22/12/2006</w:t>
            </w:r>
          </w:p>
        </w:tc>
      </w:tr>
      <w:tr w:rsidR="00A36AA3" w:rsidRPr="00DA21FF" w14:paraId="22D25F2D" w14:textId="77777777" w:rsidTr="0010796B">
        <w:trPr>
          <w:trHeight w:val="240"/>
        </w:trPr>
        <w:tc>
          <w:tcPr>
            <w:tcW w:w="6096" w:type="dxa"/>
            <w:tcBorders>
              <w:bottom w:val="single" w:sz="12" w:space="0" w:color="auto"/>
            </w:tcBorders>
            <w:shd w:val="clear" w:color="auto" w:fill="auto"/>
          </w:tcPr>
          <w:p w14:paraId="6F9BCF7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la Protección y Promoción de la Diversidad de las Expresiones Culturales, 2005</w:t>
            </w:r>
          </w:p>
        </w:tc>
        <w:tc>
          <w:tcPr>
            <w:tcW w:w="1417" w:type="dxa"/>
            <w:tcBorders>
              <w:bottom w:val="single" w:sz="12" w:space="0" w:color="auto"/>
            </w:tcBorders>
            <w:shd w:val="clear" w:color="auto" w:fill="auto"/>
          </w:tcPr>
          <w:p w14:paraId="477306A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222/12/2006 </w:t>
            </w:r>
          </w:p>
        </w:tc>
      </w:tr>
    </w:tbl>
    <w:p w14:paraId="7B9A1185" w14:textId="0E523C67" w:rsidR="00DA21FF" w:rsidRPr="00DA21FF" w:rsidRDefault="002340E6" w:rsidP="002340E6">
      <w:pPr>
        <w:pStyle w:val="H23G"/>
        <w:rPr>
          <w:lang w:val="en-GB"/>
        </w:rPr>
      </w:pPr>
      <w:bookmarkStart w:id="60" w:name="_Toc243126028"/>
      <w:bookmarkStart w:id="61" w:name="_Toc245183253"/>
      <w:r>
        <w:tab/>
      </w:r>
      <w:r w:rsidR="00DA21FF" w:rsidRPr="00DA21FF">
        <w:t>e)</w:t>
      </w:r>
      <w:r w:rsidR="00DA21FF" w:rsidRPr="00DA21FF">
        <w:tab/>
        <w:t>Convenios de la Conferencia de La Haya de Derecho Internacional Privado</w:t>
      </w:r>
      <w:bookmarkEnd w:id="60"/>
      <w:bookmarkEnd w:id="61"/>
    </w:p>
    <w:p w14:paraId="609F02CA" w14:textId="77777777" w:rsidR="00DA21FF" w:rsidRPr="00DA21FF" w:rsidRDefault="00DA21FF" w:rsidP="00DA21FF">
      <w:pPr>
        <w:pStyle w:val="SingleTxtG"/>
        <w:rPr>
          <w:lang w:val="en-GB"/>
        </w:rPr>
      </w:pPr>
      <w:r w:rsidRPr="00DA21FF">
        <w:t>98.</w:t>
      </w:r>
      <w:r w:rsidRPr="00DA21FF">
        <w:tab/>
        <w:t>Noruega es Estado parte en los convenios enumerados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237"/>
        <w:gridCol w:w="1276"/>
      </w:tblGrid>
      <w:tr w:rsidR="00A36AA3" w:rsidRPr="00A36AA3" w14:paraId="1F4EB42E" w14:textId="77777777" w:rsidTr="002348A1">
        <w:trPr>
          <w:trHeight w:val="240"/>
          <w:tblHeader/>
        </w:trPr>
        <w:tc>
          <w:tcPr>
            <w:tcW w:w="6237" w:type="dxa"/>
            <w:tcBorders>
              <w:top w:val="single" w:sz="4" w:space="0" w:color="auto"/>
              <w:bottom w:val="single" w:sz="12" w:space="0" w:color="auto"/>
            </w:tcBorders>
            <w:shd w:val="clear" w:color="auto" w:fill="auto"/>
            <w:vAlign w:val="bottom"/>
          </w:tcPr>
          <w:p w14:paraId="4F3AF9BD"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Convenio/Protocolo</w:t>
            </w:r>
          </w:p>
        </w:tc>
        <w:tc>
          <w:tcPr>
            <w:tcW w:w="1276" w:type="dxa"/>
            <w:tcBorders>
              <w:top w:val="single" w:sz="4" w:space="0" w:color="auto"/>
              <w:bottom w:val="single" w:sz="12" w:space="0" w:color="auto"/>
            </w:tcBorders>
            <w:shd w:val="clear" w:color="auto" w:fill="auto"/>
            <w:vAlign w:val="bottom"/>
          </w:tcPr>
          <w:p w14:paraId="248BB941"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w:t>
            </w:r>
          </w:p>
        </w:tc>
      </w:tr>
      <w:tr w:rsidR="00A36AA3" w:rsidRPr="00DA21FF" w14:paraId="22A40D88" w14:textId="77777777" w:rsidTr="002348A1">
        <w:trPr>
          <w:trHeight w:val="240"/>
        </w:trPr>
        <w:tc>
          <w:tcPr>
            <w:tcW w:w="6237" w:type="dxa"/>
            <w:shd w:val="clear" w:color="auto" w:fill="auto"/>
          </w:tcPr>
          <w:p w14:paraId="28DB51D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Reconocimiento y Ejecución de Decisiones en Materia de Obligaciones Alimenticias, 1958</w:t>
            </w:r>
          </w:p>
        </w:tc>
        <w:tc>
          <w:tcPr>
            <w:tcW w:w="1276" w:type="dxa"/>
            <w:shd w:val="clear" w:color="auto" w:fill="auto"/>
          </w:tcPr>
          <w:p w14:paraId="00DFBEB6"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02/09/1965</w:t>
            </w:r>
          </w:p>
        </w:tc>
      </w:tr>
      <w:tr w:rsidR="00A36AA3" w:rsidRPr="00DA21FF" w14:paraId="54837B6E" w14:textId="77777777" w:rsidTr="002348A1">
        <w:trPr>
          <w:trHeight w:val="240"/>
        </w:trPr>
        <w:tc>
          <w:tcPr>
            <w:tcW w:w="6237" w:type="dxa"/>
            <w:shd w:val="clear" w:color="auto" w:fill="auto"/>
          </w:tcPr>
          <w:p w14:paraId="0AA7E3D7" w14:textId="70408151"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el Reconocimiento de Divorcios y de Separaciones Legales,</w:t>
            </w:r>
            <w:r w:rsidR="002348A1">
              <w:t> </w:t>
            </w:r>
            <w:r w:rsidRPr="00DA21FF">
              <w:t>1970</w:t>
            </w:r>
          </w:p>
        </w:tc>
        <w:tc>
          <w:tcPr>
            <w:tcW w:w="1276" w:type="dxa"/>
            <w:shd w:val="clear" w:color="auto" w:fill="auto"/>
          </w:tcPr>
          <w:p w14:paraId="65DC6E6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15/08/1978</w:t>
            </w:r>
          </w:p>
        </w:tc>
      </w:tr>
      <w:tr w:rsidR="00A36AA3" w:rsidRPr="00DA21FF" w14:paraId="66DC0903" w14:textId="77777777" w:rsidTr="002348A1">
        <w:trPr>
          <w:trHeight w:val="240"/>
        </w:trPr>
        <w:tc>
          <w:tcPr>
            <w:tcW w:w="6237" w:type="dxa"/>
            <w:shd w:val="clear" w:color="auto" w:fill="auto"/>
          </w:tcPr>
          <w:p w14:paraId="53231A9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Reconocimiento y Ejecución de Resoluciones relativas a las Obligaciones Alimenticias, 1973</w:t>
            </w:r>
          </w:p>
        </w:tc>
        <w:tc>
          <w:tcPr>
            <w:tcW w:w="1276" w:type="dxa"/>
            <w:shd w:val="clear" w:color="auto" w:fill="auto"/>
          </w:tcPr>
          <w:p w14:paraId="04C07884"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12/04/1978</w:t>
            </w:r>
          </w:p>
        </w:tc>
      </w:tr>
      <w:tr w:rsidR="00A36AA3" w:rsidRPr="00DA21FF" w14:paraId="28E20091" w14:textId="77777777" w:rsidTr="002348A1">
        <w:trPr>
          <w:trHeight w:val="240"/>
        </w:trPr>
        <w:tc>
          <w:tcPr>
            <w:tcW w:w="6237" w:type="dxa"/>
            <w:shd w:val="clear" w:color="auto" w:fill="auto"/>
          </w:tcPr>
          <w:p w14:paraId="2252A69C"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los Aspectos Civiles de la Sustracción Internacional de Menores, 1980</w:t>
            </w:r>
          </w:p>
        </w:tc>
        <w:tc>
          <w:tcPr>
            <w:tcW w:w="1276" w:type="dxa"/>
            <w:shd w:val="clear" w:color="auto" w:fill="auto"/>
          </w:tcPr>
          <w:p w14:paraId="57CE857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09/01/1989</w:t>
            </w:r>
          </w:p>
        </w:tc>
      </w:tr>
      <w:tr w:rsidR="00A36AA3" w:rsidRPr="00DA21FF" w14:paraId="72FBF884" w14:textId="77777777" w:rsidTr="002348A1">
        <w:trPr>
          <w:trHeight w:val="240"/>
        </w:trPr>
        <w:tc>
          <w:tcPr>
            <w:tcW w:w="6237" w:type="dxa"/>
            <w:shd w:val="clear" w:color="auto" w:fill="auto"/>
          </w:tcPr>
          <w:p w14:paraId="013C7D3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relativo a la Protección del Niño y a la Cooperación en materia de Adopción Internacional, 1993</w:t>
            </w:r>
          </w:p>
        </w:tc>
        <w:tc>
          <w:tcPr>
            <w:tcW w:w="1276" w:type="dxa"/>
            <w:shd w:val="clear" w:color="auto" w:fill="auto"/>
          </w:tcPr>
          <w:p w14:paraId="089C65D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25/09/1997</w:t>
            </w:r>
          </w:p>
        </w:tc>
      </w:tr>
      <w:tr w:rsidR="00A36AA3" w:rsidRPr="00DA21FF" w14:paraId="203BE954" w14:textId="77777777" w:rsidTr="002348A1">
        <w:trPr>
          <w:trHeight w:val="240"/>
        </w:trPr>
        <w:tc>
          <w:tcPr>
            <w:tcW w:w="6237" w:type="dxa"/>
            <w:shd w:val="clear" w:color="auto" w:fill="auto"/>
          </w:tcPr>
          <w:p w14:paraId="4779DE9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relativo a la Competencia, la Ley Aplicable, el Reconocimiento, la Ejecución y la Cooperación en materia de Responsabilidad Parental y de Medidas de Protección de los Niños, 1996</w:t>
            </w:r>
          </w:p>
        </w:tc>
        <w:tc>
          <w:tcPr>
            <w:tcW w:w="1276" w:type="dxa"/>
            <w:shd w:val="clear" w:color="auto" w:fill="auto"/>
          </w:tcPr>
          <w:p w14:paraId="295E42F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30/04/2016</w:t>
            </w:r>
          </w:p>
        </w:tc>
      </w:tr>
      <w:tr w:rsidR="00A36AA3" w:rsidRPr="00DA21FF" w14:paraId="4ABEC182" w14:textId="77777777" w:rsidTr="002348A1">
        <w:trPr>
          <w:trHeight w:val="240"/>
        </w:trPr>
        <w:tc>
          <w:tcPr>
            <w:tcW w:w="6237" w:type="dxa"/>
            <w:tcBorders>
              <w:bottom w:val="single" w:sz="12" w:space="0" w:color="auto"/>
            </w:tcBorders>
            <w:shd w:val="clear" w:color="auto" w:fill="auto"/>
          </w:tcPr>
          <w:p w14:paraId="35730F1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sobre Cobro Internacional de Alimentos para los Niños y Otros Miembros de la Familia, de 23 de noviembre de 2007</w:t>
            </w:r>
          </w:p>
        </w:tc>
        <w:tc>
          <w:tcPr>
            <w:tcW w:w="1276" w:type="dxa"/>
            <w:tcBorders>
              <w:bottom w:val="single" w:sz="12" w:space="0" w:color="auto"/>
            </w:tcBorders>
            <w:shd w:val="clear" w:color="auto" w:fill="auto"/>
          </w:tcPr>
          <w:p w14:paraId="1A15A09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06/04/2011</w:t>
            </w:r>
          </w:p>
        </w:tc>
      </w:tr>
    </w:tbl>
    <w:p w14:paraId="13126D59" w14:textId="75ADFC81" w:rsidR="00DA21FF" w:rsidRPr="00DA21FF" w:rsidRDefault="002348A1" w:rsidP="002348A1">
      <w:pPr>
        <w:pStyle w:val="H23G"/>
        <w:rPr>
          <w:lang w:val="en-GB"/>
        </w:rPr>
      </w:pPr>
      <w:bookmarkStart w:id="62" w:name="_Toc243126029"/>
      <w:bookmarkStart w:id="63" w:name="_Toc245183254"/>
      <w:r>
        <w:lastRenderedPageBreak/>
        <w:tab/>
      </w:r>
      <w:r w:rsidR="00DA21FF" w:rsidRPr="00DA21FF">
        <w:t>f)</w:t>
      </w:r>
      <w:r w:rsidR="00DA21FF" w:rsidRPr="00DA21FF">
        <w:tab/>
        <w:t>Convenios de Ginebra y otros tratados de derecho internacional humanitario</w:t>
      </w:r>
      <w:bookmarkEnd w:id="62"/>
      <w:bookmarkEnd w:id="63"/>
    </w:p>
    <w:p w14:paraId="44F9AFFF" w14:textId="77777777" w:rsidR="00DA21FF" w:rsidRPr="00DA21FF" w:rsidRDefault="00DA21FF" w:rsidP="00DA21FF">
      <w:pPr>
        <w:pStyle w:val="SingleTxtG"/>
        <w:rPr>
          <w:lang w:val="en-GB"/>
        </w:rPr>
      </w:pPr>
      <w:r w:rsidRPr="00DA21FF">
        <w:t>99.</w:t>
      </w:r>
      <w:r w:rsidRPr="00DA21FF">
        <w:tab/>
        <w:t>Noruega es Estado parte en los convenios enumerados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237"/>
        <w:gridCol w:w="1276"/>
      </w:tblGrid>
      <w:tr w:rsidR="00A36AA3" w:rsidRPr="00A36AA3" w14:paraId="5F534554" w14:textId="77777777" w:rsidTr="002348A1">
        <w:trPr>
          <w:trHeight w:val="240"/>
          <w:tblHeader/>
        </w:trPr>
        <w:tc>
          <w:tcPr>
            <w:tcW w:w="6237" w:type="dxa"/>
            <w:tcBorders>
              <w:top w:val="single" w:sz="4" w:space="0" w:color="auto"/>
              <w:bottom w:val="single" w:sz="12" w:space="0" w:color="auto"/>
            </w:tcBorders>
            <w:shd w:val="clear" w:color="auto" w:fill="auto"/>
            <w:vAlign w:val="bottom"/>
          </w:tcPr>
          <w:p w14:paraId="39E19A1C"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Convenio/Protocolo</w:t>
            </w:r>
          </w:p>
        </w:tc>
        <w:tc>
          <w:tcPr>
            <w:tcW w:w="1276" w:type="dxa"/>
            <w:tcBorders>
              <w:top w:val="single" w:sz="4" w:space="0" w:color="auto"/>
              <w:bottom w:val="single" w:sz="12" w:space="0" w:color="auto"/>
            </w:tcBorders>
            <w:shd w:val="clear" w:color="auto" w:fill="auto"/>
            <w:vAlign w:val="bottom"/>
          </w:tcPr>
          <w:p w14:paraId="1EE20129"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w:t>
            </w:r>
          </w:p>
        </w:tc>
      </w:tr>
      <w:tr w:rsidR="00A36AA3" w:rsidRPr="00DA21FF" w14:paraId="6CEF4F6B" w14:textId="77777777" w:rsidTr="002348A1">
        <w:trPr>
          <w:trHeight w:val="240"/>
        </w:trPr>
        <w:tc>
          <w:tcPr>
            <w:tcW w:w="6237" w:type="dxa"/>
            <w:shd w:val="clear" w:color="auto" w:fill="auto"/>
          </w:tcPr>
          <w:p w14:paraId="34EF4BD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 Ginebra para Aliviar la Suerte que Corren los Heridos y los Enfermos de las Fuerzas Armadas en Campaña (Convenio I), 1949</w:t>
            </w:r>
          </w:p>
        </w:tc>
        <w:tc>
          <w:tcPr>
            <w:tcW w:w="1276" w:type="dxa"/>
            <w:shd w:val="clear" w:color="auto" w:fill="auto"/>
          </w:tcPr>
          <w:p w14:paraId="5B3DCD06"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03/08/1951</w:t>
            </w:r>
          </w:p>
        </w:tc>
      </w:tr>
      <w:tr w:rsidR="00A36AA3" w:rsidRPr="00DA21FF" w14:paraId="70A8CD31" w14:textId="77777777" w:rsidTr="002348A1">
        <w:trPr>
          <w:trHeight w:val="240"/>
        </w:trPr>
        <w:tc>
          <w:tcPr>
            <w:tcW w:w="6237" w:type="dxa"/>
            <w:shd w:val="clear" w:color="auto" w:fill="auto"/>
          </w:tcPr>
          <w:p w14:paraId="33C6BFD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 Ginebra para Aliviar la Suerte que Corren los Heridos, los Enfermos y los Náufragos de las Fuerzas Armadas en el Mar (Convenio II), 1949</w:t>
            </w:r>
          </w:p>
        </w:tc>
        <w:tc>
          <w:tcPr>
            <w:tcW w:w="1276" w:type="dxa"/>
            <w:shd w:val="clear" w:color="auto" w:fill="auto"/>
          </w:tcPr>
          <w:p w14:paraId="6AB9B02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03/08/1951</w:t>
            </w:r>
          </w:p>
        </w:tc>
      </w:tr>
      <w:tr w:rsidR="00A36AA3" w:rsidRPr="00DA21FF" w14:paraId="10FCCF29" w14:textId="77777777" w:rsidTr="002348A1">
        <w:trPr>
          <w:trHeight w:val="240"/>
        </w:trPr>
        <w:tc>
          <w:tcPr>
            <w:tcW w:w="6237" w:type="dxa"/>
            <w:shd w:val="clear" w:color="auto" w:fill="auto"/>
          </w:tcPr>
          <w:p w14:paraId="16D4D401"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 Ginebra relativo al Trato debido a los Prisioneros de Guerra (Convenio III), 1949</w:t>
            </w:r>
          </w:p>
        </w:tc>
        <w:tc>
          <w:tcPr>
            <w:tcW w:w="1276" w:type="dxa"/>
            <w:shd w:val="clear" w:color="auto" w:fill="auto"/>
          </w:tcPr>
          <w:p w14:paraId="7DD5DFE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03/08/1951</w:t>
            </w:r>
          </w:p>
        </w:tc>
      </w:tr>
      <w:tr w:rsidR="00A36AA3" w:rsidRPr="00DA21FF" w14:paraId="4CB44E57" w14:textId="77777777" w:rsidTr="002348A1">
        <w:trPr>
          <w:trHeight w:val="240"/>
        </w:trPr>
        <w:tc>
          <w:tcPr>
            <w:tcW w:w="6237" w:type="dxa"/>
            <w:shd w:val="clear" w:color="auto" w:fill="auto"/>
          </w:tcPr>
          <w:p w14:paraId="4DA40AC5"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 Ginebra relativo a la Protección debida a las Personas Civiles en Tiempo de Guerra (Convenio IV), 1949</w:t>
            </w:r>
          </w:p>
        </w:tc>
        <w:tc>
          <w:tcPr>
            <w:tcW w:w="1276" w:type="dxa"/>
            <w:shd w:val="clear" w:color="auto" w:fill="auto"/>
          </w:tcPr>
          <w:p w14:paraId="293E0E3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03/08/1951</w:t>
            </w:r>
          </w:p>
        </w:tc>
      </w:tr>
      <w:tr w:rsidR="00A36AA3" w:rsidRPr="00DA21FF" w14:paraId="4CF428B4" w14:textId="77777777" w:rsidTr="002348A1">
        <w:trPr>
          <w:trHeight w:val="240"/>
        </w:trPr>
        <w:tc>
          <w:tcPr>
            <w:tcW w:w="6237" w:type="dxa"/>
            <w:shd w:val="clear" w:color="auto" w:fill="auto"/>
          </w:tcPr>
          <w:p w14:paraId="3C2E2AD6"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Protocolo Adicional a los Convenios de Ginebra del 12 de agosto de 1949 relativo a la Protección de las Víctimas de los Conflictos Armados Internacionales (Protocolo I), 1977</w:t>
            </w:r>
          </w:p>
        </w:tc>
        <w:tc>
          <w:tcPr>
            <w:tcW w:w="1276" w:type="dxa"/>
            <w:shd w:val="clear" w:color="auto" w:fill="auto"/>
          </w:tcPr>
          <w:p w14:paraId="522E154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14/12/1981</w:t>
            </w:r>
          </w:p>
        </w:tc>
      </w:tr>
      <w:tr w:rsidR="00A36AA3" w:rsidRPr="00DA21FF" w14:paraId="5DEDE4C9" w14:textId="77777777" w:rsidTr="002348A1">
        <w:trPr>
          <w:trHeight w:val="240"/>
        </w:trPr>
        <w:tc>
          <w:tcPr>
            <w:tcW w:w="6237" w:type="dxa"/>
            <w:shd w:val="clear" w:color="auto" w:fill="auto"/>
          </w:tcPr>
          <w:p w14:paraId="4DCA534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Protocolo Adicional a los Convenios de Ginebra del 12 de agosto de 1949 relativo a la Protección de las Víctimas de los Conflictos Armados Sin Carácter Internacional (Protocolo II), 1977</w:t>
            </w:r>
          </w:p>
        </w:tc>
        <w:tc>
          <w:tcPr>
            <w:tcW w:w="1276" w:type="dxa"/>
            <w:shd w:val="clear" w:color="auto" w:fill="auto"/>
          </w:tcPr>
          <w:p w14:paraId="65EA05D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14/12/1981</w:t>
            </w:r>
          </w:p>
        </w:tc>
      </w:tr>
      <w:tr w:rsidR="00A36AA3" w:rsidRPr="00DA21FF" w14:paraId="7F740A8A" w14:textId="77777777" w:rsidTr="002348A1">
        <w:trPr>
          <w:trHeight w:val="240"/>
        </w:trPr>
        <w:tc>
          <w:tcPr>
            <w:tcW w:w="6237" w:type="dxa"/>
            <w:shd w:val="clear" w:color="auto" w:fill="auto"/>
          </w:tcPr>
          <w:p w14:paraId="0A6EE64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la Prohibición del Empleo, Almacenamiento, Producción y Transferencia de Minas Antipersonal y sobre Su Destrucción, 1997</w:t>
            </w:r>
          </w:p>
        </w:tc>
        <w:tc>
          <w:tcPr>
            <w:tcW w:w="1276" w:type="dxa"/>
            <w:shd w:val="clear" w:color="auto" w:fill="auto"/>
          </w:tcPr>
          <w:p w14:paraId="5B8459C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09/07/1998</w:t>
            </w:r>
          </w:p>
        </w:tc>
      </w:tr>
      <w:tr w:rsidR="00A36AA3" w:rsidRPr="00DA21FF" w14:paraId="5D56A5D4" w14:textId="77777777" w:rsidTr="002348A1">
        <w:trPr>
          <w:trHeight w:val="240"/>
        </w:trPr>
        <w:tc>
          <w:tcPr>
            <w:tcW w:w="6237" w:type="dxa"/>
            <w:tcBorders>
              <w:bottom w:val="single" w:sz="12" w:space="0" w:color="auto"/>
            </w:tcBorders>
            <w:shd w:val="clear" w:color="auto" w:fill="auto"/>
          </w:tcPr>
          <w:p w14:paraId="21C550A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Convención sobre Municiones en Racimo, 2008</w:t>
            </w:r>
          </w:p>
        </w:tc>
        <w:tc>
          <w:tcPr>
            <w:tcW w:w="1276" w:type="dxa"/>
            <w:tcBorders>
              <w:bottom w:val="single" w:sz="12" w:space="0" w:color="auto"/>
            </w:tcBorders>
            <w:shd w:val="clear" w:color="auto" w:fill="auto"/>
          </w:tcPr>
          <w:p w14:paraId="29B3447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03/12/2008</w:t>
            </w:r>
          </w:p>
        </w:tc>
      </w:tr>
    </w:tbl>
    <w:p w14:paraId="6024A7FB" w14:textId="0F99A692" w:rsidR="00DA21FF" w:rsidRPr="00DA21FF" w:rsidRDefault="002348A1" w:rsidP="002348A1">
      <w:pPr>
        <w:pStyle w:val="H23G"/>
        <w:rPr>
          <w:lang w:val="en-GB"/>
        </w:rPr>
      </w:pPr>
      <w:bookmarkStart w:id="64" w:name="_Toc243126030"/>
      <w:bookmarkStart w:id="65" w:name="_Toc245183255"/>
      <w:r>
        <w:tab/>
      </w:r>
      <w:r w:rsidR="00DA21FF" w:rsidRPr="00DA21FF">
        <w:t>g)</w:t>
      </w:r>
      <w:r w:rsidR="00DA21FF" w:rsidRPr="00DA21FF">
        <w:tab/>
        <w:t>Convenios del Consejo de Europa (selección)</w:t>
      </w:r>
      <w:bookmarkEnd w:id="64"/>
      <w:bookmarkEnd w:id="65"/>
    </w:p>
    <w:p w14:paraId="794D2C96" w14:textId="77777777" w:rsidR="00DA21FF" w:rsidRPr="00DA21FF" w:rsidRDefault="00DA21FF" w:rsidP="00DA21FF">
      <w:pPr>
        <w:pStyle w:val="SingleTxtG"/>
        <w:rPr>
          <w:lang w:val="en-GB"/>
        </w:rPr>
      </w:pPr>
      <w:r w:rsidRPr="00DA21FF">
        <w:t>100.</w:t>
      </w:r>
      <w:r w:rsidRPr="00DA21FF">
        <w:tab/>
        <w:t>Noruega es Estado parte en los convenios enumerados en el cuadro siguiente.</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6237"/>
        <w:gridCol w:w="1276"/>
      </w:tblGrid>
      <w:tr w:rsidR="00A36AA3" w:rsidRPr="00A36AA3" w14:paraId="1B40A22E" w14:textId="77777777" w:rsidTr="002348A1">
        <w:trPr>
          <w:trHeight w:val="240"/>
          <w:tblHeader/>
        </w:trPr>
        <w:tc>
          <w:tcPr>
            <w:tcW w:w="6237" w:type="dxa"/>
            <w:tcBorders>
              <w:top w:val="single" w:sz="4" w:space="0" w:color="auto"/>
              <w:bottom w:val="single" w:sz="12" w:space="0" w:color="auto"/>
            </w:tcBorders>
            <w:shd w:val="clear" w:color="auto" w:fill="auto"/>
            <w:vAlign w:val="bottom"/>
          </w:tcPr>
          <w:p w14:paraId="20B45F9E"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Convenio/Protocolo</w:t>
            </w:r>
          </w:p>
        </w:tc>
        <w:tc>
          <w:tcPr>
            <w:tcW w:w="1276" w:type="dxa"/>
            <w:tcBorders>
              <w:top w:val="single" w:sz="4" w:space="0" w:color="auto"/>
              <w:bottom w:val="single" w:sz="12" w:space="0" w:color="auto"/>
            </w:tcBorders>
            <w:shd w:val="clear" w:color="auto" w:fill="auto"/>
            <w:vAlign w:val="bottom"/>
          </w:tcPr>
          <w:p w14:paraId="42C5043E" w14:textId="77777777" w:rsidR="00DA21FF" w:rsidRPr="00DA21FF" w:rsidRDefault="00DA21FF" w:rsidP="00A36AA3">
            <w:pPr>
              <w:pStyle w:val="SingleTxtG"/>
              <w:tabs>
                <w:tab w:val="clear" w:pos="1701"/>
                <w:tab w:val="clear" w:pos="2268"/>
                <w:tab w:val="clear" w:pos="2835"/>
              </w:tabs>
              <w:spacing w:before="80" w:after="80" w:line="200" w:lineRule="exact"/>
              <w:ind w:left="0" w:right="0"/>
              <w:jc w:val="left"/>
              <w:rPr>
                <w:i/>
                <w:sz w:val="16"/>
                <w:lang w:val="en-GB"/>
              </w:rPr>
            </w:pPr>
            <w:r w:rsidRPr="00DA21FF">
              <w:rPr>
                <w:i/>
                <w:iCs/>
                <w:sz w:val="16"/>
              </w:rPr>
              <w:t>Ratificación (R)</w:t>
            </w:r>
          </w:p>
        </w:tc>
      </w:tr>
      <w:tr w:rsidR="00A36AA3" w:rsidRPr="00DA21FF" w14:paraId="10E28D4E" w14:textId="77777777" w:rsidTr="002348A1">
        <w:trPr>
          <w:trHeight w:val="240"/>
        </w:trPr>
        <w:tc>
          <w:tcPr>
            <w:tcW w:w="6237" w:type="dxa"/>
            <w:shd w:val="clear" w:color="auto" w:fill="auto"/>
          </w:tcPr>
          <w:p w14:paraId="33CC52F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Convenio Europeo para la Protección de los Derechos Humanos y de las Libertades Fundamentales de 1950 (Noruega también ha ratificado los Protocolos adicionales </w:t>
            </w:r>
            <w:proofErr w:type="spellStart"/>
            <w:r w:rsidRPr="00DA21FF">
              <w:t>núms</w:t>
            </w:r>
            <w:proofErr w:type="spellEnd"/>
            <w:r w:rsidRPr="00DA21FF">
              <w:t>. 1, 4, 6, 7 y 13 del Convenio).</w:t>
            </w:r>
          </w:p>
        </w:tc>
        <w:tc>
          <w:tcPr>
            <w:tcW w:w="1276" w:type="dxa"/>
            <w:shd w:val="clear" w:color="auto" w:fill="auto"/>
          </w:tcPr>
          <w:p w14:paraId="40978BFF"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15/1/1952 </w:t>
            </w:r>
          </w:p>
        </w:tc>
      </w:tr>
      <w:tr w:rsidR="00A36AA3" w:rsidRPr="00DA21FF" w14:paraId="449A431A" w14:textId="77777777" w:rsidTr="002348A1">
        <w:trPr>
          <w:trHeight w:val="240"/>
        </w:trPr>
        <w:tc>
          <w:tcPr>
            <w:tcW w:w="6237" w:type="dxa"/>
            <w:shd w:val="clear" w:color="auto" w:fill="auto"/>
          </w:tcPr>
          <w:p w14:paraId="5E53B0BE"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Carta Social Europea (revisada), 1996</w:t>
            </w:r>
          </w:p>
        </w:tc>
        <w:tc>
          <w:tcPr>
            <w:tcW w:w="1276" w:type="dxa"/>
            <w:shd w:val="clear" w:color="auto" w:fill="auto"/>
          </w:tcPr>
          <w:p w14:paraId="4BB046D5"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07/05/2001 </w:t>
            </w:r>
          </w:p>
        </w:tc>
      </w:tr>
      <w:tr w:rsidR="00A36AA3" w:rsidRPr="00DA21FF" w14:paraId="378E66C2" w14:textId="77777777" w:rsidTr="002348A1">
        <w:trPr>
          <w:trHeight w:val="240"/>
        </w:trPr>
        <w:tc>
          <w:tcPr>
            <w:tcW w:w="6237" w:type="dxa"/>
            <w:shd w:val="clear" w:color="auto" w:fill="auto"/>
          </w:tcPr>
          <w:p w14:paraId="6D0D219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Europeo para la Prevención de la Tortura y de las Penas o Tratos Inhumanos o Degradantes, 1987</w:t>
            </w:r>
          </w:p>
        </w:tc>
        <w:tc>
          <w:tcPr>
            <w:tcW w:w="1276" w:type="dxa"/>
            <w:shd w:val="clear" w:color="auto" w:fill="auto"/>
          </w:tcPr>
          <w:p w14:paraId="2BCECCA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21/4/1989 </w:t>
            </w:r>
          </w:p>
        </w:tc>
      </w:tr>
      <w:tr w:rsidR="00A36AA3" w:rsidRPr="00DA21FF" w14:paraId="5512F9BC" w14:textId="77777777" w:rsidTr="002348A1">
        <w:trPr>
          <w:trHeight w:val="240"/>
        </w:trPr>
        <w:tc>
          <w:tcPr>
            <w:tcW w:w="6237" w:type="dxa"/>
            <w:shd w:val="clear" w:color="auto" w:fill="auto"/>
          </w:tcPr>
          <w:p w14:paraId="6D08E183"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Carta Europea de las Lenguas Regionales o Minoritarias, 1992</w:t>
            </w:r>
          </w:p>
        </w:tc>
        <w:tc>
          <w:tcPr>
            <w:tcW w:w="1276" w:type="dxa"/>
            <w:shd w:val="clear" w:color="auto" w:fill="auto"/>
          </w:tcPr>
          <w:p w14:paraId="08C051E8"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10/11/1993</w:t>
            </w:r>
          </w:p>
        </w:tc>
      </w:tr>
      <w:tr w:rsidR="00A36AA3" w:rsidRPr="00DA21FF" w14:paraId="01A0FC2B" w14:textId="77777777" w:rsidTr="002348A1">
        <w:trPr>
          <w:trHeight w:val="240"/>
        </w:trPr>
        <w:tc>
          <w:tcPr>
            <w:tcW w:w="6237" w:type="dxa"/>
            <w:shd w:val="clear" w:color="auto" w:fill="auto"/>
          </w:tcPr>
          <w:p w14:paraId="540393F0"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Marco para la Protección de las Minorías Nacionales, 1995</w:t>
            </w:r>
          </w:p>
        </w:tc>
        <w:tc>
          <w:tcPr>
            <w:tcW w:w="1276" w:type="dxa"/>
            <w:shd w:val="clear" w:color="auto" w:fill="auto"/>
          </w:tcPr>
          <w:p w14:paraId="284F3495"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17/3/1999 </w:t>
            </w:r>
          </w:p>
        </w:tc>
      </w:tr>
      <w:tr w:rsidR="00A36AA3" w:rsidRPr="00DA21FF" w14:paraId="640535F0" w14:textId="77777777" w:rsidTr="002348A1">
        <w:trPr>
          <w:trHeight w:val="240"/>
        </w:trPr>
        <w:tc>
          <w:tcPr>
            <w:tcW w:w="6237" w:type="dxa"/>
            <w:shd w:val="clear" w:color="auto" w:fill="auto"/>
          </w:tcPr>
          <w:p w14:paraId="17F6AE67"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Protocolo Adicional al Convenio sobre la Ciberdelincuencia relativo a la Penalización de Actos de Índole Racista y Xenófoba Cometidos por Medio de Sistemas Informáticos, 2003</w:t>
            </w:r>
          </w:p>
        </w:tc>
        <w:tc>
          <w:tcPr>
            <w:tcW w:w="1276" w:type="dxa"/>
            <w:shd w:val="clear" w:color="auto" w:fill="auto"/>
          </w:tcPr>
          <w:p w14:paraId="6D8D626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 xml:space="preserve">R 29/04/2008 </w:t>
            </w:r>
          </w:p>
        </w:tc>
      </w:tr>
      <w:tr w:rsidR="00A36AA3" w:rsidRPr="00DA21FF" w14:paraId="2014927B" w14:textId="77777777" w:rsidTr="002348A1">
        <w:trPr>
          <w:trHeight w:val="240"/>
        </w:trPr>
        <w:tc>
          <w:tcPr>
            <w:tcW w:w="6237" w:type="dxa"/>
            <w:shd w:val="clear" w:color="auto" w:fill="auto"/>
          </w:tcPr>
          <w:p w14:paraId="36F32E0D"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del Consejo de Europa sobre la Lucha contra la Trata de Seres Humanos, 2005</w:t>
            </w:r>
          </w:p>
        </w:tc>
        <w:tc>
          <w:tcPr>
            <w:tcW w:w="1276" w:type="dxa"/>
            <w:shd w:val="clear" w:color="auto" w:fill="auto"/>
          </w:tcPr>
          <w:p w14:paraId="2A3A77D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17/01/2008</w:t>
            </w:r>
          </w:p>
        </w:tc>
      </w:tr>
      <w:tr w:rsidR="00A36AA3" w:rsidRPr="00DA21FF" w14:paraId="0AC8887F" w14:textId="77777777" w:rsidTr="002348A1">
        <w:trPr>
          <w:trHeight w:val="240"/>
        </w:trPr>
        <w:tc>
          <w:tcPr>
            <w:tcW w:w="6237" w:type="dxa"/>
            <w:shd w:val="clear" w:color="auto" w:fill="auto"/>
          </w:tcPr>
          <w:p w14:paraId="5044399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del Consejo de Europa sobre Acceso a Documentos Públicos, 2009</w:t>
            </w:r>
          </w:p>
        </w:tc>
        <w:tc>
          <w:tcPr>
            <w:tcW w:w="1276" w:type="dxa"/>
            <w:shd w:val="clear" w:color="auto" w:fill="auto"/>
          </w:tcPr>
          <w:p w14:paraId="64617B6A"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11/09/2009</w:t>
            </w:r>
          </w:p>
        </w:tc>
      </w:tr>
      <w:tr w:rsidR="00A36AA3" w:rsidRPr="00DA21FF" w14:paraId="4945BB37" w14:textId="77777777" w:rsidTr="002348A1">
        <w:trPr>
          <w:trHeight w:val="240"/>
        </w:trPr>
        <w:tc>
          <w:tcPr>
            <w:tcW w:w="6237" w:type="dxa"/>
            <w:shd w:val="clear" w:color="auto" w:fill="auto"/>
          </w:tcPr>
          <w:p w14:paraId="4A2934B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Convenio del Consejo de Europa sobre Prevención y Lucha contra la Violencia contra las Mujeres y la Violencia Doméstica, 2011</w:t>
            </w:r>
          </w:p>
        </w:tc>
        <w:tc>
          <w:tcPr>
            <w:tcW w:w="1276" w:type="dxa"/>
            <w:shd w:val="clear" w:color="auto" w:fill="auto"/>
          </w:tcPr>
          <w:p w14:paraId="29D77239"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05/07/2017</w:t>
            </w:r>
          </w:p>
        </w:tc>
      </w:tr>
      <w:tr w:rsidR="00A36AA3" w:rsidRPr="00DA21FF" w14:paraId="4862D005" w14:textId="77777777" w:rsidTr="002348A1">
        <w:trPr>
          <w:trHeight w:val="240"/>
        </w:trPr>
        <w:tc>
          <w:tcPr>
            <w:tcW w:w="6237" w:type="dxa"/>
            <w:tcBorders>
              <w:bottom w:val="single" w:sz="12" w:space="0" w:color="auto"/>
            </w:tcBorders>
            <w:shd w:val="clear" w:color="auto" w:fill="auto"/>
          </w:tcPr>
          <w:p w14:paraId="132C03E6"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lastRenderedPageBreak/>
              <w:t>Convenio del Consejo de Europa para la Protección de los Niños contra la Explotación y el Abuso Sexual</w:t>
            </w:r>
          </w:p>
        </w:tc>
        <w:tc>
          <w:tcPr>
            <w:tcW w:w="1276" w:type="dxa"/>
            <w:tcBorders>
              <w:bottom w:val="single" w:sz="12" w:space="0" w:color="auto"/>
            </w:tcBorders>
            <w:shd w:val="clear" w:color="auto" w:fill="auto"/>
          </w:tcPr>
          <w:p w14:paraId="1A9E5D02" w14:textId="77777777" w:rsidR="00DA21FF" w:rsidRPr="00DA21FF" w:rsidRDefault="00DA21FF" w:rsidP="00A36AA3">
            <w:pPr>
              <w:pStyle w:val="SingleTxtG"/>
              <w:tabs>
                <w:tab w:val="clear" w:pos="1701"/>
                <w:tab w:val="clear" w:pos="2268"/>
                <w:tab w:val="clear" w:pos="2835"/>
              </w:tabs>
              <w:spacing w:before="40"/>
              <w:ind w:left="0" w:right="0"/>
              <w:jc w:val="left"/>
              <w:rPr>
                <w:lang w:val="en-GB"/>
              </w:rPr>
            </w:pPr>
            <w:r w:rsidRPr="00DA21FF">
              <w:t>R 13/06/2018</w:t>
            </w:r>
          </w:p>
        </w:tc>
      </w:tr>
    </w:tbl>
    <w:p w14:paraId="7377DDB3" w14:textId="2E6EEFCA" w:rsidR="00373B5F" w:rsidRPr="00373B5F" w:rsidRDefault="00117F19" w:rsidP="00117F19">
      <w:pPr>
        <w:pStyle w:val="H1G"/>
        <w:rPr>
          <w:lang w:val="en-GB"/>
        </w:rPr>
      </w:pPr>
      <w:bookmarkStart w:id="66" w:name="_Toc243126031"/>
      <w:bookmarkStart w:id="67" w:name="_Toc245183256"/>
      <w:r>
        <w:tab/>
      </w:r>
      <w:r w:rsidR="00373B5F" w:rsidRPr="00373B5F">
        <w:t>B.</w:t>
      </w:r>
      <w:r w:rsidR="00373B5F" w:rsidRPr="00373B5F">
        <w:tab/>
        <w:t xml:space="preserve">Marco jurídico de protección de los derechos humanos </w:t>
      </w:r>
      <w:r>
        <w:br/>
      </w:r>
      <w:r w:rsidR="00373B5F" w:rsidRPr="00373B5F">
        <w:t>a nivel nacional</w:t>
      </w:r>
      <w:bookmarkStart w:id="68" w:name="_Toc498605413"/>
      <w:bookmarkStart w:id="69" w:name="_Toc169082437"/>
      <w:bookmarkStart w:id="70" w:name="_Toc174450865"/>
      <w:bookmarkEnd w:id="66"/>
      <w:bookmarkEnd w:id="67"/>
      <w:bookmarkEnd w:id="68"/>
      <w:bookmarkEnd w:id="69"/>
      <w:bookmarkEnd w:id="70"/>
    </w:p>
    <w:p w14:paraId="5881115D" w14:textId="1E85EDEF" w:rsidR="00373B5F" w:rsidRPr="00373B5F" w:rsidRDefault="00653C36" w:rsidP="00653C36">
      <w:pPr>
        <w:pStyle w:val="H23G"/>
        <w:rPr>
          <w:lang w:val="en-GB"/>
        </w:rPr>
      </w:pPr>
      <w:bookmarkStart w:id="71" w:name="_Toc243126032"/>
      <w:bookmarkStart w:id="72" w:name="_Toc245183257"/>
      <w:r>
        <w:tab/>
      </w:r>
      <w:r w:rsidR="00373B5F" w:rsidRPr="00373B5F">
        <w:t>a)</w:t>
      </w:r>
      <w:r w:rsidR="00373B5F" w:rsidRPr="00373B5F">
        <w:tab/>
        <w:t>Legislación</w:t>
      </w:r>
      <w:bookmarkEnd w:id="71"/>
      <w:bookmarkEnd w:id="72"/>
    </w:p>
    <w:p w14:paraId="6A840801" w14:textId="77777777" w:rsidR="00373B5F" w:rsidRPr="00373B5F" w:rsidRDefault="00373B5F" w:rsidP="00373B5F">
      <w:pPr>
        <w:pStyle w:val="SingleTxtG"/>
        <w:rPr>
          <w:bCs/>
          <w:lang w:val="en-GB"/>
        </w:rPr>
      </w:pPr>
      <w:r w:rsidRPr="00373B5F">
        <w:rPr>
          <w:bCs/>
        </w:rPr>
        <w:t>101.</w:t>
      </w:r>
      <w:r w:rsidRPr="00373B5F">
        <w:rPr>
          <w:bCs/>
        </w:rPr>
        <w:tab/>
        <w:t xml:space="preserve">Los </w:t>
      </w:r>
      <w:r w:rsidRPr="00373B5F">
        <w:rPr>
          <w:bCs/>
          <w:u w:val="single"/>
        </w:rPr>
        <w:t>derechos humanos</w:t>
      </w:r>
      <w:r w:rsidRPr="00373B5F">
        <w:rPr>
          <w:bCs/>
        </w:rPr>
        <w:t xml:space="preserve"> están protegidos en la Constitución de Noruega, la Ley de Derechos Humanos y leyes específicas en diversos ámbitos.</w:t>
      </w:r>
    </w:p>
    <w:p w14:paraId="66340BCB" w14:textId="77777777" w:rsidR="00373B5F" w:rsidRPr="00373B5F" w:rsidRDefault="00373B5F" w:rsidP="00373B5F">
      <w:pPr>
        <w:pStyle w:val="SingleTxtG"/>
        <w:rPr>
          <w:bCs/>
          <w:lang w:val="en-GB"/>
        </w:rPr>
      </w:pPr>
      <w:r w:rsidRPr="00373B5F">
        <w:rPr>
          <w:bCs/>
        </w:rPr>
        <w:t>102.</w:t>
      </w:r>
      <w:r w:rsidRPr="00373B5F">
        <w:rPr>
          <w:bCs/>
        </w:rPr>
        <w:tab/>
        <w:t xml:space="preserve">Noruega es un </w:t>
      </w:r>
      <w:r w:rsidRPr="00373B5F">
        <w:rPr>
          <w:bCs/>
          <w:u w:val="single"/>
        </w:rPr>
        <w:t>país dualista</w:t>
      </w:r>
      <w:r w:rsidRPr="00373B5F">
        <w:rPr>
          <w:bCs/>
        </w:rPr>
        <w:t xml:space="preserve">. Por lo tanto, para que sean directamente aplicables en el derecho noruego, los convenios internacionales de derechos humanos deben -en principio- incorporarse o transformarse en derecho noruego. Por </w:t>
      </w:r>
      <w:r w:rsidRPr="00373B5F">
        <w:rPr>
          <w:bCs/>
          <w:u w:val="single"/>
        </w:rPr>
        <w:t>incorporación</w:t>
      </w:r>
      <w:r w:rsidRPr="00373B5F">
        <w:rPr>
          <w:bCs/>
        </w:rPr>
        <w:t xml:space="preserve"> se entiende que el convenio como tal se incorpora a la legislación noruega a través de disposiciones específicas, por ejemplo, en la Ley de Derechos Humanos. Por </w:t>
      </w:r>
      <w:r w:rsidRPr="00373B5F">
        <w:rPr>
          <w:bCs/>
          <w:u w:val="single"/>
        </w:rPr>
        <w:t>transformación</w:t>
      </w:r>
      <w:r w:rsidRPr="00373B5F">
        <w:rPr>
          <w:bCs/>
        </w:rPr>
        <w:t xml:space="preserve"> se entiende que la legislación nacional se adapta al convenio. La transformación puede ser activa o pasiva. La transformación activa implica que el </w:t>
      </w:r>
      <w:proofErr w:type="spellStart"/>
      <w:r w:rsidRPr="00373B5F">
        <w:rPr>
          <w:bCs/>
        </w:rPr>
        <w:t>Storting</w:t>
      </w:r>
      <w:proofErr w:type="spellEnd"/>
      <w:r w:rsidRPr="00373B5F">
        <w:rPr>
          <w:bCs/>
        </w:rPr>
        <w:t xml:space="preserve"> aplica una nueva legislación o modifica la existente para ajustarla al convenio en cuestión, mientras que la transformación pasiva significa que el </w:t>
      </w:r>
      <w:proofErr w:type="spellStart"/>
      <w:r w:rsidRPr="00373B5F">
        <w:rPr>
          <w:bCs/>
        </w:rPr>
        <w:t>Storting</w:t>
      </w:r>
      <w:proofErr w:type="spellEnd"/>
      <w:r w:rsidRPr="00373B5F">
        <w:rPr>
          <w:bCs/>
          <w:i/>
          <w:iCs/>
        </w:rPr>
        <w:t xml:space="preserve"> </w:t>
      </w:r>
      <w:r w:rsidRPr="00373B5F">
        <w:rPr>
          <w:bCs/>
        </w:rPr>
        <w:t xml:space="preserve">considera que la legislación noruega existente ya se ajusta al convenio. </w:t>
      </w:r>
    </w:p>
    <w:p w14:paraId="75B54721" w14:textId="77777777" w:rsidR="00373B5F" w:rsidRPr="00373B5F" w:rsidRDefault="00373B5F" w:rsidP="00373B5F">
      <w:pPr>
        <w:pStyle w:val="SingleTxtG"/>
        <w:rPr>
          <w:bCs/>
          <w:lang w:val="en-GB"/>
        </w:rPr>
      </w:pPr>
      <w:r w:rsidRPr="00373B5F">
        <w:rPr>
          <w:bCs/>
        </w:rPr>
        <w:t>103.</w:t>
      </w:r>
      <w:r w:rsidRPr="00373B5F">
        <w:rPr>
          <w:bCs/>
        </w:rPr>
        <w:tab/>
        <w:t>También es un principio del derecho noruego general que la legislación nacional debe interpretarse en consonancia con las obligaciones vinculantes de Noruega en virtud del derecho internacional público. Este principio es especialmente importante con respecto a las obligaciones internacionales en materia de derechos humanos. Este principio ha sido citado en varias ocasiones por el Tribunal Supremo de Noruega.</w:t>
      </w:r>
    </w:p>
    <w:p w14:paraId="4676BBC4" w14:textId="77777777" w:rsidR="00373B5F" w:rsidRPr="00373B5F" w:rsidRDefault="00373B5F" w:rsidP="00373B5F">
      <w:pPr>
        <w:pStyle w:val="SingleTxtG"/>
        <w:rPr>
          <w:bCs/>
          <w:lang w:val="en-GB"/>
        </w:rPr>
      </w:pPr>
      <w:r w:rsidRPr="00373B5F">
        <w:rPr>
          <w:bCs/>
        </w:rPr>
        <w:t>104.</w:t>
      </w:r>
      <w:r w:rsidRPr="00373B5F">
        <w:rPr>
          <w:bCs/>
        </w:rPr>
        <w:tab/>
        <w:t xml:space="preserve">En algunos ámbitos del derecho se aplica el </w:t>
      </w:r>
      <w:r w:rsidRPr="00373B5F">
        <w:rPr>
          <w:bCs/>
          <w:u w:val="single"/>
        </w:rPr>
        <w:t>monismo sectorial</w:t>
      </w:r>
      <w:r w:rsidRPr="00373B5F">
        <w:rPr>
          <w:bCs/>
        </w:rPr>
        <w:t>, lo que significa que una ley concreta establece explícitamente que las disposiciones de la ley se aplican con las limitaciones reconocidas en el derecho internacional público, que incluye los derechos humanos. La Ley de Litigios y el Código Penal son ejemplos de este tipo de legislación.</w:t>
      </w:r>
    </w:p>
    <w:p w14:paraId="540E34EE" w14:textId="0228F1EC" w:rsidR="00373B5F" w:rsidRPr="00373B5F" w:rsidRDefault="00373B5F" w:rsidP="00653C36">
      <w:pPr>
        <w:pStyle w:val="H23G"/>
        <w:rPr>
          <w:lang w:val="en-GB"/>
        </w:rPr>
      </w:pPr>
      <w:r w:rsidRPr="00373B5F">
        <w:tab/>
      </w:r>
      <w:r w:rsidR="00653C36">
        <w:tab/>
      </w:r>
      <w:r w:rsidRPr="00373B5F">
        <w:t>La Constitución de Noruega</w:t>
      </w:r>
    </w:p>
    <w:p w14:paraId="4011696D" w14:textId="77777777" w:rsidR="00373B5F" w:rsidRPr="00373B5F" w:rsidRDefault="00373B5F" w:rsidP="00373B5F">
      <w:pPr>
        <w:pStyle w:val="SingleTxtG"/>
        <w:rPr>
          <w:bCs/>
          <w:lang w:val="en-GB"/>
        </w:rPr>
      </w:pPr>
      <w:r w:rsidRPr="00373B5F">
        <w:rPr>
          <w:bCs/>
        </w:rPr>
        <w:t>105.</w:t>
      </w:r>
      <w:r w:rsidRPr="00373B5F">
        <w:rPr>
          <w:bCs/>
        </w:rPr>
        <w:tab/>
        <w:t xml:space="preserve">La </w:t>
      </w:r>
      <w:r w:rsidRPr="00373B5F">
        <w:rPr>
          <w:bCs/>
          <w:u w:val="single"/>
        </w:rPr>
        <w:t>Constitución de Noruega</w:t>
      </w:r>
      <w:r w:rsidRPr="00373B5F">
        <w:rPr>
          <w:bCs/>
        </w:rPr>
        <w:t xml:space="preserve">, aprobada en 1814, se basa en los principios de soberanía del pueblo, separación de poderes y respeto de los derechos humanos y las libertades fundamentales. Ahora bien, la Constitución de 1814 no contenía una declaración de derechos completa. Más bien especificaba los derechos humanos y libertades fundamentales acordados en ese momento. En los últimos años se han añadido artículos relativos a los derechos humanos y, en diciembre de 2011, un Comité de Derechos Humanos nombrado por el </w:t>
      </w:r>
      <w:proofErr w:type="spellStart"/>
      <w:r w:rsidRPr="00373B5F">
        <w:rPr>
          <w:bCs/>
        </w:rPr>
        <w:t>Storting</w:t>
      </w:r>
      <w:proofErr w:type="spellEnd"/>
      <w:r w:rsidRPr="00373B5F">
        <w:rPr>
          <w:bCs/>
        </w:rPr>
        <w:t xml:space="preserve"> presentó un informe con propuestas para fortalecer los </w:t>
      </w:r>
      <w:r w:rsidRPr="00373B5F">
        <w:rPr>
          <w:bCs/>
          <w:u w:val="single"/>
        </w:rPr>
        <w:t>derechos humanos en la Constitución</w:t>
      </w:r>
      <w:r w:rsidRPr="00373B5F">
        <w:rPr>
          <w:bCs/>
        </w:rPr>
        <w:t xml:space="preserve">. El informe incluía varias propuestas de modificaciones constitucionales relacionadas con los derechos civiles y políticos, los derechos económicos, sociales y culturales, así como la salvaguarda de los derechos del niño en la Constitución. </w:t>
      </w:r>
    </w:p>
    <w:p w14:paraId="770641B4" w14:textId="77777777" w:rsidR="00373B5F" w:rsidRPr="00373B5F" w:rsidRDefault="00373B5F" w:rsidP="00373B5F">
      <w:pPr>
        <w:pStyle w:val="SingleTxtG"/>
        <w:rPr>
          <w:bCs/>
          <w:lang w:val="en-GB"/>
        </w:rPr>
      </w:pPr>
      <w:r w:rsidRPr="00373B5F">
        <w:rPr>
          <w:bCs/>
        </w:rPr>
        <w:t>106.</w:t>
      </w:r>
      <w:r w:rsidRPr="00373B5F">
        <w:rPr>
          <w:bCs/>
        </w:rPr>
        <w:tab/>
        <w:t xml:space="preserve">Todas las propuestas del informe fueron presentadas en el </w:t>
      </w:r>
      <w:proofErr w:type="spellStart"/>
      <w:r w:rsidRPr="00373B5F">
        <w:rPr>
          <w:bCs/>
        </w:rPr>
        <w:t>Storting</w:t>
      </w:r>
      <w:proofErr w:type="spellEnd"/>
      <w:r w:rsidRPr="00373B5F">
        <w:rPr>
          <w:bCs/>
        </w:rPr>
        <w:t xml:space="preserve"> por diferentes grupos de representantes electos formados por miembros de todos los partidos representados en el </w:t>
      </w:r>
      <w:proofErr w:type="spellStart"/>
      <w:r w:rsidRPr="00373B5F">
        <w:rPr>
          <w:bCs/>
        </w:rPr>
        <w:t>Storting</w:t>
      </w:r>
      <w:proofErr w:type="spellEnd"/>
      <w:r w:rsidRPr="00373B5F">
        <w:rPr>
          <w:bCs/>
        </w:rPr>
        <w:t xml:space="preserve">. En 2014 se aprobaron varias de las propuestas y se añadió una nueva carta de derechos en el capítulo E de la Constitución. El primer artículo del capítulo establece el deber general de todas las autoridades públicas de respetar y salvaguardar los derechos humanos establecidos en la Constitución y en los tratados de derechos humanos vinculantes para Noruega (véase el art. 92). </w:t>
      </w:r>
    </w:p>
    <w:p w14:paraId="46137EB1" w14:textId="77777777" w:rsidR="00373B5F" w:rsidRPr="00373B5F" w:rsidRDefault="00373B5F" w:rsidP="00373B5F">
      <w:pPr>
        <w:pStyle w:val="SingleTxtG"/>
        <w:rPr>
          <w:bCs/>
          <w:lang w:val="en-GB"/>
        </w:rPr>
      </w:pPr>
      <w:r w:rsidRPr="00373B5F">
        <w:rPr>
          <w:bCs/>
        </w:rPr>
        <w:t>107.</w:t>
      </w:r>
      <w:r w:rsidRPr="00373B5F">
        <w:rPr>
          <w:bCs/>
        </w:rPr>
        <w:tab/>
        <w:t xml:space="preserve">Según el Tribunal Supremo, la </w:t>
      </w:r>
      <w:r w:rsidRPr="00373B5F">
        <w:rPr>
          <w:bCs/>
          <w:u w:val="single"/>
        </w:rPr>
        <w:t xml:space="preserve">referencia a los tratados internacionales de derechos humanos </w:t>
      </w:r>
      <w:r w:rsidRPr="00373B5F">
        <w:rPr>
          <w:bCs/>
        </w:rPr>
        <w:t xml:space="preserve">vinculantes para Noruega que se hace en el artículo 92 no puede interpretarse como una incorporación de estos tratados a nivel constitucional. En lugar de ello, el artículo impone a los tribunales y otras autoridades públicas la obligación de hacer efectivos los derechos </w:t>
      </w:r>
      <w:r w:rsidRPr="00373B5F">
        <w:rPr>
          <w:bCs/>
        </w:rPr>
        <w:lastRenderedPageBreak/>
        <w:t>humanos en el nivel en que se aplican en la legislación nacional</w:t>
      </w:r>
      <w:r w:rsidRPr="00373B5F">
        <w:rPr>
          <w:bCs/>
          <w:sz w:val="18"/>
          <w:szCs w:val="18"/>
          <w:vertAlign w:val="superscript"/>
        </w:rPr>
        <w:footnoteReference w:id="12"/>
      </w:r>
      <w:r w:rsidRPr="00373B5F">
        <w:rPr>
          <w:bCs/>
        </w:rPr>
        <w:t xml:space="preserve">. Los 17 artículos siguientes contienen una serie de derechos humanos importantes, entre ellos la mayoría de los derechos establecidos en el Pacto Internacional de Derechos Civiles y Políticos y algunos derechos clave establecidos en el Pacto Internacional de Derechos Económicos, Sociales y Culturales y la Convención sobre los Derechos del Niño. Los artículos sobre derechos humanos de la Constitución se inspiran en sus homólogos del derecho internacional y, en esencia, abordan los mismos aspectos. Según una sentencia del Tribunal Supremo de 2015, los artículos del capítulo E deben interpretarse a la luz de sus homólogos internacionales. Sin embargo, la práctica futura de los órganos internacionales de aplicación no debería sentar el mismo precedente judicial en la interpretación de la Constitución que en la interpretación de las disposiciones convencionales correspondientes. </w:t>
      </w:r>
    </w:p>
    <w:p w14:paraId="74F02025" w14:textId="77777777" w:rsidR="00373B5F" w:rsidRPr="00373B5F" w:rsidRDefault="00373B5F" w:rsidP="00373B5F">
      <w:pPr>
        <w:pStyle w:val="SingleTxtG"/>
        <w:rPr>
          <w:bCs/>
          <w:lang w:val="en-GB"/>
        </w:rPr>
      </w:pPr>
      <w:r w:rsidRPr="00373B5F">
        <w:rPr>
          <w:bCs/>
        </w:rPr>
        <w:t>108.</w:t>
      </w:r>
      <w:r w:rsidRPr="00373B5F">
        <w:rPr>
          <w:bCs/>
        </w:rPr>
        <w:tab/>
        <w:t xml:space="preserve">La </w:t>
      </w:r>
      <w:r w:rsidRPr="00373B5F">
        <w:rPr>
          <w:bCs/>
          <w:u w:val="single"/>
        </w:rPr>
        <w:t>libertad de religión</w:t>
      </w:r>
      <w:r w:rsidRPr="00373B5F">
        <w:rPr>
          <w:bCs/>
        </w:rPr>
        <w:t xml:space="preserve"> está consagrada en la Constitución desde 1964. En 2012 se modificaron las disposiciones que establecían el sistema constitucional de iglesias estatales. La Constitución establece ahora que la herencia cristiana y humanista seguirán siendo nuestros valores y que la Iglesia de Noruega seguirá siendo la Iglesia oficial de Noruega y, como tal, seguirá estando financiada por el Estado. La Ley de la Iglesia se modificó en 2016 para establecer la Iglesia de Noruega como entidad jurídica independiente a partir del 1 de enero de 2017. </w:t>
      </w:r>
    </w:p>
    <w:p w14:paraId="3B0E0F19" w14:textId="113682F3" w:rsidR="00373B5F" w:rsidRPr="00373B5F" w:rsidRDefault="00653C36" w:rsidP="00653C36">
      <w:pPr>
        <w:pStyle w:val="H23G"/>
        <w:rPr>
          <w:lang w:val="en-GB"/>
        </w:rPr>
      </w:pPr>
      <w:r>
        <w:tab/>
      </w:r>
      <w:r w:rsidR="00373B5F" w:rsidRPr="00373B5F">
        <w:tab/>
        <w:t>La Ley de Derechos Humanos</w:t>
      </w:r>
    </w:p>
    <w:p w14:paraId="2565FC0A" w14:textId="77777777" w:rsidR="00373B5F" w:rsidRPr="00373B5F" w:rsidRDefault="00373B5F" w:rsidP="00373B5F">
      <w:pPr>
        <w:pStyle w:val="SingleTxtG"/>
        <w:rPr>
          <w:bCs/>
          <w:lang w:val="en-GB"/>
        </w:rPr>
      </w:pPr>
      <w:r w:rsidRPr="00373B5F">
        <w:rPr>
          <w:bCs/>
        </w:rPr>
        <w:t>109.</w:t>
      </w:r>
      <w:r w:rsidRPr="00373B5F">
        <w:rPr>
          <w:bCs/>
        </w:rPr>
        <w:tab/>
        <w:t>En virtud de la Ley de Derechos Humanos de 21 de mayo de 1999, se han incorporado a la legislación noruega los siguientes convenios:</w:t>
      </w:r>
    </w:p>
    <w:p w14:paraId="5482C9D3" w14:textId="74762DA8" w:rsidR="00373B5F" w:rsidRPr="00373B5F" w:rsidRDefault="00373B5F" w:rsidP="00653C36">
      <w:pPr>
        <w:pStyle w:val="Bullet1G"/>
        <w:rPr>
          <w:lang w:val="en-GB"/>
        </w:rPr>
      </w:pPr>
      <w:r w:rsidRPr="00373B5F">
        <w:t xml:space="preserve">El Convenio Europeo para la Protección de los Derechos Humanos y de las Libertades Fundamentales, con sus posteriores protocolos modificativos y los siguientes protocolos adicionales: </w:t>
      </w:r>
      <w:proofErr w:type="spellStart"/>
      <w:r w:rsidRPr="00373B5F">
        <w:t>núms</w:t>
      </w:r>
      <w:proofErr w:type="spellEnd"/>
      <w:r w:rsidRPr="00373B5F">
        <w:t>. l, 4, 6, 7 y 13</w:t>
      </w:r>
      <w:r w:rsidR="00653C36">
        <w:t>.</w:t>
      </w:r>
    </w:p>
    <w:p w14:paraId="3885745A" w14:textId="62742245" w:rsidR="00373B5F" w:rsidRPr="00373B5F" w:rsidRDefault="00373B5F" w:rsidP="00653C36">
      <w:pPr>
        <w:pStyle w:val="Bullet1G"/>
        <w:rPr>
          <w:lang w:val="en-GB"/>
        </w:rPr>
      </w:pPr>
      <w:r w:rsidRPr="00373B5F">
        <w:t>El Pacto Internacional de Derechos Económicos, Sociales y Culturales</w:t>
      </w:r>
      <w:r w:rsidR="00653C36">
        <w:t>.</w:t>
      </w:r>
    </w:p>
    <w:p w14:paraId="72CD6C38" w14:textId="4FED0AF2" w:rsidR="00373B5F" w:rsidRPr="00373B5F" w:rsidRDefault="00373B5F" w:rsidP="00653C36">
      <w:pPr>
        <w:pStyle w:val="Bullet1G"/>
        <w:rPr>
          <w:lang w:val="en-GB"/>
        </w:rPr>
      </w:pPr>
      <w:r w:rsidRPr="00373B5F">
        <w:t>El Pacto Internacional de Derechos Civiles y Políticos, incluidos sus Protocolos Facultativos primero y segundo</w:t>
      </w:r>
      <w:r w:rsidR="00653C36">
        <w:t>.</w:t>
      </w:r>
    </w:p>
    <w:p w14:paraId="4DBDA424" w14:textId="014938B3" w:rsidR="00373B5F" w:rsidRPr="00373B5F" w:rsidRDefault="00373B5F" w:rsidP="00653C36">
      <w:pPr>
        <w:pStyle w:val="Bullet1G"/>
        <w:rPr>
          <w:lang w:val="en-GB"/>
        </w:rPr>
      </w:pPr>
      <w:r w:rsidRPr="00373B5F">
        <w:t>La Convención sobre los Derechos del Niño, incluidos los Protocolos Facultativos relativos a la participación de niños en los conflictos armados y a la venta de niños, la prostitución infantil y la utilización de niños en la pornografía</w:t>
      </w:r>
      <w:r w:rsidR="00653C36">
        <w:t>.</w:t>
      </w:r>
    </w:p>
    <w:p w14:paraId="7F4EE665" w14:textId="77777777" w:rsidR="00373B5F" w:rsidRPr="00373B5F" w:rsidRDefault="00373B5F" w:rsidP="00653C36">
      <w:pPr>
        <w:pStyle w:val="Bullet1G"/>
        <w:rPr>
          <w:lang w:val="en-GB"/>
        </w:rPr>
      </w:pPr>
      <w:r w:rsidRPr="00373B5F">
        <w:t>La Convención sobre la Eliminación de Todas las Formas de Discriminación contra la Mujer, incluido su Protocolo Facultativo.</w:t>
      </w:r>
    </w:p>
    <w:p w14:paraId="10E9B16C" w14:textId="77777777" w:rsidR="00373B5F" w:rsidRPr="00373B5F" w:rsidRDefault="00373B5F" w:rsidP="00373B5F">
      <w:pPr>
        <w:pStyle w:val="SingleTxtG"/>
        <w:rPr>
          <w:bCs/>
          <w:lang w:val="en-GB"/>
        </w:rPr>
      </w:pPr>
      <w:r w:rsidRPr="00373B5F">
        <w:rPr>
          <w:bCs/>
        </w:rPr>
        <w:t>110.</w:t>
      </w:r>
      <w:r w:rsidRPr="00373B5F">
        <w:rPr>
          <w:bCs/>
        </w:rPr>
        <w:tab/>
        <w:t>El artículo 3 de la Ley de Derechos Humanos establece que, si la legislación nacional entra en conflicto con las disposiciones de los convenios de derechos humanos incorporados por la ley, prevalecerán estas últimas.</w:t>
      </w:r>
    </w:p>
    <w:p w14:paraId="7048321B" w14:textId="7110D283" w:rsidR="00373B5F" w:rsidRPr="00373B5F" w:rsidRDefault="00373B5F" w:rsidP="00653C36">
      <w:pPr>
        <w:pStyle w:val="H23G"/>
        <w:rPr>
          <w:lang w:val="en-GB"/>
        </w:rPr>
      </w:pPr>
      <w:r w:rsidRPr="00373B5F">
        <w:tab/>
      </w:r>
      <w:r w:rsidR="00653C36">
        <w:tab/>
      </w:r>
      <w:r w:rsidRPr="00373B5F">
        <w:t>Otras leyes</w:t>
      </w:r>
    </w:p>
    <w:p w14:paraId="1CB726A7" w14:textId="4000BE0A" w:rsidR="00373B5F" w:rsidRPr="00373B5F" w:rsidRDefault="00373B5F" w:rsidP="00373B5F">
      <w:pPr>
        <w:pStyle w:val="SingleTxtG"/>
        <w:rPr>
          <w:bCs/>
          <w:lang w:val="en-GB"/>
        </w:rPr>
      </w:pPr>
      <w:r w:rsidRPr="00373B5F">
        <w:rPr>
          <w:bCs/>
        </w:rPr>
        <w:t>111.</w:t>
      </w:r>
      <w:r w:rsidRPr="00373B5F">
        <w:rPr>
          <w:bCs/>
        </w:rPr>
        <w:tab/>
        <w:t xml:space="preserve">También se han incorporado o transformado en legislación noruega otros convenios relativos a los derechos humanos. Por ejemplo, la Convención Internacional sobre la Eliminación de </w:t>
      </w:r>
      <w:r w:rsidR="00DF4F86">
        <w:rPr>
          <w:bCs/>
        </w:rPr>
        <w:t>T</w:t>
      </w:r>
      <w:r w:rsidRPr="00373B5F">
        <w:rPr>
          <w:bCs/>
        </w:rPr>
        <w:t>odas las Formas de Discriminación Racial se ha incorporado a la legislación noruega a través del artículo 5 de la Ley de Igualdad y Lucha contra la Discriminación, de 16 de junio de 2017, y la Convención contra la Tortura y Otros Tratos o Penas Crueles, Inhumanos o Degradantes se ha transformado en legislación noruega a través del Código Penal.</w:t>
      </w:r>
    </w:p>
    <w:p w14:paraId="39529D6D" w14:textId="008841BF" w:rsidR="00373B5F" w:rsidRPr="00373B5F" w:rsidRDefault="00653C36" w:rsidP="00653C36">
      <w:pPr>
        <w:pStyle w:val="H23G"/>
        <w:rPr>
          <w:lang w:val="en-GB"/>
        </w:rPr>
      </w:pPr>
      <w:bookmarkStart w:id="73" w:name="_Toc243126033"/>
      <w:bookmarkStart w:id="74" w:name="_Toc245183258"/>
      <w:r>
        <w:tab/>
      </w:r>
      <w:r w:rsidR="00373B5F" w:rsidRPr="00373B5F">
        <w:t>b)</w:t>
      </w:r>
      <w:r w:rsidR="00373B5F" w:rsidRPr="00373B5F">
        <w:tab/>
        <w:t xml:space="preserve">Competencias de las autoridades judiciales, administrativas y de otras </w:t>
      </w:r>
      <w:r>
        <w:br/>
      </w:r>
      <w:r w:rsidR="00373B5F" w:rsidRPr="00373B5F">
        <w:t>autoridades públicas en materia de derechos humanos</w:t>
      </w:r>
      <w:bookmarkEnd w:id="73"/>
      <w:bookmarkEnd w:id="74"/>
    </w:p>
    <w:p w14:paraId="316E2063" w14:textId="77777777" w:rsidR="00373B5F" w:rsidRPr="00373B5F" w:rsidRDefault="00373B5F" w:rsidP="00373B5F">
      <w:pPr>
        <w:pStyle w:val="SingleTxtG"/>
        <w:rPr>
          <w:bCs/>
          <w:lang w:val="en-GB"/>
        </w:rPr>
      </w:pPr>
      <w:r w:rsidRPr="00373B5F">
        <w:rPr>
          <w:bCs/>
        </w:rPr>
        <w:t>112.</w:t>
      </w:r>
      <w:r w:rsidRPr="00373B5F">
        <w:rPr>
          <w:bCs/>
        </w:rPr>
        <w:tab/>
        <w:t xml:space="preserve">Todas las autoridades públicas están </w:t>
      </w:r>
      <w:r w:rsidRPr="00373B5F">
        <w:rPr>
          <w:bCs/>
          <w:u w:val="single"/>
        </w:rPr>
        <w:t>obligadas a respetar y garantizar los derechos humanos</w:t>
      </w:r>
      <w:r w:rsidRPr="00373B5F">
        <w:rPr>
          <w:bCs/>
        </w:rPr>
        <w:t xml:space="preserve"> tal y como se expresan en la Constitución y en los tratados de derechos humanos que son vinculantes para Noruega (véase el art. 92 de la Constitución de Noruega). Algunas autoridades públicas tienen una responsabilidad más general. Por ejemplo, el Ministro de </w:t>
      </w:r>
      <w:r w:rsidRPr="00373B5F">
        <w:rPr>
          <w:bCs/>
        </w:rPr>
        <w:lastRenderedPageBreak/>
        <w:t>Justicia y Seguridad Pública es responsable de la Ley de Derechos Humanos, y el Defensor del Pueblo Parlamentario tiene el deber de contribuir a que las autoridades públicas respeten y salvaguarden los derechos humanos.</w:t>
      </w:r>
    </w:p>
    <w:p w14:paraId="68DD3BDF" w14:textId="29CBABEF" w:rsidR="00373B5F" w:rsidRPr="00373B5F" w:rsidRDefault="00653C36" w:rsidP="00653C36">
      <w:pPr>
        <w:pStyle w:val="H23G"/>
        <w:rPr>
          <w:lang w:val="en-GB"/>
        </w:rPr>
      </w:pPr>
      <w:bookmarkStart w:id="75" w:name="_Toc243126034"/>
      <w:bookmarkStart w:id="76" w:name="_Toc245183259"/>
      <w:r>
        <w:tab/>
      </w:r>
      <w:r w:rsidR="00373B5F" w:rsidRPr="00373B5F">
        <w:t>c)</w:t>
      </w:r>
      <w:r w:rsidR="00373B5F" w:rsidRPr="00373B5F">
        <w:tab/>
        <w:t>Recursos</w:t>
      </w:r>
      <w:bookmarkEnd w:id="75"/>
      <w:bookmarkEnd w:id="76"/>
    </w:p>
    <w:p w14:paraId="0A4EC5E9" w14:textId="77777777" w:rsidR="00373B5F" w:rsidRPr="00373B5F" w:rsidRDefault="00373B5F" w:rsidP="00373B5F">
      <w:pPr>
        <w:pStyle w:val="SingleTxtG"/>
        <w:rPr>
          <w:bCs/>
          <w:lang w:val="en-GB"/>
        </w:rPr>
      </w:pPr>
      <w:r w:rsidRPr="00373B5F">
        <w:rPr>
          <w:bCs/>
        </w:rPr>
        <w:t>113.</w:t>
      </w:r>
      <w:r w:rsidRPr="00373B5F">
        <w:rPr>
          <w:bCs/>
        </w:rPr>
        <w:tab/>
        <w:t>Hay muchas formas de plantear una cuestión de derechos humanos ante un tribunal o una autoridad administrativa noruega, por ejemplo, como reclamación de indemnización, como motivo para declarar nula una decisión administrativa o judicial, o como cuestión de equidad procesal (por ejemplo, el derecho a un juicio imparcial) en actuaciones civiles o penales. Además, una persona que considere que se han violado sus derechos humanos puede, con sujeción a las limitaciones ordinarias establecidas en la Ley de Litigios, presentar una demanda para que los tribunales dicten sentencia sobre el caso.</w:t>
      </w:r>
    </w:p>
    <w:p w14:paraId="0B0B44B4" w14:textId="6B9CE0B4" w:rsidR="00373B5F" w:rsidRPr="00373B5F" w:rsidRDefault="00373B5F" w:rsidP="00373B5F">
      <w:pPr>
        <w:pStyle w:val="SingleTxtG"/>
        <w:rPr>
          <w:bCs/>
          <w:lang w:val="en-GB"/>
        </w:rPr>
      </w:pPr>
      <w:r w:rsidRPr="00373B5F">
        <w:rPr>
          <w:bCs/>
        </w:rPr>
        <w:t>114.</w:t>
      </w:r>
      <w:r w:rsidRPr="00373B5F">
        <w:rPr>
          <w:bCs/>
        </w:rPr>
        <w:tab/>
        <w:t xml:space="preserve">Varias autoridades públicas y </w:t>
      </w:r>
      <w:r w:rsidRPr="00373B5F">
        <w:rPr>
          <w:bCs/>
          <w:u w:val="single"/>
        </w:rPr>
        <w:t xml:space="preserve">mecanismos de denuncia </w:t>
      </w:r>
      <w:r w:rsidRPr="00373B5F">
        <w:rPr>
          <w:bCs/>
        </w:rPr>
        <w:t xml:space="preserve">abordan cuestiones específicas de derechos humanos, como la igualdad de género y los derechos del niño. En términos más generales, una persona tiene derecho a presentar una queja ante el Defensor del Pueblo Parlamentario en relación con una supuesta injusticia </w:t>
      </w:r>
      <w:r w:rsidR="004D2C52">
        <w:rPr>
          <w:bCs/>
        </w:rPr>
        <w:t>—</w:t>
      </w:r>
      <w:r w:rsidRPr="00373B5F">
        <w:rPr>
          <w:bCs/>
        </w:rPr>
        <w:t>incluidas las violaciones de los derechos humanos</w:t>
      </w:r>
      <w:r w:rsidR="004D2C52">
        <w:rPr>
          <w:bCs/>
        </w:rPr>
        <w:t>—</w:t>
      </w:r>
      <w:r w:rsidRPr="00373B5F">
        <w:rPr>
          <w:bCs/>
        </w:rPr>
        <w:t xml:space="preserve"> cometida por cualquier autoridad pública. El Defensor del Pueblo puede considerar que la autoridad pública ha cometido un error o ha actuado con negligencia. El Defensor del Pueblo también puede considerar que la decisión es claramente irrazonable o contraria a la buena práctica administrativa. El Defensor del Pueblo puede recomendar la concesión de una indemnización si existen motivos suficientes para ello. El dictamen del Defensor del Pueblo no es jurídicamente vinculante, pero normalmente se respeta.</w:t>
      </w:r>
    </w:p>
    <w:p w14:paraId="4A5764B0" w14:textId="7120F6F6" w:rsidR="00373B5F" w:rsidRPr="00373B5F" w:rsidRDefault="00373B5F" w:rsidP="00653C36">
      <w:pPr>
        <w:pStyle w:val="H23G"/>
        <w:rPr>
          <w:lang w:val="en-GB"/>
        </w:rPr>
      </w:pPr>
      <w:bookmarkStart w:id="77" w:name="_Toc243126035"/>
      <w:bookmarkStart w:id="78" w:name="_Toc245183260"/>
      <w:r w:rsidRPr="00373B5F">
        <w:tab/>
      </w:r>
      <w:r w:rsidR="00653C36">
        <w:tab/>
      </w:r>
      <w:r w:rsidRPr="00373B5F">
        <w:t xml:space="preserve">El Tribunal Europeo de Derechos Humanos y otros mecanismos regionales </w:t>
      </w:r>
      <w:r w:rsidR="00653C36">
        <w:br/>
      </w:r>
      <w:r w:rsidRPr="00373B5F">
        <w:t>de denuncia</w:t>
      </w:r>
      <w:bookmarkEnd w:id="77"/>
      <w:bookmarkEnd w:id="78"/>
    </w:p>
    <w:p w14:paraId="15BE8FBA" w14:textId="77777777" w:rsidR="00373B5F" w:rsidRPr="00373B5F" w:rsidRDefault="00373B5F" w:rsidP="00373B5F">
      <w:pPr>
        <w:pStyle w:val="SingleTxtG"/>
        <w:rPr>
          <w:bCs/>
          <w:lang w:val="en-GB"/>
        </w:rPr>
      </w:pPr>
      <w:r w:rsidRPr="00373B5F">
        <w:rPr>
          <w:bCs/>
        </w:rPr>
        <w:t>115.</w:t>
      </w:r>
      <w:r w:rsidRPr="00373B5F">
        <w:rPr>
          <w:bCs/>
        </w:rPr>
        <w:tab/>
        <w:t xml:space="preserve">Como parte en el Convenio Europeo de Derechos Humanos, Noruega ha aceptado la jurisdicción del Tribunal Europeo de Derechos Humanos. Noruega también es parte en el Protocolo Adicional a la Carta Social Europea en el que se Establece un Sistema de Reclamaciones Colectivas. </w:t>
      </w:r>
      <w:bookmarkStart w:id="79" w:name="_Toc243126036"/>
      <w:bookmarkStart w:id="80" w:name="_Toc245183261"/>
    </w:p>
    <w:p w14:paraId="4A9C999A" w14:textId="12EF5463" w:rsidR="00373B5F" w:rsidRPr="00373B5F" w:rsidRDefault="00653C36" w:rsidP="00653C36">
      <w:pPr>
        <w:pStyle w:val="H1G"/>
        <w:rPr>
          <w:lang w:val="en-GB"/>
        </w:rPr>
      </w:pPr>
      <w:bookmarkStart w:id="81" w:name="_Hlk163737016"/>
      <w:r>
        <w:tab/>
      </w:r>
      <w:r w:rsidR="00373B5F" w:rsidRPr="00373B5F">
        <w:t>C.</w:t>
      </w:r>
      <w:r w:rsidR="00373B5F" w:rsidRPr="00373B5F">
        <w:tab/>
        <w:t xml:space="preserve">Marco de la promoción de los derechos humanos </w:t>
      </w:r>
      <w:r>
        <w:br/>
      </w:r>
      <w:r w:rsidR="00373B5F" w:rsidRPr="00373B5F">
        <w:t>a nivel nacional</w:t>
      </w:r>
      <w:bookmarkStart w:id="82" w:name="_Toc498605414"/>
      <w:bookmarkStart w:id="83" w:name="_Toc169082438"/>
      <w:bookmarkStart w:id="84" w:name="_Toc174450866"/>
      <w:bookmarkStart w:id="85" w:name="_Toc243126037"/>
      <w:bookmarkStart w:id="86" w:name="_Toc245183262"/>
      <w:bookmarkEnd w:id="79"/>
      <w:bookmarkEnd w:id="80"/>
      <w:bookmarkEnd w:id="82"/>
      <w:bookmarkEnd w:id="83"/>
      <w:bookmarkEnd w:id="84"/>
    </w:p>
    <w:bookmarkEnd w:id="81"/>
    <w:p w14:paraId="74BD8A46" w14:textId="02850C05" w:rsidR="00373B5F" w:rsidRPr="00373B5F" w:rsidRDefault="00653C36" w:rsidP="00653C36">
      <w:pPr>
        <w:pStyle w:val="H23G"/>
        <w:rPr>
          <w:lang w:val="en-GB"/>
        </w:rPr>
      </w:pPr>
      <w:r>
        <w:tab/>
      </w:r>
      <w:r w:rsidR="00373B5F" w:rsidRPr="00373B5F">
        <w:t>a)</w:t>
      </w:r>
      <w:r w:rsidR="00373B5F" w:rsidRPr="00373B5F">
        <w:tab/>
        <w:t xml:space="preserve">Introducción </w:t>
      </w:r>
      <w:bookmarkEnd w:id="85"/>
      <w:bookmarkEnd w:id="86"/>
    </w:p>
    <w:p w14:paraId="266E9DC3" w14:textId="77777777" w:rsidR="00373B5F" w:rsidRPr="00373B5F" w:rsidRDefault="00373B5F" w:rsidP="00373B5F">
      <w:pPr>
        <w:pStyle w:val="SingleTxtG"/>
        <w:rPr>
          <w:bCs/>
          <w:lang w:val="en-GB"/>
        </w:rPr>
      </w:pPr>
      <w:r w:rsidRPr="00373B5F">
        <w:rPr>
          <w:bCs/>
        </w:rPr>
        <w:t>116.</w:t>
      </w:r>
      <w:r w:rsidRPr="00373B5F">
        <w:rPr>
          <w:bCs/>
        </w:rPr>
        <w:tab/>
        <w:t xml:space="preserve">El objetivo primordial de un gobierno constitucional es proteger a las personas contra el abuso de poder y el trato arbitrario por parte de las autoridades públicas y garantizar la igualdad de trato, el bienestar y la democracia. Tanto el Gobierno como la administración pública a nivel nacional, regional y local están sujetos a las </w:t>
      </w:r>
      <w:r w:rsidRPr="00373B5F">
        <w:rPr>
          <w:bCs/>
          <w:u w:val="single"/>
        </w:rPr>
        <w:t>obligaciones</w:t>
      </w:r>
      <w:r w:rsidRPr="00373B5F">
        <w:rPr>
          <w:bCs/>
        </w:rPr>
        <w:t xml:space="preserve"> de Noruega </w:t>
      </w:r>
      <w:r w:rsidRPr="00373B5F">
        <w:rPr>
          <w:bCs/>
          <w:u w:val="single"/>
        </w:rPr>
        <w:t>en materia de derechos humanos</w:t>
      </w:r>
      <w:r w:rsidRPr="00373B5F">
        <w:rPr>
          <w:bCs/>
        </w:rPr>
        <w:t xml:space="preserve"> en el ejercicio de su autoridad. Lo mismo se aplica al </w:t>
      </w:r>
      <w:proofErr w:type="spellStart"/>
      <w:r w:rsidRPr="00373B5F">
        <w:rPr>
          <w:bCs/>
        </w:rPr>
        <w:t>Storting</w:t>
      </w:r>
      <w:proofErr w:type="spellEnd"/>
      <w:r w:rsidRPr="00373B5F">
        <w:rPr>
          <w:bCs/>
        </w:rPr>
        <w:t xml:space="preserve"> y al poder judicial. La aplicación de los instrumentos de derechos humanos en la legislación noruega y su situación en el ordenamiento jurídico se han descrito anteriormente. </w:t>
      </w:r>
    </w:p>
    <w:p w14:paraId="7CA6FEE7" w14:textId="77777777" w:rsidR="00373B5F" w:rsidRPr="00373B5F" w:rsidRDefault="00373B5F" w:rsidP="00373B5F">
      <w:pPr>
        <w:pStyle w:val="SingleTxtG"/>
        <w:rPr>
          <w:bCs/>
          <w:lang w:val="en-GB"/>
        </w:rPr>
      </w:pPr>
      <w:r w:rsidRPr="00373B5F">
        <w:rPr>
          <w:bCs/>
        </w:rPr>
        <w:t>117.</w:t>
      </w:r>
      <w:r w:rsidRPr="00373B5F">
        <w:rPr>
          <w:bCs/>
        </w:rPr>
        <w:tab/>
        <w:t xml:space="preserve">El poder judicial es independiente de los poderes ejecutivo y legislativo, y tiene el derecho y el deber de revisar la constitucionalidad de las leyes aprobadas por el </w:t>
      </w:r>
      <w:proofErr w:type="spellStart"/>
      <w:r w:rsidRPr="00373B5F">
        <w:rPr>
          <w:bCs/>
        </w:rPr>
        <w:t>Storting</w:t>
      </w:r>
      <w:proofErr w:type="spellEnd"/>
      <w:r w:rsidRPr="00373B5F">
        <w:rPr>
          <w:bCs/>
        </w:rPr>
        <w:t xml:space="preserve"> (véase el art. 89 de la Constitución), así como la facultad de revisar si la legislación es compatible con las obligaciones de Noruega en materia de derechos humanos. Los tribunales también pueden revisar cualquier decisión que implique el ejercicio de la autoridad pública. Las decisiones administrativas también pueden recurrirse ante una instancia administrativa superior, y las reclamaciones relativas a decisiones administrativas pueden presentarse al Defensor del Pueblo Parlamentario</w:t>
      </w:r>
      <w:r w:rsidRPr="00373B5F">
        <w:rPr>
          <w:bCs/>
          <w:sz w:val="18"/>
          <w:szCs w:val="18"/>
          <w:vertAlign w:val="superscript"/>
        </w:rPr>
        <w:footnoteReference w:id="13"/>
      </w:r>
      <w:r w:rsidRPr="00373B5F">
        <w:rPr>
          <w:bCs/>
        </w:rPr>
        <w:t xml:space="preserve">. </w:t>
      </w:r>
    </w:p>
    <w:p w14:paraId="2D8DE58C" w14:textId="77777777" w:rsidR="00373B5F" w:rsidRPr="00373B5F" w:rsidRDefault="00373B5F" w:rsidP="00373B5F">
      <w:pPr>
        <w:pStyle w:val="SingleTxtG"/>
        <w:rPr>
          <w:bCs/>
          <w:lang w:val="en-GB"/>
        </w:rPr>
      </w:pPr>
      <w:r w:rsidRPr="00373B5F">
        <w:rPr>
          <w:bCs/>
        </w:rPr>
        <w:t>118.</w:t>
      </w:r>
      <w:r w:rsidRPr="00373B5F">
        <w:rPr>
          <w:bCs/>
        </w:rPr>
        <w:tab/>
        <w:t xml:space="preserve">La responsabilidad de la </w:t>
      </w:r>
      <w:r w:rsidRPr="00373B5F">
        <w:rPr>
          <w:bCs/>
          <w:u w:val="single"/>
        </w:rPr>
        <w:t>aplicación nacional de las obligaciones en materia de derechos humanos</w:t>
      </w:r>
      <w:r w:rsidRPr="00373B5F">
        <w:rPr>
          <w:bCs/>
        </w:rPr>
        <w:t xml:space="preserve"> se divide entre los ministerios del Gobierno, todos ellos responsables del seguimiento de las recomendaciones de los diversos órganos de tratados en sus respectivos sectores. Los derechos humanos están integrados e incorporados en todos los sectores del </w:t>
      </w:r>
      <w:r w:rsidRPr="00373B5F">
        <w:rPr>
          <w:bCs/>
        </w:rPr>
        <w:lastRenderedPageBreak/>
        <w:t xml:space="preserve">Gobierno y la administración pública. Todos los ministerios y órganos administrativos tienen la obligación de tener en cuenta los derechos humanos al redactar leyes, elaborar directrices para la práctica administrativa y adoptar decisiones. </w:t>
      </w:r>
    </w:p>
    <w:p w14:paraId="37ABE8A1" w14:textId="77777777" w:rsidR="00373B5F" w:rsidRPr="00373B5F" w:rsidRDefault="00373B5F" w:rsidP="00373B5F">
      <w:pPr>
        <w:pStyle w:val="SingleTxtG"/>
        <w:rPr>
          <w:bCs/>
          <w:lang w:val="en-GB"/>
        </w:rPr>
      </w:pPr>
      <w:r w:rsidRPr="00373B5F">
        <w:rPr>
          <w:bCs/>
        </w:rPr>
        <w:t>119.</w:t>
      </w:r>
      <w:r w:rsidRPr="00373B5F">
        <w:rPr>
          <w:bCs/>
        </w:rPr>
        <w:tab/>
        <w:t xml:space="preserve">No obstante, el Ministerio de Justicia y Seguridad Pública tiene la responsabilidad particular de garantizar que la legislación y la práctica administrativa noruegas sean coherentes con las obligaciones de Noruega en materia de derechos humanos. El Ministerio revisa los proyectos de propuestas legislativas para evaluar su compatibilidad con la Constitución y las obligaciones internacionales en materia de derechos humanos, y asesora a otros ministerios y organismos gubernamentales sobre la interpretación de las normas de derechos humanos relativas a la legislación sectorial y la práctica administrativa. </w:t>
      </w:r>
    </w:p>
    <w:p w14:paraId="590827E0" w14:textId="7531DB5A" w:rsidR="00373B5F" w:rsidRPr="00373B5F" w:rsidRDefault="00653C36" w:rsidP="00653C36">
      <w:pPr>
        <w:pStyle w:val="H23G"/>
        <w:rPr>
          <w:lang w:val="en-GB"/>
        </w:rPr>
      </w:pPr>
      <w:bookmarkStart w:id="87" w:name="_Toc243126038"/>
      <w:bookmarkStart w:id="88" w:name="_Toc245183263"/>
      <w:r>
        <w:tab/>
      </w:r>
      <w:r w:rsidR="00373B5F" w:rsidRPr="00373B5F">
        <w:t>b)</w:t>
      </w:r>
      <w:r w:rsidR="00373B5F" w:rsidRPr="00373B5F">
        <w:tab/>
        <w:t>Parlamentos y asambleas nacionales y regionales</w:t>
      </w:r>
    </w:p>
    <w:p w14:paraId="28EEAFD7" w14:textId="72C359F8" w:rsidR="00373B5F" w:rsidRPr="00373B5F" w:rsidRDefault="00373B5F" w:rsidP="00653C36">
      <w:pPr>
        <w:pStyle w:val="H23G"/>
        <w:rPr>
          <w:lang w:val="en-GB"/>
        </w:rPr>
      </w:pPr>
      <w:r w:rsidRPr="00373B5F">
        <w:tab/>
      </w:r>
      <w:r w:rsidR="00653C36">
        <w:tab/>
      </w:r>
      <w:r w:rsidRPr="00373B5F">
        <w:t xml:space="preserve">El </w:t>
      </w:r>
      <w:proofErr w:type="spellStart"/>
      <w:r w:rsidRPr="00373B5F">
        <w:t>Storting</w:t>
      </w:r>
      <w:proofErr w:type="spellEnd"/>
      <w:r w:rsidRPr="00373B5F">
        <w:t xml:space="preserve"> (Parlamento noruego)</w:t>
      </w:r>
      <w:bookmarkEnd w:id="87"/>
      <w:bookmarkEnd w:id="88"/>
    </w:p>
    <w:p w14:paraId="67DCA16C" w14:textId="77777777" w:rsidR="00373B5F" w:rsidRPr="00373B5F" w:rsidRDefault="00373B5F" w:rsidP="00373B5F">
      <w:pPr>
        <w:pStyle w:val="SingleTxtG"/>
        <w:rPr>
          <w:bCs/>
          <w:lang w:val="en-GB"/>
        </w:rPr>
      </w:pPr>
      <w:r w:rsidRPr="00373B5F">
        <w:rPr>
          <w:bCs/>
        </w:rPr>
        <w:t>120.</w:t>
      </w:r>
      <w:r w:rsidRPr="00373B5F">
        <w:rPr>
          <w:bCs/>
        </w:rPr>
        <w:tab/>
        <w:t xml:space="preserve">Según el sistema parlamentario noruego, el Gobierno es responsable ante el </w:t>
      </w:r>
      <w:proofErr w:type="spellStart"/>
      <w:r w:rsidRPr="00373B5F">
        <w:rPr>
          <w:bCs/>
        </w:rPr>
        <w:t>Storting</w:t>
      </w:r>
      <w:proofErr w:type="spellEnd"/>
      <w:r w:rsidRPr="00373B5F">
        <w:rPr>
          <w:bCs/>
        </w:rPr>
        <w:t xml:space="preserve">, que ejerce un control continuo sobre las actividades del Gobierno, incluidas la promoción y protección de los derechos humanos. </w:t>
      </w:r>
    </w:p>
    <w:p w14:paraId="16298FAB" w14:textId="77777777" w:rsidR="00373B5F" w:rsidRPr="00373B5F" w:rsidRDefault="00373B5F" w:rsidP="00373B5F">
      <w:pPr>
        <w:pStyle w:val="SingleTxtG"/>
        <w:rPr>
          <w:bCs/>
          <w:lang w:val="en-GB"/>
        </w:rPr>
      </w:pPr>
      <w:r w:rsidRPr="00373B5F">
        <w:rPr>
          <w:bCs/>
        </w:rPr>
        <w:t>121.</w:t>
      </w:r>
      <w:r w:rsidRPr="00373B5F">
        <w:rPr>
          <w:bCs/>
        </w:rPr>
        <w:tab/>
        <w:t xml:space="preserve">En el </w:t>
      </w:r>
      <w:proofErr w:type="spellStart"/>
      <w:r w:rsidRPr="00373B5F">
        <w:rPr>
          <w:bCs/>
        </w:rPr>
        <w:t>Storting</w:t>
      </w:r>
      <w:proofErr w:type="spellEnd"/>
      <w:r w:rsidRPr="00373B5F">
        <w:rPr>
          <w:bCs/>
        </w:rPr>
        <w:t xml:space="preserve">, como en todas las estructuras de gobierno, los derechos humanos se integran y se tienen en cuenta en cada comisión permanente y en el pleno al aprobar leyes y adoptar decisiones. El </w:t>
      </w:r>
      <w:proofErr w:type="spellStart"/>
      <w:r w:rsidRPr="00373B5F">
        <w:rPr>
          <w:bCs/>
        </w:rPr>
        <w:t>Storting</w:t>
      </w:r>
      <w:proofErr w:type="spellEnd"/>
      <w:r w:rsidRPr="00373B5F">
        <w:rPr>
          <w:bCs/>
        </w:rPr>
        <w:t xml:space="preserve"> no tiene un comité de derechos humanos independiente.</w:t>
      </w:r>
    </w:p>
    <w:p w14:paraId="53794805" w14:textId="0446214B" w:rsidR="00373B5F" w:rsidRPr="00373B5F" w:rsidRDefault="00373B5F" w:rsidP="00653C36">
      <w:pPr>
        <w:pStyle w:val="H23G"/>
        <w:rPr>
          <w:lang w:val="en-GB"/>
        </w:rPr>
      </w:pPr>
      <w:bookmarkStart w:id="89" w:name="_Toc243126039"/>
      <w:bookmarkStart w:id="90" w:name="_Toc245183264"/>
      <w:r w:rsidRPr="00373B5F">
        <w:tab/>
      </w:r>
      <w:r w:rsidR="00653C36">
        <w:tab/>
      </w:r>
      <w:r w:rsidRPr="00373B5F">
        <w:t xml:space="preserve">Autoridades municipales y de condado </w:t>
      </w:r>
      <w:bookmarkEnd w:id="89"/>
      <w:bookmarkEnd w:id="90"/>
    </w:p>
    <w:p w14:paraId="6ECCCACB" w14:textId="77777777" w:rsidR="00373B5F" w:rsidRPr="00373B5F" w:rsidRDefault="00373B5F" w:rsidP="00373B5F">
      <w:pPr>
        <w:pStyle w:val="SingleTxtG"/>
        <w:rPr>
          <w:bCs/>
          <w:lang w:val="en-GB"/>
        </w:rPr>
      </w:pPr>
      <w:r w:rsidRPr="00373B5F">
        <w:rPr>
          <w:bCs/>
        </w:rPr>
        <w:t>122.</w:t>
      </w:r>
      <w:r w:rsidRPr="00373B5F">
        <w:rPr>
          <w:bCs/>
        </w:rPr>
        <w:tab/>
        <w:t xml:space="preserve">Noruega tiene un sistema de </w:t>
      </w:r>
      <w:r w:rsidRPr="00373B5F">
        <w:rPr>
          <w:bCs/>
          <w:u w:val="single"/>
        </w:rPr>
        <w:t>gobierno local</w:t>
      </w:r>
      <w:r w:rsidRPr="00373B5F">
        <w:rPr>
          <w:bCs/>
        </w:rPr>
        <w:t xml:space="preserve"> a dos niveles. Las autoridades municipales y de condado tienen el mismo estatus administrativo. De conformidad con el principio de autonomía local, cada autoridad local tiene la facultad de organizar su trabajo como considere oportuno. Sin embargo, al igual que el Gobierno central, todas las autoridades locales deben tener en cuenta la promoción y protección de los derechos humanos en sus ámbitos de responsabilidad.</w:t>
      </w:r>
    </w:p>
    <w:p w14:paraId="418CCBED" w14:textId="77777777" w:rsidR="00373B5F" w:rsidRPr="00373B5F" w:rsidRDefault="00373B5F" w:rsidP="00373B5F">
      <w:pPr>
        <w:pStyle w:val="SingleTxtG"/>
        <w:rPr>
          <w:bCs/>
          <w:lang w:val="en-GB"/>
        </w:rPr>
      </w:pPr>
      <w:r w:rsidRPr="00373B5F">
        <w:rPr>
          <w:bCs/>
        </w:rPr>
        <w:t>123.</w:t>
      </w:r>
      <w:r w:rsidRPr="00373B5F">
        <w:rPr>
          <w:bCs/>
        </w:rPr>
        <w:tab/>
        <w:t xml:space="preserve">Para garantizar los derechos de los ciudadanos y la legalidad de las decisiones adoptadas, las autoridades municipales y de condado están sujetas a la supervisión y el control del Estado. Según el capítulo 27 de la </w:t>
      </w:r>
      <w:r w:rsidRPr="00373B5F">
        <w:rPr>
          <w:bCs/>
          <w:u w:val="single"/>
        </w:rPr>
        <w:t>Ley de Administración Local</w:t>
      </w:r>
      <w:r w:rsidRPr="00373B5F">
        <w:rPr>
          <w:bCs/>
        </w:rPr>
        <w:t xml:space="preserve">, los ministerios (o el gobernador del condado con autoridad delegada por el ministerio) revisan la legalidad de las decisiones del condado y del municipio, bien a petición de al menos tres de los miembros del consejo del condado o del municipio, bien </w:t>
      </w:r>
      <w:r w:rsidRPr="00373B5F">
        <w:rPr>
          <w:bCs/>
          <w:i/>
          <w:iCs/>
          <w:u w:val="single"/>
        </w:rPr>
        <w:t>ex oficio</w:t>
      </w:r>
      <w:r w:rsidRPr="00373B5F">
        <w:rPr>
          <w:bCs/>
          <w:i/>
          <w:iCs/>
        </w:rPr>
        <w:t xml:space="preserve"> </w:t>
      </w:r>
      <w:r w:rsidRPr="00373B5F">
        <w:rPr>
          <w:bCs/>
        </w:rPr>
        <w:t>si así lo indican razones especiales. El gobernador del condado también conoce de las apelaciones del público sobre determinadas decisiones municipales y del condado sobre la base de la legislación sectorial.</w:t>
      </w:r>
    </w:p>
    <w:p w14:paraId="51781871" w14:textId="77777777" w:rsidR="00373B5F" w:rsidRPr="00373B5F" w:rsidRDefault="00373B5F" w:rsidP="00373B5F">
      <w:pPr>
        <w:pStyle w:val="SingleTxtG"/>
        <w:rPr>
          <w:bCs/>
          <w:lang w:val="en-GB"/>
        </w:rPr>
      </w:pPr>
      <w:r w:rsidRPr="00373B5F">
        <w:rPr>
          <w:bCs/>
        </w:rPr>
        <w:t>124.</w:t>
      </w:r>
      <w:r w:rsidRPr="00373B5F">
        <w:rPr>
          <w:bCs/>
        </w:rPr>
        <w:tab/>
        <w:t xml:space="preserve">El gobernador del condado actúa como </w:t>
      </w:r>
      <w:r w:rsidRPr="00373B5F">
        <w:rPr>
          <w:bCs/>
          <w:u w:val="single"/>
        </w:rPr>
        <w:t>guardián de los derechos cívicos</w:t>
      </w:r>
      <w:r w:rsidRPr="00373B5F">
        <w:rPr>
          <w:bCs/>
        </w:rPr>
        <w:t xml:space="preserve">. El gobernador puede revisar las decisiones del condado o del municipio relativas a los derechos de cualquier persona en los sectores de la salud y la asistencia social, la educación, la construcción y la planificación, y puede anular la decisión a favor de la persona. </w:t>
      </w:r>
    </w:p>
    <w:p w14:paraId="074E7C9F" w14:textId="77777777" w:rsidR="00373B5F" w:rsidRPr="00373B5F" w:rsidRDefault="00373B5F" w:rsidP="00373B5F">
      <w:pPr>
        <w:pStyle w:val="SingleTxtG"/>
        <w:rPr>
          <w:bCs/>
          <w:lang w:val="en-GB"/>
        </w:rPr>
      </w:pPr>
      <w:r w:rsidRPr="00373B5F">
        <w:rPr>
          <w:bCs/>
        </w:rPr>
        <w:t>125.</w:t>
      </w:r>
      <w:r w:rsidRPr="00373B5F">
        <w:rPr>
          <w:bCs/>
        </w:rPr>
        <w:tab/>
        <w:t xml:space="preserve">Desde 2009, el Gobernador del Condado de Troms ha trabajado sistemáticamente para introducir una práctica local de aplicación de la Convención sobre los Derechos del Niño en los municipios a través del </w:t>
      </w:r>
      <w:r w:rsidRPr="00373B5F">
        <w:rPr>
          <w:bCs/>
          <w:u w:val="single"/>
        </w:rPr>
        <w:t>Programa Salto de Gigante</w:t>
      </w:r>
      <w:r w:rsidRPr="00373B5F">
        <w:rPr>
          <w:bCs/>
        </w:rPr>
        <w:t>. El programa es una herramienta de análisis y seguimiento que los municipios pueden utilizar para garantizar la aplicación activa de la Convención en todos sus servicios.</w:t>
      </w:r>
    </w:p>
    <w:p w14:paraId="690FA3DF" w14:textId="77777777" w:rsidR="00373B5F" w:rsidRPr="00373B5F" w:rsidRDefault="00373B5F" w:rsidP="00373B5F">
      <w:pPr>
        <w:pStyle w:val="SingleTxtG"/>
        <w:rPr>
          <w:bCs/>
          <w:lang w:val="en-GB"/>
        </w:rPr>
      </w:pPr>
      <w:r w:rsidRPr="00373B5F">
        <w:rPr>
          <w:bCs/>
        </w:rPr>
        <w:t>126.</w:t>
      </w:r>
      <w:r w:rsidRPr="00373B5F">
        <w:rPr>
          <w:bCs/>
        </w:rPr>
        <w:tab/>
        <w:t>En algunos ámbitos, la legislación sectorial confiere el control central de condados y municipios a organismos con competencias específicas en el ámbito en cuestión. Ejemplos de ello son la Junta de Supervisión Sanitaria, que supervisa a las autoridades locales en el ámbito de los servicios sanitarios, y la Junta de Asistencia Social del Condado, que revisa determinadas decisiones administrativas en el marco de la Ley de Bienestar Infantil</w:t>
      </w:r>
      <w:r w:rsidRPr="00373B5F">
        <w:rPr>
          <w:bCs/>
          <w:sz w:val="18"/>
          <w:szCs w:val="18"/>
          <w:vertAlign w:val="superscript"/>
        </w:rPr>
        <w:footnoteReference w:id="14"/>
      </w:r>
      <w:r w:rsidRPr="00373B5F">
        <w:rPr>
          <w:bCs/>
        </w:rPr>
        <w:t>.</w:t>
      </w:r>
    </w:p>
    <w:p w14:paraId="180E8020" w14:textId="042885D1" w:rsidR="00373B5F" w:rsidRPr="00373B5F" w:rsidRDefault="00653C36" w:rsidP="00653C36">
      <w:pPr>
        <w:pStyle w:val="H23G"/>
        <w:rPr>
          <w:lang w:val="en-GB"/>
        </w:rPr>
      </w:pPr>
      <w:bookmarkStart w:id="91" w:name="_Toc243126040"/>
      <w:bookmarkStart w:id="92" w:name="_Toc245183265"/>
      <w:r>
        <w:lastRenderedPageBreak/>
        <w:tab/>
      </w:r>
      <w:r w:rsidR="00373B5F" w:rsidRPr="00373B5F">
        <w:t>c)</w:t>
      </w:r>
      <w:r w:rsidR="00373B5F" w:rsidRPr="00373B5F">
        <w:tab/>
        <w:t xml:space="preserve">Instituciones nacionales de derechos humanos </w:t>
      </w:r>
      <w:bookmarkEnd w:id="91"/>
      <w:bookmarkEnd w:id="92"/>
    </w:p>
    <w:p w14:paraId="7F56047E" w14:textId="21A2591A" w:rsidR="00373B5F" w:rsidRPr="00373B5F" w:rsidRDefault="00373B5F" w:rsidP="00653C36">
      <w:pPr>
        <w:pStyle w:val="H23G"/>
        <w:rPr>
          <w:lang w:val="en-GB"/>
        </w:rPr>
      </w:pPr>
      <w:r w:rsidRPr="00373B5F">
        <w:tab/>
      </w:r>
      <w:r w:rsidR="00653C36">
        <w:tab/>
      </w:r>
      <w:r w:rsidRPr="00373B5F">
        <w:t>La Institución Nacional de Derechos Humanos de Noruega</w:t>
      </w:r>
    </w:p>
    <w:p w14:paraId="21F750CF" w14:textId="77777777" w:rsidR="00373B5F" w:rsidRPr="00373B5F" w:rsidRDefault="00373B5F" w:rsidP="00373B5F">
      <w:pPr>
        <w:pStyle w:val="SingleTxtG"/>
        <w:rPr>
          <w:bCs/>
          <w:lang w:val="en-GB"/>
        </w:rPr>
      </w:pPr>
      <w:r w:rsidRPr="00373B5F">
        <w:rPr>
          <w:bCs/>
        </w:rPr>
        <w:t>127.</w:t>
      </w:r>
      <w:r w:rsidRPr="00373B5F">
        <w:rPr>
          <w:bCs/>
        </w:rPr>
        <w:tab/>
        <w:t xml:space="preserve">El </w:t>
      </w:r>
      <w:r w:rsidRPr="00373B5F">
        <w:rPr>
          <w:bCs/>
          <w:u w:val="single"/>
        </w:rPr>
        <w:t>Centro Noruego de Derechos Humanos</w:t>
      </w:r>
      <w:r w:rsidRPr="00373B5F">
        <w:rPr>
          <w:bCs/>
        </w:rPr>
        <w:t>, dependiente de la Facultad de Derecho de la Universidad de Oslo, fue la Institución Nacional de Derechos Humanos (</w:t>
      </w:r>
      <w:proofErr w:type="spellStart"/>
      <w:r w:rsidRPr="00373B5F">
        <w:rPr>
          <w:bCs/>
        </w:rPr>
        <w:t>INDH</w:t>
      </w:r>
      <w:proofErr w:type="spellEnd"/>
      <w:r w:rsidRPr="00373B5F">
        <w:rPr>
          <w:bCs/>
        </w:rPr>
        <w:t xml:space="preserve">) de Noruega desde 2001 hasta 2015. En 2012, el Subcomité de la Alianza Global de Instituciones Nacionales de Derechos Humanos recomendó rebajar la acreditación de la institución nacional noruega de la categoría A </w:t>
      </w:r>
      <w:proofErr w:type="spellStart"/>
      <w:r w:rsidRPr="00373B5F">
        <w:rPr>
          <w:bCs/>
        </w:rPr>
        <w:t>a</w:t>
      </w:r>
      <w:proofErr w:type="spellEnd"/>
      <w:r w:rsidRPr="00373B5F">
        <w:rPr>
          <w:bCs/>
        </w:rPr>
        <w:t xml:space="preserve"> la B. En 2013, el Directorio Ejecutivo de la Universidad decidió que el Centro Noruego de Derechos Humanos dejaría de funcionar como </w:t>
      </w:r>
      <w:proofErr w:type="spellStart"/>
      <w:r w:rsidRPr="00373B5F">
        <w:rPr>
          <w:bCs/>
        </w:rPr>
        <w:t>INDH</w:t>
      </w:r>
      <w:proofErr w:type="spellEnd"/>
      <w:r w:rsidRPr="00373B5F">
        <w:rPr>
          <w:bCs/>
        </w:rPr>
        <w:t xml:space="preserve"> de Noruega. </w:t>
      </w:r>
    </w:p>
    <w:p w14:paraId="27E3D291" w14:textId="7408EC33" w:rsidR="00373B5F" w:rsidRPr="00373B5F" w:rsidRDefault="00373B5F" w:rsidP="00373B5F">
      <w:pPr>
        <w:pStyle w:val="SingleTxtG"/>
        <w:rPr>
          <w:bCs/>
          <w:lang w:val="en-GB"/>
        </w:rPr>
      </w:pPr>
      <w:r w:rsidRPr="00373B5F">
        <w:rPr>
          <w:bCs/>
        </w:rPr>
        <w:t>128.</w:t>
      </w:r>
      <w:r w:rsidRPr="00373B5F">
        <w:rPr>
          <w:bCs/>
        </w:rPr>
        <w:tab/>
        <w:t xml:space="preserve">En 2014, el </w:t>
      </w:r>
      <w:proofErr w:type="spellStart"/>
      <w:r w:rsidRPr="00373B5F">
        <w:rPr>
          <w:bCs/>
        </w:rPr>
        <w:t>Storting</w:t>
      </w:r>
      <w:proofErr w:type="spellEnd"/>
      <w:r w:rsidRPr="00373B5F">
        <w:rPr>
          <w:bCs/>
        </w:rPr>
        <w:t xml:space="preserve"> adoptó una resolución sobre la creación de una nueva </w:t>
      </w:r>
      <w:proofErr w:type="spellStart"/>
      <w:r w:rsidRPr="00373B5F">
        <w:rPr>
          <w:bCs/>
        </w:rPr>
        <w:t>INDH</w:t>
      </w:r>
      <w:proofErr w:type="spellEnd"/>
      <w:r w:rsidRPr="00373B5F">
        <w:rPr>
          <w:bCs/>
        </w:rPr>
        <w:t xml:space="preserve">. La </w:t>
      </w:r>
      <w:r w:rsidRPr="00373B5F">
        <w:rPr>
          <w:bCs/>
          <w:u w:val="single"/>
        </w:rPr>
        <w:t>Institución Nacional de Derechos Humanos de Noruega</w:t>
      </w:r>
      <w:r w:rsidRPr="00373B5F">
        <w:rPr>
          <w:bCs/>
        </w:rPr>
        <w:t xml:space="preserve"> se estableció el 1 de julio de 2015. La institución está subordinada administrativamente al </w:t>
      </w:r>
      <w:proofErr w:type="spellStart"/>
      <w:r w:rsidRPr="00373B5F">
        <w:rPr>
          <w:bCs/>
        </w:rPr>
        <w:t>Storting</w:t>
      </w:r>
      <w:proofErr w:type="spellEnd"/>
      <w:r w:rsidRPr="00373B5F">
        <w:rPr>
          <w:bCs/>
        </w:rPr>
        <w:t xml:space="preserve">, pero actúa como organismo independiente. La Ley de la Institución Nacional de Derechos Humanos de Noruega, que se aprobó en 2015, regula la estructura de la Institución y el ejercicio de sus funciones. El </w:t>
      </w:r>
      <w:proofErr w:type="spellStart"/>
      <w:r w:rsidRPr="00373B5F">
        <w:rPr>
          <w:bCs/>
        </w:rPr>
        <w:t>Storting</w:t>
      </w:r>
      <w:proofErr w:type="spellEnd"/>
      <w:r w:rsidRPr="00373B5F">
        <w:rPr>
          <w:bCs/>
        </w:rPr>
        <w:t xml:space="preserve"> también ha adoptado un reglamento para la Institución Nacional. En diciembre de</w:t>
      </w:r>
      <w:r w:rsidR="00653C36">
        <w:rPr>
          <w:bCs/>
        </w:rPr>
        <w:t> </w:t>
      </w:r>
      <w:r w:rsidRPr="00373B5F">
        <w:rPr>
          <w:bCs/>
        </w:rPr>
        <w:t xml:space="preserve">2016, se presentó una solicitud de acreditación ante el Subcomité de Acreditación de la Alianza Global de Instituciones Nacionales de Derechos Humanos y, en junio de 2017, se confirmó la acreditación de categoría </w:t>
      </w:r>
      <w:r w:rsidR="00D52DBF">
        <w:rPr>
          <w:bCs/>
        </w:rPr>
        <w:t>“</w:t>
      </w:r>
      <w:r w:rsidRPr="00373B5F">
        <w:rPr>
          <w:bCs/>
        </w:rPr>
        <w:t>A</w:t>
      </w:r>
      <w:r w:rsidR="00D52DBF">
        <w:rPr>
          <w:bCs/>
        </w:rPr>
        <w:t>”</w:t>
      </w:r>
      <w:r w:rsidRPr="00373B5F">
        <w:rPr>
          <w:bCs/>
        </w:rPr>
        <w:t xml:space="preserve"> de la institución.</w:t>
      </w:r>
    </w:p>
    <w:p w14:paraId="6A11D572" w14:textId="77777777" w:rsidR="00373B5F" w:rsidRPr="00373B5F" w:rsidRDefault="00373B5F" w:rsidP="00373B5F">
      <w:pPr>
        <w:pStyle w:val="SingleTxtG"/>
        <w:rPr>
          <w:bCs/>
          <w:lang w:val="en-GB"/>
        </w:rPr>
      </w:pPr>
      <w:r w:rsidRPr="00373B5F">
        <w:rPr>
          <w:bCs/>
        </w:rPr>
        <w:t>129.</w:t>
      </w:r>
      <w:r w:rsidRPr="00373B5F">
        <w:rPr>
          <w:bCs/>
        </w:rPr>
        <w:tab/>
        <w:t xml:space="preserve">En los trabajos preparatorios de la Ley de la Institución Nacional de Derechos Humanos de Noruega, se afirma que el </w:t>
      </w:r>
      <w:r w:rsidRPr="00373B5F">
        <w:rPr>
          <w:bCs/>
          <w:u w:val="single"/>
        </w:rPr>
        <w:t>fortalecimiento de los derechos de los samis</w:t>
      </w:r>
      <w:r w:rsidRPr="00373B5F">
        <w:rPr>
          <w:bCs/>
        </w:rPr>
        <w:t xml:space="preserve"> es una parte importante del amplio mandato de la Institución. El artículo 5 de la ley exige que al menos uno de los miembros del consejo de administración de la Institución tenga conocimientos especializados en cuestiones samis. Según el artículo 6 del reglamento de la </w:t>
      </w:r>
      <w:proofErr w:type="spellStart"/>
      <w:r w:rsidRPr="00373B5F">
        <w:rPr>
          <w:bCs/>
        </w:rPr>
        <w:t>INDH</w:t>
      </w:r>
      <w:proofErr w:type="spellEnd"/>
      <w:r w:rsidRPr="00373B5F">
        <w:rPr>
          <w:bCs/>
        </w:rPr>
        <w:t xml:space="preserve"> de Noruega, el mismo requisito se aplica al comité asesor. Además, al contratar nuevo personal, se tendrá en cuenta la competencia en materia de derechos de los Pueblos Indígenas y de las minorías (art. 8). </w:t>
      </w:r>
    </w:p>
    <w:p w14:paraId="49366F46" w14:textId="77777777" w:rsidR="00373B5F" w:rsidRPr="00373B5F" w:rsidRDefault="00373B5F" w:rsidP="00373B5F">
      <w:pPr>
        <w:pStyle w:val="SingleTxtG"/>
        <w:rPr>
          <w:bCs/>
          <w:lang w:val="en-GB"/>
        </w:rPr>
      </w:pPr>
      <w:r w:rsidRPr="00373B5F">
        <w:rPr>
          <w:bCs/>
        </w:rPr>
        <w:t>130.</w:t>
      </w:r>
      <w:r w:rsidRPr="00373B5F">
        <w:rPr>
          <w:bCs/>
        </w:rPr>
        <w:tab/>
        <w:t xml:space="preserve">El </w:t>
      </w:r>
      <w:r w:rsidRPr="00373B5F">
        <w:rPr>
          <w:bCs/>
          <w:u w:val="single"/>
        </w:rPr>
        <w:t xml:space="preserve">Centro de Recursos </w:t>
      </w:r>
      <w:proofErr w:type="spellStart"/>
      <w:r w:rsidRPr="00373B5F">
        <w:rPr>
          <w:bCs/>
          <w:u w:val="single"/>
        </w:rPr>
        <w:t>Gáldu</w:t>
      </w:r>
      <w:proofErr w:type="spellEnd"/>
      <w:r w:rsidRPr="00373B5F">
        <w:rPr>
          <w:bCs/>
          <w:u w:val="single"/>
        </w:rPr>
        <w:t xml:space="preserve"> para los Derechos de los Pueblos Indígenas</w:t>
      </w:r>
      <w:r w:rsidRPr="00373B5F">
        <w:rPr>
          <w:bCs/>
        </w:rPr>
        <w:t xml:space="preserve"> se integró en la Institución Nacional el 1 de enero de 2017. Tanto el </w:t>
      </w:r>
      <w:proofErr w:type="spellStart"/>
      <w:r w:rsidRPr="00373B5F">
        <w:rPr>
          <w:bCs/>
        </w:rPr>
        <w:t>Sámediggi</w:t>
      </w:r>
      <w:proofErr w:type="spellEnd"/>
      <w:r w:rsidRPr="00373B5F">
        <w:rPr>
          <w:bCs/>
        </w:rPr>
        <w:t xml:space="preserve"> como el consejo de administración de </w:t>
      </w:r>
      <w:proofErr w:type="spellStart"/>
      <w:r w:rsidRPr="00373B5F">
        <w:rPr>
          <w:bCs/>
        </w:rPr>
        <w:t>Gáldu</w:t>
      </w:r>
      <w:proofErr w:type="spellEnd"/>
      <w:r w:rsidRPr="00373B5F">
        <w:rPr>
          <w:bCs/>
        </w:rPr>
        <w:t xml:space="preserve"> participaron en el proceso y lo apoyaron. </w:t>
      </w:r>
    </w:p>
    <w:p w14:paraId="4857A9BE" w14:textId="52758CB0" w:rsidR="00373B5F" w:rsidRPr="00373B5F" w:rsidRDefault="00373B5F" w:rsidP="00653C36">
      <w:pPr>
        <w:pStyle w:val="H23G"/>
        <w:rPr>
          <w:lang w:val="en-GB"/>
        </w:rPr>
      </w:pPr>
      <w:r w:rsidRPr="00373B5F">
        <w:tab/>
      </w:r>
      <w:r w:rsidR="00653C36">
        <w:tab/>
      </w:r>
      <w:r w:rsidRPr="00373B5F">
        <w:t xml:space="preserve">El Defensor del Pueblo Parlamentario para el Control de la Administración </w:t>
      </w:r>
      <w:r w:rsidR="00653C36">
        <w:br/>
      </w:r>
      <w:r w:rsidRPr="00373B5F">
        <w:t>Pública</w:t>
      </w:r>
    </w:p>
    <w:p w14:paraId="6617CBA4" w14:textId="77777777" w:rsidR="00373B5F" w:rsidRPr="00373B5F" w:rsidRDefault="00373B5F" w:rsidP="00373B5F">
      <w:pPr>
        <w:pStyle w:val="SingleTxtG"/>
        <w:rPr>
          <w:bCs/>
          <w:lang w:val="en-GB"/>
        </w:rPr>
      </w:pPr>
      <w:r w:rsidRPr="00373B5F">
        <w:rPr>
          <w:bCs/>
        </w:rPr>
        <w:t>131.</w:t>
      </w:r>
      <w:r w:rsidRPr="00373B5F">
        <w:rPr>
          <w:bCs/>
        </w:rPr>
        <w:tab/>
        <w:t xml:space="preserve">Las </w:t>
      </w:r>
      <w:r w:rsidRPr="00373B5F">
        <w:rPr>
          <w:bCs/>
          <w:u w:val="single"/>
        </w:rPr>
        <w:t>instituciones del Defensor del Pueblo</w:t>
      </w:r>
      <w:r w:rsidRPr="00373B5F">
        <w:rPr>
          <w:bCs/>
        </w:rPr>
        <w:t xml:space="preserve"> también desempeñan un papel clave en la supervisión del cumplimiento por parte de las autoridades noruegas de sus obligaciones en materia de derechos humanos. El Defensor del Pueblo Parlamentario para la Administración Pública se estableció en 1962, y su mandato es estudiar las quejas de los ciudadanos relativas a injusticias cometidas por la administración pública en cualquiera de los tres niveles de gobierno: central, de condado o municipal. El Defensor del Pueblo también puede decidir plantear una cuestión de forma independiente.</w:t>
      </w:r>
    </w:p>
    <w:p w14:paraId="39EC48D1" w14:textId="77777777" w:rsidR="00373B5F" w:rsidRPr="00373B5F" w:rsidRDefault="00373B5F" w:rsidP="00373B5F">
      <w:pPr>
        <w:pStyle w:val="SingleTxtG"/>
        <w:rPr>
          <w:bCs/>
          <w:lang w:val="en-GB"/>
        </w:rPr>
      </w:pPr>
      <w:r w:rsidRPr="00373B5F">
        <w:rPr>
          <w:bCs/>
        </w:rPr>
        <w:t>132.</w:t>
      </w:r>
      <w:r w:rsidRPr="00373B5F">
        <w:rPr>
          <w:bCs/>
        </w:rPr>
        <w:tab/>
        <w:t xml:space="preserve">Las funciones del Defensor del Pueblo Parlamentario se establecen en la Constitución, en el artículo 75, párrafo l, y en la Ley de 18 de junio de 2021 núm. 121 del Defensor del Pueblo Parlamentario para el Control de la Administración Pública (la </w:t>
      </w:r>
      <w:r w:rsidRPr="00373B5F">
        <w:rPr>
          <w:bCs/>
          <w:u w:val="single"/>
        </w:rPr>
        <w:t>Ley del Defensor del Pueblo Parlamentario</w:t>
      </w:r>
      <w:r w:rsidRPr="00373B5F">
        <w:rPr>
          <w:bCs/>
        </w:rPr>
        <w:t xml:space="preserve">). El Defensor del Pueblo es nombrado por el </w:t>
      </w:r>
      <w:proofErr w:type="spellStart"/>
      <w:r w:rsidRPr="00373B5F">
        <w:rPr>
          <w:bCs/>
        </w:rPr>
        <w:t>Storting</w:t>
      </w:r>
      <w:proofErr w:type="spellEnd"/>
      <w:r w:rsidRPr="00373B5F">
        <w:rPr>
          <w:bCs/>
        </w:rPr>
        <w:t xml:space="preserve"> y depende administrativamente de él, pero actúa como órgano independiente en el ejercicio de sus funciones. </w:t>
      </w:r>
    </w:p>
    <w:p w14:paraId="38B24587" w14:textId="67FC1946" w:rsidR="00373B5F" w:rsidRPr="00373B5F" w:rsidRDefault="00373B5F" w:rsidP="00373B5F">
      <w:pPr>
        <w:pStyle w:val="SingleTxtG"/>
        <w:rPr>
          <w:bCs/>
          <w:lang w:val="en-GB"/>
        </w:rPr>
      </w:pPr>
      <w:r w:rsidRPr="00373B5F">
        <w:rPr>
          <w:bCs/>
        </w:rPr>
        <w:t>133.</w:t>
      </w:r>
      <w:r w:rsidRPr="00373B5F">
        <w:rPr>
          <w:bCs/>
        </w:rPr>
        <w:tab/>
        <w:t xml:space="preserve">Según el artículo 1 de la ley, el Defensor del Pueblo </w:t>
      </w:r>
      <w:r w:rsidR="00D52DBF">
        <w:rPr>
          <w:bCs/>
        </w:rPr>
        <w:t>“</w:t>
      </w:r>
      <w:r w:rsidRPr="00373B5F">
        <w:rPr>
          <w:bCs/>
        </w:rPr>
        <w:t>es responsable de controlar a la administración pública y a todas las personas a su servicio para evitar que las personas sean objeto de injusticias, y para contribuir a garantizar que la administración pública respeta y salvaguarda los derechos humanos</w:t>
      </w:r>
      <w:r w:rsidR="00D52DBF">
        <w:rPr>
          <w:bCs/>
        </w:rPr>
        <w:t>”</w:t>
      </w:r>
      <w:r w:rsidRPr="00373B5F">
        <w:rPr>
          <w:bCs/>
        </w:rPr>
        <w:t>. En 2013, el Defensor del Pueblo también fue designado mecanismo nacional de prevención de Noruega, en cumplimiento del Protocolo Facultativo de la Convención contra la Tortura y Otros Tratos o Penas Crueles, Inhumanos o Degradantes.</w:t>
      </w:r>
    </w:p>
    <w:p w14:paraId="2A223073" w14:textId="77777777" w:rsidR="00373B5F" w:rsidRPr="00373B5F" w:rsidRDefault="00373B5F" w:rsidP="00373B5F">
      <w:pPr>
        <w:pStyle w:val="SingleTxtG"/>
        <w:rPr>
          <w:bCs/>
          <w:lang w:val="en-GB"/>
        </w:rPr>
      </w:pPr>
      <w:r w:rsidRPr="00373B5F">
        <w:rPr>
          <w:bCs/>
        </w:rPr>
        <w:t>134.</w:t>
      </w:r>
      <w:r w:rsidRPr="00373B5F">
        <w:rPr>
          <w:bCs/>
        </w:rPr>
        <w:tab/>
        <w:t xml:space="preserve">Los dictámenes del Defensor del Pueblo no son jurídicamente vinculantes para las autoridades públicas, pero son ampliamente respetados y acatados. Los dictámenes del </w:t>
      </w:r>
      <w:r w:rsidRPr="00373B5F">
        <w:rPr>
          <w:bCs/>
        </w:rPr>
        <w:lastRenderedPageBreak/>
        <w:t xml:space="preserve">Defensor del Pueblo se publican en su sitio web y en el Anuario del Defensor del Pueblo Parlamentario para la Administración Pública. </w:t>
      </w:r>
    </w:p>
    <w:p w14:paraId="7CA96E89" w14:textId="02A312EF" w:rsidR="00373B5F" w:rsidRPr="00373B5F" w:rsidRDefault="00373B5F" w:rsidP="00653C36">
      <w:pPr>
        <w:pStyle w:val="H23G"/>
        <w:rPr>
          <w:lang w:val="en-GB"/>
        </w:rPr>
      </w:pPr>
      <w:r w:rsidRPr="00373B5F">
        <w:tab/>
      </w:r>
      <w:r w:rsidR="00653C36">
        <w:tab/>
      </w:r>
      <w:r w:rsidRPr="00373B5F">
        <w:t>El Defensor del Niño</w:t>
      </w:r>
    </w:p>
    <w:p w14:paraId="0B0277E8" w14:textId="77777777" w:rsidR="00373B5F" w:rsidRPr="00373B5F" w:rsidRDefault="00373B5F" w:rsidP="00373B5F">
      <w:pPr>
        <w:pStyle w:val="SingleTxtG"/>
        <w:rPr>
          <w:bCs/>
          <w:lang w:val="en-GB"/>
        </w:rPr>
      </w:pPr>
      <w:r w:rsidRPr="00373B5F">
        <w:rPr>
          <w:bCs/>
        </w:rPr>
        <w:t>135.</w:t>
      </w:r>
      <w:r w:rsidRPr="00373B5F">
        <w:rPr>
          <w:bCs/>
        </w:rPr>
        <w:tab/>
        <w:t xml:space="preserve">En 1981, Noruega estableció el primer Defensor del Niño del mundo. Las principales tareas del Defensor son promover los derechos de los niños en los sectores público y privado y supervisar el desarrollo de las condiciones de vida de los niños. El Defensor también supervisa el cumplimiento en la legislación y la práctica noruegas de la </w:t>
      </w:r>
      <w:r w:rsidRPr="00373B5F">
        <w:rPr>
          <w:bCs/>
          <w:u w:val="single"/>
        </w:rPr>
        <w:t>Convención sobre los Derechos del Niño</w:t>
      </w:r>
      <w:r w:rsidRPr="00373B5F">
        <w:rPr>
          <w:bCs/>
        </w:rPr>
        <w:t xml:space="preserve">, y presenta sus propios informes complementarios al Comité de los Derechos del Niño. </w:t>
      </w:r>
    </w:p>
    <w:p w14:paraId="78BEB5C0" w14:textId="77777777" w:rsidR="00373B5F" w:rsidRPr="00373B5F" w:rsidRDefault="00373B5F" w:rsidP="00373B5F">
      <w:pPr>
        <w:pStyle w:val="SingleTxtG"/>
        <w:rPr>
          <w:bCs/>
          <w:lang w:val="en-GB"/>
        </w:rPr>
      </w:pPr>
      <w:r w:rsidRPr="00373B5F">
        <w:rPr>
          <w:bCs/>
        </w:rPr>
        <w:t>136.</w:t>
      </w:r>
      <w:r w:rsidRPr="00373B5F">
        <w:rPr>
          <w:bCs/>
        </w:rPr>
        <w:tab/>
        <w:t xml:space="preserve">El </w:t>
      </w:r>
      <w:r w:rsidRPr="00373B5F">
        <w:rPr>
          <w:bCs/>
          <w:u w:val="single"/>
        </w:rPr>
        <w:t>Defensor del Niño</w:t>
      </w:r>
      <w:r w:rsidRPr="00373B5F">
        <w:rPr>
          <w:bCs/>
        </w:rPr>
        <w:t xml:space="preserve"> es independiente del </w:t>
      </w:r>
      <w:proofErr w:type="spellStart"/>
      <w:r w:rsidRPr="00373B5F">
        <w:rPr>
          <w:bCs/>
        </w:rPr>
        <w:t>Storting</w:t>
      </w:r>
      <w:proofErr w:type="spellEnd"/>
      <w:r w:rsidRPr="00373B5F">
        <w:rPr>
          <w:bCs/>
        </w:rPr>
        <w:t xml:space="preserve">, el Gobierno y otras autoridades públicas, y puede plantear libremente cuestiones y criticar la política gubernamental. El Defensor está facultado para investigar, criticar y hacer públicas cuestiones que mejoren el bienestar de los niños y jóvenes, y puede exigir el acceso a expedientes de casos y documentos oficiales para cumplir esta función. Sin embargo, el Defensor no puede anular una acción o decisión administrativa. No existe un mecanismo formal de reclamación como los que se aplican a las reclamaciones ante el Defensor del Pueblo Parlamentario o el Defensor del Pueblo para la Igualdad y la Lucha contra la Discriminación. No obstante, el Defensor del Niño puede plantear cuestiones de forma independiente y remitir dictámenes y recomendaciones a cualquier autoridad pública. </w:t>
      </w:r>
    </w:p>
    <w:p w14:paraId="474F88FA" w14:textId="107D94A3" w:rsidR="00373B5F" w:rsidRPr="00373B5F" w:rsidRDefault="00373B5F" w:rsidP="00653C36">
      <w:pPr>
        <w:pStyle w:val="H23G"/>
        <w:rPr>
          <w:lang w:val="en-GB"/>
        </w:rPr>
      </w:pPr>
      <w:r w:rsidRPr="00373B5F">
        <w:tab/>
      </w:r>
      <w:r w:rsidR="00653C36">
        <w:tab/>
      </w:r>
      <w:r w:rsidRPr="00373B5F">
        <w:t xml:space="preserve">Otras instituciones de Defensoría del Pueblo </w:t>
      </w:r>
    </w:p>
    <w:p w14:paraId="5146ACF8" w14:textId="77777777" w:rsidR="00373B5F" w:rsidRPr="00373B5F" w:rsidRDefault="00373B5F" w:rsidP="00373B5F">
      <w:pPr>
        <w:pStyle w:val="SingleTxtG"/>
        <w:rPr>
          <w:bCs/>
          <w:lang w:val="en-GB"/>
        </w:rPr>
      </w:pPr>
      <w:r w:rsidRPr="00373B5F">
        <w:rPr>
          <w:bCs/>
        </w:rPr>
        <w:t>137.</w:t>
      </w:r>
      <w:r w:rsidRPr="00373B5F">
        <w:rPr>
          <w:bCs/>
        </w:rPr>
        <w:tab/>
        <w:t xml:space="preserve">El </w:t>
      </w:r>
      <w:r w:rsidRPr="00373B5F">
        <w:rPr>
          <w:bCs/>
          <w:u w:val="single"/>
        </w:rPr>
        <w:t>Defensor del Pueblo para la Igualdad y la Lucha contra la Discriminación</w:t>
      </w:r>
      <w:r w:rsidRPr="00373B5F">
        <w:rPr>
          <w:bCs/>
        </w:rPr>
        <w:t xml:space="preserve"> y el </w:t>
      </w:r>
      <w:r w:rsidRPr="00373B5F">
        <w:rPr>
          <w:bCs/>
          <w:u w:val="single"/>
        </w:rPr>
        <w:t>Tribunal contra la Discriminación</w:t>
      </w:r>
      <w:r w:rsidRPr="00373B5F">
        <w:rPr>
          <w:bCs/>
        </w:rPr>
        <w:t xml:space="preserve"> se describen en el capítulo 3 (párrs. 189 a 193).</w:t>
      </w:r>
    </w:p>
    <w:p w14:paraId="1F66913E" w14:textId="77777777" w:rsidR="00373B5F" w:rsidRPr="00373B5F" w:rsidRDefault="00373B5F" w:rsidP="00373B5F">
      <w:pPr>
        <w:pStyle w:val="SingleTxtG"/>
        <w:rPr>
          <w:bCs/>
          <w:lang w:val="en-GB"/>
        </w:rPr>
      </w:pPr>
      <w:r w:rsidRPr="00373B5F">
        <w:rPr>
          <w:bCs/>
        </w:rPr>
        <w:t>138.</w:t>
      </w:r>
      <w:r w:rsidRPr="00373B5F">
        <w:rPr>
          <w:bCs/>
        </w:rPr>
        <w:tab/>
        <w:t xml:space="preserve">El </w:t>
      </w:r>
      <w:r w:rsidRPr="00373B5F">
        <w:rPr>
          <w:bCs/>
          <w:u w:val="single"/>
        </w:rPr>
        <w:t>Defensor del Pueblo Parlamentario para las Fuerzas Armadas Noruegas</w:t>
      </w:r>
      <w:r w:rsidRPr="00373B5F">
        <w:rPr>
          <w:bCs/>
        </w:rPr>
        <w:t xml:space="preserve"> se estableció en 1952 y fue el primer comisionado militar parlamentario del mundo. Este Defensor del Pueblo trabaja para salvaguardar los derechos de todo el personal de las Fuerzas Armadas noruegas y examina una serie de casos relacionados con los derechos humanos, como el derecho a la intimidad, la libertad de expresión y la libertad de religión. Este Defensor del Pueblo presenta informes de inspección acompañados de las recomendaciones pertinentes al Ministro de Defensa, al Jefe de Defensa y a las autoridades militares implicadas, así como un informe anual al </w:t>
      </w:r>
      <w:proofErr w:type="spellStart"/>
      <w:r w:rsidRPr="00373B5F">
        <w:rPr>
          <w:bCs/>
        </w:rPr>
        <w:t>Storting</w:t>
      </w:r>
      <w:proofErr w:type="spellEnd"/>
      <w:r w:rsidRPr="00373B5F">
        <w:rPr>
          <w:bCs/>
        </w:rPr>
        <w:t>.</w:t>
      </w:r>
    </w:p>
    <w:p w14:paraId="3CDEC79F" w14:textId="77777777" w:rsidR="00373B5F" w:rsidRPr="00373B5F" w:rsidRDefault="00373B5F" w:rsidP="00373B5F">
      <w:pPr>
        <w:pStyle w:val="SingleTxtG"/>
        <w:rPr>
          <w:bCs/>
          <w:lang w:val="en-GB"/>
        </w:rPr>
      </w:pPr>
      <w:r w:rsidRPr="00373B5F">
        <w:rPr>
          <w:bCs/>
        </w:rPr>
        <w:t>139.</w:t>
      </w:r>
      <w:r w:rsidRPr="00373B5F">
        <w:rPr>
          <w:bCs/>
        </w:rPr>
        <w:tab/>
        <w:t xml:space="preserve">El </w:t>
      </w:r>
      <w:r w:rsidRPr="00373B5F">
        <w:rPr>
          <w:bCs/>
          <w:u w:val="single"/>
        </w:rPr>
        <w:t>Defensor del Paciente y el Usuario</w:t>
      </w:r>
      <w:r w:rsidRPr="00373B5F">
        <w:rPr>
          <w:bCs/>
        </w:rPr>
        <w:t xml:space="preserve"> de Noruega es una institución encargada de proteger y defender los derechos, necesidades e intereses de los pacientes y usuarios del sistema sanitario. Regulado por la </w:t>
      </w:r>
      <w:r w:rsidRPr="00373B5F">
        <w:rPr>
          <w:bCs/>
          <w:u w:val="single"/>
        </w:rPr>
        <w:t>Ley de Derechos de Pacientes y Usuarios</w:t>
      </w:r>
      <w:r w:rsidRPr="00373B5F">
        <w:rPr>
          <w:bCs/>
        </w:rPr>
        <w:t>, este Defensor desempeña un papel crucial en la supervisión de la prestación de servicios sanitarios y vela por que estos cumplan las normas legales y éticas. Como reflejo de la distribución geográfica de los servicios sanitarios, hay una oficina en cada uno de los 15 condados, lo que garantiza a los ciudadanos el acceso a asistencia y orientación en cuestiones relacionadas con la salud. Estas oficinas constituyen un vínculo vital entre el sistema sanitario y el público, ofreciendo apoyo y proponiendo mejoras al tiempo que trabajan dentro del marco de la ley.</w:t>
      </w:r>
    </w:p>
    <w:p w14:paraId="499CFF45" w14:textId="77777777" w:rsidR="00373B5F" w:rsidRPr="00373B5F" w:rsidRDefault="00373B5F" w:rsidP="00373B5F">
      <w:pPr>
        <w:pStyle w:val="SingleTxtG"/>
        <w:rPr>
          <w:bCs/>
          <w:lang w:val="en-GB"/>
        </w:rPr>
      </w:pPr>
      <w:bookmarkStart w:id="93" w:name="_Hlk165366309"/>
      <w:r w:rsidRPr="00373B5F">
        <w:rPr>
          <w:bCs/>
        </w:rPr>
        <w:t>140.</w:t>
      </w:r>
      <w:r w:rsidRPr="00373B5F">
        <w:rPr>
          <w:bCs/>
        </w:rPr>
        <w:tab/>
        <w:t xml:space="preserve">Se han establecido </w:t>
      </w:r>
      <w:r w:rsidRPr="00373B5F">
        <w:rPr>
          <w:bCs/>
          <w:u w:val="single"/>
        </w:rPr>
        <w:t>otras instituciones de Defensoría del Pueblo</w:t>
      </w:r>
      <w:r w:rsidRPr="00373B5F">
        <w:rPr>
          <w:bCs/>
        </w:rPr>
        <w:t xml:space="preserve"> en algunos condados y municipios, y para los servicios sociales. Estas instituciones de Defensoría del Pueblo también pueden desempeñar un papel importante en el control de la observancia de los derechos humanos por parte de las autoridades y en la sensibilización de los empleados públicos y del público en general. </w:t>
      </w:r>
      <w:bookmarkEnd w:id="93"/>
    </w:p>
    <w:p w14:paraId="26F9D21C" w14:textId="1479F511" w:rsidR="00373B5F" w:rsidRPr="00373B5F" w:rsidRDefault="00653C36" w:rsidP="00653C36">
      <w:pPr>
        <w:pStyle w:val="H23G"/>
        <w:rPr>
          <w:lang w:val="en-GB"/>
        </w:rPr>
      </w:pPr>
      <w:bookmarkStart w:id="94" w:name="_Toc243126041"/>
      <w:bookmarkStart w:id="95" w:name="_Toc245183266"/>
      <w:r>
        <w:tab/>
      </w:r>
      <w:r w:rsidR="00373B5F" w:rsidRPr="00373B5F">
        <w:t>d)</w:t>
      </w:r>
      <w:r w:rsidR="00373B5F" w:rsidRPr="00373B5F">
        <w:tab/>
        <w:t>Difusión de los instrumentos de derechos humanos</w:t>
      </w:r>
      <w:bookmarkEnd w:id="94"/>
      <w:bookmarkEnd w:id="95"/>
    </w:p>
    <w:p w14:paraId="58FE400E" w14:textId="77777777" w:rsidR="00373B5F" w:rsidRPr="00373B5F" w:rsidRDefault="00373B5F" w:rsidP="00373B5F">
      <w:pPr>
        <w:pStyle w:val="SingleTxtG"/>
        <w:rPr>
          <w:bCs/>
          <w:lang w:val="en-GB"/>
        </w:rPr>
      </w:pPr>
      <w:r w:rsidRPr="00373B5F">
        <w:rPr>
          <w:bCs/>
        </w:rPr>
        <w:t>141.</w:t>
      </w:r>
      <w:r w:rsidRPr="00373B5F">
        <w:rPr>
          <w:bCs/>
        </w:rPr>
        <w:tab/>
        <w:t xml:space="preserve">Todos los tratados internacionales fundamentales de derechos humanos ratificados por Noruega se han traducido al noruego. Los convenios incorporados a la legislación noruega por la Ley de Derechos Humanos u otras leyes se publican en la base de datos de información jurídica </w:t>
      </w:r>
      <w:proofErr w:type="spellStart"/>
      <w:r w:rsidRPr="00373B5F">
        <w:rPr>
          <w:bCs/>
          <w:u w:val="single"/>
        </w:rPr>
        <w:t>Lovdata</w:t>
      </w:r>
      <w:proofErr w:type="spellEnd"/>
      <w:r w:rsidRPr="00373B5F">
        <w:rPr>
          <w:bCs/>
          <w:sz w:val="18"/>
          <w:szCs w:val="18"/>
          <w:vertAlign w:val="superscript"/>
        </w:rPr>
        <w:footnoteReference w:id="15"/>
      </w:r>
      <w:r w:rsidRPr="00373B5F">
        <w:rPr>
          <w:bCs/>
        </w:rPr>
        <w:t xml:space="preserve"> en noruego e inglés. Los convenios también se publican en el </w:t>
      </w:r>
      <w:r w:rsidRPr="00373B5F">
        <w:rPr>
          <w:bCs/>
        </w:rPr>
        <w:lastRenderedPageBreak/>
        <w:t xml:space="preserve">sitio web del Gobierno y en los sitios web de las instituciones de Defensoría del Pueblo. Pueden solicitarse copias impresas a todos estos organismos e instituciones. </w:t>
      </w:r>
    </w:p>
    <w:p w14:paraId="2CEC48A8" w14:textId="20A2A868" w:rsidR="00373B5F" w:rsidRPr="00373B5F" w:rsidRDefault="00373B5F" w:rsidP="00373B5F">
      <w:pPr>
        <w:pStyle w:val="SingleTxtG"/>
        <w:rPr>
          <w:bCs/>
          <w:lang w:val="en-GB"/>
        </w:rPr>
      </w:pPr>
      <w:r w:rsidRPr="00373B5F">
        <w:rPr>
          <w:bCs/>
        </w:rPr>
        <w:t>142.</w:t>
      </w:r>
      <w:r w:rsidRPr="00373B5F">
        <w:rPr>
          <w:bCs/>
        </w:rPr>
        <w:tab/>
        <w:t xml:space="preserve">Algunos de los instrumentos fundamentales de derechos humanos también se han publicado en folletos y se han distribuido ampliamente. Por ejemplo, se ha distribuido a todas las escuelas primarias de Noruega una versión abreviada de la Convención sobre los Derechos del Niño, traducida al noruego y al sami septentrional. Además, en 2011 y 2012 se facilitaron traducciones al noruego de la Carta del Consejo de Europa sobre la Educación para la Ciudadanía Democrática y la Educación en Derechos Humanos y de la Declaración de las Naciones Unidas sobre Educación y Formación en materia de Derechos Humanos, respectivamente. La Convención sobre la Eliminación de </w:t>
      </w:r>
      <w:r w:rsidR="00DF4F86">
        <w:rPr>
          <w:bCs/>
        </w:rPr>
        <w:t>T</w:t>
      </w:r>
      <w:r w:rsidRPr="00373B5F">
        <w:rPr>
          <w:bCs/>
        </w:rPr>
        <w:t xml:space="preserve">odas las Formas de Discriminación contra la Mujer, la Convención Internacional sobre la Eliminación de </w:t>
      </w:r>
      <w:r w:rsidR="00C542E9">
        <w:rPr>
          <w:bCs/>
        </w:rPr>
        <w:t>T</w:t>
      </w:r>
      <w:r w:rsidRPr="00373B5F">
        <w:rPr>
          <w:bCs/>
        </w:rPr>
        <w:t>odas las Formas de Discriminación Racial y la Convención sobre los Derechos de las Personas con Discapacidad se han traducido al sami. Los documentos están disponibles en el sitio web del Gobierno</w:t>
      </w:r>
      <w:r w:rsidRPr="00373B5F">
        <w:rPr>
          <w:bCs/>
          <w:sz w:val="18"/>
          <w:szCs w:val="18"/>
          <w:vertAlign w:val="superscript"/>
        </w:rPr>
        <w:footnoteReference w:id="16"/>
      </w:r>
      <w:r w:rsidRPr="00373B5F">
        <w:rPr>
          <w:bCs/>
        </w:rPr>
        <w:t>.</w:t>
      </w:r>
    </w:p>
    <w:p w14:paraId="7FAC1A43" w14:textId="77777777" w:rsidR="00373B5F" w:rsidRPr="00373B5F" w:rsidRDefault="00373B5F" w:rsidP="00373B5F">
      <w:pPr>
        <w:pStyle w:val="SingleTxtG"/>
        <w:rPr>
          <w:bCs/>
          <w:lang w:val="en-GB"/>
        </w:rPr>
      </w:pPr>
      <w:r w:rsidRPr="00373B5F">
        <w:rPr>
          <w:bCs/>
        </w:rPr>
        <w:t>143.</w:t>
      </w:r>
      <w:r w:rsidRPr="00373B5F">
        <w:rPr>
          <w:bCs/>
        </w:rPr>
        <w:tab/>
        <w:t xml:space="preserve">En </w:t>
      </w:r>
      <w:proofErr w:type="spellStart"/>
      <w:r w:rsidRPr="00373B5F">
        <w:rPr>
          <w:bCs/>
        </w:rPr>
        <w:t>Lovdata</w:t>
      </w:r>
      <w:proofErr w:type="spellEnd"/>
      <w:r w:rsidRPr="00373B5F">
        <w:rPr>
          <w:bCs/>
        </w:rPr>
        <w:t xml:space="preserve"> se publican resúmenes en noruego de las sentencias del Tribunal Europeo de Derechos Humanos clasificadas como sentencias de gran importancia por el Tribunal, así como las decisiones en casos en los que Noruega es parte. Además, </w:t>
      </w:r>
      <w:proofErr w:type="spellStart"/>
      <w:r w:rsidRPr="00373B5F">
        <w:rPr>
          <w:bCs/>
        </w:rPr>
        <w:t>Lovdata</w:t>
      </w:r>
      <w:proofErr w:type="spellEnd"/>
      <w:r w:rsidRPr="00373B5F">
        <w:rPr>
          <w:bCs/>
        </w:rPr>
        <w:t xml:space="preserve"> publica las decisiones y dictámenes de los órganos de tratados de derechos humanos de las Naciones Unidas en texto completo en inglés en casos individuales en los que Noruega es parte y en una serie de casos relativos a otros Estados. En algunos de estos casos, se facilitan resúmenes en noruego. </w:t>
      </w:r>
    </w:p>
    <w:p w14:paraId="08787640" w14:textId="5DC21393" w:rsidR="00373B5F" w:rsidRPr="00373B5F" w:rsidRDefault="00653C36" w:rsidP="00653C36">
      <w:pPr>
        <w:pStyle w:val="H23G"/>
        <w:rPr>
          <w:lang w:val="en-GB"/>
        </w:rPr>
      </w:pPr>
      <w:bookmarkStart w:id="96" w:name="_Toc243126042"/>
      <w:bookmarkStart w:id="97" w:name="_Toc245183267"/>
      <w:r>
        <w:tab/>
      </w:r>
      <w:r w:rsidR="00373B5F" w:rsidRPr="00373B5F">
        <w:t>e)</w:t>
      </w:r>
      <w:r w:rsidR="00373B5F" w:rsidRPr="00373B5F">
        <w:tab/>
        <w:t xml:space="preserve">Promoción del conocimiento de los derechos humanos entre los funcionarios </w:t>
      </w:r>
      <w:r>
        <w:br/>
      </w:r>
      <w:r w:rsidR="00373B5F" w:rsidRPr="00373B5F">
        <w:t>públicos y otros profesionales</w:t>
      </w:r>
      <w:bookmarkEnd w:id="96"/>
      <w:bookmarkEnd w:id="97"/>
    </w:p>
    <w:p w14:paraId="105D3D1C" w14:textId="77777777" w:rsidR="00373B5F" w:rsidRPr="00373B5F" w:rsidRDefault="00373B5F" w:rsidP="00373B5F">
      <w:pPr>
        <w:pStyle w:val="SingleTxtG"/>
        <w:rPr>
          <w:bCs/>
          <w:lang w:val="en-GB"/>
        </w:rPr>
      </w:pPr>
      <w:r w:rsidRPr="00373B5F">
        <w:rPr>
          <w:bCs/>
        </w:rPr>
        <w:t>144.</w:t>
      </w:r>
      <w:r w:rsidRPr="00373B5F">
        <w:rPr>
          <w:bCs/>
        </w:rPr>
        <w:tab/>
        <w:t xml:space="preserve">Se han elaborado </w:t>
      </w:r>
      <w:r w:rsidRPr="00373B5F">
        <w:rPr>
          <w:bCs/>
          <w:u w:val="single"/>
        </w:rPr>
        <w:t>reglamentos curriculares nacionales</w:t>
      </w:r>
      <w:r w:rsidRPr="00373B5F">
        <w:rPr>
          <w:bCs/>
        </w:rPr>
        <w:t xml:space="preserve"> para la capacitación docente y la formación profesional en el sector de la salud y los servicios sociales, y los derechos humanos se han incluido como componente obligatorio de estos programas de capacitación. Los conocimientos sobre derechos humanos también se incluyen en los planes de estudios de otras profesiones, como las de abogados, policías, militares y funcionarios de prisiones. Por ley, las universidades y escuelas universitarias son instituciones autónomas. El objetivo de ello es garantizar la libertad académica. En principio, el Gobierno no puede imponer requisitos específicos a estas instituciones en cuanto al contenido de la enseñanza o la investigación, pero puede establecer, y de hecho establece, un plan de estudios nacional para determinados tipos de formación y determinadas asignaturas.</w:t>
      </w:r>
    </w:p>
    <w:p w14:paraId="63FE1610" w14:textId="77777777" w:rsidR="00373B5F" w:rsidRPr="00373B5F" w:rsidRDefault="00373B5F" w:rsidP="00373B5F">
      <w:pPr>
        <w:pStyle w:val="SingleTxtG"/>
        <w:rPr>
          <w:bCs/>
          <w:lang w:val="en-GB"/>
        </w:rPr>
      </w:pPr>
      <w:r w:rsidRPr="00373B5F">
        <w:rPr>
          <w:bCs/>
        </w:rPr>
        <w:t>145.</w:t>
      </w:r>
      <w:r w:rsidRPr="00373B5F">
        <w:rPr>
          <w:bCs/>
        </w:rPr>
        <w:tab/>
        <w:t xml:space="preserve">El Gobierno y otras autoridades públicas, así como organizaciones profesionales y de la sociedad civil, organizan programas de educación permanente para funcionarios públicos. </w:t>
      </w:r>
    </w:p>
    <w:p w14:paraId="25A15B2D" w14:textId="77C40FC4" w:rsidR="00373B5F" w:rsidRPr="00373B5F" w:rsidRDefault="00653C36" w:rsidP="00653C36">
      <w:pPr>
        <w:pStyle w:val="H23G"/>
        <w:rPr>
          <w:lang w:val="en-GB"/>
        </w:rPr>
      </w:pPr>
      <w:bookmarkStart w:id="98" w:name="_Toc243126043"/>
      <w:bookmarkStart w:id="99" w:name="_Toc245183268"/>
      <w:r>
        <w:tab/>
      </w:r>
      <w:r w:rsidR="00373B5F" w:rsidRPr="00373B5F">
        <w:t>f)</w:t>
      </w:r>
      <w:r w:rsidR="00373B5F" w:rsidRPr="00373B5F">
        <w:tab/>
        <w:t xml:space="preserve">Promoción del conocimiento de los derechos humanos mediante programas </w:t>
      </w:r>
      <w:r>
        <w:br/>
      </w:r>
      <w:r w:rsidR="00373B5F" w:rsidRPr="00373B5F">
        <w:t xml:space="preserve">educativos e información pública patrocinada por el Gobierno </w:t>
      </w:r>
      <w:bookmarkStart w:id="100" w:name="_Hlk163736998"/>
      <w:bookmarkEnd w:id="98"/>
      <w:bookmarkEnd w:id="99"/>
      <w:bookmarkEnd w:id="100"/>
    </w:p>
    <w:p w14:paraId="3A338E63" w14:textId="6FDB6F3A" w:rsidR="00373B5F" w:rsidRPr="00373B5F" w:rsidRDefault="00373B5F" w:rsidP="00373B5F">
      <w:pPr>
        <w:pStyle w:val="SingleTxtG"/>
        <w:rPr>
          <w:bCs/>
          <w:lang w:val="en-GB"/>
        </w:rPr>
      </w:pPr>
      <w:bookmarkStart w:id="101" w:name="_Hlk163737118"/>
      <w:r w:rsidRPr="00373B5F">
        <w:rPr>
          <w:bCs/>
        </w:rPr>
        <w:t>146.</w:t>
      </w:r>
      <w:r w:rsidRPr="00373B5F">
        <w:rPr>
          <w:bCs/>
        </w:rPr>
        <w:tab/>
        <w:t xml:space="preserve">La inclusión de la educación en derechos humanos en todos los niveles del sistema educativo es una gran prioridad en Noruega. En 2008, el </w:t>
      </w:r>
      <w:proofErr w:type="spellStart"/>
      <w:r w:rsidRPr="00373B5F">
        <w:rPr>
          <w:bCs/>
        </w:rPr>
        <w:t>Storting</w:t>
      </w:r>
      <w:proofErr w:type="spellEnd"/>
      <w:r w:rsidRPr="00373B5F">
        <w:rPr>
          <w:bCs/>
        </w:rPr>
        <w:t xml:space="preserve"> decidió modificar el objetivo estatutario de los centros de enseñanza preescolar y los centros de enseñanza primaria y secundaria. Las modificaciones a la legislación pertinente entraron en vigor en</w:t>
      </w:r>
      <w:r w:rsidR="00653C36">
        <w:rPr>
          <w:bCs/>
        </w:rPr>
        <w:t> </w:t>
      </w:r>
      <w:r w:rsidRPr="00373B5F">
        <w:rPr>
          <w:bCs/>
        </w:rPr>
        <w:t xml:space="preserve">2009 y 2010. </w:t>
      </w:r>
    </w:p>
    <w:bookmarkEnd w:id="101"/>
    <w:p w14:paraId="66EA38EA" w14:textId="379DCCB6" w:rsidR="00373B5F" w:rsidRPr="00373B5F" w:rsidRDefault="00373B5F" w:rsidP="00653C36">
      <w:pPr>
        <w:pStyle w:val="H23G"/>
        <w:rPr>
          <w:lang w:val="en-GB"/>
        </w:rPr>
      </w:pPr>
      <w:r w:rsidRPr="00373B5F">
        <w:tab/>
      </w:r>
      <w:r w:rsidR="00653C36">
        <w:tab/>
      </w:r>
      <w:r w:rsidRPr="00373B5F">
        <w:t>Centros de enseñanza preescolar</w:t>
      </w:r>
      <w:bookmarkStart w:id="102" w:name="_Hlk163732610"/>
    </w:p>
    <w:p w14:paraId="429657C1" w14:textId="77777777" w:rsidR="00373B5F" w:rsidRPr="00373B5F" w:rsidRDefault="00373B5F" w:rsidP="00373B5F">
      <w:pPr>
        <w:pStyle w:val="SingleTxtG"/>
        <w:rPr>
          <w:bCs/>
          <w:lang w:val="en-GB"/>
        </w:rPr>
      </w:pPr>
      <w:r w:rsidRPr="00373B5F">
        <w:rPr>
          <w:bCs/>
        </w:rPr>
        <w:t>147.</w:t>
      </w:r>
      <w:r w:rsidRPr="00373B5F">
        <w:rPr>
          <w:bCs/>
        </w:rPr>
        <w:tab/>
        <w:t xml:space="preserve">De acuerdo con el objetivo estatutario de la </w:t>
      </w:r>
      <w:r w:rsidRPr="00373B5F">
        <w:rPr>
          <w:bCs/>
          <w:u w:val="single"/>
        </w:rPr>
        <w:t>Ley de Centros de Enseñanza Preescolar</w:t>
      </w:r>
      <w:r w:rsidRPr="00373B5F">
        <w:rPr>
          <w:bCs/>
        </w:rPr>
        <w:t xml:space="preserve">, los centros de enseñanza preescolar deben, en cooperación con los padres, garantizar que se satisfagan las necesidades de cuidado y juego de los niños y promover su desarrollo integral. Los centros de enseñanza preescolar deben basar sus actividades en los valores fundamentales de la herencia cristiana y humanista, que son también los inherentes a los </w:t>
      </w:r>
      <w:r w:rsidRPr="00373B5F">
        <w:rPr>
          <w:bCs/>
        </w:rPr>
        <w:lastRenderedPageBreak/>
        <w:t xml:space="preserve">derechos humanos, como el respeto de la dignidad humana, la libertad intelectual, la caridad, el perdón, la igualdad y la solidaridad. </w:t>
      </w:r>
    </w:p>
    <w:p w14:paraId="1CB14C6D" w14:textId="77777777" w:rsidR="00373B5F" w:rsidRPr="00373B5F" w:rsidRDefault="00373B5F" w:rsidP="00373B5F">
      <w:pPr>
        <w:pStyle w:val="SingleTxtG"/>
        <w:rPr>
          <w:bCs/>
          <w:lang w:val="en-GB"/>
        </w:rPr>
      </w:pPr>
      <w:r w:rsidRPr="00373B5F">
        <w:rPr>
          <w:bCs/>
        </w:rPr>
        <w:t>148.</w:t>
      </w:r>
      <w:r w:rsidRPr="00373B5F">
        <w:rPr>
          <w:bCs/>
        </w:rPr>
        <w:tab/>
        <w:t>El plan de estudios para el contenido y las tareas de los centros de enseñanza preescolar, establecido por el Ministerio de Educación e Investigación en 2017, contiene objetivos similares. Los centros de enseñanza preescolar deben basar sus actividades en un conjunto común de valores como la dignidad humana, la igualdad, la honradez y la equidad, y estos valores deben enseñarse de conformidad con los convenios de derechos humanos en los que Noruega es parte. Tanto los convenios internacionales como la legislación noruega hacen hincapié en el derecho de los padres a educar a sus hijos según sus creencias religiosas e ideológicas y en el derecho de los niños a aprender sobre la sociedad en la que se crían.</w:t>
      </w:r>
    </w:p>
    <w:p w14:paraId="58CDA5BF" w14:textId="143272AC" w:rsidR="00373B5F" w:rsidRPr="00373B5F" w:rsidRDefault="00653C36" w:rsidP="00653C36">
      <w:pPr>
        <w:pStyle w:val="H23G"/>
        <w:rPr>
          <w:lang w:val="en-GB"/>
        </w:rPr>
      </w:pPr>
      <w:r>
        <w:tab/>
      </w:r>
      <w:r w:rsidR="00373B5F" w:rsidRPr="00373B5F">
        <w:tab/>
        <w:t>Enseñanza primaria y secundaria</w:t>
      </w:r>
    </w:p>
    <w:p w14:paraId="645C7A69" w14:textId="442E6BCA" w:rsidR="00373B5F" w:rsidRPr="00373B5F" w:rsidRDefault="00373B5F" w:rsidP="00373B5F">
      <w:pPr>
        <w:pStyle w:val="SingleTxtG"/>
        <w:rPr>
          <w:bCs/>
          <w:lang w:val="en-GB"/>
        </w:rPr>
      </w:pPr>
      <w:r w:rsidRPr="00373B5F">
        <w:rPr>
          <w:bCs/>
        </w:rPr>
        <w:t>149.</w:t>
      </w:r>
      <w:r w:rsidRPr="00373B5F">
        <w:rPr>
          <w:bCs/>
        </w:rPr>
        <w:tab/>
        <w:t xml:space="preserve">Desde que se introdujeron los primeros </w:t>
      </w:r>
      <w:r w:rsidRPr="00373B5F">
        <w:rPr>
          <w:bCs/>
          <w:u w:val="single"/>
        </w:rPr>
        <w:t>objetivos</w:t>
      </w:r>
      <w:r w:rsidRPr="00373B5F">
        <w:rPr>
          <w:bCs/>
        </w:rPr>
        <w:t xml:space="preserve"> para las escuelas públicas en 1848 y hasta 2008, los objetivos estatutarios se modificaron principalmente añadiendo nuevos objetivos y sin alterar el principio básico de la educación cristiana y moral. Los objetivos de la actual Ley de Educación, basados en las modificaciones de 2009, representan una clara ruptura con esta tradición, ya que se basan en los derechos humanos fundamentales y tienen en cuenta el hecho de que, si bien la sociedad noruega tiene sus propias tradiciones culturales, también se caracteriza por la diversidad cultural. El objetivo estatutario reza así: </w:t>
      </w:r>
      <w:r w:rsidR="00D52DBF">
        <w:rPr>
          <w:bCs/>
        </w:rPr>
        <w:t>“</w:t>
      </w:r>
      <w:r w:rsidRPr="00373B5F">
        <w:rPr>
          <w:bCs/>
        </w:rPr>
        <w:t>La educación y la formación se basarán en los valores fundamentales de la herencia y las tradiciones cristianas y humanistas, como el respeto a la dignidad humana y a la naturaleza, en la libertad intelectual, la caridad, el perdón, la igualdad y la solidaridad, valores que también aparecen en distintas religiones y creencias y que están arraigados en los derechos humanos</w:t>
      </w:r>
      <w:r w:rsidR="00D52DBF">
        <w:rPr>
          <w:bCs/>
        </w:rPr>
        <w:t>”</w:t>
      </w:r>
      <w:r w:rsidRPr="00373B5F">
        <w:rPr>
          <w:bCs/>
        </w:rPr>
        <w:t xml:space="preserve">. La misma disposición también establece explícitamente que deben combatirse todas las formas de discriminación. </w:t>
      </w:r>
    </w:p>
    <w:p w14:paraId="4AD0E8CF" w14:textId="77777777" w:rsidR="00373B5F" w:rsidRPr="00373B5F" w:rsidRDefault="00373B5F" w:rsidP="00373B5F">
      <w:pPr>
        <w:pStyle w:val="SingleTxtG"/>
        <w:rPr>
          <w:bCs/>
          <w:lang w:val="en-GB"/>
        </w:rPr>
      </w:pPr>
      <w:r w:rsidRPr="00373B5F">
        <w:rPr>
          <w:bCs/>
        </w:rPr>
        <w:t>150.</w:t>
      </w:r>
      <w:r w:rsidRPr="00373B5F">
        <w:rPr>
          <w:bCs/>
        </w:rPr>
        <w:tab/>
        <w:t xml:space="preserve">Además, los </w:t>
      </w:r>
      <w:r w:rsidRPr="00373B5F">
        <w:rPr>
          <w:bCs/>
          <w:u w:val="single"/>
        </w:rPr>
        <w:t>valores y principios</w:t>
      </w:r>
      <w:r w:rsidRPr="00373B5F">
        <w:rPr>
          <w:bCs/>
        </w:rPr>
        <w:t xml:space="preserve"> de la educación y formación primaria y secundaria se establecen en el currículo básico nacional (véase la Ley de Educación). El objetivo estatutario para el plan de estudios básico define los valores que unen a la sociedad noruega y que representan los cimientos de nuestra democracia, para la que son fundamentales el respeto de los derechos humanos, la dignidad y la diversidad. La educación promoverá la creencia en los valores democráticos y en la democracia como forma de gobierno. Hará que los alumnos comprendan las reglas básicas de la democracia y la importancia de protegerlas. Los valores fundamentales se basan en la herencia y las tradiciones cristianas y humanistas, que también se expresan en distintas religiones y cosmovisiones, y están arraigados en los derechos humanos. Estos valores son la base de las actividades escolares. Deben utilizarse activamente y ser significativos para cada alumno en el entorno escolar mediante la transmisión de conocimientos y la formación de puntos de vista y competencias. Los valores deben influir en la forma en que la escuela y los maestros interactúan con el alumno y el hogar, en consonancia con el interés superior del alumno, que debe ser siempre una consideración primordial.</w:t>
      </w:r>
    </w:p>
    <w:p w14:paraId="4B801ECC" w14:textId="77777777" w:rsidR="00373B5F" w:rsidRPr="00373B5F" w:rsidRDefault="00373B5F" w:rsidP="00373B5F">
      <w:pPr>
        <w:pStyle w:val="SingleTxtG"/>
        <w:rPr>
          <w:bCs/>
          <w:lang w:val="en-GB"/>
        </w:rPr>
      </w:pPr>
      <w:r w:rsidRPr="00373B5F">
        <w:rPr>
          <w:bCs/>
        </w:rPr>
        <w:t>151.</w:t>
      </w:r>
      <w:r w:rsidRPr="00373B5F">
        <w:rPr>
          <w:bCs/>
        </w:rPr>
        <w:tab/>
        <w:t xml:space="preserve">Los derechos humanos también están integrados en los </w:t>
      </w:r>
      <w:r w:rsidRPr="00373B5F">
        <w:rPr>
          <w:bCs/>
          <w:u w:val="single"/>
        </w:rPr>
        <w:t>planes de estudio de las asignaturas obligatorias</w:t>
      </w:r>
      <w:r w:rsidRPr="00373B5F">
        <w:rPr>
          <w:bCs/>
        </w:rPr>
        <w:t xml:space="preserve"> de la educación primaria y secundaria. En las asignaturas de Estudios Sociales, se espera que los alumnos hayan adquirido diversas competencias en materia de derechos humanos al final de los cursos 4º, 7º, 10º y 11º/12º. Lo mismo ocurre en relación con la asignatura Cristianismo, Religión, Filosofías de Vida y Ética. Se ofrece una asignatura optativa sobre Derechos Humanos y Política (140 horas lectivas al año) a los alumnos de los cursos 12º a 13º del programa de estudios generales, y los derechos humanos también se incorporan a las asignaturas optativas de Sociología, Ciencias Sociales y Derecho. </w:t>
      </w:r>
    </w:p>
    <w:bookmarkEnd w:id="102"/>
    <w:p w14:paraId="0D2A4A89" w14:textId="6E65FE08" w:rsidR="00373B5F" w:rsidRPr="00373B5F" w:rsidRDefault="00373B5F" w:rsidP="00653C36">
      <w:pPr>
        <w:pStyle w:val="H23G"/>
        <w:rPr>
          <w:lang w:val="en-GB"/>
        </w:rPr>
      </w:pPr>
      <w:r w:rsidRPr="00373B5F">
        <w:tab/>
      </w:r>
      <w:r w:rsidR="00653C36">
        <w:tab/>
      </w:r>
      <w:r w:rsidRPr="00373B5F">
        <w:t xml:space="preserve">El Centro Europeo </w:t>
      </w:r>
      <w:proofErr w:type="spellStart"/>
      <w:r w:rsidRPr="00373B5F">
        <w:t>Wergeland</w:t>
      </w:r>
      <w:proofErr w:type="spellEnd"/>
    </w:p>
    <w:p w14:paraId="2A7A15C1" w14:textId="77777777" w:rsidR="00373B5F" w:rsidRPr="00373B5F" w:rsidRDefault="00373B5F" w:rsidP="00373B5F">
      <w:pPr>
        <w:pStyle w:val="SingleTxtG"/>
        <w:rPr>
          <w:bCs/>
          <w:lang w:val="en-GB"/>
        </w:rPr>
      </w:pPr>
      <w:r w:rsidRPr="00373B5F">
        <w:rPr>
          <w:bCs/>
        </w:rPr>
        <w:t>152.</w:t>
      </w:r>
      <w:r w:rsidRPr="00373B5F">
        <w:rPr>
          <w:bCs/>
        </w:rPr>
        <w:tab/>
        <w:t xml:space="preserve">En cooperación con el Consejo de Europa, Noruega ha creado un </w:t>
      </w:r>
      <w:r w:rsidRPr="00373B5F">
        <w:rPr>
          <w:bCs/>
          <w:u w:val="single"/>
        </w:rPr>
        <w:t>centro de recursos</w:t>
      </w:r>
      <w:r w:rsidRPr="00373B5F">
        <w:rPr>
          <w:bCs/>
        </w:rPr>
        <w:t xml:space="preserve"> sobre educación para el entendimiento intercultural, los derechos humanos y la ciudadanía democrática. El Centro Europeo </w:t>
      </w:r>
      <w:proofErr w:type="spellStart"/>
      <w:r w:rsidRPr="00373B5F">
        <w:rPr>
          <w:bCs/>
        </w:rPr>
        <w:t>Wergeland</w:t>
      </w:r>
      <w:proofErr w:type="spellEnd"/>
      <w:r w:rsidRPr="00373B5F">
        <w:rPr>
          <w:bCs/>
        </w:rPr>
        <w:t xml:space="preserve">, que lleva el nombre del poeta noruego Henrik </w:t>
      </w:r>
      <w:proofErr w:type="spellStart"/>
      <w:r w:rsidRPr="00373B5F">
        <w:rPr>
          <w:bCs/>
        </w:rPr>
        <w:t>Wergeland</w:t>
      </w:r>
      <w:proofErr w:type="spellEnd"/>
      <w:r w:rsidRPr="00373B5F">
        <w:rPr>
          <w:bCs/>
        </w:rPr>
        <w:t xml:space="preserve"> (1808-1845), funciona desde 2009. El Centro pretende ser un recurso para todos los Estados miembros del Consejo de Europa. Se basa en los valores y objetivos compartidos por el Consejo de Europa y Noruega, y los promueve. </w:t>
      </w:r>
    </w:p>
    <w:p w14:paraId="28A1587E" w14:textId="77777777" w:rsidR="00373B5F" w:rsidRPr="00373B5F" w:rsidRDefault="00373B5F" w:rsidP="00373B5F">
      <w:pPr>
        <w:pStyle w:val="SingleTxtG"/>
        <w:rPr>
          <w:bCs/>
          <w:lang w:val="en-GB"/>
        </w:rPr>
      </w:pPr>
      <w:r w:rsidRPr="00373B5F">
        <w:rPr>
          <w:bCs/>
        </w:rPr>
        <w:lastRenderedPageBreak/>
        <w:t>153.</w:t>
      </w:r>
      <w:r w:rsidRPr="00373B5F">
        <w:rPr>
          <w:bCs/>
        </w:rPr>
        <w:tab/>
        <w:t>Se reconoce que la educación es un factor clave para crear democracias vibrantes en Europa. La principal tarea del Centro es promover la cultura democrática y la pertenencia social a través de la educación. El Centro aportará su contribución mediante proyectos y actividades pertinentes en cooperación con el Consejo de Europa. Un elemento importante de la labor del Centro es mantener un sitio web accesible e informativo, que pueda servir de centro en línea y crear así una red para los profesionales pertinentes. Los grupos destinatarios son los maestros, los profesionales de la formación docente, los investigadores, los especialistas, los responsables de formular políticas y otros agentes pertinentes.</w:t>
      </w:r>
    </w:p>
    <w:p w14:paraId="50CCA946" w14:textId="7F3C7400" w:rsidR="00373B5F" w:rsidRPr="00373B5F" w:rsidRDefault="00653C36" w:rsidP="00653C36">
      <w:pPr>
        <w:pStyle w:val="H23G"/>
        <w:rPr>
          <w:lang w:val="en-GB"/>
        </w:rPr>
      </w:pPr>
      <w:r>
        <w:tab/>
      </w:r>
      <w:r w:rsidR="00373B5F" w:rsidRPr="00373B5F">
        <w:tab/>
        <w:t>Los Exploradores Samis y Judíos</w:t>
      </w:r>
    </w:p>
    <w:p w14:paraId="5686B18E" w14:textId="242C2C1A" w:rsidR="00373B5F" w:rsidRPr="00373B5F" w:rsidRDefault="00373B5F" w:rsidP="00373B5F">
      <w:pPr>
        <w:pStyle w:val="SingleTxtG"/>
        <w:rPr>
          <w:bCs/>
          <w:lang w:val="en-GB"/>
        </w:rPr>
      </w:pPr>
      <w:r w:rsidRPr="00373B5F">
        <w:rPr>
          <w:bCs/>
        </w:rPr>
        <w:t>154.</w:t>
      </w:r>
      <w:r w:rsidRPr="00373B5F">
        <w:rPr>
          <w:bCs/>
        </w:rPr>
        <w:tab/>
        <w:t xml:space="preserve">Los </w:t>
      </w:r>
      <w:r w:rsidRPr="00373B5F">
        <w:rPr>
          <w:bCs/>
          <w:u w:val="single"/>
        </w:rPr>
        <w:t>Exploradores Samis</w:t>
      </w:r>
      <w:r w:rsidRPr="00373B5F">
        <w:rPr>
          <w:bCs/>
        </w:rPr>
        <w:t xml:space="preserve"> es un programa gestionado por la Escuela Universitaria Sami y financiado por el Gobierno central. Gracias a este acuerdo, seis jóvenes samis reciben cada año una beca para visitar centros de enseñanza secundaria alta y organizaciones de todo el país para conocer a jóvenes de su edad. El objetivo es proporcionar a los jóvenes información sobre cuestiones samis y sobre cómo es ser sami en la Noruega de hoy. La experiencia demuestra que el concepto de </w:t>
      </w:r>
      <w:r w:rsidR="00D52DBF">
        <w:rPr>
          <w:bCs/>
        </w:rPr>
        <w:t>“</w:t>
      </w:r>
      <w:r w:rsidRPr="00373B5F">
        <w:rPr>
          <w:bCs/>
        </w:rPr>
        <w:t>explorador</w:t>
      </w:r>
      <w:r w:rsidR="00D52DBF">
        <w:rPr>
          <w:bCs/>
        </w:rPr>
        <w:t>”</w:t>
      </w:r>
      <w:r w:rsidRPr="00373B5F">
        <w:rPr>
          <w:bCs/>
        </w:rPr>
        <w:t xml:space="preserve"> es una buena manera de enfrentar los prejuicios y las ideas erróneas sobre los samis y las culturas samis.</w:t>
      </w:r>
    </w:p>
    <w:p w14:paraId="0856673C" w14:textId="77777777" w:rsidR="00373B5F" w:rsidRPr="00373B5F" w:rsidRDefault="00373B5F" w:rsidP="00373B5F">
      <w:pPr>
        <w:pStyle w:val="SingleTxtG"/>
        <w:rPr>
          <w:bCs/>
          <w:lang w:val="en-GB"/>
        </w:rPr>
      </w:pPr>
      <w:r w:rsidRPr="00373B5F">
        <w:rPr>
          <w:bCs/>
        </w:rPr>
        <w:t>155.</w:t>
      </w:r>
      <w:r w:rsidRPr="00373B5F">
        <w:rPr>
          <w:bCs/>
        </w:rPr>
        <w:tab/>
        <w:t xml:space="preserve">La comunidad judía de Oslo es responsable de la iniciativa de los </w:t>
      </w:r>
      <w:r w:rsidRPr="00373B5F">
        <w:rPr>
          <w:bCs/>
          <w:u w:val="single"/>
        </w:rPr>
        <w:t>Exploradores Judíos</w:t>
      </w:r>
      <w:r w:rsidRPr="00373B5F">
        <w:rPr>
          <w:bCs/>
        </w:rPr>
        <w:t xml:space="preserve"> y organiza su educación. Cada año, hasta dos jóvenes judíos son reclutados como exploradores. A través de visitas escolares, los exploradores entablan un diálogo con los alumnos, contribuyen a dar visibilidad a los judíos noruegos y ayudan a contrarrestar los estereotipos, los prejuicios y el antisemitismo en la sociedad noruega.</w:t>
      </w:r>
    </w:p>
    <w:p w14:paraId="75C329AF" w14:textId="7E7931E0" w:rsidR="00373B5F" w:rsidRPr="00373B5F" w:rsidRDefault="00653C36" w:rsidP="00653C36">
      <w:pPr>
        <w:pStyle w:val="H23G"/>
        <w:rPr>
          <w:lang w:val="en-GB"/>
        </w:rPr>
      </w:pPr>
      <w:bookmarkStart w:id="103" w:name="_Toc243126044"/>
      <w:bookmarkStart w:id="104" w:name="_Toc245183269"/>
      <w:r>
        <w:tab/>
      </w:r>
      <w:r w:rsidR="00373B5F" w:rsidRPr="00373B5F">
        <w:t>g)</w:t>
      </w:r>
      <w:r w:rsidR="00373B5F" w:rsidRPr="00373B5F">
        <w:tab/>
        <w:t xml:space="preserve">Promoción del conocimiento de los derechos humanos a través </w:t>
      </w:r>
      <w:r>
        <w:br/>
      </w:r>
      <w:r w:rsidR="00373B5F" w:rsidRPr="00373B5F">
        <w:t>de los medios de comunicación</w:t>
      </w:r>
      <w:bookmarkEnd w:id="103"/>
      <w:bookmarkEnd w:id="104"/>
    </w:p>
    <w:p w14:paraId="5B2303F3" w14:textId="77777777" w:rsidR="00373B5F" w:rsidRPr="00373B5F" w:rsidRDefault="00373B5F" w:rsidP="00373B5F">
      <w:pPr>
        <w:pStyle w:val="SingleTxtG"/>
        <w:rPr>
          <w:bCs/>
          <w:lang w:val="en-GB"/>
        </w:rPr>
      </w:pPr>
      <w:r w:rsidRPr="00373B5F">
        <w:rPr>
          <w:bCs/>
        </w:rPr>
        <w:t>156.</w:t>
      </w:r>
      <w:r w:rsidRPr="00373B5F">
        <w:rPr>
          <w:bCs/>
        </w:rPr>
        <w:tab/>
        <w:t xml:space="preserve">La </w:t>
      </w:r>
      <w:r w:rsidRPr="00373B5F">
        <w:rPr>
          <w:bCs/>
          <w:u w:val="single"/>
        </w:rPr>
        <w:t>libertad de expresión y de prensa</w:t>
      </w:r>
      <w:r w:rsidRPr="00373B5F">
        <w:rPr>
          <w:bCs/>
        </w:rPr>
        <w:t xml:space="preserve"> está garantizada tanto por los instrumentos internacionales de derechos humanos como por la Constitución de Noruega. La prensa y otros medios de comunicación resaltan periódicamente importantes cuestiones de derechos humanos en Noruega y desempeñan un papel vital en cuanto a facilitar el debate público sobre estas cuestiones. Las organizaciones de la sociedad civil también recurren a los medios de comunicación para incluir las cuestiones de derechos humanos en la agenda pública. </w:t>
      </w:r>
    </w:p>
    <w:p w14:paraId="695B7856" w14:textId="0A7B579D" w:rsidR="00373B5F" w:rsidRPr="00373B5F" w:rsidRDefault="00653C36" w:rsidP="00E7447B">
      <w:pPr>
        <w:pStyle w:val="H23G"/>
        <w:rPr>
          <w:lang w:val="en-GB"/>
        </w:rPr>
      </w:pPr>
      <w:bookmarkStart w:id="105" w:name="_Toc243126045"/>
      <w:bookmarkStart w:id="106" w:name="_Toc245183270"/>
      <w:r>
        <w:tab/>
      </w:r>
      <w:r w:rsidR="00373B5F" w:rsidRPr="00373B5F">
        <w:t>h)</w:t>
      </w:r>
      <w:r w:rsidR="00373B5F" w:rsidRPr="00373B5F">
        <w:tab/>
        <w:t>Función de la sociedad civil, incluidas las organizaciones no gubernamentales</w:t>
      </w:r>
      <w:bookmarkEnd w:id="105"/>
      <w:bookmarkEnd w:id="106"/>
    </w:p>
    <w:p w14:paraId="75246D21" w14:textId="77777777" w:rsidR="00373B5F" w:rsidRPr="00373B5F" w:rsidRDefault="00373B5F" w:rsidP="00373B5F">
      <w:pPr>
        <w:pStyle w:val="SingleTxtG"/>
        <w:rPr>
          <w:bCs/>
          <w:lang w:val="en-GB"/>
        </w:rPr>
      </w:pPr>
      <w:r w:rsidRPr="00373B5F">
        <w:rPr>
          <w:bCs/>
        </w:rPr>
        <w:t>157.</w:t>
      </w:r>
      <w:r w:rsidRPr="00373B5F">
        <w:rPr>
          <w:bCs/>
        </w:rPr>
        <w:tab/>
        <w:t xml:space="preserve">La sociedad civil, incluidos los defensores de los derechos humanos y los interlocutores sociales (los sindicatos y las organizaciones industriales), desempeña un papel clave en el </w:t>
      </w:r>
      <w:r w:rsidRPr="00373B5F">
        <w:rPr>
          <w:bCs/>
          <w:u w:val="single"/>
        </w:rPr>
        <w:t>ejercicio efectivo de los derechos humanos</w:t>
      </w:r>
      <w:r w:rsidRPr="00373B5F">
        <w:rPr>
          <w:bCs/>
        </w:rPr>
        <w:t xml:space="preserve"> en Noruega y ha sentado gran parte de las bases de la democracia y el bienestar en la sociedad noruega. Los agentes de la sociedad civil promueven la diversidad, difunden conocimientos, estimulan el debate sobre políticas y prioridades, contribuyen con propuestas a las consultas públicas, realizan labores de voluntariado y fomentan la cohesión social. La sociedad civil también desempeña un papel clave en cuanto a fortalecer la integración de los refugiados y otros grupos de inmigrantes en las comunidades locales. El diálogo y la cooperación entre el Gobierno y la sociedad civil son elementos importantes de los procesos de elaboración y aplicación de políticas. Entre las medidas adoptadas figura la celebración anual de una Conferencia sobre Integración, en la que el Gobierno recaba la opinión de inmigrantes y migrantes de segunda generación sobre temas de importancia para la integración. En muchos casos, los temas se han incluido en la agenda como resultado de iniciativas tomadas por partes interesadas de la sociedad civil.</w:t>
      </w:r>
    </w:p>
    <w:p w14:paraId="117B8ECA" w14:textId="77777777" w:rsidR="00373B5F" w:rsidRPr="00373B5F" w:rsidRDefault="00373B5F" w:rsidP="00373B5F">
      <w:pPr>
        <w:pStyle w:val="SingleTxtG"/>
        <w:rPr>
          <w:bCs/>
          <w:lang w:val="en-GB"/>
        </w:rPr>
      </w:pPr>
      <w:r w:rsidRPr="00373B5F">
        <w:rPr>
          <w:bCs/>
        </w:rPr>
        <w:t>158.</w:t>
      </w:r>
      <w:r w:rsidRPr="00373B5F">
        <w:rPr>
          <w:bCs/>
        </w:rPr>
        <w:tab/>
        <w:t xml:space="preserve">Noruega siempre ha tenido una </w:t>
      </w:r>
      <w:r w:rsidRPr="00373B5F">
        <w:rPr>
          <w:bCs/>
          <w:u w:val="single"/>
        </w:rPr>
        <w:t>sociedad civil</w:t>
      </w:r>
      <w:r w:rsidRPr="00373B5F">
        <w:rPr>
          <w:bCs/>
        </w:rPr>
        <w:t xml:space="preserve"> fuerte. Casi ocho de cada diez personas son miembros de una o más organizaciones, que abarcan ámbitos como la conservación de la naturaleza, el deporte, la religión, los derechos humanos, la cooperación para el desarrollo, la cultura, los sindicatos y las organizaciones comerciales e industriales. Cerca de la mitad de la población se considera miembro activo de estas organizaciones. En Noruega, un alto índice de participación en este tipo de organizaciones se percibe como un indicador de una sociedad que funciona bien, caracterizada por la diversidad, la comunidad y la participación cívica. El Gobierno desea implicar a un amplio sector de la sociedad en la labor encaminada a promover los derechos humanos y apoyar y facilitar la participación voluntaria y el desarrollo de una sociedad civil dinámica. La financiación pública de las organizaciones no </w:t>
      </w:r>
      <w:r w:rsidRPr="00373B5F">
        <w:rPr>
          <w:bCs/>
        </w:rPr>
        <w:lastRenderedPageBreak/>
        <w:t xml:space="preserve">gubernamentales (ONG) por parte del Estado, sin imponer restricciones a sus actividades, es un medio importante para lograr este objetivo. </w:t>
      </w:r>
    </w:p>
    <w:p w14:paraId="4C21A257" w14:textId="77777777" w:rsidR="00373B5F" w:rsidRPr="00373B5F" w:rsidRDefault="00373B5F" w:rsidP="00373B5F">
      <w:pPr>
        <w:pStyle w:val="SingleTxtG"/>
        <w:rPr>
          <w:bCs/>
          <w:lang w:val="en-GB"/>
        </w:rPr>
      </w:pPr>
      <w:r w:rsidRPr="00373B5F">
        <w:rPr>
          <w:bCs/>
        </w:rPr>
        <w:t>159.</w:t>
      </w:r>
      <w:r w:rsidRPr="00373B5F">
        <w:rPr>
          <w:bCs/>
        </w:rPr>
        <w:tab/>
        <w:t xml:space="preserve">En este contexto, hay que destacar el papel de los sindicatos y las organizaciones industriales (los interlocutores sociales). Estas organizaciones han desempeñado y siguen desempeñando un papel importante en la vida laboral noruega y son fundamentales para hacer efectivos y promover los derechos laborales, incluido el derecho de sindicación y negociación colectiva. </w:t>
      </w:r>
    </w:p>
    <w:p w14:paraId="415DBDF8" w14:textId="77777777" w:rsidR="00373B5F" w:rsidRPr="00373B5F" w:rsidRDefault="00373B5F" w:rsidP="00373B5F">
      <w:pPr>
        <w:pStyle w:val="SingleTxtG"/>
        <w:rPr>
          <w:bCs/>
          <w:lang w:val="en-GB"/>
        </w:rPr>
      </w:pPr>
      <w:r w:rsidRPr="00373B5F">
        <w:rPr>
          <w:bCs/>
        </w:rPr>
        <w:t>160.</w:t>
      </w:r>
      <w:r w:rsidRPr="00373B5F">
        <w:rPr>
          <w:bCs/>
        </w:rPr>
        <w:tab/>
        <w:t xml:space="preserve">El Gobierno organiza reuniones periódicas con las organizaciones de derechos humanos y los principales interlocutores sociales, y todos los proyectos legislativos se someten a un </w:t>
      </w:r>
      <w:r w:rsidRPr="00373B5F">
        <w:rPr>
          <w:bCs/>
          <w:u w:val="single"/>
        </w:rPr>
        <w:t>amplio proceso de consulta</w:t>
      </w:r>
      <w:r w:rsidRPr="00373B5F">
        <w:rPr>
          <w:bCs/>
        </w:rPr>
        <w:t xml:space="preserve"> que incluye a estas organizaciones, cuando procede. A menudo aportan información valiosa y pueden influir en la política gubernamental. </w:t>
      </w:r>
    </w:p>
    <w:p w14:paraId="444DAF2E" w14:textId="77777777" w:rsidR="00373B5F" w:rsidRPr="00373B5F" w:rsidRDefault="00373B5F" w:rsidP="00373B5F">
      <w:pPr>
        <w:pStyle w:val="SingleTxtG"/>
        <w:rPr>
          <w:bCs/>
          <w:lang w:val="en-GB"/>
        </w:rPr>
      </w:pPr>
      <w:r w:rsidRPr="00373B5F">
        <w:rPr>
          <w:bCs/>
        </w:rPr>
        <w:t>161.</w:t>
      </w:r>
      <w:r w:rsidRPr="00373B5F">
        <w:rPr>
          <w:bCs/>
        </w:rPr>
        <w:tab/>
        <w:t xml:space="preserve">Varias organizaciones noruegas de la sociedad civil dedicadas a los derechos humanos han creado una red, el </w:t>
      </w:r>
      <w:r w:rsidRPr="00373B5F">
        <w:rPr>
          <w:bCs/>
          <w:u w:val="single"/>
        </w:rPr>
        <w:t>Foro de ONG por los Derechos Humanos</w:t>
      </w:r>
      <w:r w:rsidRPr="00373B5F">
        <w:rPr>
          <w:bCs/>
        </w:rPr>
        <w:t xml:space="preserve">, a través de la cual intercambian información y coordinan sus actividades. Se ha creado una red similar específica para los derechos del niño, el </w:t>
      </w:r>
      <w:r w:rsidRPr="00373B5F">
        <w:rPr>
          <w:bCs/>
          <w:u w:val="single"/>
        </w:rPr>
        <w:t>Foro para la Convención sobre los Derechos del Niño</w:t>
      </w:r>
      <w:r w:rsidRPr="00373B5F">
        <w:rPr>
          <w:bCs/>
        </w:rPr>
        <w:t>, que cuenta entre sus miembros con más de 50 instituciones y ONG.</w:t>
      </w:r>
    </w:p>
    <w:p w14:paraId="73465A9D" w14:textId="453F738F" w:rsidR="00373B5F" w:rsidRPr="00373B5F" w:rsidRDefault="00E7447B" w:rsidP="00E7447B">
      <w:pPr>
        <w:pStyle w:val="H23G"/>
        <w:rPr>
          <w:lang w:val="en-GB"/>
        </w:rPr>
      </w:pPr>
      <w:bookmarkStart w:id="107" w:name="_Toc243126046"/>
      <w:bookmarkStart w:id="108" w:name="_Toc245183271"/>
      <w:r>
        <w:tab/>
      </w:r>
      <w:r w:rsidR="00373B5F" w:rsidRPr="00373B5F">
        <w:t>i)</w:t>
      </w:r>
      <w:r w:rsidR="00373B5F" w:rsidRPr="00373B5F">
        <w:tab/>
        <w:t>Consignaciones y orientación presupuestarias</w:t>
      </w:r>
      <w:bookmarkEnd w:id="107"/>
      <w:bookmarkEnd w:id="108"/>
    </w:p>
    <w:p w14:paraId="6D0F303E" w14:textId="77777777" w:rsidR="00373B5F" w:rsidRPr="00373B5F" w:rsidRDefault="00373B5F" w:rsidP="00373B5F">
      <w:pPr>
        <w:pStyle w:val="SingleTxtG"/>
        <w:rPr>
          <w:bCs/>
          <w:lang w:val="en-GB"/>
        </w:rPr>
      </w:pPr>
      <w:r w:rsidRPr="00373B5F">
        <w:rPr>
          <w:bCs/>
        </w:rPr>
        <w:t>162.</w:t>
      </w:r>
      <w:r w:rsidRPr="00373B5F">
        <w:rPr>
          <w:bCs/>
        </w:rPr>
        <w:tab/>
        <w:t xml:space="preserve">Como se menciona en la introducción de este capítulo (E), los derechos humanos están integrados en todos los ámbitos de la administración pública nacional. Por lo tanto, la financiación de los derechos humanos no se asigna específicamente en el presupuesto nacional, sino que aparece en una amplia gama de partidas, como educación, salud y asistencia, bienestar social y administración de los tribunales. </w:t>
      </w:r>
    </w:p>
    <w:p w14:paraId="7ABABA6C" w14:textId="2E41093F" w:rsidR="00373B5F" w:rsidRPr="00373B5F" w:rsidRDefault="00E7447B" w:rsidP="00E7447B">
      <w:pPr>
        <w:pStyle w:val="H23G"/>
        <w:rPr>
          <w:lang w:val="en-GB"/>
        </w:rPr>
      </w:pPr>
      <w:r>
        <w:tab/>
      </w:r>
      <w:r w:rsidR="00373B5F" w:rsidRPr="00373B5F">
        <w:t>j)</w:t>
      </w:r>
      <w:r w:rsidR="00373B5F" w:rsidRPr="00373B5F">
        <w:tab/>
        <w:t xml:space="preserve">Cooperación y asistencia para el desarrollo </w:t>
      </w:r>
    </w:p>
    <w:p w14:paraId="688EC3D5" w14:textId="77777777" w:rsidR="00373B5F" w:rsidRPr="00373B5F" w:rsidRDefault="00373B5F" w:rsidP="00373B5F">
      <w:pPr>
        <w:pStyle w:val="SingleTxtG"/>
        <w:rPr>
          <w:bCs/>
          <w:lang w:val="en-GB"/>
        </w:rPr>
      </w:pPr>
      <w:bookmarkStart w:id="109" w:name="_Toc243126048"/>
      <w:bookmarkStart w:id="110" w:name="_Toc245183273"/>
      <w:r w:rsidRPr="00373B5F">
        <w:rPr>
          <w:bCs/>
        </w:rPr>
        <w:t>163.</w:t>
      </w:r>
      <w:r w:rsidRPr="00373B5F">
        <w:rPr>
          <w:bCs/>
        </w:rPr>
        <w:tab/>
        <w:t xml:space="preserve">La </w:t>
      </w:r>
      <w:r w:rsidRPr="00373B5F">
        <w:rPr>
          <w:bCs/>
          <w:u w:val="single"/>
        </w:rPr>
        <w:t>política de desarrollo noruega</w:t>
      </w:r>
      <w:r w:rsidRPr="00373B5F">
        <w:rPr>
          <w:bCs/>
        </w:rPr>
        <w:t xml:space="preserve"> está anclada en los Objetivos de Desarrollo Sostenible (ODS) de las Naciones Unidas, las metas climáticas y los derechos humanos. El principal objetivo de la política de Noruega de cooperación para el desarrollo es contribuir al cambio social mediante la reducción de las desigualdades y el fomento del crecimiento económico y el bienestar en los países en desarrollo. Noruega ha establecido un enfoque holístico de la cooperación para el desarrollo que pretende garantizar una conexión más estrecha entre la asistencia humanitaria de emergencia y el desarrollo a largo plazo. Los derechos humanos son un tema transversal en toda la asistencia para el desarrollo, junto con la lucha contra la corrupción, los derechos de la mujer y la igualdad de género, y las consideraciones de género, clima y medio ambiente. </w:t>
      </w:r>
    </w:p>
    <w:p w14:paraId="47FBB34C" w14:textId="77777777" w:rsidR="00373B5F" w:rsidRPr="00373B5F" w:rsidRDefault="00373B5F" w:rsidP="00373B5F">
      <w:pPr>
        <w:pStyle w:val="SingleTxtG"/>
        <w:rPr>
          <w:bCs/>
          <w:lang w:val="en-GB"/>
        </w:rPr>
      </w:pPr>
      <w:r w:rsidRPr="00373B5F">
        <w:rPr>
          <w:bCs/>
        </w:rPr>
        <w:t>164.</w:t>
      </w:r>
      <w:r w:rsidRPr="00373B5F">
        <w:rPr>
          <w:bCs/>
        </w:rPr>
        <w:tab/>
        <w:t xml:space="preserve">La asistencia para el desarrollo que apoya la promoción de los derechos humanos se financia a través de muchos capítulos presupuestarios diferentes. La asistencia para el desarrollo destinada a fortalecer los derechos humanos incluye actividades para reforzar la democracia y las instituciones democráticas, la libertad de expresión y los medios de comunicación libres, los derechos culturales, los derechos de los trabajadores, los derechos de las personas con discapacidad, la libertad de religión o de creencias y el apoyo a la protección de los defensores de los derechos humanos. Noruega también presta especial atención a los derechos de la mujer y la igualdad de género, la promoción de la salud y los derechos sexuales y reproductivos y la lucha contra la discriminación de las minorías sexuales y de género (LGBT+). </w:t>
      </w:r>
    </w:p>
    <w:p w14:paraId="1E1A3A30" w14:textId="77777777" w:rsidR="00373B5F" w:rsidRPr="00373B5F" w:rsidRDefault="00373B5F" w:rsidP="00373B5F">
      <w:pPr>
        <w:pStyle w:val="SingleTxtG"/>
        <w:rPr>
          <w:bCs/>
          <w:lang w:val="en-GB"/>
        </w:rPr>
      </w:pPr>
      <w:r w:rsidRPr="00373B5F">
        <w:rPr>
          <w:bCs/>
        </w:rPr>
        <w:t>165.</w:t>
      </w:r>
      <w:r w:rsidRPr="00373B5F">
        <w:rPr>
          <w:bCs/>
        </w:rPr>
        <w:tab/>
        <w:t xml:space="preserve">Noruega procura aplicar un enfoque basado en los derechos humanos a sus actividades nacionales e internacionales para implementar la Agenda 2030 y los ODS. El principio de </w:t>
      </w:r>
      <w:r w:rsidRPr="00373B5F">
        <w:rPr>
          <w:bCs/>
          <w:u w:val="single"/>
        </w:rPr>
        <w:t>no dejar a nadie atrás</w:t>
      </w:r>
      <w:r w:rsidRPr="00373B5F">
        <w:rPr>
          <w:bCs/>
        </w:rPr>
        <w:t xml:space="preserve"> se considera una cuestión de promoción de los derechos humanos y de lucha para poner fin de la pobreza. La cooperación noruega para el desarrollo se centra en las personas, es climáticamente inteligente y es sensible a las cuestiones de género, haciendo hincapié en el respeto de los derechos humanos y dando prioridad a los más vulnerables. El libro blanco núm. 10 (2014-2015) </w:t>
      </w:r>
      <w:r w:rsidRPr="00373B5F">
        <w:rPr>
          <w:bCs/>
          <w:u w:val="single"/>
        </w:rPr>
        <w:t>Oportunidades para todos: los derechos humanos en la política exterior y la cooperación para el desarrollo de Noruega</w:t>
      </w:r>
      <w:r w:rsidRPr="00373B5F">
        <w:rPr>
          <w:bCs/>
          <w:i/>
          <w:iCs/>
        </w:rPr>
        <w:t xml:space="preserve"> </w:t>
      </w:r>
      <w:r w:rsidRPr="00373B5F">
        <w:rPr>
          <w:bCs/>
        </w:rPr>
        <w:t>expone el enfoque y las prioridades de la labor internacional de Noruega para promover los derechos humanos.</w:t>
      </w:r>
    </w:p>
    <w:p w14:paraId="6F36F32A" w14:textId="3764BDBE" w:rsidR="00373B5F" w:rsidRPr="00373B5F" w:rsidRDefault="00E7447B" w:rsidP="00E7447B">
      <w:pPr>
        <w:pStyle w:val="H1G"/>
        <w:rPr>
          <w:lang w:val="en-GB"/>
        </w:rPr>
      </w:pPr>
      <w:bookmarkStart w:id="111" w:name="_Toc498605415"/>
      <w:bookmarkStart w:id="112" w:name="_Toc169082439"/>
      <w:r>
        <w:lastRenderedPageBreak/>
        <w:tab/>
      </w:r>
      <w:r w:rsidR="00373B5F" w:rsidRPr="00373B5F">
        <w:t>D.</w:t>
      </w:r>
      <w:r w:rsidR="00373B5F" w:rsidRPr="00373B5F">
        <w:tab/>
        <w:t>Proceso de presentación de informes a nivel nacional</w:t>
      </w:r>
      <w:bookmarkStart w:id="113" w:name="_Toc174450867"/>
      <w:bookmarkEnd w:id="109"/>
      <w:bookmarkEnd w:id="110"/>
      <w:bookmarkEnd w:id="111"/>
      <w:bookmarkEnd w:id="112"/>
      <w:bookmarkEnd w:id="113"/>
    </w:p>
    <w:p w14:paraId="2A1B8726" w14:textId="756C1C85" w:rsidR="00373B5F" w:rsidRPr="00373B5F" w:rsidRDefault="00E7447B" w:rsidP="00E7447B">
      <w:pPr>
        <w:pStyle w:val="H23G"/>
        <w:rPr>
          <w:lang w:val="en-GB"/>
        </w:rPr>
      </w:pPr>
      <w:bookmarkStart w:id="114" w:name="_Toc245183274"/>
      <w:bookmarkStart w:id="115" w:name="_Toc243126049"/>
      <w:r>
        <w:tab/>
      </w:r>
      <w:r w:rsidR="00373B5F" w:rsidRPr="00373B5F">
        <w:t>a)</w:t>
      </w:r>
      <w:r w:rsidR="00373B5F" w:rsidRPr="00373B5F">
        <w:tab/>
        <w:t xml:space="preserve">Convención contra la Tortura y Otros Tratos o Penas Crueles, Inhumanos </w:t>
      </w:r>
      <w:r>
        <w:br/>
      </w:r>
      <w:r w:rsidR="00373B5F" w:rsidRPr="00373B5F">
        <w:t>o Degradantes</w:t>
      </w:r>
      <w:bookmarkEnd w:id="114"/>
      <w:bookmarkEnd w:id="115"/>
    </w:p>
    <w:p w14:paraId="7D1C7E10" w14:textId="3C363D50" w:rsidR="00373B5F" w:rsidRPr="00373B5F" w:rsidRDefault="00373B5F" w:rsidP="00373B5F">
      <w:pPr>
        <w:pStyle w:val="SingleTxtG"/>
        <w:rPr>
          <w:bCs/>
          <w:lang w:val="en-GB"/>
        </w:rPr>
      </w:pPr>
      <w:r w:rsidRPr="00373B5F">
        <w:rPr>
          <w:bCs/>
        </w:rPr>
        <w:t>166.</w:t>
      </w:r>
      <w:r w:rsidRPr="00373B5F">
        <w:rPr>
          <w:bCs/>
        </w:rPr>
        <w:tab/>
        <w:t>Noruega será examinada ante el Comité contra la Tortura en Ginebra en 2025 en relación con su noveno informe periódico en virtud de la Convención contra la Tortura y Otros Tratos o Penas Crueles, Inhumanos o Degradantes. El informe se presentó en mayo de</w:t>
      </w:r>
      <w:r w:rsidR="00E7447B">
        <w:rPr>
          <w:bCs/>
        </w:rPr>
        <w:t> </w:t>
      </w:r>
      <w:r w:rsidRPr="00373B5F">
        <w:rPr>
          <w:bCs/>
        </w:rPr>
        <w:t>2022.</w:t>
      </w:r>
    </w:p>
    <w:p w14:paraId="491D3408" w14:textId="07DAFEEE" w:rsidR="00373B5F" w:rsidRPr="00373B5F" w:rsidRDefault="00E7447B" w:rsidP="00E7447B">
      <w:pPr>
        <w:pStyle w:val="H23G"/>
        <w:rPr>
          <w:lang w:val="en-GB"/>
        </w:rPr>
      </w:pPr>
      <w:bookmarkStart w:id="116" w:name="_Toc243126050"/>
      <w:bookmarkStart w:id="117" w:name="_Toc245183275"/>
      <w:r>
        <w:tab/>
      </w:r>
      <w:r w:rsidR="00373B5F" w:rsidRPr="00373B5F">
        <w:t>b)</w:t>
      </w:r>
      <w:r w:rsidR="00373B5F" w:rsidRPr="00373B5F">
        <w:tab/>
        <w:t>Pacto Internacional de Derechos Civiles y Políticos</w:t>
      </w:r>
      <w:bookmarkEnd w:id="116"/>
      <w:bookmarkEnd w:id="117"/>
    </w:p>
    <w:p w14:paraId="0061F971" w14:textId="77777777" w:rsidR="00373B5F" w:rsidRPr="00373B5F" w:rsidRDefault="00373B5F" w:rsidP="00373B5F">
      <w:pPr>
        <w:pStyle w:val="SingleTxtG"/>
        <w:rPr>
          <w:bCs/>
          <w:lang w:val="en-GB"/>
        </w:rPr>
      </w:pPr>
      <w:r w:rsidRPr="00373B5F">
        <w:rPr>
          <w:bCs/>
        </w:rPr>
        <w:t>167.</w:t>
      </w:r>
      <w:r w:rsidRPr="00373B5F">
        <w:rPr>
          <w:bCs/>
        </w:rPr>
        <w:tab/>
        <w:t xml:space="preserve">En marzo de 2018, Noruega fue examinada ante el Comité de Derechos Humanos en Ginebra en relación con su séptimo informe periódico en virtud del Pacto Internacional de Derechos Civiles y Políticos, presentado en 2017. Las últimas preguntas de seguimiento del Comité tras el examen fueron respondidas por el Gobierno en abril de 2020. </w:t>
      </w:r>
    </w:p>
    <w:p w14:paraId="49AB120E" w14:textId="0386A8C2" w:rsidR="00373B5F" w:rsidRPr="00373B5F" w:rsidRDefault="00E7447B" w:rsidP="00E7447B">
      <w:pPr>
        <w:pStyle w:val="H23G"/>
        <w:rPr>
          <w:lang w:val="en-GB"/>
        </w:rPr>
      </w:pPr>
      <w:bookmarkStart w:id="118" w:name="_Toc243126051"/>
      <w:bookmarkStart w:id="119" w:name="_Toc245183276"/>
      <w:r>
        <w:tab/>
      </w:r>
      <w:r w:rsidR="00373B5F" w:rsidRPr="00373B5F">
        <w:t>c)</w:t>
      </w:r>
      <w:r w:rsidR="00373B5F" w:rsidRPr="00373B5F">
        <w:tab/>
        <w:t>Convención sobre los Derechos del Niño</w:t>
      </w:r>
      <w:bookmarkEnd w:id="118"/>
      <w:bookmarkEnd w:id="119"/>
    </w:p>
    <w:p w14:paraId="42E09128" w14:textId="77777777" w:rsidR="00373B5F" w:rsidRPr="00373B5F" w:rsidRDefault="00373B5F" w:rsidP="00373B5F">
      <w:pPr>
        <w:pStyle w:val="SingleTxtG"/>
        <w:rPr>
          <w:bCs/>
          <w:lang w:val="en-GB"/>
        </w:rPr>
      </w:pPr>
      <w:r w:rsidRPr="00373B5F">
        <w:rPr>
          <w:bCs/>
        </w:rPr>
        <w:t>168.</w:t>
      </w:r>
      <w:r w:rsidRPr="00373B5F">
        <w:rPr>
          <w:bCs/>
        </w:rPr>
        <w:tab/>
        <w:t xml:space="preserve">Noruega presentó sus informes periódicos quinto y sexto al Comité de los Derechos del Niño en octubre de 2016 y se sometió al examen del Comité en relación con estos informes en mayo de 2018. El Comité remitió sus observaciones finales a Noruega en junio de 2018. El 12 de octubre de 2020, Noruega acordó aplicar el procedimiento simplificado de presentación de informes para el próximo informe periódico. Noruega recibió entonces una lista de cuestiones previa a la presentación de informes en mayo de 2023. Noruega debe presentar sus respuestas escritas a la lista de cuestiones a mediados de junio de 2024. Este será el séptimo informe periódico de Noruega al Comité. La Dirección de Asuntos de la Infancia, la Juventud y la Familia de Noruega está preparando un informe estadístico que se adjuntará como anexo al séptimo informe periódico de Noruega. </w:t>
      </w:r>
    </w:p>
    <w:p w14:paraId="3C2D8D3D" w14:textId="7BDDB5B2" w:rsidR="00373B5F" w:rsidRPr="00373B5F" w:rsidRDefault="00373B5F" w:rsidP="00373B5F">
      <w:pPr>
        <w:pStyle w:val="SingleTxtG"/>
        <w:rPr>
          <w:bCs/>
          <w:lang w:val="en-GB"/>
        </w:rPr>
      </w:pPr>
      <w:r w:rsidRPr="00373B5F">
        <w:rPr>
          <w:bCs/>
        </w:rPr>
        <w:t>169.</w:t>
      </w:r>
      <w:r w:rsidRPr="00373B5F">
        <w:rPr>
          <w:bCs/>
        </w:rPr>
        <w:tab/>
        <w:t>El Foro para la Convención sobre los Derechos del Niño está formado por unas 50 personas, organizaciones e instituciones relacionadas con los derechos del niño. En enero de</w:t>
      </w:r>
      <w:r w:rsidR="00B05B7F">
        <w:rPr>
          <w:bCs/>
        </w:rPr>
        <w:t> </w:t>
      </w:r>
      <w:r w:rsidRPr="00373B5F">
        <w:rPr>
          <w:bCs/>
        </w:rPr>
        <w:t>2024, el Gobierno concedió una subvención al Foro para que presentara un informe al Comité en nombre de la sociedad civil y facilitara que los niños contribuyeran al Comité de forma independiente con sus opiniones y experiencias. Las opiniones de los niños sobre el seguimiento de la Convención por parte del Estado parte son independientes de la lista de cuestiones previa a la presentación de informes. El informe del Foro debe presentarse al Comité en septiembre de 2024.</w:t>
      </w:r>
      <w:bookmarkStart w:id="120" w:name="_Toc243126052"/>
      <w:bookmarkStart w:id="121" w:name="_Toc245183277"/>
    </w:p>
    <w:p w14:paraId="3A90319B" w14:textId="690C6A23" w:rsidR="00373B5F" w:rsidRPr="00373B5F" w:rsidRDefault="00E7447B" w:rsidP="00E7447B">
      <w:pPr>
        <w:pStyle w:val="H23G"/>
        <w:rPr>
          <w:lang w:val="en-GB"/>
        </w:rPr>
      </w:pPr>
      <w:r>
        <w:tab/>
      </w:r>
      <w:r w:rsidR="00373B5F" w:rsidRPr="00373B5F">
        <w:t>d)</w:t>
      </w:r>
      <w:r w:rsidR="00373B5F" w:rsidRPr="00373B5F">
        <w:tab/>
        <w:t xml:space="preserve">Convención sobre la Eliminación de Todas las Formas de Discriminación </w:t>
      </w:r>
      <w:r>
        <w:br/>
      </w:r>
      <w:r w:rsidR="00373B5F" w:rsidRPr="00373B5F">
        <w:t>contra la Mujer</w:t>
      </w:r>
      <w:bookmarkEnd w:id="120"/>
      <w:bookmarkEnd w:id="121"/>
    </w:p>
    <w:p w14:paraId="48CBD5FC" w14:textId="77777777" w:rsidR="00373B5F" w:rsidRPr="00373B5F" w:rsidRDefault="00373B5F" w:rsidP="00373B5F">
      <w:pPr>
        <w:pStyle w:val="SingleTxtG"/>
        <w:rPr>
          <w:bCs/>
          <w:lang w:val="en-GB"/>
        </w:rPr>
      </w:pPr>
      <w:r w:rsidRPr="00373B5F">
        <w:rPr>
          <w:bCs/>
        </w:rPr>
        <w:t>170.</w:t>
      </w:r>
      <w:r w:rsidRPr="00373B5F">
        <w:rPr>
          <w:bCs/>
        </w:rPr>
        <w:tab/>
        <w:t xml:space="preserve">En julio de 2021, Noruega presentó su décimo informe periódico al Comité para la Eliminación de la Discriminación contra la Mujer. El Ministerio de Cultura e Igualdad coordinó el informe del Gobierno. Se celebraron consultas con varias organizaciones de mujeres y de igualdad de género, organizaciones de derechos humanos, los interlocutores sociales y el Defensor del Pueblo para la Igualdad y la Lucha contra la Discriminación. Las respuestas se incorporaron al informe final del Gobierno, que se distribuyó a todas las partes interesadas. </w:t>
      </w:r>
    </w:p>
    <w:p w14:paraId="4EDCF3BF" w14:textId="35EE1745" w:rsidR="00373B5F" w:rsidRPr="00373B5F" w:rsidRDefault="00E7447B" w:rsidP="00E7447B">
      <w:pPr>
        <w:pStyle w:val="H23G"/>
        <w:rPr>
          <w:lang w:val="en-GB"/>
        </w:rPr>
      </w:pPr>
      <w:bookmarkStart w:id="122" w:name="_Toc243126053"/>
      <w:bookmarkStart w:id="123" w:name="_Toc245183278"/>
      <w:r>
        <w:tab/>
      </w:r>
      <w:r w:rsidR="00373B5F" w:rsidRPr="00373B5F">
        <w:t>e)</w:t>
      </w:r>
      <w:r w:rsidR="00373B5F" w:rsidRPr="00373B5F">
        <w:tab/>
        <w:t xml:space="preserve">Convención Internacional sobre la Eliminación de </w:t>
      </w:r>
      <w:r w:rsidR="00DF4F86">
        <w:t>T</w:t>
      </w:r>
      <w:r w:rsidR="00373B5F" w:rsidRPr="00373B5F">
        <w:t xml:space="preserve">odas las Formas </w:t>
      </w:r>
      <w:r>
        <w:br/>
      </w:r>
      <w:r w:rsidR="00373B5F" w:rsidRPr="00373B5F">
        <w:t>de Discriminación Racial</w:t>
      </w:r>
      <w:bookmarkEnd w:id="122"/>
      <w:bookmarkEnd w:id="123"/>
    </w:p>
    <w:p w14:paraId="0D7FC001" w14:textId="77777777" w:rsidR="00373B5F" w:rsidRPr="00373B5F" w:rsidRDefault="00373B5F" w:rsidP="00373B5F">
      <w:pPr>
        <w:pStyle w:val="SingleTxtG"/>
        <w:rPr>
          <w:bCs/>
          <w:lang w:val="en-GB"/>
        </w:rPr>
      </w:pPr>
      <w:r w:rsidRPr="00373B5F">
        <w:rPr>
          <w:bCs/>
        </w:rPr>
        <w:t>171.</w:t>
      </w:r>
      <w:r w:rsidRPr="00373B5F">
        <w:rPr>
          <w:bCs/>
        </w:rPr>
        <w:tab/>
        <w:t xml:space="preserve">El proceso de presentación de informes al Comité para la Eliminación de la Discriminación Racial es similar al de los presentados al Comité de los Derechos del Niño y al Comité para la Eliminación de la Discriminación contra la Mujer, y varios ministerios contribuyen al informe periódico del Gobierno, cuya coordinación es responsabilidad del Ministerio de Cultura e Igualdad. Los informes periódicos 25º a 27º de Noruega se presentaron en septiembre de 2023. Se invitó a un amplio abanico de organizaciones y al </w:t>
      </w:r>
      <w:proofErr w:type="spellStart"/>
      <w:r w:rsidRPr="00373B5F">
        <w:rPr>
          <w:bCs/>
        </w:rPr>
        <w:t>Sámediggi</w:t>
      </w:r>
      <w:proofErr w:type="spellEnd"/>
      <w:r w:rsidRPr="00373B5F">
        <w:rPr>
          <w:bCs/>
        </w:rPr>
        <w:t xml:space="preserve"> a presentar comentarios por escrito al proyecto de informe, y todos los documentos pertinentes se han publicado en el sitio web del Ministerio. </w:t>
      </w:r>
    </w:p>
    <w:p w14:paraId="78F5A321" w14:textId="586CB4E2" w:rsidR="00373B5F" w:rsidRPr="00373B5F" w:rsidRDefault="00E7447B" w:rsidP="00E7447B">
      <w:pPr>
        <w:pStyle w:val="H23G"/>
        <w:rPr>
          <w:lang w:val="en-GB"/>
        </w:rPr>
      </w:pPr>
      <w:bookmarkStart w:id="124" w:name="_Toc243126054"/>
      <w:bookmarkStart w:id="125" w:name="_Toc245183279"/>
      <w:r>
        <w:lastRenderedPageBreak/>
        <w:tab/>
      </w:r>
      <w:r w:rsidR="00373B5F" w:rsidRPr="00373B5F">
        <w:t>f)</w:t>
      </w:r>
      <w:r w:rsidR="00373B5F" w:rsidRPr="00373B5F">
        <w:tab/>
        <w:t>Pacto Internacional de Derechos Económicos, Sociales y Culturales</w:t>
      </w:r>
      <w:bookmarkStart w:id="126" w:name="_Hlk169079484"/>
      <w:bookmarkEnd w:id="124"/>
      <w:bookmarkEnd w:id="125"/>
    </w:p>
    <w:p w14:paraId="02800EBF" w14:textId="09FA8BCF" w:rsidR="00373B5F" w:rsidRPr="00373B5F" w:rsidRDefault="00373B5F" w:rsidP="00373B5F">
      <w:pPr>
        <w:pStyle w:val="SingleTxtG"/>
        <w:rPr>
          <w:bCs/>
          <w:lang w:val="en-GB"/>
        </w:rPr>
      </w:pPr>
      <w:r w:rsidRPr="00373B5F">
        <w:rPr>
          <w:bCs/>
        </w:rPr>
        <w:t>172.</w:t>
      </w:r>
      <w:r w:rsidRPr="00373B5F">
        <w:rPr>
          <w:bCs/>
        </w:rPr>
        <w:tab/>
        <w:t>En febrero de 2020, Noruega fue examinada ante el Comité de Derechos Económicos, Sociales y Culturales en relación con su sexto informe periódico en virtud del Pacto Internacional de Derechos Económicos, Sociales y Culturales, presentado en diciembre de</w:t>
      </w:r>
      <w:r w:rsidR="007D17C6">
        <w:rPr>
          <w:bCs/>
        </w:rPr>
        <w:t> </w:t>
      </w:r>
      <w:r w:rsidRPr="00373B5F">
        <w:rPr>
          <w:bCs/>
        </w:rPr>
        <w:t xml:space="preserve">2019. Noruega presentará su séptimo informe periódico antes del 31 de mayo de 2025. El Ministerio de Justicia y Seguridad Pública coordina el proceso y garantizará la participación de la sociedad civil, las consultas y un proceso gubernamental transparente. </w:t>
      </w:r>
    </w:p>
    <w:p w14:paraId="05C25C47" w14:textId="022C7D24" w:rsidR="00373B5F" w:rsidRPr="00373B5F" w:rsidRDefault="00E7447B" w:rsidP="00E7447B">
      <w:pPr>
        <w:pStyle w:val="H23G"/>
        <w:rPr>
          <w:lang w:val="en-GB"/>
        </w:rPr>
      </w:pPr>
      <w:bookmarkStart w:id="127" w:name="_Toc243126055"/>
      <w:bookmarkStart w:id="128" w:name="_Toc245183280"/>
      <w:bookmarkEnd w:id="126"/>
      <w:r>
        <w:tab/>
      </w:r>
      <w:r w:rsidR="00373B5F" w:rsidRPr="00373B5F">
        <w:t>g)</w:t>
      </w:r>
      <w:r w:rsidR="00373B5F" w:rsidRPr="00373B5F">
        <w:tab/>
        <w:t>Convención sobre los Derechos de las Personas con Discapacidad</w:t>
      </w:r>
      <w:bookmarkEnd w:id="127"/>
      <w:bookmarkEnd w:id="128"/>
    </w:p>
    <w:p w14:paraId="0C5ACDB1" w14:textId="77777777" w:rsidR="00373B5F" w:rsidRPr="00373B5F" w:rsidRDefault="00373B5F" w:rsidP="00373B5F">
      <w:pPr>
        <w:pStyle w:val="SingleTxtG"/>
        <w:rPr>
          <w:bCs/>
          <w:lang w:val="en-GB"/>
        </w:rPr>
      </w:pPr>
      <w:r w:rsidRPr="00373B5F">
        <w:rPr>
          <w:bCs/>
        </w:rPr>
        <w:t>173.</w:t>
      </w:r>
      <w:r w:rsidRPr="00373B5F">
        <w:rPr>
          <w:bCs/>
        </w:rPr>
        <w:tab/>
        <w:t xml:space="preserve">El proceso de presentación de informes al Comité sobre los Derechos de las Personas con Discapacidad es similar al de los presentados al Comité de los Derechos del Niño, al Comité para la Eliminación de la Discriminación contra la Mujer y al Comité para la Eliminación de la Discriminación Racial, y varios ministerios contribuyen al informe periódico del Gobierno. El informe inicial de Noruega al Comité sobre los Derechos de las Personas con Discapacidad se presentó en junio de 2015. El informe pretende ofrecer una visión general de la política de Noruega en favor de las personas con discapacidad, así como una relación de las medidas adoptadas y los retos que plantean los respectivos artículos de la Convención. El Ministerio de Cultura e Igualdad coordina la política de Noruega para las personas con discapacidad. Se obtuvieron aportaciones de los ministerios sectoriales pertinentes, así como de organizaciones de la sociedad civil y del </w:t>
      </w:r>
      <w:proofErr w:type="spellStart"/>
      <w:r w:rsidRPr="00373B5F">
        <w:rPr>
          <w:bCs/>
        </w:rPr>
        <w:t>Sámediggi</w:t>
      </w:r>
      <w:proofErr w:type="spellEnd"/>
      <w:r w:rsidRPr="00373B5F">
        <w:rPr>
          <w:bCs/>
        </w:rPr>
        <w:t xml:space="preserve">, mediante reuniones de diálogo y un proceso de consulta por escrito. </w:t>
      </w:r>
    </w:p>
    <w:p w14:paraId="1291A4C2" w14:textId="68AFE467" w:rsidR="00373B5F" w:rsidRPr="00373B5F" w:rsidRDefault="00E7447B" w:rsidP="00E7447B">
      <w:pPr>
        <w:pStyle w:val="H23G"/>
        <w:rPr>
          <w:lang w:val="en-GB"/>
        </w:rPr>
      </w:pPr>
      <w:r>
        <w:tab/>
      </w:r>
      <w:r w:rsidR="00373B5F" w:rsidRPr="00373B5F">
        <w:t>h)</w:t>
      </w:r>
      <w:r w:rsidR="00373B5F" w:rsidRPr="00373B5F">
        <w:tab/>
        <w:t xml:space="preserve">Convención Internacional para la Protección de Todas las Personas </w:t>
      </w:r>
      <w:r>
        <w:br/>
      </w:r>
      <w:r w:rsidR="00373B5F" w:rsidRPr="00373B5F">
        <w:t>contra las Desapariciones Forzadas</w:t>
      </w:r>
    </w:p>
    <w:p w14:paraId="786A6A29" w14:textId="54E2ADA2" w:rsidR="00373B5F" w:rsidRPr="00373B5F" w:rsidRDefault="00373B5F" w:rsidP="00373B5F">
      <w:pPr>
        <w:pStyle w:val="SingleTxtG"/>
        <w:rPr>
          <w:bCs/>
          <w:lang w:val="en-GB"/>
        </w:rPr>
      </w:pPr>
      <w:r w:rsidRPr="00373B5F">
        <w:rPr>
          <w:bCs/>
        </w:rPr>
        <w:t>174.</w:t>
      </w:r>
      <w:r w:rsidRPr="00373B5F">
        <w:rPr>
          <w:bCs/>
        </w:rPr>
        <w:tab/>
        <w:t xml:space="preserve">En 2018, el Gobierno presentó una proposición al </w:t>
      </w:r>
      <w:proofErr w:type="spellStart"/>
      <w:r w:rsidRPr="00373B5F">
        <w:rPr>
          <w:bCs/>
        </w:rPr>
        <w:t>Storting</w:t>
      </w:r>
      <w:proofErr w:type="spellEnd"/>
      <w:r w:rsidRPr="00373B5F">
        <w:rPr>
          <w:bCs/>
        </w:rPr>
        <w:t xml:space="preserve"> para que diera su consentimiento a la ratificación de la </w:t>
      </w:r>
      <w:r w:rsidRPr="00373B5F">
        <w:rPr>
          <w:bCs/>
          <w:u w:val="single"/>
        </w:rPr>
        <w:t>Convención Internacional para la Protección de Todas las Personas contra las Desapariciones Forzadas</w:t>
      </w:r>
      <w:r w:rsidRPr="00373B5F">
        <w:rPr>
          <w:bCs/>
        </w:rPr>
        <w:t xml:space="preserve">. El </w:t>
      </w:r>
      <w:proofErr w:type="spellStart"/>
      <w:r w:rsidRPr="00373B5F">
        <w:rPr>
          <w:bCs/>
        </w:rPr>
        <w:t>Storting</w:t>
      </w:r>
      <w:proofErr w:type="spellEnd"/>
      <w:r w:rsidRPr="00373B5F">
        <w:rPr>
          <w:bCs/>
        </w:rPr>
        <w:t xml:space="preserve"> dio su consentimiento en abril de 2019 y, mediante la posterior ratificación, la Convención entró en vigor en septiembre de</w:t>
      </w:r>
      <w:r w:rsidR="00E7447B">
        <w:rPr>
          <w:bCs/>
        </w:rPr>
        <w:t> </w:t>
      </w:r>
      <w:r w:rsidRPr="00373B5F">
        <w:rPr>
          <w:bCs/>
        </w:rPr>
        <w:t>2019.</w:t>
      </w:r>
    </w:p>
    <w:p w14:paraId="2577AF57" w14:textId="76A444E2" w:rsidR="00373B5F" w:rsidRPr="00373B5F" w:rsidRDefault="00E7447B" w:rsidP="00E7447B">
      <w:pPr>
        <w:pStyle w:val="HChG"/>
        <w:rPr>
          <w:lang w:val="en-GB"/>
        </w:rPr>
      </w:pPr>
      <w:bookmarkStart w:id="129" w:name="_Toc243126056"/>
      <w:bookmarkStart w:id="130" w:name="_Toc245183281"/>
      <w:bookmarkStart w:id="131" w:name="_Toc498605416"/>
      <w:bookmarkStart w:id="132" w:name="_Toc169082440"/>
      <w:r>
        <w:tab/>
      </w:r>
      <w:r w:rsidR="00373B5F" w:rsidRPr="00373B5F">
        <w:t>III.</w:t>
      </w:r>
      <w:r w:rsidR="00373B5F" w:rsidRPr="00373B5F">
        <w:tab/>
        <w:t xml:space="preserve">Información sobre no discriminación, igualdad </w:t>
      </w:r>
      <w:r>
        <w:br/>
      </w:r>
      <w:r w:rsidR="00373B5F" w:rsidRPr="00373B5F">
        <w:t>y recursos eficaces</w:t>
      </w:r>
      <w:bookmarkStart w:id="133" w:name="_Toc174450868"/>
      <w:bookmarkEnd w:id="129"/>
      <w:bookmarkEnd w:id="130"/>
      <w:bookmarkEnd w:id="131"/>
      <w:bookmarkEnd w:id="132"/>
      <w:bookmarkEnd w:id="133"/>
    </w:p>
    <w:p w14:paraId="7B8E6D9A" w14:textId="16F38798" w:rsidR="00373B5F" w:rsidRPr="00373B5F" w:rsidRDefault="00E7447B" w:rsidP="00E7447B">
      <w:pPr>
        <w:pStyle w:val="H1G"/>
        <w:rPr>
          <w:lang w:val="en-GB"/>
        </w:rPr>
      </w:pPr>
      <w:bookmarkStart w:id="134" w:name="_Toc243126057"/>
      <w:bookmarkStart w:id="135" w:name="_Toc245183282"/>
      <w:bookmarkStart w:id="136" w:name="_Toc498605417"/>
      <w:bookmarkStart w:id="137" w:name="_Toc169082441"/>
      <w:r>
        <w:tab/>
      </w:r>
      <w:r w:rsidR="00373B5F" w:rsidRPr="00373B5F">
        <w:t>A.</w:t>
      </w:r>
      <w:r w:rsidR="00373B5F" w:rsidRPr="00373B5F">
        <w:tab/>
        <w:t xml:space="preserve">Marco jurídico </w:t>
      </w:r>
      <w:bookmarkStart w:id="138" w:name="_Toc174450869"/>
      <w:bookmarkEnd w:id="134"/>
      <w:bookmarkEnd w:id="135"/>
      <w:bookmarkEnd w:id="136"/>
      <w:bookmarkEnd w:id="137"/>
      <w:bookmarkEnd w:id="138"/>
    </w:p>
    <w:p w14:paraId="220F9459" w14:textId="1D6FB47F" w:rsidR="00373B5F" w:rsidRPr="00373B5F" w:rsidRDefault="00E7447B" w:rsidP="00E7447B">
      <w:pPr>
        <w:pStyle w:val="H23G"/>
        <w:rPr>
          <w:lang w:val="en-GB"/>
        </w:rPr>
      </w:pPr>
      <w:r>
        <w:tab/>
      </w:r>
      <w:r w:rsidR="00373B5F" w:rsidRPr="00373B5F">
        <w:t>a)</w:t>
      </w:r>
      <w:r w:rsidR="00373B5F" w:rsidRPr="00373B5F">
        <w:tab/>
        <w:t>La Constitución</w:t>
      </w:r>
    </w:p>
    <w:p w14:paraId="4ABAE748" w14:textId="481D05B3" w:rsidR="00373B5F" w:rsidRPr="00373B5F" w:rsidRDefault="00373B5F" w:rsidP="00373B5F">
      <w:pPr>
        <w:pStyle w:val="SingleTxtG"/>
        <w:rPr>
          <w:bCs/>
          <w:lang w:val="en-GB"/>
        </w:rPr>
      </w:pPr>
      <w:r w:rsidRPr="00373B5F">
        <w:rPr>
          <w:bCs/>
        </w:rPr>
        <w:t>175.</w:t>
      </w:r>
      <w:r w:rsidRPr="00373B5F">
        <w:rPr>
          <w:bCs/>
        </w:rPr>
        <w:tab/>
        <w:t xml:space="preserve">La nueva </w:t>
      </w:r>
      <w:r w:rsidRPr="00373B5F">
        <w:rPr>
          <w:bCs/>
          <w:u w:val="single"/>
        </w:rPr>
        <w:t>carta de derechos</w:t>
      </w:r>
      <w:r w:rsidRPr="00373B5F">
        <w:rPr>
          <w:bCs/>
        </w:rPr>
        <w:t xml:space="preserve"> de la Constitución, aprobada en 2014, incluye la siguiente disposición en su artículo 98: </w:t>
      </w:r>
      <w:r w:rsidR="00D52DBF">
        <w:rPr>
          <w:bCs/>
        </w:rPr>
        <w:t>“</w:t>
      </w:r>
      <w:r w:rsidRPr="00373B5F">
        <w:rPr>
          <w:bCs/>
        </w:rPr>
        <w:t>Todas las personas son iguales ante la ley. Ningún ser humano debe ser objeto de un trato diferencial injusto o desproporcionado</w:t>
      </w:r>
      <w:r w:rsidR="00D52DBF">
        <w:rPr>
          <w:bCs/>
        </w:rPr>
        <w:t>”</w:t>
      </w:r>
      <w:r w:rsidRPr="00373B5F">
        <w:rPr>
          <w:bCs/>
        </w:rPr>
        <w:t>.</w:t>
      </w:r>
    </w:p>
    <w:p w14:paraId="7F47A3E6" w14:textId="6A6CD377" w:rsidR="00373B5F" w:rsidRPr="00373B5F" w:rsidRDefault="00E7447B" w:rsidP="00E7447B">
      <w:pPr>
        <w:pStyle w:val="H23G"/>
        <w:rPr>
          <w:lang w:val="en-GB"/>
        </w:rPr>
      </w:pPr>
      <w:r>
        <w:tab/>
      </w:r>
      <w:r w:rsidR="00373B5F" w:rsidRPr="00373B5F">
        <w:t>b)</w:t>
      </w:r>
      <w:r w:rsidR="00373B5F" w:rsidRPr="00373B5F">
        <w:tab/>
        <w:t>Incorporación</w:t>
      </w:r>
    </w:p>
    <w:p w14:paraId="7A679A39" w14:textId="77777777" w:rsidR="00373B5F" w:rsidRPr="00373B5F" w:rsidRDefault="00373B5F" w:rsidP="00373B5F">
      <w:pPr>
        <w:pStyle w:val="SingleTxtG"/>
        <w:rPr>
          <w:bCs/>
          <w:lang w:val="en-GB"/>
        </w:rPr>
      </w:pPr>
      <w:r w:rsidRPr="00373B5F">
        <w:rPr>
          <w:bCs/>
        </w:rPr>
        <w:t>176.</w:t>
      </w:r>
      <w:r w:rsidRPr="00373B5F">
        <w:rPr>
          <w:bCs/>
        </w:rPr>
        <w:tab/>
        <w:t xml:space="preserve">Varios de los </w:t>
      </w:r>
      <w:r w:rsidRPr="00373B5F">
        <w:rPr>
          <w:bCs/>
          <w:u w:val="single"/>
        </w:rPr>
        <w:t>instrumentos internacionales fundamentales de derechos humanos</w:t>
      </w:r>
      <w:r w:rsidRPr="00373B5F">
        <w:rPr>
          <w:bCs/>
        </w:rPr>
        <w:t xml:space="preserve"> y el Convenio Europeo de Derechos Humanos también se han incorporado a la legislación noruega, incluidas las disposiciones sobre no discriminación e igualdad. </w:t>
      </w:r>
    </w:p>
    <w:p w14:paraId="73947DA8" w14:textId="6BD23799" w:rsidR="00373B5F" w:rsidRPr="00373B5F" w:rsidRDefault="00E7447B" w:rsidP="00E7447B">
      <w:pPr>
        <w:pStyle w:val="H23G"/>
        <w:rPr>
          <w:lang w:val="en-GB"/>
        </w:rPr>
      </w:pPr>
      <w:r>
        <w:tab/>
      </w:r>
      <w:r w:rsidR="00373B5F" w:rsidRPr="00373B5F">
        <w:t>c)</w:t>
      </w:r>
      <w:r w:rsidR="00373B5F" w:rsidRPr="00373B5F">
        <w:tab/>
        <w:t>Ley de Igualdad y Lucha contra la Discriminación</w:t>
      </w:r>
    </w:p>
    <w:p w14:paraId="22A5871A" w14:textId="77777777" w:rsidR="00373B5F" w:rsidRPr="00373B5F" w:rsidRDefault="00373B5F" w:rsidP="00373B5F">
      <w:pPr>
        <w:pStyle w:val="SingleTxtG"/>
        <w:rPr>
          <w:bCs/>
          <w:lang w:val="en-GB"/>
        </w:rPr>
      </w:pPr>
      <w:r w:rsidRPr="00373B5F">
        <w:rPr>
          <w:bCs/>
        </w:rPr>
        <w:t>177.</w:t>
      </w:r>
      <w:r w:rsidRPr="00373B5F">
        <w:rPr>
          <w:bCs/>
        </w:rPr>
        <w:tab/>
        <w:t xml:space="preserve">La </w:t>
      </w:r>
      <w:r w:rsidRPr="00373B5F">
        <w:rPr>
          <w:bCs/>
          <w:u w:val="single"/>
        </w:rPr>
        <w:t>Ley de Igualdad y Lucha contra la Discriminación</w:t>
      </w:r>
      <w:r w:rsidRPr="00373B5F">
        <w:rPr>
          <w:bCs/>
        </w:rPr>
        <w:t xml:space="preserve"> se aprobó en junio de 2017 y entró en vigor en enero de 2018. Sustituyó a cuatro leyes anteriores sobre igualdad y lucha contra la discriminación y prohíbe la discriminación por motivos de género, embarazo, licencia de maternidad/paternidad en relación con el nacimiento o la adopción, cuidado de niños o familiares cercanos, origen étnico, religión, creencias, discapacidad, orientación sexual, identidad de género, expresión de género, edad o una combinación de los motivos mencionados. La ley se aplica a todos los ámbitos de la sociedad. </w:t>
      </w:r>
    </w:p>
    <w:p w14:paraId="433CA7AB" w14:textId="77777777" w:rsidR="00373B5F" w:rsidRPr="00373B5F" w:rsidRDefault="00373B5F" w:rsidP="00373B5F">
      <w:pPr>
        <w:pStyle w:val="SingleTxtG"/>
        <w:rPr>
          <w:bCs/>
          <w:lang w:val="en-GB"/>
        </w:rPr>
      </w:pPr>
      <w:r w:rsidRPr="00373B5F">
        <w:rPr>
          <w:bCs/>
        </w:rPr>
        <w:lastRenderedPageBreak/>
        <w:t>178.</w:t>
      </w:r>
      <w:r w:rsidRPr="00373B5F">
        <w:rPr>
          <w:bCs/>
        </w:rPr>
        <w:tab/>
        <w:t xml:space="preserve">La </w:t>
      </w:r>
      <w:r w:rsidRPr="00373B5F">
        <w:rPr>
          <w:bCs/>
          <w:u w:val="single"/>
        </w:rPr>
        <w:t>finalidad de la ley</w:t>
      </w:r>
      <w:r w:rsidRPr="00373B5F">
        <w:rPr>
          <w:bCs/>
        </w:rPr>
        <w:t xml:space="preserve"> es promover la igualdad y evitar la discriminación por los motivos mencionados, así como la discriminación basada en otras características personales esenciales. La ley define la igualdad como equidad, igualdad de oportunidades e igualdad de derechos, y subraya que la accesibilidad es una condición previa para la igualdad. La ley está especialmente dirigida a reforzar la posición de las mujeres y las minorías y a reducir y prevenir los obstáculos a la igualdad de participación de las personas con discapacidad.</w:t>
      </w:r>
    </w:p>
    <w:p w14:paraId="08F91FF2" w14:textId="77777777" w:rsidR="00373B5F" w:rsidRPr="00373B5F" w:rsidRDefault="00373B5F" w:rsidP="00373B5F">
      <w:pPr>
        <w:pStyle w:val="SingleTxtG"/>
        <w:rPr>
          <w:bCs/>
          <w:lang w:val="en-GB"/>
        </w:rPr>
      </w:pPr>
      <w:r w:rsidRPr="00373B5F">
        <w:rPr>
          <w:bCs/>
        </w:rPr>
        <w:t>179.</w:t>
      </w:r>
      <w:r w:rsidRPr="00373B5F">
        <w:rPr>
          <w:bCs/>
        </w:rPr>
        <w:tab/>
        <w:t>Están prohibidas la discriminación directa e indirecta, el acoso y las instrucciones para discriminar a una persona por los motivos antes mencionados. La ley también incluye disposiciones para proteger a las personas que interpongan una demanda por discriminación, así como a cualquiera que les preste asistencia, frente a un trato desfavorable (represalias) debido a sus acciones. Además, la ley prohíbe ser cómplice de discriminación. La discriminación se define como un trato desigual injustificado. El trato desigual se considera justificado y lícito si tiene una causa justa, es necesario para lograr dicha causa y no afecta desproporcionadamente a la persona o personas sujetas al trato desigual adverso.</w:t>
      </w:r>
    </w:p>
    <w:p w14:paraId="584B2BB4" w14:textId="77777777" w:rsidR="00373B5F" w:rsidRPr="00373B5F" w:rsidRDefault="00373B5F" w:rsidP="00373B5F">
      <w:pPr>
        <w:pStyle w:val="SingleTxtG"/>
        <w:rPr>
          <w:bCs/>
          <w:lang w:val="en-GB"/>
        </w:rPr>
      </w:pPr>
      <w:r w:rsidRPr="00373B5F">
        <w:rPr>
          <w:bCs/>
        </w:rPr>
        <w:t>180.</w:t>
      </w:r>
      <w:r w:rsidRPr="00373B5F">
        <w:rPr>
          <w:bCs/>
        </w:rPr>
        <w:tab/>
        <w:t>La ley permite a las autoridades y a otras instancias introducir medidas especiales durante un período de tiempo limitado para promover la igualdad.</w:t>
      </w:r>
    </w:p>
    <w:p w14:paraId="56D87959" w14:textId="77777777" w:rsidR="00373B5F" w:rsidRPr="00373B5F" w:rsidRDefault="00373B5F" w:rsidP="00373B5F">
      <w:pPr>
        <w:pStyle w:val="SingleTxtG"/>
        <w:rPr>
          <w:bCs/>
          <w:lang w:val="en-GB"/>
        </w:rPr>
      </w:pPr>
      <w:bookmarkStart w:id="139" w:name="_Toc243126059"/>
      <w:bookmarkStart w:id="140" w:name="_Toc245183284"/>
      <w:r w:rsidRPr="00373B5F">
        <w:rPr>
          <w:bCs/>
        </w:rPr>
        <w:t>181.</w:t>
      </w:r>
      <w:r w:rsidRPr="00373B5F">
        <w:rPr>
          <w:bCs/>
        </w:rPr>
        <w:tab/>
        <w:t xml:space="preserve">La ley impone ciertas obligaciones a las empresas públicas y privadas para garantizar la accesibilidad (diseño universal) y los ajustes personalizados para las personas con discapacidad. El </w:t>
      </w:r>
      <w:r w:rsidRPr="00373B5F">
        <w:rPr>
          <w:bCs/>
          <w:u w:val="single"/>
        </w:rPr>
        <w:t>diseño universal</w:t>
      </w:r>
      <w:r w:rsidRPr="00373B5F">
        <w:rPr>
          <w:bCs/>
        </w:rPr>
        <w:t xml:space="preserve"> se define como el diseño o la adaptación de las principales características físicas de la empresa de tal manera que el funcionamiento normal de la empresa pueda ser utilizado por el mayor número posible de personas. Este deber se aplica a las empresas que ofrecen bienes y servicios al público en general. </w:t>
      </w:r>
      <w:bookmarkEnd w:id="139"/>
      <w:bookmarkEnd w:id="140"/>
    </w:p>
    <w:p w14:paraId="49B426D2" w14:textId="77777777" w:rsidR="00373B5F" w:rsidRPr="00373B5F" w:rsidRDefault="00373B5F" w:rsidP="00373B5F">
      <w:pPr>
        <w:pStyle w:val="SingleTxtG"/>
        <w:rPr>
          <w:bCs/>
          <w:lang w:val="en-GB"/>
        </w:rPr>
      </w:pPr>
      <w:r w:rsidRPr="00373B5F">
        <w:rPr>
          <w:bCs/>
        </w:rPr>
        <w:t>182.</w:t>
      </w:r>
      <w:r w:rsidRPr="00373B5F">
        <w:rPr>
          <w:bCs/>
        </w:rPr>
        <w:tab/>
        <w:t xml:space="preserve">Noruega aprobó en junio de 2013 el Reglamento para el diseño universal de soluciones de tecnologías de la información y la comunicación (TIC), que abarca tanto a entidades del sector público como del privado, incluidas las ONG. El Reglamento se amplió para abarcar las TIC en las escuelas y otros centros educativos a partir de enero de 2019. </w:t>
      </w:r>
    </w:p>
    <w:p w14:paraId="1F4217D0" w14:textId="77777777" w:rsidR="00373B5F" w:rsidRPr="00373B5F" w:rsidRDefault="00373B5F" w:rsidP="00373B5F">
      <w:pPr>
        <w:pStyle w:val="SingleTxtG"/>
        <w:rPr>
          <w:bCs/>
          <w:lang w:val="en-GB"/>
        </w:rPr>
      </w:pPr>
      <w:r w:rsidRPr="00373B5F">
        <w:rPr>
          <w:bCs/>
        </w:rPr>
        <w:t>183.</w:t>
      </w:r>
      <w:r w:rsidRPr="00373B5F">
        <w:rPr>
          <w:bCs/>
        </w:rPr>
        <w:tab/>
        <w:t xml:space="preserve">La </w:t>
      </w:r>
      <w:r w:rsidRPr="00373B5F">
        <w:rPr>
          <w:bCs/>
          <w:u w:val="single"/>
        </w:rPr>
        <w:t>Directiva de Accesibilidad a la Web</w:t>
      </w:r>
      <w:r w:rsidRPr="00373B5F">
        <w:rPr>
          <w:bCs/>
        </w:rPr>
        <w:t xml:space="preserve"> entró en vigor en enero de 2022. La introducción de la directiva provocó un aumento de los requisitos técnicos, y las entidades públicas deben declarar su cumplimiento mediante una declaración de accesibilidad a la Web. Noruega ha optado por una solución obligatoria centralizada para la declaración de accesibilidad a la Web. La directiva exige a la Autoridad para el Diseño Universal de las TIC que aumente considerablemente el número de controles.</w:t>
      </w:r>
    </w:p>
    <w:p w14:paraId="45985204" w14:textId="77777777" w:rsidR="00373B5F" w:rsidRPr="00373B5F" w:rsidRDefault="00373B5F" w:rsidP="00373B5F">
      <w:pPr>
        <w:pStyle w:val="SingleTxtG"/>
        <w:rPr>
          <w:bCs/>
          <w:lang w:val="en-GB"/>
        </w:rPr>
      </w:pPr>
      <w:r w:rsidRPr="00373B5F">
        <w:rPr>
          <w:bCs/>
        </w:rPr>
        <w:t>184.</w:t>
      </w:r>
      <w:r w:rsidRPr="00373B5F">
        <w:rPr>
          <w:bCs/>
        </w:rPr>
        <w:tab/>
        <w:t xml:space="preserve">La Ley de Igualdad y Lucha contra la Discriminación exige que las autoridades públicas, los empleadores y las organizaciones de empleadores y trabajadores realicen gestiones activas, específicas y sistemáticas para promover el objetivo de la legislación sobre igualdad en sus empresas. Estas obligaciones se reforzaron en 2020. </w:t>
      </w:r>
    </w:p>
    <w:p w14:paraId="7F8F39EB" w14:textId="77777777" w:rsidR="00373B5F" w:rsidRPr="00373B5F" w:rsidRDefault="00373B5F" w:rsidP="00373B5F">
      <w:pPr>
        <w:pStyle w:val="SingleTxtG"/>
        <w:rPr>
          <w:bCs/>
          <w:lang w:val="en-GB"/>
        </w:rPr>
      </w:pPr>
      <w:r w:rsidRPr="00373B5F">
        <w:rPr>
          <w:bCs/>
        </w:rPr>
        <w:t>185.</w:t>
      </w:r>
      <w:r w:rsidRPr="00373B5F">
        <w:rPr>
          <w:bCs/>
        </w:rPr>
        <w:tab/>
        <w:t xml:space="preserve">La ley incluye una carga de la prueba compartida y sanciones de derecho civil para las violaciones de la prohibición de discriminación, en forma de indemnización por pérdidas económicas y no económicas. También contiene una disposición penal independiente para las infracciones agravadas de la prohibición de discriminación por motivos de origen étnico, religión o creencias cometidas conjuntamente por varias personas. </w:t>
      </w:r>
    </w:p>
    <w:p w14:paraId="34ADDDBD" w14:textId="396C059F" w:rsidR="00373B5F" w:rsidRPr="00373B5F" w:rsidRDefault="00054780" w:rsidP="00054780">
      <w:pPr>
        <w:pStyle w:val="H23G"/>
        <w:rPr>
          <w:lang w:val="en-GB"/>
        </w:rPr>
      </w:pPr>
      <w:r>
        <w:tab/>
      </w:r>
      <w:r w:rsidR="00373B5F" w:rsidRPr="00373B5F">
        <w:t>d)</w:t>
      </w:r>
      <w:r w:rsidR="00373B5F" w:rsidRPr="00373B5F">
        <w:tab/>
        <w:t>Ley del Entorno Laboral</w:t>
      </w:r>
    </w:p>
    <w:p w14:paraId="0D206EC2" w14:textId="77777777" w:rsidR="00373B5F" w:rsidRPr="00373B5F" w:rsidRDefault="00373B5F" w:rsidP="00373B5F">
      <w:pPr>
        <w:pStyle w:val="SingleTxtG"/>
        <w:rPr>
          <w:bCs/>
          <w:lang w:val="en-GB"/>
        </w:rPr>
      </w:pPr>
      <w:r w:rsidRPr="00373B5F">
        <w:rPr>
          <w:bCs/>
        </w:rPr>
        <w:t>186.</w:t>
      </w:r>
      <w:r w:rsidRPr="00373B5F">
        <w:rPr>
          <w:bCs/>
        </w:rPr>
        <w:tab/>
        <w:t xml:space="preserve">La </w:t>
      </w:r>
      <w:r w:rsidRPr="00373B5F">
        <w:rPr>
          <w:bCs/>
          <w:u w:val="single"/>
        </w:rPr>
        <w:t>Ley de Entorno Laboral</w:t>
      </w:r>
      <w:r w:rsidRPr="00373B5F">
        <w:rPr>
          <w:bCs/>
        </w:rPr>
        <w:t xml:space="preserve"> prohíbe la discriminación en las relaciones laborales por motivos de opiniones políticas, afiliación sindical, edad o empleo temporal o a tiempo parcial. La prohibición se aplica a todos los aspectos del empleo y a la selección y trato por parte del empleador de los trabajadores autónomos y contratados.</w:t>
      </w:r>
    </w:p>
    <w:p w14:paraId="3045CCD0" w14:textId="367D2F44" w:rsidR="00373B5F" w:rsidRPr="00373B5F" w:rsidRDefault="00054780" w:rsidP="00054780">
      <w:pPr>
        <w:pStyle w:val="H23G"/>
        <w:rPr>
          <w:lang w:val="en-GB"/>
        </w:rPr>
      </w:pPr>
      <w:r>
        <w:tab/>
      </w:r>
      <w:r w:rsidR="00373B5F" w:rsidRPr="00373B5F">
        <w:t>e)</w:t>
      </w:r>
      <w:r w:rsidR="00373B5F" w:rsidRPr="00373B5F">
        <w:tab/>
        <w:t>Legislación sobre vivienda</w:t>
      </w:r>
    </w:p>
    <w:p w14:paraId="00CF1438" w14:textId="77777777" w:rsidR="00373B5F" w:rsidRPr="00373B5F" w:rsidRDefault="00373B5F" w:rsidP="00373B5F">
      <w:pPr>
        <w:pStyle w:val="SingleTxtG"/>
        <w:rPr>
          <w:bCs/>
          <w:lang w:val="en-GB"/>
        </w:rPr>
      </w:pPr>
      <w:r w:rsidRPr="00373B5F">
        <w:rPr>
          <w:bCs/>
        </w:rPr>
        <w:t>187.</w:t>
      </w:r>
      <w:r w:rsidRPr="00373B5F">
        <w:rPr>
          <w:bCs/>
        </w:rPr>
        <w:tab/>
        <w:t xml:space="preserve">La </w:t>
      </w:r>
      <w:r w:rsidRPr="00373B5F">
        <w:rPr>
          <w:bCs/>
          <w:u w:val="single"/>
        </w:rPr>
        <w:t>legislación</w:t>
      </w:r>
      <w:r w:rsidRPr="00373B5F">
        <w:rPr>
          <w:bCs/>
        </w:rPr>
        <w:t xml:space="preserve"> de Noruega </w:t>
      </w:r>
      <w:r w:rsidRPr="00373B5F">
        <w:rPr>
          <w:bCs/>
          <w:u w:val="single"/>
        </w:rPr>
        <w:t>en materia de vivienda</w:t>
      </w:r>
      <w:r w:rsidRPr="00373B5F">
        <w:rPr>
          <w:bCs/>
        </w:rPr>
        <w:t xml:space="preserve"> prohíbe la discriminación por motivos de género, embarazo, origen étnico, religión, creencias, discapacidad, orientación sexual, identidad de género, expresión de género y edad. </w:t>
      </w:r>
    </w:p>
    <w:p w14:paraId="234754DA" w14:textId="7B8B117A" w:rsidR="00373B5F" w:rsidRPr="00373B5F" w:rsidRDefault="00054780" w:rsidP="00054780">
      <w:pPr>
        <w:pStyle w:val="H23G"/>
        <w:rPr>
          <w:lang w:val="en-GB"/>
        </w:rPr>
      </w:pPr>
      <w:r>
        <w:lastRenderedPageBreak/>
        <w:tab/>
      </w:r>
      <w:r w:rsidR="00373B5F" w:rsidRPr="00373B5F">
        <w:t>f)</w:t>
      </w:r>
      <w:r w:rsidR="00373B5F" w:rsidRPr="00373B5F">
        <w:tab/>
        <w:t>Código Penal</w:t>
      </w:r>
      <w:bookmarkStart w:id="141" w:name="_Hlk168396767"/>
    </w:p>
    <w:p w14:paraId="028F04FE" w14:textId="77777777" w:rsidR="00373B5F" w:rsidRPr="00373B5F" w:rsidRDefault="00373B5F" w:rsidP="00373B5F">
      <w:pPr>
        <w:pStyle w:val="SingleTxtG"/>
        <w:rPr>
          <w:bCs/>
          <w:lang w:val="en-GB"/>
        </w:rPr>
      </w:pPr>
      <w:r w:rsidRPr="00373B5F">
        <w:rPr>
          <w:bCs/>
        </w:rPr>
        <w:t>188.</w:t>
      </w:r>
      <w:r w:rsidRPr="00373B5F">
        <w:rPr>
          <w:bCs/>
        </w:rPr>
        <w:tab/>
        <w:t xml:space="preserve">El </w:t>
      </w:r>
      <w:r w:rsidRPr="00373B5F">
        <w:rPr>
          <w:bCs/>
          <w:u w:val="single"/>
        </w:rPr>
        <w:t>Código Penal</w:t>
      </w:r>
      <w:r w:rsidRPr="00373B5F">
        <w:rPr>
          <w:bCs/>
        </w:rPr>
        <w:t xml:space="preserve"> contiene varias disposiciones que abordan los </w:t>
      </w:r>
      <w:r w:rsidRPr="00373B5F">
        <w:rPr>
          <w:bCs/>
          <w:u w:val="single"/>
        </w:rPr>
        <w:t>delitos motivados por el odio</w:t>
      </w:r>
      <w:r w:rsidRPr="00373B5F">
        <w:rPr>
          <w:bCs/>
        </w:rPr>
        <w:t>. Según el Código Penal, el discurso de odio y discriminar a las personas negándoles bienes, servicios o el acceso a espectáculos públicos, exhibiciones u otras reuniones constituyen delitos penales cuando se basan en el color de la piel, el origen nacional o étnico, la religión, la filosofía de vida, la orientación sexual, la identidad de género, la expresión de género o la discapacidad de la víctima. Para determinar si las amenazas, las agresiones físicas, las lesiones corporales y el vandalismo son agravados y, por lo tanto, conllevan penas máximas más elevadas, se tendrá especialmente en cuenta si el delito estuvo motivado por las características antes mencionadas. Además, en la imposición de la pena generalmente se considera un factor agravante si un delito penal estuvo motivado por la intolerancia hacia personas con las características antes mencionadas u otras circunstancias relacionadas con grupos que requieren protección especial.</w:t>
      </w:r>
      <w:bookmarkStart w:id="142" w:name="_Toc498605418"/>
      <w:bookmarkEnd w:id="141"/>
    </w:p>
    <w:p w14:paraId="43BF426D" w14:textId="0A675961" w:rsidR="00373B5F" w:rsidRPr="00373B5F" w:rsidRDefault="00054780" w:rsidP="00054780">
      <w:pPr>
        <w:pStyle w:val="H1G"/>
        <w:rPr>
          <w:lang w:val="en-GB"/>
        </w:rPr>
      </w:pPr>
      <w:bookmarkStart w:id="143" w:name="_Toc169082442"/>
      <w:r>
        <w:tab/>
      </w:r>
      <w:r w:rsidR="00373B5F" w:rsidRPr="00373B5F">
        <w:t>B.</w:t>
      </w:r>
      <w:r w:rsidR="00373B5F" w:rsidRPr="00373B5F">
        <w:tab/>
        <w:t>Marco institucional y recursos efectivos</w:t>
      </w:r>
      <w:bookmarkStart w:id="144" w:name="_Toc174450870"/>
      <w:bookmarkEnd w:id="142"/>
      <w:bookmarkEnd w:id="143"/>
      <w:bookmarkEnd w:id="144"/>
    </w:p>
    <w:p w14:paraId="1B642FFF" w14:textId="524DD90E" w:rsidR="00373B5F" w:rsidRPr="00373B5F" w:rsidRDefault="00054780" w:rsidP="00054780">
      <w:pPr>
        <w:pStyle w:val="H23G"/>
        <w:rPr>
          <w:lang w:val="en-GB"/>
        </w:rPr>
      </w:pPr>
      <w:bookmarkStart w:id="145" w:name="_Toc243126063"/>
      <w:bookmarkStart w:id="146" w:name="_Toc245183288"/>
      <w:r>
        <w:tab/>
      </w:r>
      <w:r w:rsidR="00373B5F" w:rsidRPr="00373B5F">
        <w:t>a)</w:t>
      </w:r>
      <w:r w:rsidR="00373B5F" w:rsidRPr="00373B5F">
        <w:tab/>
        <w:t>El Defensor del Pueblo para la Igualdad y la Lucha contra la Discriminación</w:t>
      </w:r>
      <w:bookmarkEnd w:id="145"/>
      <w:bookmarkEnd w:id="146"/>
    </w:p>
    <w:p w14:paraId="6D921B02" w14:textId="77777777" w:rsidR="00373B5F" w:rsidRPr="00373B5F" w:rsidRDefault="00373B5F" w:rsidP="00373B5F">
      <w:pPr>
        <w:pStyle w:val="SingleTxtG"/>
        <w:rPr>
          <w:bCs/>
          <w:lang w:val="en-GB"/>
        </w:rPr>
      </w:pPr>
      <w:r w:rsidRPr="00373B5F">
        <w:rPr>
          <w:bCs/>
        </w:rPr>
        <w:t>189.</w:t>
      </w:r>
      <w:r w:rsidRPr="00373B5F">
        <w:rPr>
          <w:bCs/>
        </w:rPr>
        <w:tab/>
        <w:t xml:space="preserve">La </w:t>
      </w:r>
      <w:r w:rsidRPr="00373B5F">
        <w:rPr>
          <w:bCs/>
          <w:u w:val="single"/>
        </w:rPr>
        <w:t>Oficina del Defensor del Pueblo para la Igualdad y la Lucha contra la Discriminación</w:t>
      </w:r>
      <w:r w:rsidRPr="00373B5F">
        <w:rPr>
          <w:bCs/>
        </w:rPr>
        <w:t xml:space="preserve"> se estableció en enero de 2006. Es un organismo independiente subordinado administrativamente al Ministerio de Cultura e Igualdad. Sin embargo, el Ministerio no puede dar instrucciones al Defensor del Pueblo en relación con las actividades profesionales. </w:t>
      </w:r>
    </w:p>
    <w:p w14:paraId="1922FF9C" w14:textId="28FAF3BC" w:rsidR="00373B5F" w:rsidRPr="00373B5F" w:rsidRDefault="00373B5F" w:rsidP="00373B5F">
      <w:pPr>
        <w:pStyle w:val="SingleTxtG"/>
        <w:rPr>
          <w:bCs/>
          <w:lang w:val="en-GB"/>
        </w:rPr>
      </w:pPr>
      <w:r w:rsidRPr="00373B5F">
        <w:rPr>
          <w:bCs/>
        </w:rPr>
        <w:t>190.</w:t>
      </w:r>
      <w:r w:rsidRPr="00373B5F">
        <w:rPr>
          <w:bCs/>
        </w:rPr>
        <w:tab/>
        <w:t xml:space="preserve">La </w:t>
      </w:r>
      <w:r w:rsidRPr="00373B5F">
        <w:rPr>
          <w:bCs/>
          <w:u w:val="single"/>
        </w:rPr>
        <w:t>tarea del Defensor del Pueblo</w:t>
      </w:r>
      <w:r w:rsidRPr="00373B5F">
        <w:rPr>
          <w:bCs/>
        </w:rPr>
        <w:t xml:space="preserve"> es combatir la discriminación y promover la igualdad independientemente de factores como el sexo, el origen étnico, la religión, las creencias, la discapacidad, la orientación sexual, la identidad de género, la expresión de género y la edad. El Defensor del Pueblo también debe garantizar que la legislación y las prácticas administrativas noruegas se ajustan a las obligaciones contraídas por Noruega en virtud de la Convención sobre la Eliminación de Todas las Formas de Discriminación contra la Mujer, la Convención Internacional sobre la Eliminación de </w:t>
      </w:r>
      <w:r w:rsidR="00DF4F86">
        <w:rPr>
          <w:bCs/>
        </w:rPr>
        <w:t>T</w:t>
      </w:r>
      <w:r w:rsidRPr="00373B5F">
        <w:rPr>
          <w:bCs/>
        </w:rPr>
        <w:t xml:space="preserve">odas las Formas de Discriminación Racial y la Convención sobre los Derechos de las Personas con Discapacidad. </w:t>
      </w:r>
    </w:p>
    <w:p w14:paraId="6EB4BC17" w14:textId="77777777" w:rsidR="00373B5F" w:rsidRPr="00373B5F" w:rsidRDefault="00373B5F" w:rsidP="00373B5F">
      <w:pPr>
        <w:pStyle w:val="SingleTxtG"/>
        <w:rPr>
          <w:bCs/>
          <w:lang w:val="en-GB"/>
        </w:rPr>
      </w:pPr>
      <w:r w:rsidRPr="00373B5F">
        <w:rPr>
          <w:bCs/>
        </w:rPr>
        <w:t>191.</w:t>
      </w:r>
      <w:r w:rsidRPr="00373B5F">
        <w:rPr>
          <w:bCs/>
        </w:rPr>
        <w:tab/>
        <w:t xml:space="preserve">La </w:t>
      </w:r>
      <w:r w:rsidRPr="00373B5F">
        <w:rPr>
          <w:bCs/>
          <w:u w:val="single"/>
        </w:rPr>
        <w:t>función del Defensor del Pueblo</w:t>
      </w:r>
      <w:r w:rsidRPr="00373B5F">
        <w:rPr>
          <w:bCs/>
        </w:rPr>
        <w:t xml:space="preserve"> incluye promover la igualdad y prevenir la discriminación en la sociedad en general. Entre otras cosas, esto implica identificar los factores que obstaculizan la igualdad y la igualdad de trato y llamar la atención sobre ellos, sensibilizar y educar al público, proporcionar información general y orientación, asesorar a los empleadores sobre la diversidad étnica en la vida laboral y vigilar la naturaleza y el alcance de la discriminación.</w:t>
      </w:r>
      <w:bookmarkStart w:id="147" w:name="_Toc243126064"/>
      <w:bookmarkStart w:id="148" w:name="_Toc245183289"/>
    </w:p>
    <w:p w14:paraId="26A0B5F1" w14:textId="2689035D" w:rsidR="00373B5F" w:rsidRPr="00373B5F" w:rsidRDefault="00054780" w:rsidP="00054780">
      <w:pPr>
        <w:pStyle w:val="H23G"/>
        <w:rPr>
          <w:lang w:val="en-GB"/>
        </w:rPr>
      </w:pPr>
      <w:r>
        <w:tab/>
      </w:r>
      <w:r w:rsidR="00373B5F" w:rsidRPr="00373B5F">
        <w:t>b)</w:t>
      </w:r>
      <w:r w:rsidR="00373B5F" w:rsidRPr="00373B5F">
        <w:tab/>
        <w:t>El Tribunal para la Igualdad y la Lucha contra la Discriminación</w:t>
      </w:r>
    </w:p>
    <w:p w14:paraId="7E70B47D" w14:textId="77777777" w:rsidR="00373B5F" w:rsidRPr="00373B5F" w:rsidRDefault="00373B5F" w:rsidP="00373B5F">
      <w:pPr>
        <w:pStyle w:val="SingleTxtG"/>
        <w:rPr>
          <w:bCs/>
          <w:lang w:val="en-GB"/>
        </w:rPr>
      </w:pPr>
      <w:r w:rsidRPr="00373B5F">
        <w:rPr>
          <w:bCs/>
        </w:rPr>
        <w:t>192.</w:t>
      </w:r>
      <w:r w:rsidRPr="00373B5F">
        <w:rPr>
          <w:bCs/>
        </w:rPr>
        <w:tab/>
        <w:t xml:space="preserve">El </w:t>
      </w:r>
      <w:r w:rsidRPr="00373B5F">
        <w:rPr>
          <w:bCs/>
          <w:u w:val="single"/>
        </w:rPr>
        <w:t>Tribunal para la Igualdad y la Lucha contra la Discriminación</w:t>
      </w:r>
      <w:r w:rsidRPr="00373B5F">
        <w:rPr>
          <w:bCs/>
        </w:rPr>
        <w:t xml:space="preserve"> se estableció por ley en enero de 2006 y vela por el cumplimiento de la Ley de Igualdad y Lucha contra la Discriminación y de las prohibiciones contra la discriminación de la Ley del Entorno Laboral y la legislación sobre vivienda. </w:t>
      </w:r>
    </w:p>
    <w:p w14:paraId="44C92CBA" w14:textId="77777777" w:rsidR="00373B5F" w:rsidRPr="00373B5F" w:rsidRDefault="00373B5F" w:rsidP="00373B5F">
      <w:pPr>
        <w:pStyle w:val="SingleTxtG"/>
        <w:rPr>
          <w:bCs/>
          <w:lang w:val="en-GB"/>
        </w:rPr>
      </w:pPr>
      <w:r w:rsidRPr="00373B5F">
        <w:rPr>
          <w:bCs/>
        </w:rPr>
        <w:t>193.</w:t>
      </w:r>
      <w:r w:rsidRPr="00373B5F">
        <w:rPr>
          <w:bCs/>
        </w:rPr>
        <w:tab/>
        <w:t xml:space="preserve">El Tribunal no está sujeto a instrucciones del Gobierno. Es accesible al público en general y sus servicios son gratuitos. Las decisiones del Tribunal son administrativamente vinculantes, pero pueden ser anuladas por un tribunal de justicia. El Tribunal puede imponer multas coercitivas para garantizar el cumplimiento de sus órdenes, y también puede conceder indemnizaciones por pérdidas económicas y no económicas en casos de discriminación. La </w:t>
      </w:r>
      <w:r w:rsidRPr="00373B5F">
        <w:rPr>
          <w:bCs/>
          <w:u w:val="single"/>
        </w:rPr>
        <w:t>Autoridad para el Diseño Universal de las TIC</w:t>
      </w:r>
      <w:r w:rsidRPr="00373B5F">
        <w:rPr>
          <w:bCs/>
        </w:rPr>
        <w:t xml:space="preserve"> aporta los resultados de las pruebas relativas a soluciones TIC específicas como documentación justificativa de las decisiones adoptadas por el Tribunal.</w:t>
      </w:r>
    </w:p>
    <w:p w14:paraId="74C5A539" w14:textId="19178C02" w:rsidR="00373B5F" w:rsidRPr="00373B5F" w:rsidRDefault="00054780" w:rsidP="00054780">
      <w:pPr>
        <w:pStyle w:val="H23G"/>
        <w:rPr>
          <w:lang w:val="en-GB"/>
        </w:rPr>
      </w:pPr>
      <w:r>
        <w:tab/>
      </w:r>
      <w:r w:rsidR="00373B5F" w:rsidRPr="00373B5F">
        <w:t>c)</w:t>
      </w:r>
      <w:r w:rsidR="00373B5F" w:rsidRPr="00373B5F">
        <w:tab/>
        <w:t>Organización dentro de la administración pública central</w:t>
      </w:r>
      <w:bookmarkEnd w:id="147"/>
      <w:bookmarkEnd w:id="148"/>
    </w:p>
    <w:p w14:paraId="5D606AC0" w14:textId="77777777" w:rsidR="00373B5F" w:rsidRPr="00373B5F" w:rsidRDefault="00373B5F" w:rsidP="00373B5F">
      <w:pPr>
        <w:pStyle w:val="SingleTxtG"/>
        <w:rPr>
          <w:bCs/>
          <w:lang w:val="en-GB"/>
        </w:rPr>
      </w:pPr>
      <w:r w:rsidRPr="00373B5F">
        <w:rPr>
          <w:bCs/>
        </w:rPr>
        <w:t>194.</w:t>
      </w:r>
      <w:r w:rsidRPr="00373B5F">
        <w:rPr>
          <w:bCs/>
        </w:rPr>
        <w:tab/>
        <w:t xml:space="preserve">El Ministerio de Cultura e Igualdad desempeña un papel destacado en la </w:t>
      </w:r>
      <w:r w:rsidRPr="00373B5F">
        <w:rPr>
          <w:bCs/>
          <w:u w:val="single"/>
        </w:rPr>
        <w:t>labor encaminada a promover una perspectiva de igualdad de derechos</w:t>
      </w:r>
      <w:r w:rsidRPr="00373B5F">
        <w:rPr>
          <w:bCs/>
        </w:rPr>
        <w:t xml:space="preserve"> en todos los ámbitos de políticas y a todos los niveles administrativos. Ahora bien, cada ministerio es responsable de promover la igualdad de derechos y prevenir la discriminación dentro de su sector, de </w:t>
      </w:r>
      <w:r w:rsidRPr="00373B5F">
        <w:rPr>
          <w:bCs/>
        </w:rPr>
        <w:lastRenderedPageBreak/>
        <w:t>conformidad con el principio de responsabilidad sectorial. En los últimos años se han reforzado las competencias de la Dirección de Infancia, Juventud y Familia en materia de igualdad y lucha contra la discriminación. El Ministerio del Trabajo e Inclusión Social es responsable de coordinar las políticas de integración de los inmigrantes y sus hijos. La Dirección de Integración y Diversidad desempeña un papel clave en la coordinación de la labor encaminada a garantizar que las personas de origen inmigrante reciban servicios públicos equitativos. La Agencia de Digitalización de Noruega vela por el cumplimiento de los requisitos de diseño universal de las TIC.</w:t>
      </w:r>
    </w:p>
    <w:p w14:paraId="56EC2915" w14:textId="70B4EFA6" w:rsidR="00373B5F" w:rsidRPr="00373B5F" w:rsidRDefault="00054780" w:rsidP="00054780">
      <w:pPr>
        <w:pStyle w:val="H1G"/>
        <w:rPr>
          <w:lang w:val="en-GB"/>
        </w:rPr>
      </w:pPr>
      <w:r>
        <w:tab/>
      </w:r>
      <w:r w:rsidR="00373B5F" w:rsidRPr="00373B5F">
        <w:t>C.</w:t>
      </w:r>
      <w:r w:rsidR="00373B5F" w:rsidRPr="00373B5F">
        <w:tab/>
        <w:t>Igualdad de género y grupos vulnerables específicos</w:t>
      </w:r>
      <w:bookmarkStart w:id="149" w:name="_Toc498605419"/>
      <w:bookmarkStart w:id="150" w:name="_Toc169082443"/>
      <w:bookmarkStart w:id="151" w:name="_Toc174450871"/>
      <w:bookmarkEnd w:id="149"/>
      <w:bookmarkEnd w:id="150"/>
      <w:bookmarkEnd w:id="151"/>
    </w:p>
    <w:p w14:paraId="3CF0E298" w14:textId="6679AA31" w:rsidR="00373B5F" w:rsidRPr="00373B5F" w:rsidRDefault="00054780" w:rsidP="00054780">
      <w:pPr>
        <w:pStyle w:val="H23G"/>
        <w:rPr>
          <w:lang w:val="en-GB"/>
        </w:rPr>
      </w:pPr>
      <w:bookmarkStart w:id="152" w:name="_Toc243126067"/>
      <w:bookmarkStart w:id="153" w:name="_Toc245183292"/>
      <w:r>
        <w:tab/>
      </w:r>
      <w:r w:rsidR="00373B5F" w:rsidRPr="00373B5F">
        <w:t>a)</w:t>
      </w:r>
      <w:r w:rsidR="00373B5F" w:rsidRPr="00373B5F">
        <w:tab/>
        <w:t>Lucha contra el discurso de odio</w:t>
      </w:r>
    </w:p>
    <w:p w14:paraId="0031C481" w14:textId="13729695" w:rsidR="00373B5F" w:rsidRPr="00373B5F" w:rsidRDefault="00373B5F" w:rsidP="00373B5F">
      <w:pPr>
        <w:pStyle w:val="SingleTxtG"/>
        <w:rPr>
          <w:bCs/>
          <w:lang w:val="en-GB"/>
        </w:rPr>
      </w:pPr>
      <w:r w:rsidRPr="00373B5F">
        <w:rPr>
          <w:bCs/>
        </w:rPr>
        <w:t>195.</w:t>
      </w:r>
      <w:r w:rsidRPr="00373B5F">
        <w:rPr>
          <w:bCs/>
        </w:rPr>
        <w:tab/>
        <w:t xml:space="preserve">La </w:t>
      </w:r>
      <w:r w:rsidRPr="00373B5F">
        <w:rPr>
          <w:bCs/>
          <w:u w:val="single"/>
        </w:rPr>
        <w:t>Estrategia del Gobierno contra el Discurso de Odio</w:t>
      </w:r>
      <w:r w:rsidRPr="00373B5F">
        <w:rPr>
          <w:bCs/>
          <w:sz w:val="18"/>
          <w:szCs w:val="18"/>
          <w:vertAlign w:val="superscript"/>
        </w:rPr>
        <w:footnoteReference w:id="17"/>
      </w:r>
      <w:r w:rsidRPr="00373B5F">
        <w:rPr>
          <w:bCs/>
        </w:rPr>
        <w:t xml:space="preserve"> estuvo en vigor de 2016 a</w:t>
      </w:r>
      <w:r w:rsidR="00054780">
        <w:rPr>
          <w:bCs/>
        </w:rPr>
        <w:t> </w:t>
      </w:r>
      <w:r w:rsidRPr="00373B5F">
        <w:rPr>
          <w:bCs/>
        </w:rPr>
        <w:t xml:space="preserve">2020. La gran mayoría de las medidas de la estrategia se han aplicado y siguen siendo objeto de seguimiento. En 2021, el Gobierno estableció un plan nacional de subvenciones para medidas de lucha contra el racismo, la discriminación y el discurso de odio. </w:t>
      </w:r>
    </w:p>
    <w:p w14:paraId="104C2FD4" w14:textId="77777777" w:rsidR="00373B5F" w:rsidRPr="00373B5F" w:rsidRDefault="00373B5F" w:rsidP="00373B5F">
      <w:pPr>
        <w:pStyle w:val="SingleTxtG"/>
        <w:rPr>
          <w:bCs/>
          <w:lang w:val="en-GB"/>
        </w:rPr>
      </w:pPr>
      <w:r w:rsidRPr="00373B5F">
        <w:rPr>
          <w:bCs/>
        </w:rPr>
        <w:t>196.</w:t>
      </w:r>
      <w:r w:rsidRPr="00373B5F">
        <w:rPr>
          <w:bCs/>
        </w:rPr>
        <w:tab/>
        <w:t xml:space="preserve">La </w:t>
      </w:r>
      <w:r w:rsidRPr="00373B5F">
        <w:rPr>
          <w:bCs/>
          <w:u w:val="single"/>
        </w:rPr>
        <w:t>Comisión para la Libertad de Expresión</w:t>
      </w:r>
      <w:r w:rsidRPr="00373B5F">
        <w:rPr>
          <w:bCs/>
        </w:rPr>
        <w:t>, nombrada por el Gobierno, ha revisado los marcos social, tecnológico, jurídico y económico de la libertad de expresión en Noruega y presentó su informe el 15 de agosto de 2022</w:t>
      </w:r>
      <w:r w:rsidRPr="00373B5F">
        <w:rPr>
          <w:bCs/>
          <w:sz w:val="18"/>
          <w:szCs w:val="18"/>
          <w:vertAlign w:val="superscript"/>
        </w:rPr>
        <w:footnoteReference w:id="18"/>
      </w:r>
      <w:r w:rsidRPr="00373B5F">
        <w:rPr>
          <w:bCs/>
        </w:rPr>
        <w:t xml:space="preserve">. La Comisión concluyó que la situación actual de la libertad de expresión en Noruega es ampliamente favorable. Para la mayoría de las personas, expresarse y participar en debates públicos es ahora mucho más fácil que antes, en gran parte gracias a los avances tecnológicos, sobre todo Internet. Además, en el discurso público hay un amplio abanico de voces y perspectivas, incluidas las de grupos minoritarios. Contrariamente a la percepción pública, los estudios disponibles no apoyan la opinión de que el debate público esté dominado por el odio y la incitación. No obstante, la Comisión pone de relieve ciertos aspectos mejorables, como los problemas que pueden encontrar las personas pertenecientes a grupos minoritarios cuando se expresan en público. La Comisión afirma que el debate público abierto y fundamentado se verá afectado si se excluyen sistemáticamente determinadas voces y perspectivas. El informe se ha sometido a consulta, y actualmente el Ministerio de Cultura e Igualdad está realizando su seguimiento en colaboración con los demás ministerios competentes. </w:t>
      </w:r>
    </w:p>
    <w:p w14:paraId="55D39CE0" w14:textId="2E079544" w:rsidR="00373B5F" w:rsidRPr="00373B5F" w:rsidRDefault="00054780" w:rsidP="00054780">
      <w:pPr>
        <w:pStyle w:val="H23G"/>
        <w:rPr>
          <w:lang w:val="en-GB"/>
        </w:rPr>
      </w:pPr>
      <w:r>
        <w:tab/>
      </w:r>
      <w:r w:rsidR="00373B5F" w:rsidRPr="00373B5F">
        <w:t>b)</w:t>
      </w:r>
      <w:r w:rsidR="00373B5F" w:rsidRPr="00373B5F">
        <w:tab/>
        <w:t xml:space="preserve">Igualdad de género </w:t>
      </w:r>
      <w:bookmarkEnd w:id="152"/>
      <w:bookmarkEnd w:id="153"/>
    </w:p>
    <w:p w14:paraId="323622CF" w14:textId="77777777" w:rsidR="00373B5F" w:rsidRPr="00373B5F" w:rsidRDefault="00373B5F" w:rsidP="00373B5F">
      <w:pPr>
        <w:pStyle w:val="SingleTxtG"/>
        <w:rPr>
          <w:bCs/>
          <w:lang w:val="en-GB"/>
        </w:rPr>
      </w:pPr>
      <w:r w:rsidRPr="00373B5F">
        <w:rPr>
          <w:bCs/>
        </w:rPr>
        <w:t>197.</w:t>
      </w:r>
      <w:r w:rsidRPr="00373B5F">
        <w:rPr>
          <w:bCs/>
        </w:rPr>
        <w:tab/>
        <w:t xml:space="preserve">La </w:t>
      </w:r>
      <w:r w:rsidRPr="00373B5F">
        <w:rPr>
          <w:bCs/>
          <w:u w:val="single"/>
        </w:rPr>
        <w:t>Ley de Igualdad y Lucha contra la Discriminación</w:t>
      </w:r>
      <w:r w:rsidRPr="00373B5F">
        <w:rPr>
          <w:bCs/>
        </w:rPr>
        <w:t xml:space="preserve"> prohíbe la discriminación por motivos de género en todos los ámbitos de la sociedad.</w:t>
      </w:r>
    </w:p>
    <w:p w14:paraId="61E23EA8" w14:textId="694B8286" w:rsidR="00373B5F" w:rsidRPr="00373B5F" w:rsidRDefault="00373B5F" w:rsidP="00373B5F">
      <w:pPr>
        <w:pStyle w:val="SingleTxtG"/>
        <w:rPr>
          <w:bCs/>
          <w:lang w:val="en-GB"/>
        </w:rPr>
      </w:pPr>
      <w:r w:rsidRPr="00373B5F">
        <w:rPr>
          <w:bCs/>
        </w:rPr>
        <w:t>198.</w:t>
      </w:r>
      <w:r w:rsidRPr="00373B5F">
        <w:rPr>
          <w:bCs/>
        </w:rPr>
        <w:tab/>
        <w:t xml:space="preserve">Para lograr la igualdad de género en el trabajo y en el hogar, es importante que los padres asuman una mayor cuota de responsabilidad en el cuidado de los hijos y la vida familiar. Para promover la igualdad entre hombres y mujeres, el </w:t>
      </w:r>
      <w:r w:rsidRPr="00373B5F">
        <w:rPr>
          <w:bCs/>
          <w:u w:val="single"/>
        </w:rPr>
        <w:t>régimen de prestaciones parentales</w:t>
      </w:r>
      <w:r w:rsidRPr="00373B5F">
        <w:rPr>
          <w:bCs/>
        </w:rPr>
        <w:t xml:space="preserve"> está concebido para incentivar a los progenitores a repartir de forma más equitativa el período de licencia parental. En la actualidad, los padres que trabajan tienen derecho a 49 semanas de licencia con una cobertura del 80 % o a 59 semanas con una cobertura del 100</w:t>
      </w:r>
      <w:r w:rsidR="00054780">
        <w:rPr>
          <w:bCs/>
        </w:rPr>
        <w:t> </w:t>
      </w:r>
      <w:r w:rsidRPr="00373B5F">
        <w:rPr>
          <w:bCs/>
        </w:rPr>
        <w:t xml:space="preserve">%. Tres semanas están reservadas a la madre y deben tomarse antes del parto. La parte restante de la licencia parental se divide en tres: 10 semanas están reservadas al padre, 10 semanas están reservadas a la madre y el período restante puede dividirse entre los progenitores. </w:t>
      </w:r>
    </w:p>
    <w:p w14:paraId="3F8A9C9B" w14:textId="77777777" w:rsidR="00373B5F" w:rsidRPr="00373B5F" w:rsidRDefault="00373B5F" w:rsidP="00373B5F">
      <w:pPr>
        <w:pStyle w:val="SingleTxtG"/>
        <w:rPr>
          <w:bCs/>
          <w:lang w:val="en-GB"/>
        </w:rPr>
      </w:pPr>
      <w:r w:rsidRPr="00373B5F">
        <w:rPr>
          <w:bCs/>
        </w:rPr>
        <w:t>199.</w:t>
      </w:r>
      <w:r w:rsidRPr="00373B5F">
        <w:rPr>
          <w:bCs/>
        </w:rPr>
        <w:tab/>
        <w:t xml:space="preserve">En Noruega, hoy, 6 de cada 10 </w:t>
      </w:r>
      <w:r w:rsidRPr="00373B5F">
        <w:rPr>
          <w:bCs/>
          <w:u w:val="single"/>
        </w:rPr>
        <w:t>estudiantes</w:t>
      </w:r>
      <w:r w:rsidRPr="00373B5F">
        <w:rPr>
          <w:bCs/>
        </w:rPr>
        <w:t xml:space="preserve"> son mujeres. Las prestaciones sociales, como la licencia parental retribuida, los horarios flexibles y los servicios de guardería bien desarrollados, han facilitado la conciliación de la vida familiar con el trabajo remunerado. La tasa de empleo en 2023 sigue siendo algo más elevada para los hombres (82,9 % en el grupo de edad de 20 a 64 años) que para las mujeres (77,8 % en el grupo de edad de 20 a 64 años). Hay más mujeres (35 %) que hombres (17 %) que trabajan a tiempo parcial. Ajustado a las </w:t>
      </w:r>
      <w:r w:rsidRPr="00373B5F">
        <w:rPr>
          <w:bCs/>
        </w:rPr>
        <w:lastRenderedPageBreak/>
        <w:t xml:space="preserve">horas de trabajo, el salario medio mensual de las mujeres asciende al 88,3 % del salario medio de sus homólogos masculinos. </w:t>
      </w:r>
    </w:p>
    <w:p w14:paraId="43A6BD86" w14:textId="77777777" w:rsidR="00373B5F" w:rsidRPr="00373B5F" w:rsidRDefault="00373B5F" w:rsidP="00373B5F">
      <w:pPr>
        <w:pStyle w:val="SingleTxtG"/>
        <w:rPr>
          <w:bCs/>
          <w:lang w:val="en-GB"/>
        </w:rPr>
      </w:pPr>
      <w:r w:rsidRPr="00373B5F">
        <w:rPr>
          <w:bCs/>
        </w:rPr>
        <w:t>200.</w:t>
      </w:r>
      <w:r w:rsidRPr="00373B5F">
        <w:rPr>
          <w:bCs/>
        </w:rPr>
        <w:tab/>
        <w:t xml:space="preserve">En 2003, Noruega fue el primer país del mundo en exigir una </w:t>
      </w:r>
      <w:r w:rsidRPr="00373B5F">
        <w:rPr>
          <w:bCs/>
          <w:u w:val="single"/>
        </w:rPr>
        <w:t>representación equilibrada de hombres y mujeres</w:t>
      </w:r>
      <w:r w:rsidRPr="00373B5F">
        <w:rPr>
          <w:bCs/>
        </w:rPr>
        <w:t xml:space="preserve"> en los consejos de administración de las sociedades anónimas. Esto significa que los consejos de administración de dichas empresas deben estar formados por un mínimo del 40 % de hombres y mujeres. En general, la representación de las mujeres ha aumentado de aproximadamente el 7 % en 2003 a aproximadamente el 42 % en 2016.</w:t>
      </w:r>
    </w:p>
    <w:p w14:paraId="6EC1A800" w14:textId="77777777" w:rsidR="00373B5F" w:rsidRPr="00373B5F" w:rsidRDefault="00373B5F" w:rsidP="00373B5F">
      <w:pPr>
        <w:pStyle w:val="SingleTxtG"/>
        <w:rPr>
          <w:bCs/>
          <w:lang w:val="en-GB"/>
        </w:rPr>
      </w:pPr>
      <w:r w:rsidRPr="00373B5F">
        <w:rPr>
          <w:bCs/>
        </w:rPr>
        <w:t>201.</w:t>
      </w:r>
      <w:r w:rsidRPr="00373B5F">
        <w:rPr>
          <w:bCs/>
        </w:rPr>
        <w:tab/>
        <w:t xml:space="preserve">El </w:t>
      </w:r>
      <w:r w:rsidRPr="00373B5F">
        <w:rPr>
          <w:bCs/>
          <w:u w:val="single"/>
        </w:rPr>
        <w:t>servicio militar universal</w:t>
      </w:r>
      <w:r w:rsidRPr="00373B5F">
        <w:rPr>
          <w:bCs/>
        </w:rPr>
        <w:t>, es decir, el servicio militar tanto para mujeres como para hombres, entró en vigor el 1 de enero de 2015, ampliando el servicio militar a las mujeres en igualdad de condiciones con los hombres. El servicio militar universal se aplica a las mujeres nacidas en Noruega a partir de 1997. Las primeras mujeres reclutas comenzaron su servicio militar en el tercer trimestre de 2016.</w:t>
      </w:r>
    </w:p>
    <w:p w14:paraId="1656FE8A" w14:textId="1188F50E" w:rsidR="00373B5F" w:rsidRPr="00373B5F" w:rsidRDefault="00054780" w:rsidP="00054780">
      <w:pPr>
        <w:pStyle w:val="H23G"/>
        <w:rPr>
          <w:lang w:val="en-GB"/>
        </w:rPr>
      </w:pPr>
      <w:bookmarkStart w:id="154" w:name="_Toc243126068"/>
      <w:bookmarkStart w:id="155" w:name="_Toc245183293"/>
      <w:r>
        <w:tab/>
      </w:r>
      <w:r w:rsidR="00373B5F" w:rsidRPr="00373B5F">
        <w:t>c)</w:t>
      </w:r>
      <w:r w:rsidR="00373B5F" w:rsidRPr="00373B5F">
        <w:tab/>
        <w:t xml:space="preserve">Derechos de las personas lesbianas, gais, transgénero, bisexuales </w:t>
      </w:r>
      <w:r>
        <w:br/>
      </w:r>
      <w:r w:rsidR="00373B5F" w:rsidRPr="00373B5F">
        <w:t xml:space="preserve">e intersexuales (personas </w:t>
      </w:r>
      <w:proofErr w:type="spellStart"/>
      <w:r w:rsidR="00373B5F" w:rsidRPr="00373B5F">
        <w:t>LGBTI</w:t>
      </w:r>
      <w:proofErr w:type="spellEnd"/>
      <w:r w:rsidR="00373B5F" w:rsidRPr="00373B5F">
        <w:t>)</w:t>
      </w:r>
      <w:bookmarkStart w:id="156" w:name="_Hlk168484695"/>
      <w:bookmarkEnd w:id="154"/>
      <w:bookmarkEnd w:id="155"/>
    </w:p>
    <w:p w14:paraId="226FB566" w14:textId="77777777" w:rsidR="00373B5F" w:rsidRPr="00373B5F" w:rsidRDefault="00373B5F" w:rsidP="00373B5F">
      <w:pPr>
        <w:pStyle w:val="SingleTxtG"/>
        <w:rPr>
          <w:bCs/>
          <w:lang w:val="en-GB"/>
        </w:rPr>
      </w:pPr>
      <w:r w:rsidRPr="00373B5F">
        <w:rPr>
          <w:bCs/>
        </w:rPr>
        <w:t>202.</w:t>
      </w:r>
      <w:r w:rsidRPr="00373B5F">
        <w:rPr>
          <w:bCs/>
        </w:rPr>
        <w:tab/>
        <w:t xml:space="preserve">La </w:t>
      </w:r>
      <w:r w:rsidRPr="00373B5F">
        <w:rPr>
          <w:bCs/>
          <w:u w:val="single"/>
        </w:rPr>
        <w:t>Ley de Igualdad y Lucha contra la Discriminación</w:t>
      </w:r>
      <w:r w:rsidRPr="00373B5F">
        <w:rPr>
          <w:bCs/>
        </w:rPr>
        <w:t xml:space="preserve"> prohíbe la discriminación por motivos de orientación sexual, identidad de género y expresión de género en todos los ámbitos de la sociedad. </w:t>
      </w:r>
    </w:p>
    <w:p w14:paraId="328EC58D" w14:textId="512D9CB6" w:rsidR="00373B5F" w:rsidRPr="00373B5F" w:rsidRDefault="00373B5F" w:rsidP="00373B5F">
      <w:pPr>
        <w:pStyle w:val="SingleTxtG"/>
        <w:rPr>
          <w:bCs/>
          <w:lang w:val="en-GB"/>
        </w:rPr>
      </w:pPr>
      <w:r w:rsidRPr="00373B5F">
        <w:rPr>
          <w:bCs/>
        </w:rPr>
        <w:t>203.</w:t>
      </w:r>
      <w:r w:rsidRPr="00373B5F">
        <w:rPr>
          <w:bCs/>
        </w:rPr>
        <w:tab/>
        <w:t>Los derechos de las personas gais y lesbianas han evolucionado mucho en Noruega en los últimos años. El matrimonio entre personas del mismo sexo es legal en Noruega desde</w:t>
      </w:r>
      <w:r w:rsidR="00054780">
        <w:rPr>
          <w:bCs/>
        </w:rPr>
        <w:t> </w:t>
      </w:r>
      <w:r w:rsidRPr="00373B5F">
        <w:rPr>
          <w:bCs/>
        </w:rPr>
        <w:t xml:space="preserve">2009, y las parejas del mismo sexo tienen los mismos derechos que las demás para adoptar niños. Las parejas de lesbianas también tienen derecho al tratamiento de fecundación in vitro. </w:t>
      </w:r>
    </w:p>
    <w:bookmarkEnd w:id="156"/>
    <w:p w14:paraId="2A3D6E3E" w14:textId="77777777" w:rsidR="00373B5F" w:rsidRPr="00373B5F" w:rsidRDefault="00373B5F" w:rsidP="00373B5F">
      <w:pPr>
        <w:pStyle w:val="SingleTxtG"/>
        <w:rPr>
          <w:bCs/>
          <w:lang w:val="en-GB"/>
        </w:rPr>
      </w:pPr>
      <w:r w:rsidRPr="00373B5F">
        <w:rPr>
          <w:bCs/>
        </w:rPr>
        <w:t>204.</w:t>
      </w:r>
      <w:r w:rsidRPr="00373B5F">
        <w:rPr>
          <w:bCs/>
        </w:rPr>
        <w:tab/>
        <w:t xml:space="preserve">En julio de 2016 entró en vigor una nueva </w:t>
      </w:r>
      <w:r w:rsidRPr="00373B5F">
        <w:rPr>
          <w:bCs/>
          <w:u w:val="single"/>
        </w:rPr>
        <w:t>Ley de Reconocimiento de Género</w:t>
      </w:r>
      <w:r w:rsidRPr="00373B5F">
        <w:rPr>
          <w:bCs/>
        </w:rPr>
        <w:t>. La ley concede a todas las personas el derecho a modificar su marcador de género en los registros públicos y pasaportes mediante un procedimiento sencillo y transparente. Los mayores de 16 años pueden solicitar el cambio de su marcador de género mediante un sencillo procedimiento de autodeclaración. Los niños y jóvenes de entre 6 y 16 años pueden seguir un procedimiento similar, siempre que cuenten con el consentimiento de sus padres. Si solo uno de los dos progenitores con responsabilidad parental da su consentimiento, la solicitud puede concederse igualmente si se considera que redunda en el interés superior del niño. Los padres pueden presentar la solicitud en nombre de menores intersexuales de 6 años o menos.</w:t>
      </w:r>
    </w:p>
    <w:p w14:paraId="11BB06F6" w14:textId="1FCFE067" w:rsidR="00373B5F" w:rsidRPr="00373B5F" w:rsidRDefault="00373B5F" w:rsidP="00373B5F">
      <w:pPr>
        <w:pStyle w:val="SingleTxtG"/>
        <w:rPr>
          <w:bCs/>
          <w:lang w:val="en-GB"/>
        </w:rPr>
      </w:pPr>
      <w:r w:rsidRPr="00373B5F">
        <w:rPr>
          <w:bCs/>
        </w:rPr>
        <w:t>205.</w:t>
      </w:r>
      <w:r w:rsidRPr="00373B5F">
        <w:rPr>
          <w:bCs/>
        </w:rPr>
        <w:tab/>
        <w:t xml:space="preserve">En 2023 se puso en marcha el </w:t>
      </w:r>
      <w:r w:rsidRPr="00373B5F">
        <w:rPr>
          <w:bCs/>
          <w:u w:val="single"/>
        </w:rPr>
        <w:t>Plan de Acción del Gobierno sobre Género y Diversidad Sexual</w:t>
      </w:r>
      <w:r w:rsidRPr="00373B5F">
        <w:rPr>
          <w:bCs/>
        </w:rPr>
        <w:t xml:space="preserve"> (2023-2026). Su objetivo es mejorar la calidad de vida de las personas LGBT+, salvaguardar sus derechos y mejorar el reconocimiento de la diversidad sexual y de género en la sociedad. El Plan de Acción tiene tres esferas prioritarias: i) personas LGBT+ de origen minoritario y en comunidades religiosas</w:t>
      </w:r>
      <w:r w:rsidR="00237FAD">
        <w:rPr>
          <w:bCs/>
        </w:rPr>
        <w:t>;</w:t>
      </w:r>
      <w:r w:rsidRPr="00373B5F">
        <w:rPr>
          <w:bCs/>
        </w:rPr>
        <w:t xml:space="preserve"> ii) personas transgénero y personas con discordancia de género</w:t>
      </w:r>
      <w:r w:rsidR="00237FAD">
        <w:rPr>
          <w:bCs/>
        </w:rPr>
        <w:t>;</w:t>
      </w:r>
      <w:r w:rsidRPr="00373B5F">
        <w:rPr>
          <w:bCs/>
        </w:rPr>
        <w:t xml:space="preserve"> y </w:t>
      </w:r>
      <w:proofErr w:type="spellStart"/>
      <w:r w:rsidRPr="00373B5F">
        <w:rPr>
          <w:bCs/>
        </w:rPr>
        <w:t>iii</w:t>
      </w:r>
      <w:proofErr w:type="spellEnd"/>
      <w:r w:rsidRPr="00373B5F">
        <w:rPr>
          <w:bCs/>
        </w:rPr>
        <w:t>) deporte para todos.</w:t>
      </w:r>
    </w:p>
    <w:p w14:paraId="4F06B4F4" w14:textId="77777777" w:rsidR="00373B5F" w:rsidRPr="00373B5F" w:rsidRDefault="00373B5F" w:rsidP="00373B5F">
      <w:pPr>
        <w:pStyle w:val="SingleTxtG"/>
        <w:rPr>
          <w:bCs/>
          <w:lang w:val="en-GB"/>
        </w:rPr>
      </w:pPr>
      <w:r w:rsidRPr="00373B5F">
        <w:rPr>
          <w:bCs/>
        </w:rPr>
        <w:t>206.</w:t>
      </w:r>
      <w:r w:rsidRPr="00373B5F">
        <w:rPr>
          <w:bCs/>
        </w:rPr>
        <w:tab/>
        <w:t xml:space="preserve">Mediante el </w:t>
      </w:r>
      <w:r w:rsidRPr="00373B5F">
        <w:rPr>
          <w:bCs/>
          <w:u w:val="single"/>
        </w:rPr>
        <w:t>Plan de Acción</w:t>
      </w:r>
      <w:r w:rsidRPr="00373B5F">
        <w:rPr>
          <w:bCs/>
        </w:rPr>
        <w:t xml:space="preserve"> y sus 49 medidas, el Gobierno impulsa la labor en favor de la diversidad sexual y de género a escala nacional e internacional. En 2023 el Gobierno aumentó en más de 21 millones de coronas noruegas el plan de subvenciones para las ONG que trabajan por la diversidad sexual y de género. Además, el Gobierno estableció un nuevo plan de subvenciones en 2023 destinado a reforzar la labor encaminada a mejorar la salud mental de las personas LGBT+.</w:t>
      </w:r>
    </w:p>
    <w:p w14:paraId="4F58C736" w14:textId="77777777" w:rsidR="00373B5F" w:rsidRPr="00373B5F" w:rsidRDefault="00373B5F" w:rsidP="00373B5F">
      <w:pPr>
        <w:pStyle w:val="SingleTxtG"/>
        <w:rPr>
          <w:bCs/>
          <w:lang w:val="en-GB"/>
        </w:rPr>
      </w:pPr>
      <w:r w:rsidRPr="00373B5F">
        <w:rPr>
          <w:bCs/>
        </w:rPr>
        <w:t>207.</w:t>
      </w:r>
      <w:r w:rsidRPr="00373B5F">
        <w:rPr>
          <w:bCs/>
        </w:rPr>
        <w:tab/>
        <w:t>El Plan de Acción contiene varias medidas para mejorar los conocimientos sobre diversidad sexual y de género en municipios y servicios públicos, escuelas, la Policía y las Fuerzas Armadas, así como en grupos minoritarios, comunidades religiosas y asociaciones deportivas.</w:t>
      </w:r>
    </w:p>
    <w:p w14:paraId="1BDF42E7" w14:textId="77777777" w:rsidR="00373B5F" w:rsidRPr="00373B5F" w:rsidRDefault="00373B5F" w:rsidP="00373B5F">
      <w:pPr>
        <w:pStyle w:val="SingleTxtG"/>
        <w:rPr>
          <w:bCs/>
          <w:lang w:val="en-GB"/>
        </w:rPr>
      </w:pPr>
      <w:r w:rsidRPr="00373B5F">
        <w:rPr>
          <w:bCs/>
        </w:rPr>
        <w:t>208.</w:t>
      </w:r>
      <w:r w:rsidRPr="00373B5F">
        <w:rPr>
          <w:bCs/>
        </w:rPr>
        <w:tab/>
        <w:t xml:space="preserve">El Plan de Acción también incluye medidas destinadas a reforzar la labor encaminada a salvaguardar los derechos humanos y la inclusión de las personas LGBT+ a escala internacional. En el ámbito internacional, Noruega pretende oponerse a los retrocesos en materia de igualdad de género y acceso a la salud y los derechos sexuales y reproductivos. Las perspectivas LGBT+ son parte esencial de nuestra labor de promoción de los derechos en materia de salud sexual y reproductiva en todo el mundo. </w:t>
      </w:r>
    </w:p>
    <w:p w14:paraId="5F165B0D" w14:textId="77777777" w:rsidR="00373B5F" w:rsidRPr="00373B5F" w:rsidRDefault="00373B5F" w:rsidP="00373B5F">
      <w:pPr>
        <w:pStyle w:val="SingleTxtG"/>
        <w:rPr>
          <w:bCs/>
          <w:lang w:val="en-GB"/>
        </w:rPr>
      </w:pPr>
      <w:r w:rsidRPr="00373B5F">
        <w:rPr>
          <w:bCs/>
        </w:rPr>
        <w:lastRenderedPageBreak/>
        <w:t>209.</w:t>
      </w:r>
      <w:r w:rsidRPr="00373B5F">
        <w:rPr>
          <w:bCs/>
        </w:rPr>
        <w:tab/>
        <w:t>El Ministerio de Cultura e Igualdad coordina la aplicación del Plan de Acción en 11 ministerios. La Dirección de Asuntos de la Infancia, la Juventud y la Familia garantiza la coordinación de las actividades basadas en el conocimiento en todos los sectores a nivel de dirección.</w:t>
      </w:r>
    </w:p>
    <w:p w14:paraId="77AFF855" w14:textId="77777777" w:rsidR="00373B5F" w:rsidRPr="00373B5F" w:rsidRDefault="00373B5F" w:rsidP="00373B5F">
      <w:pPr>
        <w:pStyle w:val="SingleTxtG"/>
        <w:rPr>
          <w:bCs/>
          <w:lang w:val="en-GB"/>
        </w:rPr>
      </w:pPr>
      <w:r w:rsidRPr="00373B5F">
        <w:rPr>
          <w:bCs/>
        </w:rPr>
        <w:t>210.</w:t>
      </w:r>
      <w:r w:rsidRPr="00373B5F">
        <w:rPr>
          <w:bCs/>
        </w:rPr>
        <w:tab/>
        <w:t xml:space="preserve">El gobierno propuso un proyecto de ley para prohibir las </w:t>
      </w:r>
      <w:r w:rsidRPr="00373B5F">
        <w:rPr>
          <w:bCs/>
          <w:u w:val="single"/>
        </w:rPr>
        <w:t>terapias de conversión</w:t>
      </w:r>
      <w:r w:rsidRPr="00373B5F">
        <w:rPr>
          <w:bCs/>
        </w:rPr>
        <w:t>, que fue aprobado y ha entrado en vigor. El Gobierno también ha realizado un estudio oficial sobre el reconocimiento del género no binario.</w:t>
      </w:r>
    </w:p>
    <w:p w14:paraId="34D6C353" w14:textId="5DE1DFF6" w:rsidR="00373B5F" w:rsidRPr="00373B5F" w:rsidRDefault="00054780" w:rsidP="00054780">
      <w:pPr>
        <w:pStyle w:val="H23G"/>
        <w:rPr>
          <w:lang w:val="en-GB"/>
        </w:rPr>
      </w:pPr>
      <w:bookmarkStart w:id="157" w:name="_Toc243126069"/>
      <w:bookmarkStart w:id="158" w:name="_Toc245183294"/>
      <w:r>
        <w:tab/>
      </w:r>
      <w:r w:rsidR="00373B5F" w:rsidRPr="00373B5F">
        <w:t>d)</w:t>
      </w:r>
      <w:r w:rsidR="00373B5F" w:rsidRPr="00373B5F">
        <w:tab/>
        <w:t>Igualdad de derechos para las personas con discapacidad</w:t>
      </w:r>
      <w:bookmarkEnd w:id="157"/>
      <w:bookmarkEnd w:id="158"/>
    </w:p>
    <w:p w14:paraId="2E10171A" w14:textId="77777777" w:rsidR="00373B5F" w:rsidRPr="00373B5F" w:rsidRDefault="00373B5F" w:rsidP="00373B5F">
      <w:pPr>
        <w:pStyle w:val="SingleTxtG"/>
        <w:rPr>
          <w:bCs/>
          <w:lang w:val="en-GB"/>
        </w:rPr>
      </w:pPr>
      <w:r w:rsidRPr="00373B5F">
        <w:rPr>
          <w:bCs/>
        </w:rPr>
        <w:t>211.</w:t>
      </w:r>
      <w:r w:rsidRPr="00373B5F">
        <w:rPr>
          <w:bCs/>
        </w:rPr>
        <w:tab/>
        <w:t xml:space="preserve">La </w:t>
      </w:r>
      <w:r w:rsidRPr="00373B5F">
        <w:rPr>
          <w:bCs/>
          <w:u w:val="single"/>
        </w:rPr>
        <w:t>Ley de Igualdad y Lucha contra la Discriminación</w:t>
      </w:r>
      <w:r w:rsidRPr="00373B5F">
        <w:rPr>
          <w:bCs/>
        </w:rPr>
        <w:t xml:space="preserve"> prohíbe la discriminación por motivos de discapacidad en todos los ámbitos de la sociedad y contiene disposiciones sobre diseño universal y ajustes personalizados. Noruega es una sociedad altamente digitalizada, por lo que la igualdad en la participación digital es un requisito previo para que los ciudadanos participen en los procesos democráticos.</w:t>
      </w:r>
    </w:p>
    <w:p w14:paraId="3A531304" w14:textId="77777777" w:rsidR="00373B5F" w:rsidRPr="00373B5F" w:rsidRDefault="00373B5F" w:rsidP="00373B5F">
      <w:pPr>
        <w:pStyle w:val="SingleTxtG"/>
        <w:rPr>
          <w:bCs/>
          <w:lang w:val="en-GB"/>
        </w:rPr>
      </w:pPr>
      <w:r w:rsidRPr="00373B5F">
        <w:rPr>
          <w:bCs/>
        </w:rPr>
        <w:t>212.</w:t>
      </w:r>
      <w:r w:rsidRPr="00373B5F">
        <w:rPr>
          <w:bCs/>
        </w:rPr>
        <w:tab/>
        <w:t xml:space="preserve">La </w:t>
      </w:r>
      <w:r w:rsidRPr="00373B5F">
        <w:rPr>
          <w:bCs/>
          <w:u w:val="single"/>
        </w:rPr>
        <w:t>lengua de señas noruega</w:t>
      </w:r>
      <w:r w:rsidRPr="00373B5F">
        <w:rPr>
          <w:bCs/>
        </w:rPr>
        <w:t xml:space="preserve"> es oficial en virtud de diversas leyes. La Ley del Idioma asigna a los organismos públicos la responsabilidad de promover y proteger la lengua de señas noruega. Las disposiciones de la Ley de Educación son esenciales para el aprendizaje de la lengua de señas noruega, en virtud de las cuales las personas sordas o con problemas de audición tienen derecho a elegir la lengua de señas noruega como lengua de enseñanza. La </w:t>
      </w:r>
      <w:r w:rsidRPr="00373B5F">
        <w:rPr>
          <w:bCs/>
          <w:u w:val="single"/>
        </w:rPr>
        <w:t>Ley Nacional de Seguros</w:t>
      </w:r>
      <w:r w:rsidRPr="00373B5F">
        <w:rPr>
          <w:bCs/>
        </w:rPr>
        <w:t xml:space="preserve"> incluye disposiciones sobre el derecho individual a la interpretación en lengua de señas en la vida cotidiana y el trabajo, de forma gratuita. La </w:t>
      </w:r>
      <w:r w:rsidRPr="00373B5F">
        <w:rPr>
          <w:bCs/>
          <w:u w:val="single"/>
        </w:rPr>
        <w:t>Ley de la Administración Pública</w:t>
      </w:r>
      <w:r w:rsidRPr="00373B5F">
        <w:rPr>
          <w:bCs/>
        </w:rPr>
        <w:t xml:space="preserve"> reconoce a las personas sordas o con dificultades auditivas el derecho a la interpretación en lengua de señas cuando interactúan con organismos públicos. La Ley de Interpretación asigna a los organismos públicos la responsabilidad de contratar intérpretes cuando no esté garantizado por otra legislación, pero sea necesario para salvaguardar las obligaciones legales y la seguridad de la comunicación. La ley prohíbe indirectamente el uso de niños como intérpretes y exige el uso de intérpretes cualificados, por ejemplo, en lengua de señas noruega.</w:t>
      </w:r>
    </w:p>
    <w:p w14:paraId="200D60BD" w14:textId="77777777" w:rsidR="00373B5F" w:rsidRPr="00373B5F" w:rsidRDefault="00373B5F" w:rsidP="00373B5F">
      <w:pPr>
        <w:pStyle w:val="SingleTxtG"/>
        <w:rPr>
          <w:bCs/>
          <w:lang w:val="en-GB"/>
        </w:rPr>
      </w:pPr>
      <w:r w:rsidRPr="00373B5F">
        <w:rPr>
          <w:bCs/>
        </w:rPr>
        <w:t>213.</w:t>
      </w:r>
      <w:r w:rsidRPr="00373B5F">
        <w:rPr>
          <w:bCs/>
        </w:rPr>
        <w:tab/>
        <w:t xml:space="preserve">Las personas con discapacidad encuentran obstáculos en su vida cotidiana por falta de accesibilidad en su entorno físico. La accesibilidad es crucial para garantizar la plena participación en la sociedad. Por ello, el </w:t>
      </w:r>
      <w:r w:rsidRPr="00373B5F">
        <w:rPr>
          <w:bCs/>
          <w:u w:val="single"/>
        </w:rPr>
        <w:t>diseño universal</w:t>
      </w:r>
      <w:r w:rsidRPr="00373B5F">
        <w:rPr>
          <w:bCs/>
        </w:rPr>
        <w:t xml:space="preserve"> es especialmente importante para las personas con discapacidad. Las esferas prioritarias del Plan de Acción del Gobierno para el Diseño Universal 2021-2025 son el transporte, la planificación, los edificios accesibles, la educación y las TIC. </w:t>
      </w:r>
    </w:p>
    <w:p w14:paraId="3C44F5CC" w14:textId="531C4878" w:rsidR="00373B5F" w:rsidRPr="00373B5F" w:rsidRDefault="00054780" w:rsidP="00054780">
      <w:pPr>
        <w:pStyle w:val="H23G"/>
        <w:rPr>
          <w:lang w:val="en-GB"/>
        </w:rPr>
      </w:pPr>
      <w:bookmarkStart w:id="159" w:name="_Toc243126070"/>
      <w:bookmarkStart w:id="160" w:name="_Toc245183295"/>
      <w:r>
        <w:tab/>
      </w:r>
      <w:r w:rsidR="00373B5F" w:rsidRPr="00373B5F">
        <w:t>e)</w:t>
      </w:r>
      <w:r w:rsidR="00373B5F" w:rsidRPr="00373B5F">
        <w:tab/>
        <w:t>Igualdad de derechos para las minorías étnicas y religiosas</w:t>
      </w:r>
      <w:bookmarkEnd w:id="159"/>
      <w:bookmarkEnd w:id="160"/>
    </w:p>
    <w:p w14:paraId="3C96635C" w14:textId="77777777" w:rsidR="00373B5F" w:rsidRPr="00373B5F" w:rsidRDefault="00373B5F" w:rsidP="00373B5F">
      <w:pPr>
        <w:pStyle w:val="SingleTxtG"/>
        <w:rPr>
          <w:bCs/>
          <w:lang w:val="en-GB"/>
        </w:rPr>
      </w:pPr>
      <w:r w:rsidRPr="00373B5F">
        <w:rPr>
          <w:bCs/>
        </w:rPr>
        <w:t>214.</w:t>
      </w:r>
      <w:r w:rsidRPr="00373B5F">
        <w:rPr>
          <w:bCs/>
        </w:rPr>
        <w:tab/>
        <w:t>La Ley de Igualdad y Lucha contra la Discriminación prohíbe la discriminación por motivos de origen étnico, religión y creencias en todos los ámbitos de la sociedad.</w:t>
      </w:r>
    </w:p>
    <w:p w14:paraId="706E8880" w14:textId="77777777" w:rsidR="00373B5F" w:rsidRPr="00373B5F" w:rsidRDefault="00373B5F" w:rsidP="00373B5F">
      <w:pPr>
        <w:pStyle w:val="SingleTxtG"/>
        <w:rPr>
          <w:bCs/>
          <w:lang w:val="en-GB"/>
        </w:rPr>
      </w:pPr>
      <w:r w:rsidRPr="00373B5F">
        <w:rPr>
          <w:bCs/>
        </w:rPr>
        <w:t>215.</w:t>
      </w:r>
      <w:r w:rsidRPr="00373B5F">
        <w:rPr>
          <w:bCs/>
        </w:rPr>
        <w:tab/>
        <w:t xml:space="preserve">Los estudios demuestran que las personas pertenecientes a minorías étnicas son especialmente vulnerables a la discriminación y los delitos de odio. Aunque la policía recibe pocas denuncias de delitos de odio, hay razones para creer que las cifras reales son mucho más elevadas. </w:t>
      </w:r>
    </w:p>
    <w:p w14:paraId="5B778CA9" w14:textId="388B0901" w:rsidR="00373B5F" w:rsidRPr="00373B5F" w:rsidRDefault="00373B5F" w:rsidP="00373B5F">
      <w:pPr>
        <w:pStyle w:val="SingleTxtG"/>
        <w:rPr>
          <w:bCs/>
          <w:lang w:val="en-GB"/>
        </w:rPr>
      </w:pPr>
      <w:r w:rsidRPr="00373B5F">
        <w:rPr>
          <w:bCs/>
        </w:rPr>
        <w:t>216.</w:t>
      </w:r>
      <w:r w:rsidRPr="00373B5F">
        <w:rPr>
          <w:bCs/>
        </w:rPr>
        <w:tab/>
        <w:t xml:space="preserve">En 2023 el Gobierno presentó un nuevo plan de acción contra el racismo, el </w:t>
      </w:r>
      <w:r w:rsidRPr="00373B5F">
        <w:rPr>
          <w:bCs/>
          <w:u w:val="single"/>
        </w:rPr>
        <w:t xml:space="preserve">Plan de Acción contra el Racismo y la Discriminación </w:t>
      </w:r>
      <w:r w:rsidR="00237FAD">
        <w:rPr>
          <w:bCs/>
          <w:u w:val="single"/>
        </w:rPr>
        <w:t>–</w:t>
      </w:r>
      <w:r w:rsidRPr="00373B5F">
        <w:rPr>
          <w:bCs/>
          <w:u w:val="single"/>
        </w:rPr>
        <w:t xml:space="preserve"> Nuevas Gestiones 2024-2027</w:t>
      </w:r>
      <w:r w:rsidRPr="00373B5F">
        <w:rPr>
          <w:bCs/>
        </w:rPr>
        <w:t>. Las esferas prioritarias del plan son el racismo y la discriminación en el mercado laboral y en otros ámbitos que afectan especialmente a los jóvenes. El plan contiene varias medidas dirigidas tanto a los empleadores públicos como a los privados. Por lo que respecta a los jóvenes, se intensificarán las actividades para potenciar el desarrollo de entornos escolares seguros y solidarios.</w:t>
      </w:r>
    </w:p>
    <w:p w14:paraId="145C1A78" w14:textId="77777777" w:rsidR="00373B5F" w:rsidRPr="00373B5F" w:rsidRDefault="00373B5F" w:rsidP="00373B5F">
      <w:pPr>
        <w:pStyle w:val="SingleTxtG"/>
        <w:rPr>
          <w:bCs/>
          <w:lang w:val="en-GB"/>
        </w:rPr>
      </w:pPr>
      <w:r w:rsidRPr="00373B5F">
        <w:rPr>
          <w:bCs/>
        </w:rPr>
        <w:t>217.</w:t>
      </w:r>
      <w:r w:rsidRPr="00373B5F">
        <w:rPr>
          <w:bCs/>
        </w:rPr>
        <w:tab/>
        <w:t xml:space="preserve">El Gobierno también está trabajando en </w:t>
      </w:r>
      <w:r w:rsidRPr="00373B5F">
        <w:rPr>
          <w:bCs/>
          <w:u w:val="single"/>
        </w:rPr>
        <w:t>tres nuevos planes de acción</w:t>
      </w:r>
      <w:r w:rsidRPr="00373B5F">
        <w:rPr>
          <w:bCs/>
        </w:rPr>
        <w:t xml:space="preserve">; contra el antisemitismo, contra la discriminación y el odio hacia los musulmanes y contra la discriminación hacia la población sami. </w:t>
      </w:r>
    </w:p>
    <w:p w14:paraId="2C7036BA" w14:textId="77777777" w:rsidR="00373B5F" w:rsidRPr="00373B5F" w:rsidRDefault="00373B5F" w:rsidP="00373B5F">
      <w:pPr>
        <w:pStyle w:val="SingleTxtG"/>
        <w:rPr>
          <w:bCs/>
          <w:lang w:val="en-GB"/>
        </w:rPr>
      </w:pPr>
      <w:r w:rsidRPr="00373B5F">
        <w:rPr>
          <w:bCs/>
        </w:rPr>
        <w:t>218.</w:t>
      </w:r>
      <w:r w:rsidRPr="00373B5F">
        <w:rPr>
          <w:bCs/>
        </w:rPr>
        <w:tab/>
        <w:t xml:space="preserve">La </w:t>
      </w:r>
      <w:r w:rsidRPr="00373B5F">
        <w:rPr>
          <w:bCs/>
          <w:u w:val="single"/>
        </w:rPr>
        <w:t>libertad de religión</w:t>
      </w:r>
      <w:r w:rsidRPr="00373B5F">
        <w:rPr>
          <w:bCs/>
        </w:rPr>
        <w:t xml:space="preserve"> está consagrada en la Constitución desde 1964. La Constitución también establece que todas las filosofías de vida y comunidades religiosas deben recibir el mismo apoyo del Estado. La </w:t>
      </w:r>
      <w:r w:rsidRPr="00373B5F">
        <w:rPr>
          <w:bCs/>
          <w:u w:val="single"/>
        </w:rPr>
        <w:t>Ley de Comunidades Religiosas y de Filosofías de Vida</w:t>
      </w:r>
      <w:r w:rsidRPr="00373B5F">
        <w:rPr>
          <w:bCs/>
        </w:rPr>
        <w:t xml:space="preserve"> entró </w:t>
      </w:r>
      <w:r w:rsidRPr="00373B5F">
        <w:rPr>
          <w:bCs/>
        </w:rPr>
        <w:lastRenderedPageBreak/>
        <w:t>en vigor el 1 de enero de 2021. La ley regula las subvenciones a la Iglesia de Noruega y otras comunidades religiosas y de filosofías de vida. La Iglesia de Noruega recibe una subvención global del Estado, mientras que las congregaciones locales tienen derecho a subvenciones de los municipios respectivos. Otras comunidades religiosas y de filosofías de vida tienen derecho a una subvención por miembro, correspondiente a las subvenciones que la Iglesia de Noruega recibe del Estado y de sus respectivos municipios por miembro. Aproximadamente 740 comunidades religiosas y de filosofías de vida solicitaron ayudas económicas en virtud de este plan en 2023.</w:t>
      </w:r>
      <w:bookmarkStart w:id="161" w:name="_Toc243126073"/>
      <w:bookmarkStart w:id="162" w:name="_Toc245183298"/>
    </w:p>
    <w:p w14:paraId="67F03BD5" w14:textId="77777777" w:rsidR="00373B5F" w:rsidRPr="00373B5F" w:rsidRDefault="00373B5F" w:rsidP="00373B5F">
      <w:pPr>
        <w:pStyle w:val="SingleTxtG"/>
        <w:rPr>
          <w:bCs/>
          <w:lang w:val="en-GB"/>
        </w:rPr>
      </w:pPr>
      <w:r w:rsidRPr="00373B5F">
        <w:rPr>
          <w:bCs/>
        </w:rPr>
        <w:t>219.</w:t>
      </w:r>
      <w:r w:rsidRPr="00373B5F">
        <w:rPr>
          <w:bCs/>
        </w:rPr>
        <w:tab/>
        <w:t xml:space="preserve">El </w:t>
      </w:r>
      <w:r w:rsidRPr="00373B5F">
        <w:rPr>
          <w:bCs/>
          <w:u w:val="single"/>
        </w:rPr>
        <w:t>Centro Nacional de Competencia Sami</w:t>
      </w:r>
      <w:r w:rsidRPr="00373B5F">
        <w:rPr>
          <w:bCs/>
        </w:rPr>
        <w:t xml:space="preserve"> se creó en 2022 para ofrecer orientación y aumentar la competencia en lengua y cultura sami en los servicios públicos para niños y familias: servicios de centros de crisis, servicios de bienestar infantil y servicios de orientación familiar. </w:t>
      </w:r>
    </w:p>
    <w:p w14:paraId="0634586A" w14:textId="7943FA89" w:rsidR="00373B5F" w:rsidRPr="00373B5F" w:rsidRDefault="00054780" w:rsidP="00054780">
      <w:pPr>
        <w:pStyle w:val="H23G"/>
        <w:rPr>
          <w:lang w:val="en-GB"/>
        </w:rPr>
      </w:pPr>
      <w:r>
        <w:tab/>
      </w:r>
      <w:r w:rsidR="00373B5F" w:rsidRPr="00373B5F">
        <w:t>f)</w:t>
      </w:r>
      <w:r w:rsidR="00373B5F" w:rsidRPr="00373B5F">
        <w:tab/>
        <w:t>Inmigrantes, incluidos solicitantes de asilo y refugiados</w:t>
      </w:r>
      <w:bookmarkEnd w:id="161"/>
      <w:bookmarkEnd w:id="162"/>
    </w:p>
    <w:p w14:paraId="21307B8E" w14:textId="77777777" w:rsidR="00373B5F" w:rsidRPr="00373B5F" w:rsidRDefault="00373B5F" w:rsidP="00373B5F">
      <w:pPr>
        <w:pStyle w:val="SingleTxtG"/>
        <w:rPr>
          <w:bCs/>
          <w:lang w:val="en-GB"/>
        </w:rPr>
      </w:pPr>
      <w:r w:rsidRPr="00373B5F">
        <w:rPr>
          <w:bCs/>
        </w:rPr>
        <w:t>220.</w:t>
      </w:r>
      <w:r w:rsidRPr="00373B5F">
        <w:rPr>
          <w:bCs/>
        </w:rPr>
        <w:tab/>
        <w:t xml:space="preserve">Según la </w:t>
      </w:r>
      <w:r w:rsidRPr="00373B5F">
        <w:rPr>
          <w:bCs/>
          <w:u w:val="single"/>
        </w:rPr>
        <w:t>Ley de Inmigración</w:t>
      </w:r>
      <w:r w:rsidRPr="00373B5F">
        <w:rPr>
          <w:bCs/>
        </w:rPr>
        <w:t>, a un extranjero que solicite protección en Noruega (</w:t>
      </w:r>
      <w:r w:rsidRPr="00373B5F">
        <w:rPr>
          <w:bCs/>
          <w:u w:val="single"/>
        </w:rPr>
        <w:t>solicitante de asilo</w:t>
      </w:r>
      <w:r w:rsidRPr="00373B5F">
        <w:rPr>
          <w:bCs/>
        </w:rPr>
        <w:t xml:space="preserve">) se le debe ofrecer alojamiento mientras espera a que las autoridades de inmigración tomen una decisión. </w:t>
      </w:r>
    </w:p>
    <w:p w14:paraId="5C00AE08" w14:textId="77777777" w:rsidR="00373B5F" w:rsidRPr="00373B5F" w:rsidRDefault="00373B5F" w:rsidP="00373B5F">
      <w:pPr>
        <w:pStyle w:val="SingleTxtG"/>
        <w:rPr>
          <w:bCs/>
          <w:lang w:val="en-GB"/>
        </w:rPr>
      </w:pPr>
      <w:r w:rsidRPr="00373B5F">
        <w:rPr>
          <w:bCs/>
        </w:rPr>
        <w:t>221.</w:t>
      </w:r>
      <w:r w:rsidRPr="00373B5F">
        <w:rPr>
          <w:bCs/>
        </w:rPr>
        <w:tab/>
        <w:t xml:space="preserve">El libro blanco del Gobierno </w:t>
      </w:r>
      <w:r w:rsidRPr="00373B5F">
        <w:rPr>
          <w:bCs/>
          <w:u w:val="single"/>
        </w:rPr>
        <w:t>Política de integración: Plantear exigencias y satisfacer necesidades</w:t>
      </w:r>
      <w:r w:rsidRPr="00373B5F">
        <w:rPr>
          <w:bCs/>
        </w:rPr>
        <w:t xml:space="preserve"> presenta la política global de integración del Gobierno a partir de marzo de 2024. El informe expone a grandes rasgos tres objetivos primordiales: 1) que más inmigrantes se incorporen al mercado laboral regulado y consigan una conexión estable con él; 2) que los sistemas de acogida de los recién llegados sean flexibles frente a las grandes fluctuaciones; y 3) que la política de integración sea eficaz, global y selectiva. El libro blanco presenta la política dirigida a los inmigrantes recién llegados poco después de su llegada a Noruega, y la política que facilita su participación en la vida laboral. La política de integración también se presenta como un campo amplio e intersectorial, en el que las condiciones de vida, los obstáculos a la participación y las conexiones de los inmigrantes con la sociedad local y en general son temas clave. La situación de la infancia y los servicios para niños y jóvenes son discutidos a lo largo del documento. El libro blanco también ofrece una presentación general de las experiencias con las elevadas llegadas de desplazados procedentes de Ucrania desde febrero de 2022 y resume algunas enseñanzas extraídas hasta la fecha. Además, el Gobierno presenta políticas para mejorar la integración de los trabajadores migrantes.</w:t>
      </w:r>
    </w:p>
    <w:p w14:paraId="212152A2" w14:textId="77777777" w:rsidR="00373B5F" w:rsidRPr="00373B5F" w:rsidRDefault="00373B5F" w:rsidP="00373B5F">
      <w:pPr>
        <w:pStyle w:val="SingleTxtG"/>
        <w:rPr>
          <w:bCs/>
          <w:lang w:val="en-GB"/>
        </w:rPr>
      </w:pPr>
      <w:bookmarkStart w:id="163" w:name="_Hlk165542931"/>
      <w:r w:rsidRPr="00373B5F">
        <w:rPr>
          <w:bCs/>
        </w:rPr>
        <w:t>222.</w:t>
      </w:r>
      <w:r w:rsidRPr="00373B5F">
        <w:rPr>
          <w:bCs/>
        </w:rPr>
        <w:tab/>
        <w:t xml:space="preserve">Los </w:t>
      </w:r>
      <w:r w:rsidRPr="00373B5F">
        <w:rPr>
          <w:bCs/>
          <w:u w:val="single"/>
        </w:rPr>
        <w:t>solicitantes de asilo</w:t>
      </w:r>
      <w:r w:rsidRPr="00373B5F">
        <w:rPr>
          <w:bCs/>
        </w:rPr>
        <w:t xml:space="preserve"> que residen en un centro de acogida reciben gratuitamente de los municipios 175 horas de formación en noruego y 25 horas de formación en estudios sociales. El objetivo es tanto ofrecer actividades provechosas para contrarrestar la pasividad como garantizar que las personas que viven en Noruega tengan un conocimiento básico de nuestra sociedad. Los solicitantes de asilo tienen derecho a servicios sanitarios que se ocupan de problemas de salud tanto física como mental, cuestiones de abuso de sustancias y atención dental. Esta prestación sanitaria integral garantiza que todas las personas que soliciten asilo puedan recibir la atención médica que necesiten durante su estancia. Además, Noruega obliga a los solicitantes de asilo procedentes de países con alta incidencia de la enfermedad a someterse a pruebas de detección de la tuberculosis en las dos semanas siguientes a su llegada, lo que refleja la adhesión del país a la salud y la seguridad públicas. Para facilitar la comprensión y el acceso a estos servicios, </w:t>
      </w:r>
      <w:proofErr w:type="spellStart"/>
      <w:r w:rsidRPr="00373B5F">
        <w:rPr>
          <w:bCs/>
          <w:u w:val="single"/>
        </w:rPr>
        <w:t>Helsenorge</w:t>
      </w:r>
      <w:proofErr w:type="spellEnd"/>
      <w:r w:rsidRPr="00373B5F">
        <w:rPr>
          <w:bCs/>
          <w:u w:val="single"/>
        </w:rPr>
        <w:t xml:space="preserve"> (el sitio web oficial de información y acceso a los servicios sanitarios para residentes en Noruega</w:t>
      </w:r>
      <w:r w:rsidRPr="00373B5F">
        <w:rPr>
          <w:bCs/>
        </w:rPr>
        <w:t>) ofrece en su plataforma información pertinente en varios idiomas, garantizando que los solicitantes de asilo estén bien informados sobre sus derechos sanitarios y los servicios a su disposición.</w:t>
      </w:r>
      <w:bookmarkEnd w:id="163"/>
    </w:p>
    <w:p w14:paraId="166BCFA5" w14:textId="77777777" w:rsidR="00373B5F" w:rsidRPr="00373B5F" w:rsidRDefault="00373B5F" w:rsidP="00373B5F">
      <w:pPr>
        <w:pStyle w:val="SingleTxtG"/>
        <w:rPr>
          <w:bCs/>
          <w:lang w:val="en-GB"/>
        </w:rPr>
      </w:pPr>
      <w:r w:rsidRPr="00373B5F">
        <w:rPr>
          <w:bCs/>
        </w:rPr>
        <w:t>223.</w:t>
      </w:r>
      <w:r w:rsidRPr="00373B5F">
        <w:rPr>
          <w:bCs/>
        </w:rPr>
        <w:tab/>
        <w:t xml:space="preserve">Si se rechaza su solicitud de protección, se ofrecerá alojamiento al extranjero en cuestión hasta su salida de Noruega. Independientemente de su estatus jurídico, los menores de hasta 18 años tienen el mismo derecho a los servicios sanitarios y asistenciales que los demás niños, aunque los que no tienen residencia legal no pueden ser incluidos en una lista de pacientes de médicos de cabecera. Los adultos sin residencia legal tienen derecho a atención de urgencia y a servicios sanitarios esenciales que no puedan demorarse, como los de maternidad, parto, atención posnatal y aborto. Aunque en general se espera que los pacientes paguen por esos servicios, no se exige el pago por adelantado, y los costos pueden ser sufragados por la institución sanitaria si el paciente carece de medios económicos. Además, toda persona tiene derecho a la atención preventiva y al tratamiento de las </w:t>
      </w:r>
      <w:r w:rsidRPr="00373B5F">
        <w:rPr>
          <w:bCs/>
        </w:rPr>
        <w:lastRenderedPageBreak/>
        <w:t>enfermedades transmisibles que supongan un riesgo para la salud pública, incluidas la vacunación y el tratamiento de dichas enfermedades, de forma gratuita.</w:t>
      </w:r>
    </w:p>
    <w:p w14:paraId="4109A8A9" w14:textId="77777777" w:rsidR="00373B5F" w:rsidRPr="00373B5F" w:rsidRDefault="00373B5F" w:rsidP="00373B5F">
      <w:pPr>
        <w:pStyle w:val="SingleTxtG"/>
        <w:rPr>
          <w:bCs/>
          <w:i/>
          <w:iCs/>
          <w:lang w:val="en-GB"/>
        </w:rPr>
      </w:pPr>
      <w:r w:rsidRPr="00373B5F">
        <w:rPr>
          <w:bCs/>
        </w:rPr>
        <w:t>224.</w:t>
      </w:r>
      <w:r w:rsidRPr="00373B5F">
        <w:rPr>
          <w:bCs/>
        </w:rPr>
        <w:tab/>
        <w:t xml:space="preserve">Los </w:t>
      </w:r>
      <w:r w:rsidRPr="00373B5F">
        <w:rPr>
          <w:bCs/>
          <w:u w:val="single"/>
        </w:rPr>
        <w:t>programas de cualificación</w:t>
      </w:r>
      <w:r w:rsidRPr="00373B5F">
        <w:rPr>
          <w:bCs/>
        </w:rPr>
        <w:t xml:space="preserve"> destinados a ayudar a los inmigrantes a adquirir cualificaciones básicas y pertinentes están pensados para aumentar sus posibilidades de encontrar trabajo y participar en la sociedad. Los principales programas son la </w:t>
      </w:r>
      <w:r w:rsidRPr="00373B5F">
        <w:rPr>
          <w:bCs/>
          <w:u w:val="single"/>
        </w:rPr>
        <w:t>Formación en Lengua Noruega y Estudios Sociales</w:t>
      </w:r>
      <w:r w:rsidRPr="00373B5F">
        <w:rPr>
          <w:bCs/>
        </w:rPr>
        <w:t xml:space="preserve">, el </w:t>
      </w:r>
      <w:r w:rsidRPr="00373B5F">
        <w:rPr>
          <w:bCs/>
          <w:u w:val="single"/>
        </w:rPr>
        <w:t>Programa de Introducción</w:t>
      </w:r>
      <w:r w:rsidRPr="00373B5F">
        <w:rPr>
          <w:bCs/>
        </w:rPr>
        <w:t xml:space="preserve"> y el </w:t>
      </w:r>
      <w:r w:rsidRPr="00373B5F">
        <w:rPr>
          <w:bCs/>
          <w:u w:val="single"/>
        </w:rPr>
        <w:t>Programa de Oportunidades Laborales</w:t>
      </w:r>
      <w:r w:rsidRPr="00373B5F">
        <w:rPr>
          <w:bCs/>
        </w:rPr>
        <w:t xml:space="preserve">. La Ley de Introducción regulaba anteriormente la Formación en Lengua Noruega y Estudios Sociales, y el Programa de Introducción. Sin embargo, en enero de 2021, la Ley de Introducción fue sustituida por la Ley de Integración. Uno de los objetivos de la Ley de Integración es que más refugiados reciban educación formal a través del Programa de Introducción. </w:t>
      </w:r>
      <w:bookmarkStart w:id="164" w:name="_Toc471314127"/>
    </w:p>
    <w:bookmarkEnd w:id="164"/>
    <w:p w14:paraId="2A982C52" w14:textId="77777777" w:rsidR="00373B5F" w:rsidRPr="00373B5F" w:rsidRDefault="00373B5F" w:rsidP="00373B5F">
      <w:pPr>
        <w:pStyle w:val="SingleTxtG"/>
        <w:rPr>
          <w:bCs/>
          <w:lang w:val="en-GB"/>
        </w:rPr>
      </w:pPr>
      <w:r w:rsidRPr="00373B5F">
        <w:rPr>
          <w:bCs/>
        </w:rPr>
        <w:t>225.</w:t>
      </w:r>
      <w:r w:rsidRPr="00373B5F">
        <w:rPr>
          <w:bCs/>
        </w:rPr>
        <w:tab/>
        <w:t xml:space="preserve">El objetivo del </w:t>
      </w:r>
      <w:r w:rsidRPr="00373B5F">
        <w:rPr>
          <w:bCs/>
          <w:u w:val="single"/>
        </w:rPr>
        <w:t>Programa de Introducción</w:t>
      </w:r>
      <w:r w:rsidRPr="00373B5F">
        <w:rPr>
          <w:bCs/>
        </w:rPr>
        <w:t xml:space="preserve"> es proporcionar a cada participante conocimientos básicos de noruego y una visión de la sociedad noruega, así como una preparación para el empleo o la continuación de los estudios en Noruega. El derecho y la obligación de participar en este programa se aplican a los refugiados y a los miembros de sus familias, además de a las personas a las que se ha concedido la residencia por motivos humanitarios y a los miembros de sus familias. Estos derechos y obligaciones solo se aplican a las personas de entre 18 y 55 años que necesitan adquirir cualificaciones básicas para conseguir un empleo o participar en la educación continua.</w:t>
      </w:r>
    </w:p>
    <w:p w14:paraId="2AE8FFDC" w14:textId="77777777" w:rsidR="00373B5F" w:rsidRPr="00373B5F" w:rsidRDefault="00373B5F" w:rsidP="00373B5F">
      <w:pPr>
        <w:pStyle w:val="SingleTxtG"/>
        <w:rPr>
          <w:bCs/>
          <w:lang w:val="en-GB"/>
        </w:rPr>
      </w:pPr>
      <w:r w:rsidRPr="00373B5F">
        <w:rPr>
          <w:bCs/>
        </w:rPr>
        <w:t>226.</w:t>
      </w:r>
      <w:r w:rsidRPr="00373B5F">
        <w:rPr>
          <w:bCs/>
        </w:rPr>
        <w:tab/>
        <w:t xml:space="preserve">El Programa de Introducción es un programa a tiempo completo adaptado individualmente para adquirir cualificaciones básicas. Los participantes en el programa tienen derecho a una </w:t>
      </w:r>
      <w:r w:rsidRPr="00373B5F">
        <w:rPr>
          <w:bCs/>
          <w:u w:val="single"/>
        </w:rPr>
        <w:t>prestación de introducción</w:t>
      </w:r>
      <w:r w:rsidRPr="00373B5F">
        <w:rPr>
          <w:bCs/>
        </w:rPr>
        <w:t>. La prestación asciende al doble de la cuantía básica del Régimen Nacional de Seguridad Social, anualmente (20.000 euros en 2024). Los participantes menores de 25 años que viven con uno o ambos progenitores perciben un tercio de la prestación. Los participantes menores de 25 años que no viven con sus padres perciben dos tercios de la prestación. La prestación está sujeta a tributación.</w:t>
      </w:r>
    </w:p>
    <w:p w14:paraId="47AC6BFF" w14:textId="7D4E523F" w:rsidR="00373B5F" w:rsidRPr="00373B5F" w:rsidRDefault="00373B5F" w:rsidP="00373B5F">
      <w:pPr>
        <w:pStyle w:val="SingleTxtG"/>
        <w:rPr>
          <w:bCs/>
          <w:lang w:val="en-GB"/>
        </w:rPr>
      </w:pPr>
      <w:r w:rsidRPr="00373B5F">
        <w:rPr>
          <w:bCs/>
        </w:rPr>
        <w:t>227.</w:t>
      </w:r>
      <w:r w:rsidRPr="00373B5F">
        <w:rPr>
          <w:bCs/>
        </w:rPr>
        <w:tab/>
        <w:t>Durante 2022, 17.800 personas participaron en el programa, frente a las 10.600 de</w:t>
      </w:r>
      <w:r w:rsidR="00321FCC">
        <w:rPr>
          <w:bCs/>
        </w:rPr>
        <w:t> </w:t>
      </w:r>
      <w:r w:rsidRPr="00373B5F">
        <w:rPr>
          <w:bCs/>
        </w:rPr>
        <w:t xml:space="preserve">2021. El 33 % de los participantes eran mujeres. En noviembre de 2022, el 65 % de los participantes que habían finalizado el programa en 2021 tenían un empleo o estaban matriculados en un centro educativo. Una mayor proporción de hombres había encontrado trabajo o estaba estudiando. </w:t>
      </w:r>
    </w:p>
    <w:p w14:paraId="3CB7DDA5" w14:textId="2AC92A4F" w:rsidR="00373B5F" w:rsidRPr="00373B5F" w:rsidRDefault="00373B5F" w:rsidP="00373B5F">
      <w:pPr>
        <w:pStyle w:val="SingleTxtG"/>
        <w:rPr>
          <w:bCs/>
          <w:lang w:val="en-GB"/>
        </w:rPr>
      </w:pPr>
      <w:r w:rsidRPr="00373B5F">
        <w:rPr>
          <w:bCs/>
        </w:rPr>
        <w:t>228.</w:t>
      </w:r>
      <w:r w:rsidRPr="00373B5F">
        <w:rPr>
          <w:bCs/>
        </w:rPr>
        <w:tab/>
        <w:t xml:space="preserve">Para la </w:t>
      </w:r>
      <w:r w:rsidRPr="00373B5F">
        <w:rPr>
          <w:bCs/>
          <w:u w:val="single"/>
        </w:rPr>
        <w:t>Formación en Lengua Noruega y Estudios Sociales</w:t>
      </w:r>
      <w:r w:rsidRPr="00373B5F">
        <w:rPr>
          <w:bCs/>
        </w:rPr>
        <w:t xml:space="preserve">, en la nueva Ley de Integración el requisito de haber completado un número fijo de horas de formación se sustituye por el requisito de un nivel mínimo de dominio de la lengua noruega. Este nivel es el </w:t>
      </w:r>
      <w:r w:rsidRPr="00373B5F">
        <w:rPr>
          <w:bCs/>
          <w:u w:val="single"/>
        </w:rPr>
        <w:t>objetivo de lengua noruega</w:t>
      </w:r>
      <w:r w:rsidRPr="00373B5F">
        <w:rPr>
          <w:bCs/>
        </w:rPr>
        <w:t xml:space="preserve"> del participante. El nivel mínimo indicativo es </w:t>
      </w:r>
      <w:proofErr w:type="spellStart"/>
      <w:r w:rsidRPr="00373B5F">
        <w:rPr>
          <w:bCs/>
        </w:rPr>
        <w:t>B1</w:t>
      </w:r>
      <w:proofErr w:type="spellEnd"/>
      <w:r w:rsidRPr="00373B5F">
        <w:rPr>
          <w:bCs/>
        </w:rPr>
        <w:t xml:space="preserve"> en todas las competencias lingüísticas (expresión oral, comprensión oral, expresión escrita y lectura). En</w:t>
      </w:r>
      <w:r w:rsidR="00321FCC">
        <w:rPr>
          <w:bCs/>
        </w:rPr>
        <w:t> </w:t>
      </w:r>
      <w:r w:rsidRPr="00373B5F">
        <w:rPr>
          <w:bCs/>
        </w:rPr>
        <w:t>2022, 28.400 personas participaron en la formación, frente a las 22.200 de 2021. Un tercio de los participantes procedía de Ucrania</w:t>
      </w:r>
      <w:r w:rsidRPr="00373B5F">
        <w:rPr>
          <w:bCs/>
          <w:sz w:val="18"/>
          <w:szCs w:val="18"/>
          <w:vertAlign w:val="superscript"/>
        </w:rPr>
        <w:footnoteReference w:id="19"/>
      </w:r>
      <w:r w:rsidRPr="00373B5F">
        <w:rPr>
          <w:bCs/>
        </w:rPr>
        <w:t>.</w:t>
      </w:r>
    </w:p>
    <w:p w14:paraId="74BECBC5" w14:textId="77777777" w:rsidR="00373B5F" w:rsidRPr="00373B5F" w:rsidRDefault="00373B5F" w:rsidP="00373B5F">
      <w:pPr>
        <w:pStyle w:val="SingleTxtG"/>
        <w:rPr>
          <w:bCs/>
          <w:lang w:val="en-GB"/>
        </w:rPr>
      </w:pPr>
      <w:r w:rsidRPr="00373B5F">
        <w:rPr>
          <w:bCs/>
        </w:rPr>
        <w:t>229.</w:t>
      </w:r>
      <w:r w:rsidRPr="00373B5F">
        <w:rPr>
          <w:bCs/>
        </w:rPr>
        <w:tab/>
        <w:t>El derecho y la obligación de participar en la Formación en Lengua Noruega y Estudios Sociales gratuita se aplican a los extranjeros de entre 18 y 67 años a los que se haya concedido un permiso de residencia en virtud de la Ley de Inmigración que constituye la base de un permiso de residencia permanente, o protección colectiva en situaciones de huida masiva. El derecho a participar no se aplica a los extranjeros con permiso de residencia para trabajar o ejercer una actividad por cuenta propia ni a sus familiares. Estas personas tienen la obligación de participar en cursos de lengua noruega y estudios sociales, por los que las autoridades locales pueden cobrar una tasa.</w:t>
      </w:r>
    </w:p>
    <w:p w14:paraId="569C33AF" w14:textId="77777777" w:rsidR="00373B5F" w:rsidRPr="00373B5F" w:rsidRDefault="00373B5F" w:rsidP="00373B5F">
      <w:pPr>
        <w:pStyle w:val="SingleTxtG"/>
        <w:rPr>
          <w:bCs/>
          <w:lang w:val="en-GB"/>
        </w:rPr>
      </w:pPr>
      <w:r w:rsidRPr="00373B5F">
        <w:rPr>
          <w:bCs/>
        </w:rPr>
        <w:t>230.</w:t>
      </w:r>
      <w:r w:rsidRPr="00373B5F">
        <w:rPr>
          <w:bCs/>
        </w:rPr>
        <w:tab/>
        <w:t xml:space="preserve">Haber completado la formación lingüística o demostrado los conocimientos lingüísticos correspondientes es un requisito para obtener el permiso de residencia permanente y la nacionalidad noruega. Los inmigrantes titulares de un permiso de trabajo/residencia </w:t>
      </w:r>
      <w:proofErr w:type="spellStart"/>
      <w:r w:rsidRPr="00373B5F">
        <w:rPr>
          <w:bCs/>
        </w:rPr>
        <w:t>EEE</w:t>
      </w:r>
      <w:proofErr w:type="spellEnd"/>
      <w:r w:rsidRPr="00373B5F">
        <w:rPr>
          <w:bCs/>
        </w:rPr>
        <w:t xml:space="preserve">-AELC no están obligados a seguir un curso de idiomas. Desde 2014, también es obligatorio que los participantes en el programa Formación en Lengua Noruega y Estudios Sociales realicen una prueba de estudios sociales en una lengua que entiendan. La </w:t>
      </w:r>
      <w:r w:rsidRPr="00373B5F">
        <w:rPr>
          <w:bCs/>
        </w:rPr>
        <w:lastRenderedPageBreak/>
        <w:t>prueba está disponible en 23 idiomas. En 2021, 10.260 candidatos se presentaron a la prueba, y el porcentaje de aprobados fue del 80 %.</w:t>
      </w:r>
    </w:p>
    <w:p w14:paraId="4177A8CD" w14:textId="48E541D5" w:rsidR="00373B5F" w:rsidRPr="00373B5F" w:rsidRDefault="00373B5F" w:rsidP="00373B5F">
      <w:pPr>
        <w:pStyle w:val="SingleTxtG"/>
        <w:rPr>
          <w:bCs/>
          <w:lang w:val="en-GB"/>
        </w:rPr>
      </w:pPr>
      <w:r w:rsidRPr="00373B5F">
        <w:rPr>
          <w:bCs/>
        </w:rPr>
        <w:t>231.</w:t>
      </w:r>
      <w:r w:rsidRPr="00373B5F">
        <w:rPr>
          <w:bCs/>
        </w:rPr>
        <w:tab/>
        <w:t xml:space="preserve">El objetivo del </w:t>
      </w:r>
      <w:r w:rsidRPr="00373B5F">
        <w:rPr>
          <w:bCs/>
          <w:u w:val="single"/>
        </w:rPr>
        <w:t>Programa de Oportunidades Laborales</w:t>
      </w:r>
      <w:r w:rsidRPr="00373B5F">
        <w:rPr>
          <w:bCs/>
        </w:rPr>
        <w:t xml:space="preserve"> es aumentar la tasa de empleo entre las mujeres inmigrantes que necesitan adquirir competencias básicas y que no están cubiertas por otros programas o necesitan una formación individualizada. La Dirección de Integración y Diversidad administra el programa. El principal grupo destinatario del programa son las mujeres fuera del mercado laboral que no perciben prestaciones públicas complementarias ni asisten a ningún tipo de formación lingüística o del mercado laboral. El</w:t>
      </w:r>
      <w:r w:rsidR="001650CD">
        <w:rPr>
          <w:bCs/>
        </w:rPr>
        <w:t> </w:t>
      </w:r>
      <w:r w:rsidRPr="00373B5F">
        <w:rPr>
          <w:bCs/>
        </w:rPr>
        <w:t>74 % de los participantes que completaron el programa en 2022 consiguieron un empleo o siguieron estudiando tras finalizar el programa frente al 79</w:t>
      </w:r>
      <w:r w:rsidR="00237FAD">
        <w:rPr>
          <w:bCs/>
        </w:rPr>
        <w:t> </w:t>
      </w:r>
      <w:r w:rsidRPr="00373B5F">
        <w:rPr>
          <w:bCs/>
        </w:rPr>
        <w:t>% en 2021. El programa cuenta con una amplia gama de herramientas para atender las distintas necesidades de las mujeres inmigrantes en varios sectores. En 2021, el 60 % de las mujeres asistieron a cursos de capacitación lingüística y el 70 % participaron en formación en el empleo.</w:t>
      </w:r>
    </w:p>
    <w:p w14:paraId="26938D5A" w14:textId="77777777" w:rsidR="00373B5F" w:rsidRPr="00373B5F" w:rsidRDefault="00373B5F" w:rsidP="00373B5F">
      <w:pPr>
        <w:pStyle w:val="SingleTxtG"/>
        <w:rPr>
          <w:bCs/>
          <w:lang w:val="en-GB"/>
        </w:rPr>
      </w:pPr>
      <w:r w:rsidRPr="00373B5F">
        <w:rPr>
          <w:bCs/>
        </w:rPr>
        <w:t>232.</w:t>
      </w:r>
      <w:r w:rsidRPr="00373B5F">
        <w:rPr>
          <w:bCs/>
        </w:rPr>
        <w:tab/>
        <w:t xml:space="preserve">Se pueden conceder </w:t>
      </w:r>
      <w:r w:rsidRPr="00373B5F">
        <w:rPr>
          <w:bCs/>
          <w:u w:val="single"/>
        </w:rPr>
        <w:t>ayudas económicas a estudiantes</w:t>
      </w:r>
      <w:r w:rsidRPr="00373B5F">
        <w:rPr>
          <w:bCs/>
        </w:rPr>
        <w:t xml:space="preserve"> inmigrantes y extranjeros que cumplan determinados criterios que definen los vínculos con Noruega. Por regla general, los inmigrantes pueden optar a las ayudas económicas para estudiantes si tienen residencia legal en Noruega y si los estudios no constituyen el fundamento jurídico de la residencia. Por ejemplo, los inmigrantes a los que se ha concedido protección (asilo) o a los que se ha concedido un permiso de residencia en relación con la reagrupación familiar con un noruego o un extranjero tienen derecho a ayudas económicas para estudiantes en igualdad de condiciones con los ciudadanos noruegos. Los ciudadanos de países del </w:t>
      </w:r>
      <w:proofErr w:type="spellStart"/>
      <w:r w:rsidRPr="00373B5F">
        <w:rPr>
          <w:bCs/>
        </w:rPr>
        <w:t>EEE</w:t>
      </w:r>
      <w:proofErr w:type="spellEnd"/>
      <w:r w:rsidRPr="00373B5F">
        <w:rPr>
          <w:bCs/>
        </w:rPr>
        <w:t xml:space="preserve"> o de la AELC con residencia permanente en Noruega o con estatus de trabajador o familiar de un trabajador en Noruega también pueden optar a la ayuda. Los ciudadanos extranjeros que cumplen los requisitos reciben las mismas ayudas para manutención, viajes y matrícula que los estudiantes noruegos. Las ayudas económicas a los estudiantes noruegos incluyen regímenes de subvenciones adicionales para el cuidado de los hijos y por enfermedad. También existe un régimen especial de subvenciones para los alumnos de educación secundaria alta a los que se haya concedido protección (asilo) en Noruega.</w:t>
      </w:r>
    </w:p>
    <w:p w14:paraId="05A2771D" w14:textId="77777777" w:rsidR="00373B5F" w:rsidRPr="00373B5F" w:rsidRDefault="00373B5F" w:rsidP="00373B5F">
      <w:pPr>
        <w:pStyle w:val="SingleTxtG"/>
        <w:rPr>
          <w:bCs/>
          <w:lang w:val="en-GB"/>
        </w:rPr>
      </w:pPr>
      <w:r w:rsidRPr="00373B5F">
        <w:rPr>
          <w:bCs/>
        </w:rPr>
        <w:t>233.</w:t>
      </w:r>
      <w:r w:rsidRPr="00373B5F">
        <w:rPr>
          <w:bCs/>
        </w:rPr>
        <w:tab/>
        <w:t xml:space="preserve">Algunos de los </w:t>
      </w:r>
      <w:r w:rsidRPr="00373B5F">
        <w:rPr>
          <w:bCs/>
          <w:u w:val="single"/>
        </w:rPr>
        <w:t>inmigrantes laborales</w:t>
      </w:r>
      <w:r w:rsidRPr="00373B5F">
        <w:rPr>
          <w:bCs/>
        </w:rPr>
        <w:t xml:space="preserve"> se encuentran en una posición vulnerable en el mercado laboral. Noruega hace mucho hincapié en que disfruten de las mismas condiciones salariales y laborales que los trabajadores noruegos. Se ha puesto en marcha una estrategia de lucha contra la delincuencia laboral, que contiene una serie de medidas para evitar el dumping social y garantizar que a los inmigrantes laborales se les pague de acuerdo con las normas noruegas.</w:t>
      </w:r>
    </w:p>
    <w:p w14:paraId="44C0369A" w14:textId="77777777" w:rsidR="00373B5F" w:rsidRPr="00373B5F" w:rsidRDefault="00373B5F" w:rsidP="00373B5F">
      <w:pPr>
        <w:pStyle w:val="SingleTxtG"/>
        <w:rPr>
          <w:bCs/>
          <w:lang w:val="en-GB"/>
        </w:rPr>
      </w:pPr>
      <w:r w:rsidRPr="00373B5F">
        <w:rPr>
          <w:bCs/>
        </w:rPr>
        <w:t>234.</w:t>
      </w:r>
      <w:r w:rsidRPr="00373B5F">
        <w:rPr>
          <w:bCs/>
        </w:rPr>
        <w:tab/>
        <w:t xml:space="preserve">La política general del mercado laboral en Noruega consta de tres regímenes principales: formación profesional, prácticas laborales y subsidios salariales. Una evaluación individual de la capacidad laboral determina si se ofrece o no a una persona la oportunidad de participar en un programa del mercado de trabajo. </w:t>
      </w:r>
    </w:p>
    <w:p w14:paraId="1CFB8C16" w14:textId="77777777" w:rsidR="00373B5F" w:rsidRPr="00373B5F" w:rsidRDefault="00373B5F" w:rsidP="00373B5F">
      <w:pPr>
        <w:pStyle w:val="SingleTxtG"/>
        <w:rPr>
          <w:bCs/>
          <w:lang w:val="en-GB"/>
        </w:rPr>
      </w:pPr>
      <w:r w:rsidRPr="00373B5F">
        <w:rPr>
          <w:bCs/>
        </w:rPr>
        <w:t>235.</w:t>
      </w:r>
      <w:r w:rsidRPr="00373B5F">
        <w:rPr>
          <w:bCs/>
        </w:rPr>
        <w:tab/>
        <w:t xml:space="preserve">Las </w:t>
      </w:r>
      <w:r w:rsidRPr="00373B5F">
        <w:rPr>
          <w:bCs/>
          <w:u w:val="single"/>
        </w:rPr>
        <w:t>prestaciones de desempleo</w:t>
      </w:r>
      <w:r w:rsidRPr="00373B5F">
        <w:rPr>
          <w:bCs/>
        </w:rPr>
        <w:t xml:space="preserve"> para desempleados representan una compensación parcial por la pérdida de ingresos y tienen por objeto incentivar la búsqueda de un nuevo empleo. En principio, los inmigrantes laborales tienen el mismo derecho al subsidio de desempleo que los demás. No obstante, la duración de su permiso de residencia determina el período durante el cual pueden recibir dichas prestaciones. Los nacionales del </w:t>
      </w:r>
      <w:proofErr w:type="spellStart"/>
      <w:r w:rsidRPr="00373B5F">
        <w:rPr>
          <w:bCs/>
        </w:rPr>
        <w:t>EEE</w:t>
      </w:r>
      <w:proofErr w:type="spellEnd"/>
      <w:r w:rsidRPr="00373B5F">
        <w:rPr>
          <w:bCs/>
        </w:rPr>
        <w:t xml:space="preserve"> que hayan establecido un vínculo con la vida laboral en Noruega por haber trabajado aquí durante un período determinado y haber cotizado a la Seguridad Social pueden presentar solicitudes de subsidio de desempleo noruego basadas en los derechos de subsidio de desempleo adquiridos en otro país del </w:t>
      </w:r>
      <w:proofErr w:type="spellStart"/>
      <w:r w:rsidRPr="00373B5F">
        <w:rPr>
          <w:bCs/>
        </w:rPr>
        <w:t>EEE</w:t>
      </w:r>
      <w:proofErr w:type="spellEnd"/>
      <w:r w:rsidRPr="00373B5F">
        <w:rPr>
          <w:bCs/>
        </w:rPr>
        <w:t>.</w:t>
      </w:r>
      <w:bookmarkStart w:id="165" w:name="_Hlk167455836"/>
      <w:bookmarkEnd w:id="165"/>
    </w:p>
    <w:p w14:paraId="7939EF2C" w14:textId="38A18D13" w:rsidR="00373B5F" w:rsidRPr="00373B5F" w:rsidRDefault="00054780" w:rsidP="00054780">
      <w:pPr>
        <w:pStyle w:val="H1G"/>
        <w:rPr>
          <w:lang w:val="en-GB"/>
        </w:rPr>
      </w:pPr>
      <w:bookmarkStart w:id="166" w:name="_Toc498605420"/>
      <w:bookmarkStart w:id="167" w:name="_Toc169082444"/>
      <w:r>
        <w:tab/>
      </w:r>
      <w:r w:rsidR="00373B5F" w:rsidRPr="00373B5F">
        <w:t>D.</w:t>
      </w:r>
      <w:r w:rsidR="00373B5F" w:rsidRPr="00373B5F">
        <w:tab/>
        <w:t xml:space="preserve">Medidas generales para reducir las disparidades económicas, </w:t>
      </w:r>
      <w:r>
        <w:br/>
      </w:r>
      <w:r w:rsidR="00373B5F" w:rsidRPr="00373B5F">
        <w:t>sociales y geográficas</w:t>
      </w:r>
      <w:bookmarkStart w:id="168" w:name="_Toc174450872"/>
      <w:bookmarkEnd w:id="166"/>
      <w:bookmarkEnd w:id="167"/>
      <w:bookmarkEnd w:id="168"/>
    </w:p>
    <w:p w14:paraId="3E995A41" w14:textId="77777777" w:rsidR="00373B5F" w:rsidRPr="00373B5F" w:rsidRDefault="00373B5F" w:rsidP="00373B5F">
      <w:pPr>
        <w:pStyle w:val="SingleTxtG"/>
        <w:rPr>
          <w:bCs/>
          <w:lang w:val="en-GB"/>
        </w:rPr>
      </w:pPr>
      <w:r w:rsidRPr="00373B5F">
        <w:rPr>
          <w:bCs/>
        </w:rPr>
        <w:t>236.</w:t>
      </w:r>
      <w:r w:rsidRPr="00373B5F">
        <w:rPr>
          <w:bCs/>
        </w:rPr>
        <w:tab/>
        <w:t xml:space="preserve">El </w:t>
      </w:r>
      <w:r w:rsidRPr="00373B5F">
        <w:rPr>
          <w:bCs/>
          <w:u w:val="single"/>
        </w:rPr>
        <w:t>modelo de bienestar nórdico</w:t>
      </w:r>
      <w:r w:rsidRPr="00373B5F">
        <w:rPr>
          <w:bCs/>
        </w:rPr>
        <w:t xml:space="preserve"> se caracteriza por una redistribución relativamente amplia de la riqueza a través del sistema del impuesto sobre la renta, sistemas universales de bienestar, un sistema educativo completo y financiado con fondos públicos, una política activa del mercado laboral y un mercado laboral flexible. El modelo de bienestar ha dado lugar en Noruega a menos pobreza y desigualdad y a una distribución de los ingresos más </w:t>
      </w:r>
      <w:r w:rsidRPr="00373B5F">
        <w:rPr>
          <w:bCs/>
        </w:rPr>
        <w:lastRenderedPageBreak/>
        <w:t>equitativa que en muchos otros países. Noruega sigue basándose en este modelo y está reformando y desarrollando el sistema de bienestar, en cooperación con los interlocutores sociales.</w:t>
      </w:r>
    </w:p>
    <w:p w14:paraId="1C283F6A" w14:textId="28ADEFCA" w:rsidR="00373B5F" w:rsidRPr="00373B5F" w:rsidRDefault="00054780" w:rsidP="00054780">
      <w:pPr>
        <w:pStyle w:val="H23G"/>
        <w:rPr>
          <w:lang w:val="en-GB"/>
        </w:rPr>
      </w:pPr>
      <w:r>
        <w:tab/>
      </w:r>
      <w:r w:rsidR="00373B5F" w:rsidRPr="00373B5F">
        <w:t>a)</w:t>
      </w:r>
      <w:r w:rsidR="00373B5F" w:rsidRPr="00373B5F">
        <w:tab/>
        <w:t>Educación y formación</w:t>
      </w:r>
    </w:p>
    <w:p w14:paraId="4F158A24" w14:textId="77777777" w:rsidR="00373B5F" w:rsidRPr="00373B5F" w:rsidRDefault="00373B5F" w:rsidP="00373B5F">
      <w:pPr>
        <w:pStyle w:val="SingleTxtG"/>
        <w:rPr>
          <w:bCs/>
          <w:lang w:val="en-GB"/>
        </w:rPr>
      </w:pPr>
      <w:r w:rsidRPr="00373B5F">
        <w:rPr>
          <w:bCs/>
        </w:rPr>
        <w:t>237.</w:t>
      </w:r>
      <w:r w:rsidRPr="00373B5F">
        <w:rPr>
          <w:bCs/>
        </w:rPr>
        <w:tab/>
        <w:t xml:space="preserve">El </w:t>
      </w:r>
      <w:r w:rsidRPr="00373B5F">
        <w:rPr>
          <w:bCs/>
          <w:u w:val="single"/>
        </w:rPr>
        <w:t>sistema educativo</w:t>
      </w:r>
      <w:r w:rsidRPr="00373B5F">
        <w:rPr>
          <w:bCs/>
        </w:rPr>
        <w:t xml:space="preserve"> sienta las bases de la cohesión social y el crecimiento económico y es vital para el desarrollo de una sociedad democrática, diversa y unificada. La igualdad de oportunidades y la no discriminación son principios y objetivos básicos para promover el pleno acceso, la asistencia estable y el aprendizaje completo. El sistema educativo prevé permitir a </w:t>
      </w:r>
      <w:r w:rsidRPr="00373B5F">
        <w:rPr>
          <w:bCs/>
          <w:u w:val="single"/>
        </w:rPr>
        <w:t>todas</w:t>
      </w:r>
      <w:r w:rsidRPr="00373B5F">
        <w:rPr>
          <w:bCs/>
        </w:rPr>
        <w:t xml:space="preserve"> las personas acceder en igualdad de condiciones a un aprendizaje óptimo, contribuyendo así a reducir las desigualdades sociales y a promover valores compartidos.</w:t>
      </w:r>
    </w:p>
    <w:p w14:paraId="08616F9B" w14:textId="77777777" w:rsidR="00373B5F" w:rsidRPr="00373B5F" w:rsidRDefault="00373B5F" w:rsidP="00373B5F">
      <w:pPr>
        <w:pStyle w:val="SingleTxtG"/>
        <w:rPr>
          <w:bCs/>
          <w:lang w:val="en-GB"/>
        </w:rPr>
      </w:pPr>
      <w:r w:rsidRPr="00373B5F">
        <w:rPr>
          <w:bCs/>
        </w:rPr>
        <w:t>238.</w:t>
      </w:r>
      <w:r w:rsidRPr="00373B5F">
        <w:rPr>
          <w:bCs/>
        </w:rPr>
        <w:tab/>
        <w:t xml:space="preserve">Varias medidas van dirigidas a </w:t>
      </w:r>
      <w:r w:rsidRPr="00373B5F">
        <w:rPr>
          <w:bCs/>
          <w:u w:val="single"/>
        </w:rPr>
        <w:t>grupos</w:t>
      </w:r>
      <w:r w:rsidRPr="00373B5F">
        <w:rPr>
          <w:bCs/>
        </w:rPr>
        <w:t xml:space="preserve"> y personas </w:t>
      </w:r>
      <w:r w:rsidRPr="00373B5F">
        <w:rPr>
          <w:bCs/>
          <w:u w:val="single"/>
        </w:rPr>
        <w:t>vulnerables o desfavorecidos</w:t>
      </w:r>
      <w:r w:rsidRPr="00373B5F">
        <w:rPr>
          <w:bCs/>
        </w:rPr>
        <w:t xml:space="preserve">. Los niños y jóvenes con necesidades educativas especiales son acogidos en centros ordinarios de primaria y secundaria inferior y alta y en algunos centros especializados. Esto incluye también determinadas medidas y oportunidades específicas para personas pertenecientes a minorías étnicas, minorías nacionales o poblaciones indígenas. </w:t>
      </w:r>
    </w:p>
    <w:p w14:paraId="1D034FB3" w14:textId="77777777" w:rsidR="00373B5F" w:rsidRPr="00373B5F" w:rsidRDefault="00373B5F" w:rsidP="00373B5F">
      <w:pPr>
        <w:pStyle w:val="SingleTxtG"/>
        <w:rPr>
          <w:bCs/>
          <w:lang w:val="en-GB"/>
        </w:rPr>
      </w:pPr>
      <w:r w:rsidRPr="00373B5F">
        <w:rPr>
          <w:bCs/>
        </w:rPr>
        <w:t>239.</w:t>
      </w:r>
      <w:r w:rsidRPr="00373B5F">
        <w:rPr>
          <w:bCs/>
        </w:rPr>
        <w:tab/>
        <w:t xml:space="preserve">En Noruega se aplican varias medidas para garantizar el </w:t>
      </w:r>
      <w:r w:rsidRPr="00373B5F">
        <w:rPr>
          <w:bCs/>
          <w:u w:val="single"/>
        </w:rPr>
        <w:t>acceso de todos a la enseñanza superior</w:t>
      </w:r>
      <w:r w:rsidRPr="00373B5F">
        <w:rPr>
          <w:bCs/>
        </w:rPr>
        <w:t>. Entre ellas figuran un amplio sistema de ayudas económicas a los estudiantes, planes de vivienda subvencionada para estudiantes y otras prestaciones sociales. La enseñanza superior pública también es gratuita en Noruega, incluso para los estudiantes de países de la UE/</w:t>
      </w:r>
      <w:proofErr w:type="spellStart"/>
      <w:r w:rsidRPr="00373B5F">
        <w:rPr>
          <w:bCs/>
        </w:rPr>
        <w:t>EEE</w:t>
      </w:r>
      <w:proofErr w:type="spellEnd"/>
      <w:r w:rsidRPr="00373B5F">
        <w:rPr>
          <w:bCs/>
        </w:rPr>
        <w:t xml:space="preserve">. Todos los solicitantes cualificados se clasifican en función de sus méritos de educación o formación secundaria alta. También es posible ser admitido sobre la base de una evaluación del aprendizaje previo. </w:t>
      </w:r>
    </w:p>
    <w:p w14:paraId="231536F5" w14:textId="77777777" w:rsidR="00373B5F" w:rsidRPr="00373B5F" w:rsidRDefault="00373B5F" w:rsidP="00373B5F">
      <w:pPr>
        <w:pStyle w:val="SingleTxtG"/>
        <w:rPr>
          <w:bCs/>
          <w:lang w:val="en-GB"/>
        </w:rPr>
      </w:pPr>
      <w:r w:rsidRPr="00373B5F">
        <w:rPr>
          <w:bCs/>
        </w:rPr>
        <w:t>240.</w:t>
      </w:r>
      <w:r w:rsidRPr="00373B5F">
        <w:rPr>
          <w:bCs/>
        </w:rPr>
        <w:tab/>
        <w:t xml:space="preserve">Aunque la </w:t>
      </w:r>
      <w:r w:rsidRPr="00373B5F">
        <w:rPr>
          <w:bCs/>
          <w:u w:val="single"/>
        </w:rPr>
        <w:t>tasa de alfabetización</w:t>
      </w:r>
      <w:r w:rsidRPr="00373B5F">
        <w:rPr>
          <w:bCs/>
        </w:rPr>
        <w:t xml:space="preserve"> en Noruega se acerca al 100 %, las pruebas de alfabetización han demostrado que una pequeña parte de la población adulta carece de conocimientos básicos de lectura y escritura. Para responder a las necesidades de este grupo heterogéneo, el sistema escolar formal ha puesto en marcha medidas, en colaboración con las organizaciones patronales y las asociaciones de estudiantes adultos. En Noruega, los adultos tienen derecho a la educación primaria y al primer ciclo de secundaria. Los mayores de 25 años tienen derecho a la educación y formación secundaria alta. Además, en Noruega se ha establecido un marco nacional de cualificaciones para el aprendizaje permanente, basado en cualificaciones formales, que incluye un sistema de validación de competencias no formales. </w:t>
      </w:r>
    </w:p>
    <w:p w14:paraId="7FEA1FEE" w14:textId="72601C49" w:rsidR="00373B5F" w:rsidRPr="00373B5F" w:rsidRDefault="00054780" w:rsidP="00054780">
      <w:pPr>
        <w:pStyle w:val="H23G"/>
        <w:rPr>
          <w:lang w:val="en-GB"/>
        </w:rPr>
      </w:pPr>
      <w:r>
        <w:tab/>
      </w:r>
      <w:r w:rsidR="00373B5F" w:rsidRPr="00373B5F">
        <w:t>b)</w:t>
      </w:r>
      <w:r w:rsidR="00373B5F" w:rsidRPr="00373B5F">
        <w:tab/>
        <w:t>Empleo</w:t>
      </w:r>
    </w:p>
    <w:p w14:paraId="53D7DFE0" w14:textId="77777777" w:rsidR="00373B5F" w:rsidRPr="00373B5F" w:rsidRDefault="00373B5F" w:rsidP="00373B5F">
      <w:pPr>
        <w:pStyle w:val="SingleTxtG"/>
        <w:rPr>
          <w:bCs/>
          <w:lang w:val="en-GB"/>
        </w:rPr>
      </w:pPr>
      <w:r w:rsidRPr="00373B5F">
        <w:rPr>
          <w:bCs/>
        </w:rPr>
        <w:t>241.</w:t>
      </w:r>
      <w:r w:rsidRPr="00373B5F">
        <w:rPr>
          <w:bCs/>
        </w:rPr>
        <w:tab/>
        <w:t xml:space="preserve">A pesar de una mayor debilidad de la economía noruega, el objetivo sigue siendo un alto nivel de empleo, un bajo desempleo y un mercado laboral inclusivo con espacio para todos los que puedan y quieran trabajar. Los principales objetivos de la </w:t>
      </w:r>
      <w:r w:rsidRPr="00373B5F">
        <w:rPr>
          <w:bCs/>
          <w:u w:val="single"/>
        </w:rPr>
        <w:t>política del mercado laboral</w:t>
      </w:r>
      <w:r w:rsidRPr="00373B5F">
        <w:rPr>
          <w:bCs/>
        </w:rPr>
        <w:t xml:space="preserve"> son, por lo tanto, facilitar una alta participación en el empleo y una utilización eficiente de la mano de obra disponible, garantizando un mercado laboral que funcione bien y unos lugares de trabajo inclusivos y bien organizados. Las amplias medidas en materia de mercado laboral y rehabilitación tienen como objetivo contribuir a un alto nivel de empleo y un bajo nivel de desempleo y combatir la exclusión ayudando a las personas con problemas relacionados con el mercado laboral a encontrar y conservar un trabajo adecuado. </w:t>
      </w:r>
    </w:p>
    <w:p w14:paraId="1BB47C4E" w14:textId="77777777" w:rsidR="00373B5F" w:rsidRPr="00373B5F" w:rsidRDefault="00373B5F" w:rsidP="00373B5F">
      <w:pPr>
        <w:pStyle w:val="SingleTxtG"/>
        <w:rPr>
          <w:bCs/>
          <w:lang w:val="en-GB"/>
        </w:rPr>
      </w:pPr>
      <w:r w:rsidRPr="00373B5F">
        <w:rPr>
          <w:bCs/>
        </w:rPr>
        <w:t>242.</w:t>
      </w:r>
      <w:r w:rsidRPr="00373B5F">
        <w:rPr>
          <w:bCs/>
        </w:rPr>
        <w:tab/>
        <w:t xml:space="preserve">La </w:t>
      </w:r>
      <w:r w:rsidRPr="00373B5F">
        <w:rPr>
          <w:bCs/>
          <w:u w:val="single"/>
        </w:rPr>
        <w:t>Administración Noruega de Trabajo y Bienestar</w:t>
      </w:r>
      <w:r w:rsidRPr="00373B5F">
        <w:rPr>
          <w:bCs/>
        </w:rPr>
        <w:t xml:space="preserve"> es responsable de aplicar la política del mercado laboral. La Administración facilita la labor encaminada a emparejar a los demandantes de empleo con los puestos vacantes y a garantizar una asistencia y seguridad completas a las personas que necesitan ayuda orientada al trabajo para encontrar y conservar un empleo. </w:t>
      </w:r>
    </w:p>
    <w:p w14:paraId="76116D56" w14:textId="30A33C77" w:rsidR="00373B5F" w:rsidRPr="00373B5F" w:rsidRDefault="00054780" w:rsidP="00054780">
      <w:pPr>
        <w:pStyle w:val="H23G"/>
        <w:rPr>
          <w:lang w:val="en-GB"/>
        </w:rPr>
      </w:pPr>
      <w:r>
        <w:tab/>
      </w:r>
      <w:r w:rsidR="00373B5F" w:rsidRPr="00373B5F">
        <w:t>c)</w:t>
      </w:r>
      <w:r w:rsidR="00373B5F" w:rsidRPr="00373B5F">
        <w:tab/>
        <w:t xml:space="preserve">El Régimen Nacional de Seguridad Social de Noruega </w:t>
      </w:r>
    </w:p>
    <w:p w14:paraId="159C7481" w14:textId="77777777" w:rsidR="00373B5F" w:rsidRPr="00373B5F" w:rsidRDefault="00373B5F" w:rsidP="00373B5F">
      <w:pPr>
        <w:pStyle w:val="SingleTxtG"/>
        <w:rPr>
          <w:bCs/>
          <w:lang w:val="en-GB"/>
        </w:rPr>
      </w:pPr>
      <w:r w:rsidRPr="00373B5F">
        <w:rPr>
          <w:bCs/>
        </w:rPr>
        <w:t>243.</w:t>
      </w:r>
      <w:r w:rsidRPr="00373B5F">
        <w:rPr>
          <w:bCs/>
        </w:rPr>
        <w:tab/>
        <w:t xml:space="preserve">El Régimen Nacional de Seguridad Social es un régimen universal que abarca las nueve ramas tradicionales de la seguridad social establecidas en el </w:t>
      </w:r>
      <w:r w:rsidRPr="00373B5F">
        <w:rPr>
          <w:bCs/>
          <w:u w:val="single"/>
        </w:rPr>
        <w:t>Convenio núm. 102 de la OIT</w:t>
      </w:r>
      <w:r w:rsidRPr="00373B5F">
        <w:rPr>
          <w:bCs/>
        </w:rPr>
        <w:t xml:space="preserve">. Por regla general, la afiliación es obligatoria para todas las personas que vivan o trabajen en Noruega, independientemente de su nacionalidad, origen étnico, lugar de residencia, sexo, edad, etc. </w:t>
      </w:r>
    </w:p>
    <w:p w14:paraId="2E2E40DF" w14:textId="77777777" w:rsidR="00373B5F" w:rsidRPr="00373B5F" w:rsidRDefault="00373B5F" w:rsidP="00373B5F">
      <w:pPr>
        <w:pStyle w:val="SingleTxtG"/>
        <w:rPr>
          <w:bCs/>
          <w:lang w:val="en-GB"/>
        </w:rPr>
      </w:pPr>
      <w:r w:rsidRPr="00373B5F">
        <w:rPr>
          <w:bCs/>
        </w:rPr>
        <w:lastRenderedPageBreak/>
        <w:t>244.</w:t>
      </w:r>
      <w:r w:rsidRPr="00373B5F">
        <w:rPr>
          <w:bCs/>
        </w:rPr>
        <w:tab/>
        <w:t xml:space="preserve">Por definición, los regímenes de seguridad social se dirigen a los grupos vulnerables, ya que todos ellos están concebidos para mejorar las condiciones de vida de las personas que se encuentran en una o varias circunstancias específicas que suelen provocar dificultades económicas, por ejemplo, vejez, enfermedad, discapacidad, desempleo o maternidad. </w:t>
      </w:r>
    </w:p>
    <w:p w14:paraId="3F7B73D8" w14:textId="77777777" w:rsidR="00373B5F" w:rsidRPr="00373B5F" w:rsidRDefault="00373B5F" w:rsidP="00373B5F">
      <w:pPr>
        <w:pStyle w:val="SingleTxtG"/>
        <w:rPr>
          <w:bCs/>
          <w:lang w:val="en-GB"/>
        </w:rPr>
      </w:pPr>
      <w:r w:rsidRPr="00373B5F">
        <w:rPr>
          <w:bCs/>
        </w:rPr>
        <w:t>245.</w:t>
      </w:r>
      <w:r w:rsidRPr="00373B5F">
        <w:rPr>
          <w:bCs/>
        </w:rPr>
        <w:tab/>
        <w:t xml:space="preserve">Una publicación anual titulada </w:t>
      </w:r>
      <w:r w:rsidRPr="00373B5F">
        <w:rPr>
          <w:bCs/>
          <w:u w:val="single"/>
        </w:rPr>
        <w:t>El Régimen Nacional de Seguridad Social de Noruega</w:t>
      </w:r>
      <w:r w:rsidRPr="00373B5F">
        <w:rPr>
          <w:bCs/>
        </w:rPr>
        <w:t xml:space="preserve"> ofrece una presentación exhaustiva del régimen, y está disponible en el sitio web del Gobierno. También se hace referencia a los informes más recientes de Noruega sobre la aplicación de los Convenios </w:t>
      </w:r>
      <w:proofErr w:type="spellStart"/>
      <w:r w:rsidRPr="00373B5F">
        <w:rPr>
          <w:bCs/>
        </w:rPr>
        <w:t>núms</w:t>
      </w:r>
      <w:proofErr w:type="spellEnd"/>
      <w:r w:rsidRPr="00373B5F">
        <w:rPr>
          <w:bCs/>
        </w:rPr>
        <w:t xml:space="preserve">. 102, 128 y 130 de la OIT. </w:t>
      </w:r>
    </w:p>
    <w:p w14:paraId="7E17EE38" w14:textId="42A7ECF1" w:rsidR="00373B5F" w:rsidRPr="00373B5F" w:rsidRDefault="00054780" w:rsidP="00054780">
      <w:pPr>
        <w:pStyle w:val="H23G"/>
        <w:rPr>
          <w:lang w:val="en-GB"/>
        </w:rPr>
      </w:pPr>
      <w:r>
        <w:tab/>
      </w:r>
      <w:r w:rsidR="00373B5F" w:rsidRPr="00373B5F">
        <w:t>d)</w:t>
      </w:r>
      <w:r w:rsidR="00373B5F" w:rsidRPr="00373B5F">
        <w:tab/>
        <w:t>Servicios sociales y vivienda</w:t>
      </w:r>
    </w:p>
    <w:p w14:paraId="771AE8DB" w14:textId="77777777" w:rsidR="00373B5F" w:rsidRPr="00373B5F" w:rsidRDefault="00373B5F" w:rsidP="00373B5F">
      <w:pPr>
        <w:pStyle w:val="SingleTxtG"/>
        <w:rPr>
          <w:bCs/>
          <w:lang w:val="en-GB"/>
        </w:rPr>
      </w:pPr>
      <w:r w:rsidRPr="00373B5F">
        <w:rPr>
          <w:bCs/>
        </w:rPr>
        <w:t>246.</w:t>
      </w:r>
      <w:r w:rsidRPr="00373B5F">
        <w:rPr>
          <w:bCs/>
        </w:rPr>
        <w:tab/>
        <w:t xml:space="preserve">El sector de la administración local es responsable de los servicios que garantizan a todos los habitantes de sus respectivas zonas unas buenas condiciones de vida. El municipio es responsable de prestar servicios conforme a la </w:t>
      </w:r>
      <w:r w:rsidRPr="00373B5F">
        <w:rPr>
          <w:bCs/>
          <w:u w:val="single"/>
        </w:rPr>
        <w:t>Ley de Servicios Sociales</w:t>
      </w:r>
      <w:r w:rsidRPr="00373B5F">
        <w:rPr>
          <w:bCs/>
        </w:rPr>
        <w:t>. Las personas que no pueden mantenerse por sí mismas trabajando o ejerciendo derechos económicos tienen derecho a una ayuda económica, cuyo objetivo es que la persona sea autosuficiente.</w:t>
      </w:r>
    </w:p>
    <w:p w14:paraId="5E6405FA" w14:textId="77777777" w:rsidR="00373B5F" w:rsidRPr="00373B5F" w:rsidRDefault="00373B5F" w:rsidP="00373B5F">
      <w:pPr>
        <w:pStyle w:val="SingleTxtG"/>
        <w:rPr>
          <w:bCs/>
          <w:lang w:val="en-GB"/>
        </w:rPr>
      </w:pPr>
      <w:r w:rsidRPr="00373B5F">
        <w:rPr>
          <w:bCs/>
        </w:rPr>
        <w:t>247.</w:t>
      </w:r>
      <w:r w:rsidRPr="00373B5F">
        <w:rPr>
          <w:bCs/>
        </w:rPr>
        <w:tab/>
        <w:t>El municipio tiene la obligación de encontrar un alojamiento temporal adecuado para las personas que no puedan encontrarlo por sí mismas. El municipio está obligado a ofrecer ayudas adaptadas individualmente a las personas desfavorecidas en el mercado de la vivienda. El municipio también debe mantener una visión general de la necesidad de viviendas ordinarias y adaptadas, para los desfavorecidos en el mercado de la vivienda. Existen programas de préstamos y subvenciones para facilitar a esas personas el acceso a la vivienda, independientemente de su origen étnico.</w:t>
      </w:r>
    </w:p>
    <w:p w14:paraId="3E4641BB" w14:textId="1294AF24" w:rsidR="00373B5F" w:rsidRPr="00373B5F" w:rsidRDefault="00054780" w:rsidP="00054780">
      <w:pPr>
        <w:pStyle w:val="H23G"/>
        <w:rPr>
          <w:lang w:val="en-GB"/>
        </w:rPr>
      </w:pPr>
      <w:r>
        <w:tab/>
      </w:r>
      <w:r w:rsidR="00373B5F" w:rsidRPr="00373B5F">
        <w:t>e)</w:t>
      </w:r>
      <w:r w:rsidR="00373B5F" w:rsidRPr="00373B5F">
        <w:tab/>
        <w:t>Otras medidas para promover la inclusión social y la reducción de la pobreza</w:t>
      </w:r>
    </w:p>
    <w:p w14:paraId="28546AB7" w14:textId="77777777" w:rsidR="00373B5F" w:rsidRPr="00373B5F" w:rsidRDefault="00373B5F" w:rsidP="00373B5F">
      <w:pPr>
        <w:pStyle w:val="SingleTxtG"/>
        <w:rPr>
          <w:bCs/>
          <w:lang w:val="en-GB"/>
        </w:rPr>
      </w:pPr>
      <w:r w:rsidRPr="00373B5F">
        <w:rPr>
          <w:bCs/>
        </w:rPr>
        <w:t>248.</w:t>
      </w:r>
      <w:r w:rsidRPr="00373B5F">
        <w:rPr>
          <w:bCs/>
        </w:rPr>
        <w:tab/>
        <w:t xml:space="preserve">En octubre de 2023, un grupo de expertos sobre niños que crecen en familias pobres presentó sus recomendaciones al Gobierno sobre qué tipos de medidas deben priorizarse para mejorar las condiciones de vida de los niños que crecen en la pobreza y romper el ciclo de la pobreza heredada. La </w:t>
      </w:r>
      <w:r w:rsidRPr="00373B5F">
        <w:rPr>
          <w:bCs/>
          <w:u w:val="single"/>
        </w:rPr>
        <w:t>Estrategia Nacional para los Niños y Jóvenes de Familias con Ingresos Bajos (2020-2023)</w:t>
      </w:r>
      <w:r w:rsidRPr="00373B5F">
        <w:rPr>
          <w:bCs/>
          <w:sz w:val="18"/>
          <w:szCs w:val="18"/>
          <w:vertAlign w:val="superscript"/>
        </w:rPr>
        <w:footnoteReference w:id="20"/>
      </w:r>
      <w:r w:rsidRPr="00373B5F">
        <w:rPr>
          <w:bCs/>
        </w:rPr>
        <w:t xml:space="preserve"> se renovará en 2024, y en 2025 el Gobierno presentará un libro blanco sobre igualdad social y movilidad social entre niños y jóvenes.</w:t>
      </w:r>
    </w:p>
    <w:p w14:paraId="498EC8C5" w14:textId="77777777" w:rsidR="00373B5F" w:rsidRPr="00373B5F" w:rsidRDefault="00373B5F" w:rsidP="00373B5F">
      <w:pPr>
        <w:pStyle w:val="SingleTxtG"/>
        <w:rPr>
          <w:bCs/>
          <w:lang w:val="en-GB"/>
        </w:rPr>
      </w:pPr>
      <w:r w:rsidRPr="00373B5F">
        <w:rPr>
          <w:bCs/>
        </w:rPr>
        <w:t>249.</w:t>
      </w:r>
      <w:r w:rsidRPr="00373B5F">
        <w:rPr>
          <w:bCs/>
        </w:rPr>
        <w:tab/>
        <w:t>El Gobierno ha fortalecido su cooperación y comunicación con los defensores de los usuarios y otras organizaciones y asociaciones del tercer sector. Estas organizaciones son importantes asociados de cooperación tanto para el Gobierno central como para la administración local. Existe un comité de enlace para reforzar el diálogo entre el Gobierno y los representantes autodesignados de las personas desfavorecidas social y económicamente.</w:t>
      </w:r>
    </w:p>
    <w:p w14:paraId="05B902B0" w14:textId="77777777" w:rsidR="00373B5F" w:rsidRPr="00373B5F" w:rsidRDefault="00373B5F" w:rsidP="00373B5F">
      <w:pPr>
        <w:pStyle w:val="SingleTxtG"/>
        <w:rPr>
          <w:bCs/>
          <w:lang w:val="en-GB"/>
        </w:rPr>
      </w:pPr>
      <w:r w:rsidRPr="00373B5F">
        <w:rPr>
          <w:bCs/>
        </w:rPr>
        <w:t>250.</w:t>
      </w:r>
      <w:r w:rsidRPr="00373B5F">
        <w:rPr>
          <w:bCs/>
        </w:rPr>
        <w:tab/>
        <w:t xml:space="preserve">El Gobierno tiene </w:t>
      </w:r>
      <w:r w:rsidRPr="00373B5F">
        <w:rPr>
          <w:bCs/>
          <w:u w:val="single"/>
        </w:rPr>
        <w:t>acuerdos de cooperación con ciudades</w:t>
      </w:r>
      <w:r w:rsidRPr="00373B5F">
        <w:rPr>
          <w:bCs/>
        </w:rPr>
        <w:t xml:space="preserve"> de Noruega que tienen zonas con grandes problemas de condiciones de vida, especialmente altos niveles de niños que crecen en familias pobres. Las iniciativas por zonas se adaptan a los retos de las distintas zonas urbanas. Estas iniciativas son similares en el sentido de que deben contribuir a una mejora duradera de los servicios y las cualidades físicas y sociales de la comunidad allí donde las necesidades son mayores. Las iniciativas crean espacios para aprender, compartir y mejorar la apropiación de la resolución de problemas. El Gobierno tiene actualmente acuerdos con 14 municipios.</w:t>
      </w:r>
    </w:p>
    <w:p w14:paraId="25A8DA9A" w14:textId="6D0FA602" w:rsidR="00373B5F" w:rsidRPr="00373B5F" w:rsidRDefault="00054780" w:rsidP="00054780">
      <w:pPr>
        <w:pStyle w:val="H23G"/>
        <w:rPr>
          <w:lang w:val="en-GB"/>
        </w:rPr>
      </w:pPr>
      <w:r>
        <w:tab/>
      </w:r>
      <w:r w:rsidR="00373B5F" w:rsidRPr="00373B5F">
        <w:t>f)</w:t>
      </w:r>
      <w:r w:rsidR="00373B5F" w:rsidRPr="00373B5F">
        <w:tab/>
        <w:t xml:space="preserve">Medidas para reducir las disparidades geográficas </w:t>
      </w:r>
    </w:p>
    <w:p w14:paraId="59D7166B" w14:textId="77777777" w:rsidR="00373B5F" w:rsidRPr="00373B5F" w:rsidRDefault="00373B5F" w:rsidP="00373B5F">
      <w:pPr>
        <w:pStyle w:val="SingleTxtG"/>
        <w:rPr>
          <w:bCs/>
          <w:lang w:val="en-GB"/>
        </w:rPr>
      </w:pPr>
      <w:r w:rsidRPr="00373B5F">
        <w:rPr>
          <w:bCs/>
        </w:rPr>
        <w:t>251.</w:t>
      </w:r>
      <w:r w:rsidRPr="00373B5F">
        <w:rPr>
          <w:bCs/>
        </w:rPr>
        <w:tab/>
        <w:t xml:space="preserve">La </w:t>
      </w:r>
      <w:r w:rsidRPr="00373B5F">
        <w:rPr>
          <w:bCs/>
          <w:u w:val="single"/>
        </w:rPr>
        <w:t>política regional y rural del Gobierno aspira a</w:t>
      </w:r>
      <w:r w:rsidRPr="00373B5F">
        <w:rPr>
          <w:bCs/>
        </w:rPr>
        <w:t xml:space="preserve"> lograr el equilibrio regional mediante la capacidad de crecimiento, la igualdad de condiciones de vida y la sostenibilidad de las regiones, en todo el territorio nacional. Una infraestructura bien desarrollada es vital para el desarrollo positivo de un país como Noruega, con su escasa población y sus grandes distancias. </w:t>
      </w:r>
    </w:p>
    <w:p w14:paraId="2B83E3DC" w14:textId="77777777" w:rsidR="00373B5F" w:rsidRPr="00373B5F" w:rsidRDefault="00373B5F" w:rsidP="00373B5F">
      <w:pPr>
        <w:pStyle w:val="SingleTxtG"/>
        <w:rPr>
          <w:bCs/>
          <w:lang w:val="en-GB"/>
        </w:rPr>
      </w:pPr>
      <w:r w:rsidRPr="00373B5F">
        <w:rPr>
          <w:bCs/>
        </w:rPr>
        <w:t>252.</w:t>
      </w:r>
      <w:r w:rsidRPr="00373B5F">
        <w:rPr>
          <w:bCs/>
        </w:rPr>
        <w:tab/>
        <w:t xml:space="preserve">Aunque Noruega tiene un equilibrio regional bastante bueno, algunos municipios y zonas tienen problemas demográficos específicos. En estas zonas, el Gobierno se centra en </w:t>
      </w:r>
      <w:r w:rsidRPr="00373B5F">
        <w:rPr>
          <w:bCs/>
        </w:rPr>
        <w:lastRenderedPageBreak/>
        <w:t xml:space="preserve">el desarrollo de comunidades locales con potencial de crecimiento. Esto se hace centrándose en el desarrollo empresarial en las zonas rurales y fortaleciendo las capacidades de desarrollo en las zonas más escasamente pobladas. Una política regional eficaz requiere medidas en una amplia gama de ámbitos de política, como infraestructura, fiscalidad, servicios sanitarios, tasas municipales, educación e innovación, con el fin de crear más empleo y mejorar los servicios públicos y privados. El principal recurso de una economía moderna es la creatividad y el ingenio de su pueblo, en particular su capacidad para hacer frente a los cambios socioeconómicos mediante la innovación. </w:t>
      </w:r>
    </w:p>
    <w:p w14:paraId="7DC9325B" w14:textId="77777777" w:rsidR="00373B5F" w:rsidRPr="00373B5F" w:rsidRDefault="00373B5F" w:rsidP="00373B5F">
      <w:pPr>
        <w:pStyle w:val="SingleTxtG"/>
        <w:rPr>
          <w:bCs/>
          <w:lang w:val="en-GB"/>
        </w:rPr>
      </w:pPr>
      <w:r w:rsidRPr="00373B5F">
        <w:rPr>
          <w:bCs/>
        </w:rPr>
        <w:t>253.</w:t>
      </w:r>
      <w:r w:rsidRPr="00373B5F">
        <w:rPr>
          <w:bCs/>
        </w:rPr>
        <w:tab/>
        <w:t xml:space="preserve">El norte de Noruega se enfrenta a retos particulares debido a su escasa población, las grandes distancias entre los asentamientos y los pequeños mercados laborales. En 2017, el Gobierno puso en marcha una nueva </w:t>
      </w:r>
      <w:r w:rsidRPr="00373B5F">
        <w:rPr>
          <w:bCs/>
          <w:u w:val="single"/>
        </w:rPr>
        <w:t>Estrategia del Alto Norte</w:t>
      </w:r>
      <w:r w:rsidRPr="00373B5F">
        <w:rPr>
          <w:bCs/>
        </w:rPr>
        <w:t>, centrada en la cooperación internacional, el desarrollo económico, la competencia, la infraestructura, el medio ambiente y la seguridad.</w:t>
      </w:r>
    </w:p>
    <w:p w14:paraId="2A9DB92F" w14:textId="77777777" w:rsidR="00373B5F" w:rsidRPr="00373B5F" w:rsidRDefault="00373B5F" w:rsidP="00373B5F">
      <w:pPr>
        <w:pStyle w:val="SingleTxtG"/>
        <w:rPr>
          <w:bCs/>
          <w:lang w:val="en-GB"/>
        </w:rPr>
      </w:pPr>
      <w:r w:rsidRPr="00373B5F">
        <w:rPr>
          <w:bCs/>
          <w:lang w:val="en-GB"/>
        </w:rPr>
        <w:br w:type="page"/>
      </w:r>
    </w:p>
    <w:p w14:paraId="11D335CC" w14:textId="26A29345" w:rsidR="00DA21FF" w:rsidRPr="00DA21FF" w:rsidRDefault="00DA21FF" w:rsidP="00A11346">
      <w:pPr>
        <w:pStyle w:val="HChG"/>
        <w:rPr>
          <w:lang w:val="en-GB"/>
        </w:rPr>
      </w:pPr>
      <w:r w:rsidRPr="00DA21FF">
        <w:lastRenderedPageBreak/>
        <w:tab/>
        <w:t>Anexo</w:t>
      </w:r>
      <w:bookmarkStart w:id="169" w:name="_Toc174450873"/>
      <w:bookmarkEnd w:id="169"/>
    </w:p>
    <w:p w14:paraId="6EC38EC0" w14:textId="77777777" w:rsidR="00DA21FF" w:rsidRPr="00FB0C0A" w:rsidRDefault="00DA21FF" w:rsidP="00A11346">
      <w:pPr>
        <w:pStyle w:val="SingleTxtG"/>
        <w:jc w:val="right"/>
        <w:rPr>
          <w:i/>
          <w:lang w:val="en-GB"/>
        </w:rPr>
      </w:pPr>
      <w:r w:rsidRPr="00FB0C0A">
        <w:rPr>
          <w:i/>
        </w:rPr>
        <w:t>[Inglés únicamente]</w:t>
      </w:r>
    </w:p>
    <w:p w14:paraId="5F484C11" w14:textId="47296BB1" w:rsidR="00DA21FF" w:rsidRPr="00DA21FF" w:rsidRDefault="00DA21FF" w:rsidP="00295893">
      <w:pPr>
        <w:pStyle w:val="H1G"/>
        <w:rPr>
          <w:lang w:val="en-GB"/>
        </w:rPr>
      </w:pPr>
      <w:r w:rsidRPr="00DA21FF">
        <w:rPr>
          <w:lang w:val="en-GB"/>
        </w:rPr>
        <w:tab/>
      </w:r>
      <w:bookmarkStart w:id="170" w:name="_Toc174450874"/>
      <w:r w:rsidR="00FB0C0A">
        <w:rPr>
          <w:lang w:val="en-GB"/>
        </w:rPr>
        <w:tab/>
      </w:r>
      <w:r w:rsidRPr="00DA21FF">
        <w:rPr>
          <w:lang w:val="en-GB"/>
        </w:rPr>
        <w:t>Useful Websites</w:t>
      </w:r>
      <w:bookmarkEnd w:id="170"/>
      <w:r w:rsidRPr="00DA21FF">
        <w:rPr>
          <w:lang w:val="en-GB"/>
        </w:rPr>
        <w:t xml:space="preserve"> </w:t>
      </w:r>
    </w:p>
    <w:p w14:paraId="40DCB1D2" w14:textId="77777777" w:rsidR="0098420A" w:rsidRPr="001B5DA0" w:rsidRDefault="0098420A" w:rsidP="0098420A">
      <w:pPr>
        <w:pStyle w:val="SingleTxtG"/>
      </w:pPr>
      <w:r w:rsidRPr="001B5DA0">
        <w:fldChar w:fldCharType="begin"/>
      </w:r>
      <w:r w:rsidRPr="001B5DA0">
        <w:instrText xml:space="preserve"> HYPERLINK "https://www.stortinget.no/en/In-English/" </w:instrText>
      </w:r>
      <w:r w:rsidRPr="001B5DA0">
        <w:fldChar w:fldCharType="separate"/>
      </w:r>
      <w:r w:rsidRPr="001B5DA0">
        <w:t xml:space="preserve">The </w:t>
      </w:r>
      <w:proofErr w:type="spellStart"/>
      <w:r w:rsidRPr="001B5DA0">
        <w:t>Storting</w:t>
      </w:r>
      <w:proofErr w:type="spellEnd"/>
      <w:r w:rsidRPr="001B5DA0">
        <w:t xml:space="preserve"> </w:t>
      </w:r>
      <w:r w:rsidRPr="001B5DA0">
        <w:rPr>
          <w:lang w:val="en-US"/>
        </w:rPr>
        <w:t xml:space="preserve">(Norwegian </w:t>
      </w:r>
      <w:proofErr w:type="spellStart"/>
      <w:r w:rsidRPr="001B5DA0">
        <w:t>Parliament</w:t>
      </w:r>
      <w:proofErr w:type="spellEnd"/>
      <w:r w:rsidRPr="001B5DA0">
        <w:t>)</w:t>
      </w:r>
    </w:p>
    <w:p w14:paraId="6D9E9BD4"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"https://www.regjeringen.no/en/id4/" </w:instrText>
      </w:r>
      <w:r w:rsidRPr="001B5DA0">
        <w:fldChar w:fldCharType="separate"/>
      </w:r>
      <w:r w:rsidRPr="001B5DA0">
        <w:t xml:space="preserve">The </w:t>
      </w:r>
      <w:proofErr w:type="spellStart"/>
      <w:r w:rsidRPr="001B5DA0">
        <w:t>Norwegian</w:t>
      </w:r>
      <w:proofErr w:type="spellEnd"/>
      <w:r w:rsidRPr="001B5DA0">
        <w:t xml:space="preserve"> </w:t>
      </w:r>
      <w:proofErr w:type="spellStart"/>
      <w:r w:rsidRPr="001B5DA0">
        <w:t>Government</w:t>
      </w:r>
      <w:proofErr w:type="spellEnd"/>
    </w:p>
    <w:p w14:paraId="78CD0C59"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"https://www.domstol.no/en/supremecourt/" </w:instrText>
      </w:r>
      <w:r w:rsidRPr="001B5DA0">
        <w:fldChar w:fldCharType="separate"/>
      </w:r>
      <w:r w:rsidRPr="001B5DA0">
        <w:t xml:space="preserve">The Supreme </w:t>
      </w:r>
      <w:proofErr w:type="spellStart"/>
      <w:r w:rsidRPr="001B5DA0">
        <w:t>Court</w:t>
      </w:r>
      <w:proofErr w:type="spellEnd"/>
      <w:r w:rsidRPr="001B5DA0">
        <w:t xml:space="preserve"> of </w:t>
      </w:r>
      <w:proofErr w:type="spellStart"/>
      <w:r w:rsidRPr="001B5DA0">
        <w:t>Norway</w:t>
      </w:r>
      <w:proofErr w:type="spellEnd"/>
    </w:p>
    <w:p w14:paraId="6D5FA7BE"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"https://www.sivilombudet.no/en/" </w:instrText>
      </w:r>
      <w:r w:rsidRPr="001B5DA0">
        <w:fldChar w:fldCharType="separate"/>
      </w:r>
      <w:r w:rsidRPr="001B5DA0">
        <w:t xml:space="preserve">The </w:t>
      </w:r>
      <w:proofErr w:type="spellStart"/>
      <w:r w:rsidRPr="001B5DA0">
        <w:t>Parliamentary</w:t>
      </w:r>
      <w:proofErr w:type="spellEnd"/>
      <w:r w:rsidRPr="001B5DA0">
        <w:t xml:space="preserve"> </w:t>
      </w:r>
      <w:proofErr w:type="spellStart"/>
      <w:r w:rsidRPr="001B5DA0">
        <w:t>Ombud</w:t>
      </w:r>
      <w:proofErr w:type="spellEnd"/>
      <w:r w:rsidRPr="001B5DA0">
        <w:t xml:space="preserve"> for </w:t>
      </w:r>
      <w:proofErr w:type="spellStart"/>
      <w:r w:rsidRPr="001B5DA0">
        <w:t>Scrutiny</w:t>
      </w:r>
      <w:proofErr w:type="spellEnd"/>
      <w:r w:rsidRPr="001B5DA0">
        <w:t xml:space="preserve"> of the </w:t>
      </w:r>
      <w:proofErr w:type="spellStart"/>
      <w:r w:rsidRPr="001B5DA0">
        <w:t>Public</w:t>
      </w:r>
      <w:proofErr w:type="spellEnd"/>
      <w:r w:rsidRPr="001B5DA0">
        <w:t xml:space="preserve"> </w:t>
      </w:r>
      <w:proofErr w:type="spellStart"/>
      <w:r w:rsidRPr="001B5DA0">
        <w:t>Administration</w:t>
      </w:r>
      <w:proofErr w:type="spellEnd"/>
      <w:r w:rsidRPr="001B5DA0">
        <w:t xml:space="preserve"> </w:t>
      </w:r>
    </w:p>
    <w:p w14:paraId="09B31625"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"https://forsvarsombudet.no/english/" </w:instrText>
      </w:r>
      <w:r w:rsidRPr="001B5DA0">
        <w:fldChar w:fldCharType="separate"/>
      </w:r>
      <w:r w:rsidRPr="001B5DA0">
        <w:t xml:space="preserve">The </w:t>
      </w:r>
      <w:proofErr w:type="spellStart"/>
      <w:r w:rsidRPr="001B5DA0">
        <w:t>Parliamentary</w:t>
      </w:r>
      <w:proofErr w:type="spellEnd"/>
      <w:r w:rsidRPr="001B5DA0">
        <w:t xml:space="preserve"> </w:t>
      </w:r>
      <w:proofErr w:type="spellStart"/>
      <w:r w:rsidRPr="001B5DA0">
        <w:t>Ombud’s</w:t>
      </w:r>
      <w:proofErr w:type="spellEnd"/>
      <w:r w:rsidRPr="001B5DA0">
        <w:t xml:space="preserve"> Committee for the </w:t>
      </w:r>
      <w:proofErr w:type="spellStart"/>
      <w:r w:rsidRPr="001B5DA0">
        <w:t>Norwegian</w:t>
      </w:r>
      <w:proofErr w:type="spellEnd"/>
      <w:r w:rsidRPr="001B5DA0">
        <w:t xml:space="preserve"> </w:t>
      </w:r>
      <w:proofErr w:type="spellStart"/>
      <w:r w:rsidRPr="001B5DA0">
        <w:t>Armed</w:t>
      </w:r>
      <w:proofErr w:type="spellEnd"/>
      <w:r w:rsidRPr="001B5DA0">
        <w:t xml:space="preserve"> </w:t>
      </w:r>
      <w:proofErr w:type="spellStart"/>
      <w:r w:rsidRPr="001B5DA0">
        <w:t>Forces</w:t>
      </w:r>
      <w:proofErr w:type="spellEnd"/>
    </w:p>
    <w:p w14:paraId="36652F22"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"https://www.ldo.no/en/ldo-english-page/" </w:instrText>
      </w:r>
      <w:r w:rsidRPr="001B5DA0">
        <w:fldChar w:fldCharType="separate"/>
      </w:r>
      <w:r w:rsidRPr="001B5DA0">
        <w:t>The Equality and Anti-</w:t>
      </w:r>
      <w:proofErr w:type="spellStart"/>
      <w:r w:rsidRPr="001B5DA0">
        <w:t>Discrimination</w:t>
      </w:r>
      <w:proofErr w:type="spellEnd"/>
      <w:r w:rsidRPr="001B5DA0">
        <w:t xml:space="preserve"> </w:t>
      </w:r>
      <w:proofErr w:type="spellStart"/>
      <w:r w:rsidRPr="001B5DA0">
        <w:t>Ombud</w:t>
      </w:r>
      <w:proofErr w:type="spellEnd"/>
    </w:p>
    <w:p w14:paraId="62CDECD6"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"https://www.barneombudet.no/english" </w:instrText>
      </w:r>
      <w:r w:rsidRPr="001B5DA0">
        <w:fldChar w:fldCharType="separate"/>
      </w:r>
      <w:r w:rsidRPr="001B5DA0">
        <w:t xml:space="preserve">The </w:t>
      </w:r>
      <w:proofErr w:type="spellStart"/>
      <w:r w:rsidRPr="001B5DA0">
        <w:t>Ombud</w:t>
      </w:r>
      <w:proofErr w:type="spellEnd"/>
      <w:r w:rsidRPr="001B5DA0">
        <w:t xml:space="preserve"> for Children</w:t>
      </w:r>
    </w:p>
    <w:p w14:paraId="1103C482"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"https://ennhri.org/our-members/norway/" </w:instrText>
      </w:r>
      <w:r w:rsidRPr="001B5DA0">
        <w:fldChar w:fldCharType="separate"/>
      </w:r>
      <w:r w:rsidRPr="001B5DA0">
        <w:t xml:space="preserve">The </w:t>
      </w:r>
      <w:proofErr w:type="spellStart"/>
      <w:r w:rsidRPr="001B5DA0">
        <w:t>Norwegian</w:t>
      </w:r>
      <w:proofErr w:type="spellEnd"/>
      <w:r w:rsidRPr="001B5DA0">
        <w:t xml:space="preserve"> National Human Rights </w:t>
      </w:r>
      <w:proofErr w:type="spellStart"/>
      <w:r w:rsidRPr="001B5DA0">
        <w:t>Institution</w:t>
      </w:r>
      <w:proofErr w:type="spellEnd"/>
    </w:p>
    <w:p w14:paraId="58965EE1" w14:textId="77777777" w:rsidR="0098420A" w:rsidRPr="001B5DA0" w:rsidRDefault="0098420A" w:rsidP="0098420A">
      <w:pPr>
        <w:pStyle w:val="SingleTxtG"/>
      </w:pPr>
      <w:r w:rsidRPr="001B5DA0">
        <w:fldChar w:fldCharType="end"/>
      </w:r>
      <w:r w:rsidRPr="001B5DA0">
        <w:fldChar w:fldCharType="begin"/>
      </w:r>
      <w:r w:rsidRPr="001B5DA0">
        <w:instrText xml:space="preserve"> HYPERLINK "https://theewc.org/" </w:instrText>
      </w:r>
      <w:r w:rsidRPr="001B5DA0">
        <w:fldChar w:fldCharType="separate"/>
      </w:r>
      <w:r w:rsidRPr="001B5DA0">
        <w:t xml:space="preserve">The </w:t>
      </w:r>
      <w:proofErr w:type="spellStart"/>
      <w:r w:rsidRPr="001B5DA0">
        <w:t>European</w:t>
      </w:r>
      <w:proofErr w:type="spellEnd"/>
      <w:r w:rsidRPr="001B5DA0">
        <w:t xml:space="preserve"> </w:t>
      </w:r>
      <w:proofErr w:type="spellStart"/>
      <w:r w:rsidRPr="001B5DA0">
        <w:t>Wergeland</w:t>
      </w:r>
      <w:proofErr w:type="spellEnd"/>
      <w:r w:rsidRPr="001B5DA0">
        <w:t xml:space="preserve"> Centre</w:t>
      </w:r>
    </w:p>
    <w:p w14:paraId="1BC2CBA9" w14:textId="77777777" w:rsidR="0098420A" w:rsidRPr="001B5DA0" w:rsidRDefault="0098420A" w:rsidP="0098420A">
      <w:pPr>
        <w:pStyle w:val="SingleTxtG"/>
      </w:pPr>
      <w:r w:rsidRPr="001B5DA0">
        <w:fldChar w:fldCharType="end"/>
      </w:r>
      <w:hyperlink r:id="rId11" w:history="1">
        <w:proofErr w:type="spellStart"/>
        <w:r w:rsidRPr="001B5DA0">
          <w:t>Statistics</w:t>
        </w:r>
        <w:proofErr w:type="spellEnd"/>
        <w:r w:rsidRPr="001B5DA0">
          <w:t xml:space="preserve"> </w:t>
        </w:r>
        <w:proofErr w:type="spellStart"/>
        <w:r w:rsidRPr="001B5DA0">
          <w:t>Norway</w:t>
        </w:r>
        <w:proofErr w:type="spellEnd"/>
      </w:hyperlink>
    </w:p>
    <w:p w14:paraId="1B0BD7C8" w14:textId="77777777" w:rsidR="0098420A" w:rsidRPr="004471F8" w:rsidRDefault="0098420A" w:rsidP="0098420A">
      <w:pPr>
        <w:pStyle w:val="H1G"/>
        <w:rPr>
          <w:sz w:val="28"/>
          <w:szCs w:val="28"/>
        </w:rPr>
      </w:pPr>
      <w:r w:rsidRPr="00F26AFB">
        <w:tab/>
      </w:r>
      <w:r w:rsidRPr="00F26AFB">
        <w:tab/>
      </w:r>
      <w:bookmarkStart w:id="171" w:name="_Toc174450875"/>
      <w:proofErr w:type="spellStart"/>
      <w:r w:rsidRPr="00722D1C">
        <w:t>Legislation</w:t>
      </w:r>
      <w:proofErr w:type="spellEnd"/>
      <w:r w:rsidRPr="0098420A">
        <w:rPr>
          <w:rStyle w:val="Refdenotaalpie"/>
          <w:b w:val="0"/>
          <w:bCs/>
          <w:sz w:val="20"/>
          <w:vertAlign w:val="baseline"/>
        </w:rPr>
        <w:footnoteReference w:customMarkFollows="1" w:id="21"/>
        <w:t>*</w:t>
      </w:r>
      <w:bookmarkEnd w:id="171"/>
      <w:r w:rsidRPr="00207655">
        <w:rPr>
          <w:rStyle w:val="Refdenotaalpie"/>
          <w:b w:val="0"/>
          <w:bCs/>
          <w:sz w:val="20"/>
        </w:rPr>
        <w:t xml:space="preserve"> </w:t>
      </w:r>
    </w:p>
    <w:p w14:paraId="3061CEC7" w14:textId="77777777" w:rsidR="0098420A" w:rsidRPr="001B5DA0" w:rsidRDefault="0006376E" w:rsidP="0098420A">
      <w:pPr>
        <w:pStyle w:val="SingleTxtG"/>
      </w:pPr>
      <w:hyperlink r:id="rId12" w:history="1">
        <w:r w:rsidR="0098420A" w:rsidRPr="001B5DA0">
          <w:t xml:space="preserve">The </w:t>
        </w:r>
        <w:proofErr w:type="spellStart"/>
        <w:r w:rsidR="0098420A" w:rsidRPr="001B5DA0">
          <w:t>Constitution</w:t>
        </w:r>
        <w:proofErr w:type="spellEnd"/>
        <w:r w:rsidR="0098420A" w:rsidRPr="001B5DA0">
          <w:t xml:space="preserve"> of </w:t>
        </w:r>
        <w:proofErr w:type="spellStart"/>
        <w:r w:rsidR="0098420A" w:rsidRPr="001B5DA0">
          <w:t>Norway</w:t>
        </w:r>
        <w:proofErr w:type="spellEnd"/>
      </w:hyperlink>
    </w:p>
    <w:p w14:paraId="334667D5" w14:textId="77777777" w:rsidR="0098420A" w:rsidRPr="001B5DA0" w:rsidRDefault="0006376E" w:rsidP="0098420A">
      <w:pPr>
        <w:pStyle w:val="SingleTxtG"/>
      </w:pPr>
      <w:hyperlink r:id="rId13" w:history="1">
        <w:r w:rsidR="0098420A" w:rsidRPr="001B5DA0">
          <w:t xml:space="preserve">The </w:t>
        </w:r>
        <w:proofErr w:type="spellStart"/>
        <w:r w:rsidR="0098420A" w:rsidRPr="001B5DA0">
          <w:t>Norwegian</w:t>
        </w:r>
        <w:proofErr w:type="spellEnd"/>
        <w:r w:rsidR="0098420A" w:rsidRPr="001B5DA0">
          <w:t xml:space="preserve"> Human Rights </w:t>
        </w:r>
        <w:proofErr w:type="spellStart"/>
        <w:r w:rsidR="0098420A" w:rsidRPr="001B5DA0">
          <w:t>Act</w:t>
        </w:r>
        <w:proofErr w:type="spellEnd"/>
      </w:hyperlink>
    </w:p>
    <w:p w14:paraId="2F0A316B" w14:textId="77777777" w:rsidR="0098420A" w:rsidRPr="001B5DA0" w:rsidRDefault="0006376E" w:rsidP="0098420A">
      <w:pPr>
        <w:pStyle w:val="SingleTxtG"/>
      </w:pPr>
      <w:hyperlink r:id="rId14" w:history="1">
        <w:r w:rsidR="0098420A" w:rsidRPr="001B5DA0">
          <w:t xml:space="preserve">The </w:t>
        </w:r>
        <w:proofErr w:type="spellStart"/>
        <w:r w:rsidR="0098420A" w:rsidRPr="001B5DA0">
          <w:t>Norwegian</w:t>
        </w:r>
        <w:proofErr w:type="spellEnd"/>
        <w:r w:rsidR="0098420A" w:rsidRPr="001B5DA0">
          <w:t xml:space="preserve"> Penal </w:t>
        </w:r>
        <w:proofErr w:type="spellStart"/>
        <w:r w:rsidR="0098420A" w:rsidRPr="001B5DA0">
          <w:t>Code</w:t>
        </w:r>
        <w:proofErr w:type="spellEnd"/>
      </w:hyperlink>
    </w:p>
    <w:p w14:paraId="3516A3F3" w14:textId="77777777" w:rsidR="0098420A" w:rsidRPr="001B5DA0" w:rsidRDefault="0006376E" w:rsidP="0098420A">
      <w:pPr>
        <w:pStyle w:val="SingleTxtG"/>
      </w:pPr>
      <w:hyperlink r:id="rId15" w:history="1">
        <w:proofErr w:type="spellStart"/>
        <w:r w:rsidR="0098420A" w:rsidRPr="001B5DA0">
          <w:t>Act</w:t>
        </w:r>
        <w:proofErr w:type="spellEnd"/>
        <w:r w:rsidR="0098420A" w:rsidRPr="001B5DA0">
          <w:t xml:space="preserve"> </w:t>
        </w:r>
        <w:proofErr w:type="spellStart"/>
        <w:r w:rsidR="0098420A" w:rsidRPr="001B5DA0">
          <w:t>relating</w:t>
        </w:r>
        <w:proofErr w:type="spellEnd"/>
        <w:r w:rsidR="0098420A" w:rsidRPr="001B5DA0">
          <w:t xml:space="preserve"> to </w:t>
        </w:r>
        <w:proofErr w:type="spellStart"/>
        <w:r w:rsidR="0098420A" w:rsidRPr="001B5DA0">
          <w:t>equality</w:t>
        </w:r>
        <w:proofErr w:type="spellEnd"/>
        <w:r w:rsidR="0098420A" w:rsidRPr="001B5DA0">
          <w:t xml:space="preserve"> and a </w:t>
        </w:r>
        <w:proofErr w:type="spellStart"/>
        <w:r w:rsidR="0098420A" w:rsidRPr="001B5DA0">
          <w:t>prohibition</w:t>
        </w:r>
        <w:proofErr w:type="spellEnd"/>
        <w:r w:rsidR="0098420A" w:rsidRPr="001B5DA0">
          <w:t xml:space="preserve"> against </w:t>
        </w:r>
        <w:proofErr w:type="spellStart"/>
        <w:r w:rsidR="0098420A" w:rsidRPr="001B5DA0">
          <w:t>discrimination</w:t>
        </w:r>
        <w:proofErr w:type="spellEnd"/>
        <w:r w:rsidR="0098420A" w:rsidRPr="001B5DA0">
          <w:t xml:space="preserve"> (the Equality and Anti-</w:t>
        </w:r>
        <w:proofErr w:type="spellStart"/>
        <w:r w:rsidR="0098420A" w:rsidRPr="001B5DA0">
          <w:t>Discrimination</w:t>
        </w:r>
        <w:proofErr w:type="spellEnd"/>
        <w:r w:rsidR="0098420A" w:rsidRPr="001B5DA0">
          <w:t xml:space="preserve"> </w:t>
        </w:r>
        <w:proofErr w:type="spellStart"/>
        <w:r w:rsidR="0098420A" w:rsidRPr="001B5DA0">
          <w:t>Act</w:t>
        </w:r>
        <w:proofErr w:type="spellEnd"/>
        <w:r w:rsidR="0098420A" w:rsidRPr="001B5DA0">
          <w:t xml:space="preserve">) </w:t>
        </w:r>
      </w:hyperlink>
    </w:p>
    <w:p w14:paraId="409C5F18" w14:textId="77777777" w:rsidR="0098420A" w:rsidRPr="001B5DA0" w:rsidRDefault="0006376E" w:rsidP="0098420A">
      <w:pPr>
        <w:pStyle w:val="SingleTxtG"/>
      </w:pPr>
      <w:hyperlink r:id="rId16" w:history="1">
        <w:r w:rsidR="0098420A" w:rsidRPr="001B5DA0">
          <w:t xml:space="preserve">The Sami </w:t>
        </w:r>
        <w:proofErr w:type="spellStart"/>
        <w:r w:rsidR="0098420A" w:rsidRPr="001B5DA0">
          <w:t>Act</w:t>
        </w:r>
        <w:proofErr w:type="spellEnd"/>
      </w:hyperlink>
    </w:p>
    <w:p w14:paraId="49F8EFF0" w14:textId="77777777" w:rsidR="0098420A" w:rsidRPr="001B5DA0" w:rsidRDefault="0006376E" w:rsidP="0098420A">
      <w:pPr>
        <w:pStyle w:val="SingleTxtG"/>
      </w:pPr>
      <w:hyperlink r:id="rId17" w:history="1">
        <w:proofErr w:type="spellStart"/>
        <w:r w:rsidR="0098420A" w:rsidRPr="001B5DA0">
          <w:t>Act</w:t>
        </w:r>
        <w:proofErr w:type="spellEnd"/>
        <w:r w:rsidR="0098420A" w:rsidRPr="001B5DA0">
          <w:t xml:space="preserve"> </w:t>
        </w:r>
        <w:proofErr w:type="spellStart"/>
        <w:r w:rsidR="0098420A" w:rsidRPr="001B5DA0">
          <w:t>relating</w:t>
        </w:r>
        <w:proofErr w:type="spellEnd"/>
        <w:r w:rsidR="0098420A" w:rsidRPr="001B5DA0">
          <w:t xml:space="preserve"> to </w:t>
        </w:r>
        <w:proofErr w:type="spellStart"/>
        <w:r w:rsidR="0098420A" w:rsidRPr="001B5DA0">
          <w:t>municipalities</w:t>
        </w:r>
        <w:proofErr w:type="spellEnd"/>
        <w:r w:rsidR="0098420A" w:rsidRPr="001B5DA0">
          <w:t xml:space="preserve"> and </w:t>
        </w:r>
        <w:proofErr w:type="spellStart"/>
        <w:r w:rsidR="0098420A" w:rsidRPr="001B5DA0">
          <w:t>county</w:t>
        </w:r>
        <w:proofErr w:type="spellEnd"/>
        <w:r w:rsidR="0098420A" w:rsidRPr="001B5DA0">
          <w:t xml:space="preserve"> </w:t>
        </w:r>
        <w:proofErr w:type="spellStart"/>
        <w:r w:rsidR="0098420A" w:rsidRPr="001B5DA0">
          <w:t>authorities</w:t>
        </w:r>
        <w:proofErr w:type="spellEnd"/>
        <w:r w:rsidR="0098420A" w:rsidRPr="001B5DA0">
          <w:t xml:space="preserve"> (the Local </w:t>
        </w:r>
        <w:proofErr w:type="spellStart"/>
        <w:r w:rsidR="0098420A" w:rsidRPr="001B5DA0">
          <w:t>Government</w:t>
        </w:r>
        <w:proofErr w:type="spellEnd"/>
        <w:r w:rsidR="0098420A" w:rsidRPr="001B5DA0">
          <w:t xml:space="preserve"> </w:t>
        </w:r>
        <w:proofErr w:type="spellStart"/>
        <w:r w:rsidR="0098420A" w:rsidRPr="001B5DA0">
          <w:t>Act</w:t>
        </w:r>
        <w:proofErr w:type="spellEnd"/>
        <w:r w:rsidR="0098420A" w:rsidRPr="001B5DA0">
          <w:t>)</w:t>
        </w:r>
      </w:hyperlink>
    </w:p>
    <w:p w14:paraId="6E19AA51" w14:textId="77777777" w:rsidR="0098420A" w:rsidRPr="001B5DA0" w:rsidRDefault="0006376E" w:rsidP="0098420A">
      <w:pPr>
        <w:pStyle w:val="SingleTxtG"/>
      </w:pPr>
      <w:hyperlink r:id="rId18" w:history="1">
        <w:proofErr w:type="spellStart"/>
        <w:r w:rsidR="0098420A" w:rsidRPr="001B5DA0">
          <w:t>Act</w:t>
        </w:r>
        <w:proofErr w:type="spellEnd"/>
        <w:r w:rsidR="0098420A" w:rsidRPr="001B5DA0">
          <w:t xml:space="preserve"> </w:t>
        </w:r>
        <w:proofErr w:type="spellStart"/>
        <w:r w:rsidR="0098420A" w:rsidRPr="001B5DA0">
          <w:t>Relating</w:t>
        </w:r>
        <w:proofErr w:type="spellEnd"/>
        <w:r w:rsidR="0098420A" w:rsidRPr="001B5DA0">
          <w:t xml:space="preserve"> to the </w:t>
        </w:r>
        <w:proofErr w:type="spellStart"/>
        <w:r w:rsidR="0098420A" w:rsidRPr="001B5DA0">
          <w:t>Ombudsperson</w:t>
        </w:r>
        <w:proofErr w:type="spellEnd"/>
        <w:r w:rsidR="0098420A" w:rsidRPr="001B5DA0">
          <w:t xml:space="preserve"> for Children</w:t>
        </w:r>
      </w:hyperlink>
    </w:p>
    <w:p w14:paraId="69A7E759" w14:textId="77777777" w:rsidR="0098420A" w:rsidRPr="001B5DA0" w:rsidRDefault="0098420A" w:rsidP="0098420A">
      <w:pPr>
        <w:pStyle w:val="SingleTxtG"/>
      </w:pPr>
      <w:r w:rsidRPr="001B5DA0">
        <w:fldChar w:fldCharType="begin"/>
      </w:r>
      <w:r w:rsidRPr="001B5DA0">
        <w:instrText xml:space="preserve"> HYPERLINK "https://lovdata.no/lov/2021-06-18-121" </w:instrText>
      </w:r>
      <w:r w:rsidRPr="001B5DA0">
        <w:fldChar w:fldCharType="separate"/>
      </w:r>
      <w:proofErr w:type="spellStart"/>
      <w:r w:rsidRPr="001B5DA0">
        <w:t>Act</w:t>
      </w:r>
      <w:proofErr w:type="spellEnd"/>
      <w:r w:rsidRPr="001B5DA0">
        <w:t xml:space="preserve"> </w:t>
      </w:r>
      <w:proofErr w:type="spellStart"/>
      <w:r w:rsidRPr="001B5DA0">
        <w:t>relating</w:t>
      </w:r>
      <w:proofErr w:type="spellEnd"/>
      <w:r w:rsidRPr="001B5DA0">
        <w:t xml:space="preserve"> to the </w:t>
      </w:r>
      <w:proofErr w:type="spellStart"/>
      <w:r w:rsidRPr="001B5DA0">
        <w:t>Parliamentary</w:t>
      </w:r>
      <w:proofErr w:type="spellEnd"/>
      <w:r w:rsidRPr="001B5DA0">
        <w:t xml:space="preserve"> </w:t>
      </w:r>
      <w:proofErr w:type="spellStart"/>
      <w:r w:rsidRPr="001B5DA0">
        <w:t>Ombud</w:t>
      </w:r>
      <w:proofErr w:type="spellEnd"/>
      <w:r w:rsidRPr="001B5DA0">
        <w:t xml:space="preserve"> for </w:t>
      </w:r>
      <w:proofErr w:type="spellStart"/>
      <w:r w:rsidRPr="001B5DA0">
        <w:t>Scrutiny</w:t>
      </w:r>
      <w:proofErr w:type="spellEnd"/>
      <w:r w:rsidRPr="001B5DA0">
        <w:t xml:space="preserve"> of the </w:t>
      </w:r>
      <w:proofErr w:type="spellStart"/>
      <w:r w:rsidRPr="001B5DA0">
        <w:t>Public</w:t>
      </w:r>
      <w:proofErr w:type="spellEnd"/>
      <w:r w:rsidRPr="001B5DA0">
        <w:t xml:space="preserve"> </w:t>
      </w:r>
      <w:proofErr w:type="spellStart"/>
      <w:r w:rsidRPr="001B5DA0">
        <w:t>Administration</w:t>
      </w:r>
      <w:proofErr w:type="spellEnd"/>
      <w:r w:rsidRPr="0098420A">
        <w:rPr>
          <w:rStyle w:val="Refdenotaalpie"/>
          <w:sz w:val="20"/>
          <w:szCs w:val="22"/>
          <w:vertAlign w:val="baseline"/>
        </w:rPr>
        <w:footnoteReference w:customMarkFollows="1" w:id="22"/>
        <w:t>**</w:t>
      </w:r>
    </w:p>
    <w:p w14:paraId="69634055" w14:textId="77777777" w:rsidR="0098420A" w:rsidRPr="001B5DA0" w:rsidRDefault="0098420A" w:rsidP="0098420A">
      <w:pPr>
        <w:pStyle w:val="SingleTxtG"/>
      </w:pPr>
      <w:r w:rsidRPr="001B5DA0">
        <w:fldChar w:fldCharType="end"/>
      </w:r>
      <w:hyperlink r:id="rId19" w:history="1">
        <w:proofErr w:type="spellStart"/>
        <w:r w:rsidRPr="001B5DA0">
          <w:t>Act</w:t>
        </w:r>
        <w:proofErr w:type="spellEnd"/>
        <w:r w:rsidRPr="001B5DA0">
          <w:t xml:space="preserve"> </w:t>
        </w:r>
        <w:proofErr w:type="spellStart"/>
        <w:r w:rsidRPr="001B5DA0">
          <w:t>relating</w:t>
        </w:r>
        <w:proofErr w:type="spellEnd"/>
        <w:r w:rsidRPr="001B5DA0">
          <w:t xml:space="preserve"> to the </w:t>
        </w:r>
        <w:proofErr w:type="spellStart"/>
        <w:r w:rsidRPr="001B5DA0">
          <w:t>Norwegian</w:t>
        </w:r>
        <w:proofErr w:type="spellEnd"/>
        <w:r w:rsidRPr="001B5DA0">
          <w:t xml:space="preserve"> National Human Rights </w:t>
        </w:r>
        <w:proofErr w:type="spellStart"/>
        <w:r w:rsidRPr="001B5DA0">
          <w:t>Institution</w:t>
        </w:r>
        <w:proofErr w:type="spellEnd"/>
      </w:hyperlink>
    </w:p>
    <w:p w14:paraId="1FA7F883" w14:textId="77777777" w:rsidR="0098420A" w:rsidRPr="001B5DA0" w:rsidRDefault="0006376E" w:rsidP="0098420A">
      <w:pPr>
        <w:pStyle w:val="SingleTxtG"/>
      </w:pPr>
      <w:hyperlink r:id="rId20" w:history="1">
        <w:proofErr w:type="spellStart"/>
        <w:r w:rsidR="0098420A" w:rsidRPr="001B5DA0">
          <w:t>Act</w:t>
        </w:r>
        <w:proofErr w:type="spellEnd"/>
        <w:r w:rsidR="0098420A" w:rsidRPr="001B5DA0">
          <w:t xml:space="preserve"> </w:t>
        </w:r>
        <w:proofErr w:type="spellStart"/>
        <w:r w:rsidR="0098420A" w:rsidRPr="001B5DA0">
          <w:t>relating</w:t>
        </w:r>
        <w:proofErr w:type="spellEnd"/>
        <w:r w:rsidR="0098420A" w:rsidRPr="001B5DA0">
          <w:t xml:space="preserve"> to </w:t>
        </w:r>
        <w:proofErr w:type="spellStart"/>
        <w:r w:rsidR="0098420A" w:rsidRPr="001B5DA0">
          <w:t>Primary</w:t>
        </w:r>
        <w:proofErr w:type="spellEnd"/>
        <w:r w:rsidR="0098420A" w:rsidRPr="001B5DA0">
          <w:t xml:space="preserve"> and </w:t>
        </w:r>
        <w:proofErr w:type="spellStart"/>
        <w:r w:rsidR="0098420A" w:rsidRPr="001B5DA0">
          <w:t>Secondary</w:t>
        </w:r>
        <w:proofErr w:type="spellEnd"/>
        <w:r w:rsidR="0098420A" w:rsidRPr="001B5DA0">
          <w:t xml:space="preserve"> </w:t>
        </w:r>
        <w:proofErr w:type="spellStart"/>
        <w:r w:rsidR="0098420A" w:rsidRPr="001B5DA0">
          <w:t>Education</w:t>
        </w:r>
        <w:proofErr w:type="spellEnd"/>
        <w:r w:rsidR="0098420A" w:rsidRPr="001B5DA0">
          <w:t xml:space="preserve"> and Training (the </w:t>
        </w:r>
        <w:proofErr w:type="spellStart"/>
        <w:r w:rsidR="0098420A" w:rsidRPr="001B5DA0">
          <w:t>Education</w:t>
        </w:r>
        <w:proofErr w:type="spellEnd"/>
        <w:r w:rsidR="0098420A" w:rsidRPr="001B5DA0">
          <w:t xml:space="preserve"> </w:t>
        </w:r>
        <w:proofErr w:type="spellStart"/>
        <w:r w:rsidR="0098420A" w:rsidRPr="001B5DA0">
          <w:t>Act</w:t>
        </w:r>
        <w:proofErr w:type="spellEnd"/>
        <w:r w:rsidR="0098420A" w:rsidRPr="001B5DA0">
          <w:t>)</w:t>
        </w:r>
      </w:hyperlink>
    </w:p>
    <w:p w14:paraId="09F58831" w14:textId="77777777" w:rsidR="0098420A" w:rsidRPr="001B5DA0" w:rsidRDefault="0006376E" w:rsidP="0098420A">
      <w:pPr>
        <w:pStyle w:val="SingleTxtG"/>
      </w:pPr>
      <w:hyperlink r:id="rId21" w:history="1">
        <w:proofErr w:type="spellStart"/>
        <w:r w:rsidR="0098420A" w:rsidRPr="001B5DA0">
          <w:t>Act</w:t>
        </w:r>
        <w:proofErr w:type="spellEnd"/>
        <w:r w:rsidR="0098420A" w:rsidRPr="001B5DA0">
          <w:t xml:space="preserve"> </w:t>
        </w:r>
        <w:proofErr w:type="spellStart"/>
        <w:r w:rsidR="0098420A" w:rsidRPr="001B5DA0">
          <w:t>relating</w:t>
        </w:r>
        <w:proofErr w:type="spellEnd"/>
        <w:r w:rsidR="0098420A" w:rsidRPr="001B5DA0">
          <w:t xml:space="preserve"> to </w:t>
        </w:r>
        <w:proofErr w:type="spellStart"/>
        <w:r w:rsidR="0098420A" w:rsidRPr="001B5DA0">
          <w:t>Universities</w:t>
        </w:r>
        <w:proofErr w:type="spellEnd"/>
        <w:r w:rsidR="0098420A" w:rsidRPr="001B5DA0">
          <w:t xml:space="preserve"> and </w:t>
        </w:r>
        <w:proofErr w:type="spellStart"/>
        <w:r w:rsidR="0098420A" w:rsidRPr="001B5DA0">
          <w:t>University</w:t>
        </w:r>
        <w:proofErr w:type="spellEnd"/>
        <w:r w:rsidR="0098420A" w:rsidRPr="001B5DA0">
          <w:t xml:space="preserve"> </w:t>
        </w:r>
        <w:proofErr w:type="spellStart"/>
        <w:r w:rsidR="0098420A" w:rsidRPr="001B5DA0">
          <w:t>Colleges</w:t>
        </w:r>
        <w:proofErr w:type="spellEnd"/>
      </w:hyperlink>
    </w:p>
    <w:p w14:paraId="2B768809" w14:textId="77777777" w:rsidR="0098420A" w:rsidRPr="00F26AFB" w:rsidRDefault="0006376E" w:rsidP="0098420A">
      <w:pPr>
        <w:pStyle w:val="SingleTxtG"/>
      </w:pPr>
      <w:hyperlink r:id="rId22" w:history="1">
        <w:proofErr w:type="spellStart"/>
        <w:r w:rsidR="0098420A" w:rsidRPr="001B5DA0">
          <w:t>Other</w:t>
        </w:r>
        <w:proofErr w:type="spellEnd"/>
        <w:r w:rsidR="0098420A" w:rsidRPr="001B5DA0">
          <w:t xml:space="preserve"> </w:t>
        </w:r>
        <w:proofErr w:type="spellStart"/>
        <w:r w:rsidR="0098420A" w:rsidRPr="001B5DA0">
          <w:t>Norwegian</w:t>
        </w:r>
        <w:proofErr w:type="spellEnd"/>
        <w:r w:rsidR="0098420A" w:rsidRPr="001B5DA0">
          <w:t xml:space="preserve"> </w:t>
        </w:r>
        <w:proofErr w:type="spellStart"/>
        <w:r w:rsidR="0098420A" w:rsidRPr="001B5DA0">
          <w:t>legislation</w:t>
        </w:r>
        <w:proofErr w:type="spellEnd"/>
        <w:r w:rsidR="0098420A" w:rsidRPr="001B5DA0">
          <w:t xml:space="preserve"> in English</w:t>
        </w:r>
      </w:hyperlink>
    </w:p>
    <w:p w14:paraId="7D4D78A3" w14:textId="77777777" w:rsidR="0098420A" w:rsidRDefault="0098420A" w:rsidP="0098420A">
      <w:pPr>
        <w:jc w:val="center"/>
        <w:rPr>
          <w:u w:val="single"/>
          <w:lang w:val="fr-CH"/>
        </w:rPr>
      </w:pPr>
      <w:r w:rsidRPr="003E5C6C">
        <w:rPr>
          <w:u w:val="single"/>
          <w:lang w:val="fr-CH"/>
        </w:rPr>
        <w:tab/>
      </w:r>
      <w:r w:rsidRPr="003E5C6C">
        <w:rPr>
          <w:u w:val="single"/>
          <w:lang w:val="fr-CH"/>
        </w:rPr>
        <w:tab/>
      </w:r>
      <w:r w:rsidRPr="003E5C6C">
        <w:rPr>
          <w:u w:val="single"/>
          <w:lang w:val="fr-CH"/>
        </w:rPr>
        <w:tab/>
      </w:r>
    </w:p>
    <w:p w14:paraId="2DA1F4B8" w14:textId="77777777" w:rsidR="00DA21FF" w:rsidRPr="00DA21FF" w:rsidRDefault="00DA21FF" w:rsidP="00DA21FF">
      <w:pPr>
        <w:pStyle w:val="SingleTxtG"/>
      </w:pPr>
    </w:p>
    <w:sectPr w:rsidR="00DA21FF" w:rsidRPr="00DA21FF" w:rsidSect="00C2155F">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A234B" w14:textId="77777777" w:rsidR="00682ECD" w:rsidRPr="00AC76E8" w:rsidRDefault="00682ECD" w:rsidP="00AC76E8">
      <w:pPr>
        <w:pStyle w:val="Piedepgina"/>
      </w:pPr>
    </w:p>
  </w:endnote>
  <w:endnote w:type="continuationSeparator" w:id="0">
    <w:p w14:paraId="4D6283B3" w14:textId="77777777" w:rsidR="00682ECD" w:rsidRPr="00AC76E8" w:rsidRDefault="00682ECD"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pCentury Old Styl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8D482" w14:textId="609CCA50" w:rsidR="00C2155F" w:rsidRPr="00C2155F" w:rsidRDefault="00C2155F" w:rsidP="00C2155F">
    <w:pPr>
      <w:pStyle w:val="Piedepgina"/>
      <w:tabs>
        <w:tab w:val="right" w:pos="9638"/>
      </w:tabs>
    </w:pPr>
    <w:r w:rsidRPr="00C2155F">
      <w:rPr>
        <w:b/>
        <w:sz w:val="18"/>
      </w:rPr>
      <w:fldChar w:fldCharType="begin"/>
    </w:r>
    <w:r w:rsidRPr="00C2155F">
      <w:rPr>
        <w:b/>
        <w:sz w:val="18"/>
      </w:rPr>
      <w:instrText xml:space="preserve"> PAGE  \* MERGEFORMAT </w:instrText>
    </w:r>
    <w:r w:rsidRPr="00C2155F">
      <w:rPr>
        <w:b/>
        <w:sz w:val="18"/>
      </w:rPr>
      <w:fldChar w:fldCharType="separate"/>
    </w:r>
    <w:r w:rsidRPr="00C2155F">
      <w:rPr>
        <w:b/>
        <w:noProof/>
        <w:sz w:val="18"/>
      </w:rPr>
      <w:t>2</w:t>
    </w:r>
    <w:r w:rsidRPr="00C2155F">
      <w:rPr>
        <w:b/>
        <w:sz w:val="18"/>
      </w:rPr>
      <w:fldChar w:fldCharType="end"/>
    </w:r>
    <w:r>
      <w:rPr>
        <w:b/>
        <w:sz w:val="18"/>
      </w:rPr>
      <w:tab/>
    </w:r>
    <w:proofErr w:type="spellStart"/>
    <w:r>
      <w:t>GE.24</w:t>
    </w:r>
    <w:proofErr w:type="spellEnd"/>
    <w:r>
      <w:t>-14506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6C65" w14:textId="132B0966" w:rsidR="00C2155F" w:rsidRPr="00C2155F" w:rsidRDefault="00C2155F" w:rsidP="00C2155F">
    <w:pPr>
      <w:pStyle w:val="Piedepgina"/>
      <w:tabs>
        <w:tab w:val="right" w:pos="9638"/>
      </w:tabs>
      <w:rPr>
        <w:b/>
        <w:sz w:val="18"/>
      </w:rPr>
    </w:pPr>
    <w:proofErr w:type="spellStart"/>
    <w:r>
      <w:t>GE.24</w:t>
    </w:r>
    <w:proofErr w:type="spellEnd"/>
    <w:r>
      <w:t>-14506</w:t>
    </w:r>
    <w:r>
      <w:tab/>
    </w:r>
    <w:r w:rsidRPr="00C2155F">
      <w:rPr>
        <w:b/>
        <w:sz w:val="18"/>
      </w:rPr>
      <w:fldChar w:fldCharType="begin"/>
    </w:r>
    <w:r w:rsidRPr="00C2155F">
      <w:rPr>
        <w:b/>
        <w:sz w:val="18"/>
      </w:rPr>
      <w:instrText xml:space="preserve"> PAGE  \* MERGEFORMAT </w:instrText>
    </w:r>
    <w:r w:rsidRPr="00C2155F">
      <w:rPr>
        <w:b/>
        <w:sz w:val="18"/>
      </w:rPr>
      <w:fldChar w:fldCharType="separate"/>
    </w:r>
    <w:r w:rsidRPr="00C2155F">
      <w:rPr>
        <w:b/>
        <w:noProof/>
        <w:sz w:val="18"/>
      </w:rPr>
      <w:t>3</w:t>
    </w:r>
    <w:r w:rsidRPr="00C215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598E4" w14:textId="48710993" w:rsidR="00666938" w:rsidRPr="00C2155F" w:rsidRDefault="00C2155F" w:rsidP="00C2155F">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3AB1F53E" wp14:editId="114ABC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-14506  (S)</w:t>
    </w:r>
    <w:r>
      <w:rPr>
        <w:noProof/>
        <w:sz w:val="20"/>
      </w:rPr>
      <w:drawing>
        <wp:anchor distT="0" distB="0" distL="114300" distR="114300" simplePos="0" relativeHeight="251658752" behindDoc="0" locked="0" layoutInCell="1" allowOverlap="1" wp14:anchorId="298F1E47" wp14:editId="7A220A92">
          <wp:simplePos x="0" y="0"/>
          <wp:positionH relativeFrom="margin">
            <wp:posOffset>5489575</wp:posOffset>
          </wp:positionH>
          <wp:positionV relativeFrom="margin">
            <wp:posOffset>8891905</wp:posOffset>
          </wp:positionV>
          <wp:extent cx="628650" cy="628650"/>
          <wp:effectExtent l="0" t="0" r="0" b="0"/>
          <wp:wrapNone/>
          <wp:docPr id="320137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071024    </w:t>
    </w:r>
    <w:r w:rsidR="004E1ABD" w:rsidRPr="004E1ABD">
      <w:rPr>
        <w:bCs/>
        <w:sz w:val="20"/>
      </w:rPr>
      <w:t>25</w:t>
    </w:r>
    <w:r w:rsidRPr="004E1ABD">
      <w:rPr>
        <w:bCs/>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8AE45" w14:textId="77777777" w:rsidR="00682ECD" w:rsidRPr="001075E9" w:rsidRDefault="00682ECD" w:rsidP="001075E9">
      <w:pPr>
        <w:tabs>
          <w:tab w:val="right" w:pos="2155"/>
        </w:tabs>
        <w:spacing w:after="80" w:line="240" w:lineRule="auto"/>
        <w:ind w:left="680"/>
        <w:rPr>
          <w:u w:val="single"/>
        </w:rPr>
      </w:pPr>
      <w:r>
        <w:rPr>
          <w:u w:val="single"/>
        </w:rPr>
        <w:tab/>
      </w:r>
    </w:p>
  </w:footnote>
  <w:footnote w:type="continuationSeparator" w:id="0">
    <w:p w14:paraId="1DAADDE5" w14:textId="77777777" w:rsidR="00682ECD" w:rsidRDefault="00682ECD" w:rsidP="00AC76E8">
      <w:pPr>
        <w:tabs>
          <w:tab w:val="right" w:pos="2155"/>
        </w:tabs>
        <w:spacing w:after="80" w:line="240" w:lineRule="auto"/>
        <w:ind w:left="680"/>
        <w:rPr>
          <w:u w:val="single"/>
        </w:rPr>
      </w:pPr>
      <w:r>
        <w:rPr>
          <w:u w:val="single"/>
        </w:rPr>
        <w:tab/>
      </w:r>
    </w:p>
  </w:footnote>
  <w:footnote w:id="1">
    <w:p w14:paraId="20D655CB" w14:textId="77777777" w:rsidR="00DA21FF" w:rsidRPr="001F409F" w:rsidRDefault="00DA21FF" w:rsidP="005027A7">
      <w:pPr>
        <w:pStyle w:val="Textonotapie"/>
      </w:pPr>
      <w:r w:rsidRPr="001F409F">
        <w:tab/>
      </w:r>
      <w:r w:rsidRPr="005027A7">
        <w:rPr>
          <w:sz w:val="20"/>
          <w:szCs w:val="22"/>
        </w:rPr>
        <w:t>*</w:t>
      </w:r>
      <w:r w:rsidRPr="005027A7">
        <w:rPr>
          <w:sz w:val="20"/>
          <w:szCs w:val="22"/>
        </w:rPr>
        <w:tab/>
      </w:r>
      <w:r w:rsidRPr="001F409F">
        <w:t>La versión original del presente documento no fue objeto de revisión editorial oficial.</w:t>
      </w:r>
    </w:p>
  </w:footnote>
  <w:footnote w:id="2">
    <w:p w14:paraId="59A6125A" w14:textId="77777777" w:rsidR="00DA21FF" w:rsidRPr="001F409F" w:rsidRDefault="00DA21FF" w:rsidP="005027A7">
      <w:pPr>
        <w:pStyle w:val="Textonotapie"/>
      </w:pPr>
      <w:r w:rsidRPr="001F409F">
        <w:tab/>
      </w:r>
      <w:r w:rsidRPr="00653C36">
        <w:rPr>
          <w:rStyle w:val="Refdenotaalpie"/>
        </w:rPr>
        <w:footnoteRef/>
      </w:r>
      <w:r w:rsidRPr="001F409F">
        <w:tab/>
        <w:t>Tipo de cambio medio en 2023.</w:t>
      </w:r>
    </w:p>
  </w:footnote>
  <w:footnote w:id="3">
    <w:p w14:paraId="531AFD15" w14:textId="77777777" w:rsidR="00DA21FF" w:rsidRPr="001F409F" w:rsidRDefault="00DA21FF" w:rsidP="005027A7">
      <w:pPr>
        <w:pStyle w:val="Textonotapie"/>
      </w:pPr>
      <w:r w:rsidRPr="001F409F">
        <w:tab/>
      </w:r>
      <w:r w:rsidRPr="00653C36">
        <w:rPr>
          <w:rStyle w:val="Refdenotaalpie"/>
        </w:rPr>
        <w:footnoteRef/>
      </w:r>
      <w:r w:rsidRPr="001F409F">
        <w:tab/>
        <w:t>Precios constantes de 2015.</w:t>
      </w:r>
    </w:p>
  </w:footnote>
  <w:footnote w:id="4">
    <w:p w14:paraId="4D6BE82B" w14:textId="77777777" w:rsidR="00DA21FF" w:rsidRPr="001F409F" w:rsidRDefault="00DA21FF" w:rsidP="005027A7">
      <w:pPr>
        <w:pStyle w:val="Textonotapie"/>
      </w:pPr>
      <w:r w:rsidRPr="001F409F">
        <w:tab/>
      </w:r>
      <w:r w:rsidRPr="00653C36">
        <w:rPr>
          <w:rStyle w:val="Refdenotaalpie"/>
        </w:rPr>
        <w:footnoteRef/>
      </w:r>
      <w:r w:rsidRPr="001F409F">
        <w:tab/>
        <w:t xml:space="preserve">La medida se basa en lo que se denomina </w:t>
      </w:r>
      <w:r w:rsidRPr="00373B5F">
        <w:rPr>
          <w:u w:val="single"/>
        </w:rPr>
        <w:t>escala de equivalencia de la UE</w:t>
      </w:r>
      <w:r w:rsidRPr="001F409F">
        <w:t>. Una escala de equivalencia es un método para dividir los ingresos de los hogares entre las personas que viven en el hogar (incluidos los niños) teniendo en cuenta la economía de escala en los hogares con varios miembros. Esto se hace aplicando en mayor escala los ingresos individuales en los hogares con varias personas. Hay varias escalas en uso en todo el mundo, pero las más comunes son las utilizadas por la UE y la OCDE.</w:t>
      </w:r>
    </w:p>
  </w:footnote>
  <w:footnote w:id="5">
    <w:p w14:paraId="3FB695C9" w14:textId="77777777" w:rsidR="00DA21FF" w:rsidRPr="001F409F" w:rsidRDefault="00DA21FF" w:rsidP="005027A7">
      <w:pPr>
        <w:pStyle w:val="Textonotapie"/>
      </w:pPr>
      <w:r w:rsidRPr="001F409F">
        <w:tab/>
      </w:r>
      <w:r w:rsidRPr="00653C36">
        <w:rPr>
          <w:rStyle w:val="Refdenotaalpie"/>
        </w:rPr>
        <w:footnoteRef/>
      </w:r>
      <w:r w:rsidRPr="001F409F">
        <w:tab/>
        <w:t>Los importes negativos se han puesto a cero.</w:t>
      </w:r>
    </w:p>
  </w:footnote>
  <w:footnote w:id="6">
    <w:p w14:paraId="5A9D0387" w14:textId="77777777" w:rsidR="00DA21FF" w:rsidRPr="001F409F" w:rsidRDefault="00DA21FF" w:rsidP="005027A7">
      <w:pPr>
        <w:pStyle w:val="Textonotapie"/>
      </w:pPr>
      <w:r w:rsidRPr="001F409F">
        <w:tab/>
      </w:r>
      <w:r w:rsidRPr="00653C36">
        <w:rPr>
          <w:rStyle w:val="Refdenotaalpie"/>
        </w:rPr>
        <w:footnoteRef/>
      </w:r>
      <w:r w:rsidRPr="001F409F">
        <w:tab/>
        <w:t>Los importes negativos se han puesto a cero.</w:t>
      </w:r>
    </w:p>
  </w:footnote>
  <w:footnote w:id="7">
    <w:p w14:paraId="549D4522" w14:textId="77777777" w:rsidR="00DA21FF" w:rsidRPr="001F409F" w:rsidRDefault="00DA21FF" w:rsidP="005027A7">
      <w:pPr>
        <w:pStyle w:val="Textonotapie"/>
      </w:pPr>
      <w:r w:rsidRPr="001F409F">
        <w:tab/>
      </w:r>
      <w:r w:rsidRPr="00653C36">
        <w:rPr>
          <w:rStyle w:val="Refdenotaalpie"/>
        </w:rPr>
        <w:footnoteRef/>
      </w:r>
      <w:r w:rsidRPr="001F409F">
        <w:tab/>
        <w:t>Quedan excluidas las personas que viven en hogares de estudiantes.</w:t>
      </w:r>
    </w:p>
  </w:footnote>
  <w:footnote w:id="8">
    <w:p w14:paraId="30720331" w14:textId="77777777" w:rsidR="00DA21FF" w:rsidRPr="001F409F" w:rsidRDefault="00DA21FF" w:rsidP="005027A7">
      <w:pPr>
        <w:pStyle w:val="Textonotapie"/>
      </w:pPr>
      <w:r w:rsidRPr="001F409F">
        <w:tab/>
      </w:r>
      <w:r w:rsidRPr="00653C36">
        <w:rPr>
          <w:rStyle w:val="Refdenotaalpie"/>
        </w:rPr>
        <w:footnoteRef/>
      </w:r>
      <w:r w:rsidRPr="001F409F">
        <w:tab/>
        <w:t>No se incluyen las personas sin estudios o con estudios desconocidos.</w:t>
      </w:r>
    </w:p>
  </w:footnote>
  <w:footnote w:id="9">
    <w:p w14:paraId="20F1407A" w14:textId="193E42EB" w:rsidR="00DA21FF" w:rsidRPr="001F409F" w:rsidRDefault="00DA21FF" w:rsidP="005027A7">
      <w:pPr>
        <w:pStyle w:val="Textonotapie"/>
      </w:pPr>
      <w:r w:rsidRPr="001F409F">
        <w:rPr>
          <w:i/>
        </w:rPr>
        <w:tab/>
      </w:r>
      <w:r w:rsidRPr="00653C36">
        <w:rPr>
          <w:rStyle w:val="Refdenotaalpie"/>
        </w:rPr>
        <w:footnoteRef/>
      </w:r>
      <w:r w:rsidRPr="001F409F">
        <w:tab/>
        <w:t xml:space="preserve">Estudiantes que se matricularon por primera vez en la enseñanza superior entre el </w:t>
      </w:r>
      <w:proofErr w:type="spellStart"/>
      <w:r w:rsidRPr="001F409F">
        <w:t>1.10.aaaa</w:t>
      </w:r>
      <w:proofErr w:type="spellEnd"/>
      <w:r w:rsidRPr="001F409F">
        <w:t xml:space="preserve"> y el</w:t>
      </w:r>
      <w:r w:rsidR="00BF2258">
        <w:t> </w:t>
      </w:r>
      <w:proofErr w:type="spellStart"/>
      <w:r w:rsidRPr="001F409F">
        <w:t>30.09.aaaa</w:t>
      </w:r>
      <w:proofErr w:type="spellEnd"/>
      <w:r w:rsidRPr="001F409F">
        <w:t xml:space="preserve">. (Ejemplo: 2006 se refiere a 1.10.2005 a 30.09.2006). </w:t>
      </w:r>
    </w:p>
  </w:footnote>
  <w:footnote w:id="10">
    <w:p w14:paraId="62433B58" w14:textId="4B646C2E" w:rsidR="00DA21FF" w:rsidRPr="001F409F" w:rsidRDefault="00DA21FF" w:rsidP="005027A7">
      <w:pPr>
        <w:pStyle w:val="Textonotapie"/>
      </w:pPr>
      <w:r w:rsidRPr="001F409F">
        <w:tab/>
      </w:r>
      <w:r w:rsidRPr="00653C36">
        <w:rPr>
          <w:rStyle w:val="Refdenotaalpie"/>
        </w:rPr>
        <w:footnoteRef/>
      </w:r>
      <w:r w:rsidRPr="001F409F">
        <w:t xml:space="preserve"> </w:t>
      </w:r>
      <w:r w:rsidRPr="001F409F">
        <w:tab/>
        <w:t>Excluidos los países nórdicos</w:t>
      </w:r>
      <w:r w:rsidR="0063751E">
        <w:t>.</w:t>
      </w:r>
    </w:p>
  </w:footnote>
  <w:footnote w:id="11">
    <w:p w14:paraId="4848938F" w14:textId="77777777" w:rsidR="00DA21FF" w:rsidRPr="001F409F" w:rsidRDefault="00DA21FF" w:rsidP="005027A7">
      <w:pPr>
        <w:pStyle w:val="Textonotapie"/>
      </w:pPr>
      <w:r w:rsidRPr="001F409F">
        <w:tab/>
      </w:r>
      <w:r w:rsidRPr="00653C36">
        <w:rPr>
          <w:rStyle w:val="Refdenotaalpie"/>
        </w:rPr>
        <w:footnoteRef/>
      </w:r>
      <w:r w:rsidRPr="001F409F">
        <w:t xml:space="preserve"> </w:t>
      </w:r>
      <w:r w:rsidRPr="001F409F">
        <w:tab/>
        <w:t>Los desempleados registrados abarcan los desempleados inscritos en la Administración de Trabajo y Bienestar de Noruega. La tasa de desempleo registrado suele ser inferior a la tasa de desempleo de la encuesta de población activa. Esto se debe en parte a que los encuestados que declaran estar desempleados en la encuesta de población activa no necesariamente se han registrado como desempleados en la Administración de Trabajo y Bienestar de Noruega.</w:t>
      </w:r>
    </w:p>
  </w:footnote>
  <w:footnote w:id="12">
    <w:p w14:paraId="28AB2DBA" w14:textId="77777777" w:rsidR="00373B5F" w:rsidRPr="0002793D" w:rsidRDefault="00373B5F" w:rsidP="00653C36">
      <w:pPr>
        <w:pStyle w:val="Textonotapie"/>
      </w:pPr>
      <w:r w:rsidRPr="0002793D">
        <w:tab/>
      </w:r>
      <w:r w:rsidRPr="00653C36">
        <w:rPr>
          <w:rStyle w:val="Refdenotaalpie"/>
        </w:rPr>
        <w:footnoteRef/>
      </w:r>
      <w:r w:rsidRPr="0002793D">
        <w:tab/>
        <w:t xml:space="preserve">Referencia: </w:t>
      </w:r>
      <w:proofErr w:type="spellStart"/>
      <w:r w:rsidRPr="0002793D">
        <w:t>HR</w:t>
      </w:r>
      <w:proofErr w:type="spellEnd"/>
      <w:r w:rsidRPr="0002793D">
        <w:t>-2016-2554-P.</w:t>
      </w:r>
    </w:p>
  </w:footnote>
  <w:footnote w:id="13">
    <w:p w14:paraId="4A05F869" w14:textId="77777777" w:rsidR="00373B5F" w:rsidRPr="0002793D" w:rsidRDefault="00373B5F" w:rsidP="00653C36">
      <w:pPr>
        <w:pStyle w:val="Textonotapie"/>
      </w:pPr>
      <w:r w:rsidRPr="0002793D">
        <w:tab/>
      </w:r>
      <w:r w:rsidRPr="00653C36">
        <w:rPr>
          <w:rStyle w:val="Refdenotaalpie"/>
        </w:rPr>
        <w:footnoteRef/>
      </w:r>
      <w:r w:rsidRPr="0002793D">
        <w:tab/>
        <w:t>Véanse los párrafos 126 a 130.</w:t>
      </w:r>
    </w:p>
  </w:footnote>
  <w:footnote w:id="14">
    <w:p w14:paraId="6217A4B1" w14:textId="77777777" w:rsidR="00373B5F" w:rsidRPr="0002793D" w:rsidRDefault="00373B5F" w:rsidP="00653C36">
      <w:pPr>
        <w:pStyle w:val="Textonotapie"/>
      </w:pPr>
      <w:r w:rsidRPr="0002793D">
        <w:tab/>
      </w:r>
      <w:r w:rsidRPr="00653C36">
        <w:rPr>
          <w:rStyle w:val="Refdenotaalpie"/>
        </w:rPr>
        <w:footnoteRef/>
      </w:r>
      <w:r w:rsidRPr="0002793D">
        <w:tab/>
      </w:r>
      <w:proofErr w:type="spellStart"/>
      <w:r w:rsidRPr="0002793D">
        <w:t>ny</w:t>
      </w:r>
      <w:proofErr w:type="spellEnd"/>
      <w:r w:rsidRPr="0002793D">
        <w:t>-</w:t>
      </w:r>
      <w:proofErr w:type="spellStart"/>
      <w:r w:rsidRPr="0002793D">
        <w:t>barnevernslov</w:t>
      </w:r>
      <w:proofErr w:type="spellEnd"/>
      <w:r w:rsidRPr="0002793D">
        <w:t>-1.-</w:t>
      </w:r>
      <w:proofErr w:type="spellStart"/>
      <w:r w:rsidRPr="0002793D">
        <w:t>januar</w:t>
      </w:r>
      <w:proofErr w:type="spellEnd"/>
      <w:r w:rsidRPr="0002793D">
        <w:t>-2023-</w:t>
      </w:r>
      <w:proofErr w:type="spellStart"/>
      <w:r w:rsidRPr="0002793D">
        <w:t>en.pdf</w:t>
      </w:r>
      <w:proofErr w:type="spellEnd"/>
      <w:r w:rsidRPr="0002793D">
        <w:t xml:space="preserve"> (</w:t>
      </w:r>
      <w:proofErr w:type="spellStart"/>
      <w:r w:rsidRPr="0002793D">
        <w:t>regjeringen.no</w:t>
      </w:r>
      <w:proofErr w:type="spellEnd"/>
      <w:r w:rsidRPr="0002793D">
        <w:t>).</w:t>
      </w:r>
    </w:p>
  </w:footnote>
  <w:footnote w:id="15">
    <w:p w14:paraId="4015FE41" w14:textId="3955656F" w:rsidR="00373B5F" w:rsidRPr="0002793D" w:rsidRDefault="00373B5F" w:rsidP="00653C36">
      <w:pPr>
        <w:pStyle w:val="Textonotapie"/>
      </w:pPr>
      <w:r w:rsidRPr="0002793D">
        <w:tab/>
      </w:r>
      <w:r w:rsidRPr="00653C36">
        <w:rPr>
          <w:rStyle w:val="Refdenotaalpie"/>
        </w:rPr>
        <w:footnoteRef/>
      </w:r>
      <w:r w:rsidRPr="0002793D">
        <w:tab/>
      </w:r>
      <w:hyperlink r:id="rId1" w:history="1">
        <w:proofErr w:type="spellStart"/>
        <w:r w:rsidRPr="00653C36">
          <w:rPr>
            <w:rStyle w:val="Hipervnculo"/>
          </w:rPr>
          <w:t>www.lovdata.no</w:t>
        </w:r>
        <w:proofErr w:type="spellEnd"/>
      </w:hyperlink>
      <w:r w:rsidRPr="0002793D">
        <w:t>.</w:t>
      </w:r>
    </w:p>
  </w:footnote>
  <w:footnote w:id="16">
    <w:p w14:paraId="26C7E94B" w14:textId="56DAB7E4" w:rsidR="00373B5F" w:rsidRPr="0002793D" w:rsidRDefault="00373B5F" w:rsidP="00653C36">
      <w:pPr>
        <w:pStyle w:val="Textonotapie"/>
      </w:pPr>
      <w:r w:rsidRPr="0002793D">
        <w:tab/>
      </w:r>
      <w:r w:rsidRPr="00653C36">
        <w:rPr>
          <w:rStyle w:val="Refdenotaalpie"/>
        </w:rPr>
        <w:footnoteRef/>
      </w:r>
      <w:r w:rsidRPr="0002793D">
        <w:tab/>
      </w:r>
      <w:hyperlink r:id="rId2" w:history="1">
        <w:r w:rsidR="00653C36" w:rsidRPr="008E7454">
          <w:rPr>
            <w:rStyle w:val="Hipervnculo"/>
          </w:rPr>
          <w:t>https://www.regjeringen.no/no/tema/likestilling-og-inkludering/likestilling-og-inkludering/</w:t>
        </w:r>
        <w:r w:rsidR="00653C36" w:rsidRPr="008E7454">
          <w:rPr>
            <w:rStyle w:val="Hipervnculo"/>
          </w:rPr>
          <w:br/>
        </w:r>
        <w:proofErr w:type="spellStart"/>
        <w:r w:rsidR="00653C36" w:rsidRPr="008E7454">
          <w:rPr>
            <w:rStyle w:val="Hipervnculo"/>
          </w:rPr>
          <w:t>konvensjoner</w:t>
        </w:r>
        <w:proofErr w:type="spellEnd"/>
        <w:r w:rsidR="00653C36" w:rsidRPr="008E7454">
          <w:rPr>
            <w:rStyle w:val="Hipervnculo"/>
          </w:rPr>
          <w:t>/</w:t>
        </w:r>
        <w:proofErr w:type="spellStart"/>
        <w:r w:rsidR="00653C36" w:rsidRPr="008E7454">
          <w:rPr>
            <w:rStyle w:val="Hipervnculo"/>
          </w:rPr>
          <w:t>id2510574</w:t>
        </w:r>
        <w:proofErr w:type="spellEnd"/>
        <w:r w:rsidR="00653C36" w:rsidRPr="008E7454">
          <w:rPr>
            <w:rStyle w:val="Hipervnculo"/>
          </w:rPr>
          <w:t>/</w:t>
        </w:r>
      </w:hyperlink>
      <w:r w:rsidRPr="0002793D">
        <w:t>.</w:t>
      </w:r>
    </w:p>
  </w:footnote>
  <w:footnote w:id="17">
    <w:p w14:paraId="5E4DA861" w14:textId="1B5F210E" w:rsidR="00373B5F" w:rsidRPr="0002793D" w:rsidRDefault="00373B5F" w:rsidP="00653C36">
      <w:pPr>
        <w:pStyle w:val="Textonotapie"/>
      </w:pPr>
      <w:r w:rsidRPr="0002793D">
        <w:tab/>
      </w:r>
      <w:r w:rsidRPr="00653C36">
        <w:rPr>
          <w:rStyle w:val="Refdenotaalpie"/>
        </w:rPr>
        <w:footnoteRef/>
      </w:r>
      <w:r w:rsidRPr="0002793D">
        <w:tab/>
        <w:t xml:space="preserve">Disponible aquí: </w:t>
      </w:r>
      <w:hyperlink r:id="rId3" w:history="1">
        <w:r w:rsidRPr="00054780">
          <w:rPr>
            <w:rStyle w:val="Hipervnculo"/>
          </w:rPr>
          <w:t>https://www.regjeringen.no/en/dokumenter/the-governments-strategy-against-hate-speech-20162020/id2520975/</w:t>
        </w:r>
      </w:hyperlink>
      <w:r w:rsidRPr="0002793D">
        <w:t>.</w:t>
      </w:r>
    </w:p>
  </w:footnote>
  <w:footnote w:id="18">
    <w:p w14:paraId="64416BAD" w14:textId="77777777" w:rsidR="00373B5F" w:rsidRPr="0002793D" w:rsidRDefault="00373B5F" w:rsidP="00653C36">
      <w:pPr>
        <w:pStyle w:val="Textonotapie"/>
      </w:pPr>
      <w:r w:rsidRPr="0002793D">
        <w:tab/>
      </w:r>
      <w:r w:rsidRPr="00653C36">
        <w:rPr>
          <w:rStyle w:val="Refdenotaalpie"/>
        </w:rPr>
        <w:footnoteRef/>
      </w:r>
      <w:r w:rsidRPr="0002793D">
        <w:t xml:space="preserve"> </w:t>
      </w:r>
      <w:r w:rsidRPr="0002793D">
        <w:tab/>
        <w:t>Informe Oficial Noruego (NOU) 2022: 9 Discurso público abierto e ilustrado.</w:t>
      </w:r>
    </w:p>
  </w:footnote>
  <w:footnote w:id="19">
    <w:p w14:paraId="3CCCAEE7" w14:textId="77777777" w:rsidR="00373B5F" w:rsidRPr="0002793D" w:rsidRDefault="00373B5F" w:rsidP="00653C36">
      <w:pPr>
        <w:pStyle w:val="Textonotapie"/>
      </w:pPr>
      <w:r w:rsidRPr="0002793D">
        <w:tab/>
      </w:r>
      <w:r w:rsidRPr="00653C36">
        <w:rPr>
          <w:rStyle w:val="Refdenotaalpie"/>
        </w:rPr>
        <w:footnoteRef/>
      </w:r>
      <w:r w:rsidRPr="0002793D">
        <w:tab/>
      </w:r>
      <w:r w:rsidRPr="00054780">
        <w:rPr>
          <w:i/>
        </w:rPr>
        <w:t>Fuente:</w:t>
      </w:r>
      <w:r w:rsidRPr="0002793D">
        <w:t xml:space="preserve"> Instituto Nacional de Estadística de Noruega.</w:t>
      </w:r>
    </w:p>
  </w:footnote>
  <w:footnote w:id="20">
    <w:p w14:paraId="135EB2B5" w14:textId="02F64E0E" w:rsidR="00373B5F" w:rsidRPr="0002793D" w:rsidRDefault="00373B5F" w:rsidP="00653C36">
      <w:pPr>
        <w:pStyle w:val="Textonotapie"/>
      </w:pPr>
      <w:r w:rsidRPr="0002793D">
        <w:tab/>
      </w:r>
      <w:r w:rsidRPr="00653C36">
        <w:rPr>
          <w:rStyle w:val="Refdenotaalpie"/>
        </w:rPr>
        <w:footnoteRef/>
      </w:r>
      <w:r w:rsidRPr="0002793D">
        <w:t xml:space="preserve"> </w:t>
      </w:r>
      <w:r w:rsidRPr="0002793D">
        <w:tab/>
      </w:r>
      <w:hyperlink r:id="rId4" w:history="1">
        <w:r w:rsidRPr="00054780">
          <w:rPr>
            <w:rStyle w:val="Hipervnculo"/>
          </w:rPr>
          <w:t>www.regjeringen.no/contentassets/bb45eed3479549719fb14c78eba35bd4/strategi-mot-barnefattigdom_web.pdf</w:t>
        </w:r>
      </w:hyperlink>
      <w:r w:rsidRPr="0002793D">
        <w:t>.</w:t>
      </w:r>
    </w:p>
  </w:footnote>
  <w:footnote w:id="21">
    <w:p w14:paraId="201A0E56" w14:textId="77777777" w:rsidR="0098420A" w:rsidRPr="00AE40C5" w:rsidRDefault="0098420A" w:rsidP="00653C36">
      <w:pPr>
        <w:pStyle w:val="Textonotapie"/>
        <w:rPr>
          <w:szCs w:val="18"/>
        </w:rPr>
      </w:pPr>
      <w:r>
        <w:tab/>
      </w:r>
      <w:r w:rsidRPr="00653C36">
        <w:rPr>
          <w:sz w:val="20"/>
        </w:rPr>
        <w:t>*</w:t>
      </w:r>
      <w:r w:rsidRPr="00AE40C5">
        <w:rPr>
          <w:szCs w:val="18"/>
        </w:rPr>
        <w:tab/>
      </w:r>
      <w:proofErr w:type="spellStart"/>
      <w:r w:rsidRPr="00AE40C5">
        <w:rPr>
          <w:szCs w:val="18"/>
        </w:rPr>
        <w:t>Unofficial</w:t>
      </w:r>
      <w:proofErr w:type="spellEnd"/>
      <w:r w:rsidRPr="00AE40C5">
        <w:rPr>
          <w:szCs w:val="18"/>
        </w:rPr>
        <w:t xml:space="preserve"> </w:t>
      </w:r>
      <w:r w:rsidRPr="00AE40C5">
        <w:rPr>
          <w:szCs w:val="18"/>
          <w:lang w:val="en-US"/>
        </w:rPr>
        <w:t>English translations.</w:t>
      </w:r>
    </w:p>
  </w:footnote>
  <w:footnote w:id="22">
    <w:p w14:paraId="22A4BC4E" w14:textId="77777777" w:rsidR="0098420A" w:rsidRPr="00AE40C5" w:rsidRDefault="0098420A" w:rsidP="00653C36">
      <w:pPr>
        <w:pStyle w:val="Textonotapie"/>
      </w:pPr>
      <w:r w:rsidRPr="00AE40C5">
        <w:rPr>
          <w:szCs w:val="18"/>
        </w:rPr>
        <w:tab/>
      </w:r>
      <w:r w:rsidRPr="00653C36">
        <w:rPr>
          <w:sz w:val="20"/>
        </w:rPr>
        <w:t>**</w:t>
      </w:r>
      <w:r w:rsidRPr="00AE40C5">
        <w:rPr>
          <w:szCs w:val="18"/>
        </w:rPr>
        <w:tab/>
        <w:t xml:space="preserve">In </w:t>
      </w:r>
      <w:proofErr w:type="spellStart"/>
      <w:r w:rsidRPr="00AE40C5">
        <w:rPr>
          <w:szCs w:val="18"/>
        </w:rPr>
        <w:t>Norwegian</w:t>
      </w:r>
      <w:proofErr w:type="spellEnd"/>
      <w:r w:rsidRPr="00AE40C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E7B60" w14:textId="1B2DB652" w:rsidR="00C2155F" w:rsidRPr="00C2155F" w:rsidRDefault="0063751E">
    <w:pPr>
      <w:pStyle w:val="Encabezado"/>
    </w:pPr>
    <w:r>
      <w:fldChar w:fldCharType="begin"/>
    </w:r>
    <w:r>
      <w:instrText xml:space="preserve"> TITLE  \* MERGEFORMAT </w:instrText>
    </w:r>
    <w:r>
      <w:fldChar w:fldCharType="separate"/>
    </w:r>
    <w:proofErr w:type="spellStart"/>
    <w:r w:rsidR="0006376E">
      <w:t>HRI</w:t>
    </w:r>
    <w:proofErr w:type="spellEnd"/>
    <w:r w:rsidR="0006376E">
      <w:t>/CORE/</w:t>
    </w:r>
    <w:proofErr w:type="spellStart"/>
    <w:r w:rsidR="0006376E">
      <w:t>NOR</w:t>
    </w:r>
    <w:proofErr w:type="spellEnd"/>
    <w:r w:rsidR="0006376E">
      <w:t>/2024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AD73A" w14:textId="0870D796" w:rsidR="00C2155F" w:rsidRPr="00C2155F" w:rsidRDefault="0063751E" w:rsidP="00C2155F">
    <w:pPr>
      <w:pStyle w:val="Encabezado"/>
      <w:jc w:val="right"/>
    </w:pPr>
    <w:r>
      <w:fldChar w:fldCharType="begin"/>
    </w:r>
    <w:r>
      <w:instrText xml:space="preserve"> TITLE  \* MERGEFORMAT </w:instrText>
    </w:r>
    <w:r>
      <w:fldChar w:fldCharType="separate"/>
    </w:r>
    <w:proofErr w:type="spellStart"/>
    <w:r w:rsidR="0006376E">
      <w:t>HRI</w:t>
    </w:r>
    <w:proofErr w:type="spellEnd"/>
    <w:r w:rsidR="0006376E">
      <w:t>/CORE/</w:t>
    </w:r>
    <w:proofErr w:type="spellStart"/>
    <w:r w:rsidR="0006376E">
      <w:t>NOR</w:t>
    </w:r>
    <w:proofErr w:type="spellEnd"/>
    <w:r w:rsidR="0006376E">
      <w:t>/2024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A54A6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7484602">
    <w:abstractNumId w:val="24"/>
  </w:num>
  <w:num w:numId="2" w16cid:durableId="670259451">
    <w:abstractNumId w:val="16"/>
  </w:num>
  <w:num w:numId="3" w16cid:durableId="1456755406">
    <w:abstractNumId w:val="27"/>
  </w:num>
  <w:num w:numId="4" w16cid:durableId="1994874533">
    <w:abstractNumId w:val="26"/>
  </w:num>
  <w:num w:numId="5" w16cid:durableId="127286682">
    <w:abstractNumId w:val="21"/>
  </w:num>
  <w:num w:numId="6" w16cid:durableId="1910731187">
    <w:abstractNumId w:val="8"/>
  </w:num>
  <w:num w:numId="7" w16cid:durableId="1479611139">
    <w:abstractNumId w:val="3"/>
  </w:num>
  <w:num w:numId="8" w16cid:durableId="665281554">
    <w:abstractNumId w:val="2"/>
  </w:num>
  <w:num w:numId="9" w16cid:durableId="315306960">
    <w:abstractNumId w:val="1"/>
  </w:num>
  <w:num w:numId="10" w16cid:durableId="1246502019">
    <w:abstractNumId w:val="0"/>
  </w:num>
  <w:num w:numId="11" w16cid:durableId="645664739">
    <w:abstractNumId w:val="9"/>
  </w:num>
  <w:num w:numId="12" w16cid:durableId="279844219">
    <w:abstractNumId w:val="7"/>
  </w:num>
  <w:num w:numId="13" w16cid:durableId="1258293267">
    <w:abstractNumId w:val="6"/>
  </w:num>
  <w:num w:numId="14" w16cid:durableId="292366396">
    <w:abstractNumId w:val="5"/>
  </w:num>
  <w:num w:numId="15" w16cid:durableId="511529216">
    <w:abstractNumId w:val="4"/>
  </w:num>
  <w:num w:numId="16" w16cid:durableId="892741903">
    <w:abstractNumId w:val="12"/>
  </w:num>
  <w:num w:numId="17" w16cid:durableId="276184483">
    <w:abstractNumId w:val="24"/>
  </w:num>
  <w:num w:numId="18" w16cid:durableId="2029597189">
    <w:abstractNumId w:val="16"/>
  </w:num>
  <w:num w:numId="19" w16cid:durableId="1400980675">
    <w:abstractNumId w:val="12"/>
  </w:num>
  <w:num w:numId="20" w16cid:durableId="1473251853">
    <w:abstractNumId w:val="27"/>
  </w:num>
  <w:num w:numId="21" w16cid:durableId="243338340">
    <w:abstractNumId w:val="26"/>
  </w:num>
  <w:num w:numId="22" w16cid:durableId="432359607">
    <w:abstractNumId w:val="17"/>
  </w:num>
  <w:num w:numId="23" w16cid:durableId="582181999">
    <w:abstractNumId w:val="17"/>
  </w:num>
  <w:num w:numId="24" w16cid:durableId="48581435">
    <w:abstractNumId w:val="21"/>
  </w:num>
  <w:num w:numId="25" w16cid:durableId="425732465">
    <w:abstractNumId w:val="9"/>
  </w:num>
  <w:num w:numId="26" w16cid:durableId="1746029112">
    <w:abstractNumId w:val="7"/>
  </w:num>
  <w:num w:numId="27" w16cid:durableId="1424641114">
    <w:abstractNumId w:val="6"/>
  </w:num>
  <w:num w:numId="28" w16cid:durableId="1603101806">
    <w:abstractNumId w:val="5"/>
  </w:num>
  <w:num w:numId="29" w16cid:durableId="1673796746">
    <w:abstractNumId w:val="4"/>
  </w:num>
  <w:num w:numId="30" w16cid:durableId="14500921">
    <w:abstractNumId w:val="8"/>
  </w:num>
  <w:num w:numId="31" w16cid:durableId="1923099411">
    <w:abstractNumId w:val="3"/>
  </w:num>
  <w:num w:numId="32" w16cid:durableId="1127510460">
    <w:abstractNumId w:val="2"/>
  </w:num>
  <w:num w:numId="33" w16cid:durableId="704671410">
    <w:abstractNumId w:val="1"/>
  </w:num>
  <w:num w:numId="34" w16cid:durableId="1913156161">
    <w:abstractNumId w:val="0"/>
  </w:num>
  <w:num w:numId="35" w16cid:durableId="1889951379">
    <w:abstractNumId w:val="10"/>
  </w:num>
  <w:num w:numId="36" w16cid:durableId="580678683">
    <w:abstractNumId w:val="20"/>
  </w:num>
  <w:num w:numId="37" w16cid:durableId="2077823851">
    <w:abstractNumId w:val="14"/>
  </w:num>
  <w:num w:numId="38" w16cid:durableId="1894078670">
    <w:abstractNumId w:val="25"/>
  </w:num>
  <w:num w:numId="39" w16cid:durableId="1920673581">
    <w:abstractNumId w:val="15"/>
  </w:num>
  <w:num w:numId="40" w16cid:durableId="1779132136">
    <w:abstractNumId w:val="19"/>
  </w:num>
  <w:num w:numId="41" w16cid:durableId="1540707514">
    <w:abstractNumId w:val="18"/>
  </w:num>
  <w:num w:numId="42" w16cid:durableId="2128354830">
    <w:abstractNumId w:val="22"/>
  </w:num>
  <w:num w:numId="43" w16cid:durableId="711805135">
    <w:abstractNumId w:val="13"/>
  </w:num>
  <w:num w:numId="44" w16cid:durableId="210927600">
    <w:abstractNumId w:val="23"/>
  </w:num>
  <w:num w:numId="45"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ECD"/>
    <w:rsid w:val="00000A64"/>
    <w:rsid w:val="00033EE1"/>
    <w:rsid w:val="00052CDE"/>
    <w:rsid w:val="00054780"/>
    <w:rsid w:val="0006376E"/>
    <w:rsid w:val="000725E8"/>
    <w:rsid w:val="000A16A2"/>
    <w:rsid w:val="000B57E7"/>
    <w:rsid w:val="000E2249"/>
    <w:rsid w:val="000F09DF"/>
    <w:rsid w:val="000F61B2"/>
    <w:rsid w:val="001075E9"/>
    <w:rsid w:val="0010796B"/>
    <w:rsid w:val="00117F19"/>
    <w:rsid w:val="00124A9F"/>
    <w:rsid w:val="001256EA"/>
    <w:rsid w:val="00142722"/>
    <w:rsid w:val="001560AB"/>
    <w:rsid w:val="001611AC"/>
    <w:rsid w:val="001650CD"/>
    <w:rsid w:val="001658D1"/>
    <w:rsid w:val="0017589D"/>
    <w:rsid w:val="00180183"/>
    <w:rsid w:val="00181AFB"/>
    <w:rsid w:val="0018649F"/>
    <w:rsid w:val="00196389"/>
    <w:rsid w:val="001B7BF2"/>
    <w:rsid w:val="001C7A89"/>
    <w:rsid w:val="002340E6"/>
    <w:rsid w:val="002348A1"/>
    <w:rsid w:val="00237FAD"/>
    <w:rsid w:val="00295893"/>
    <w:rsid w:val="002A2EFC"/>
    <w:rsid w:val="002B0F41"/>
    <w:rsid w:val="002C0E18"/>
    <w:rsid w:val="002D5AAC"/>
    <w:rsid w:val="002E0A90"/>
    <w:rsid w:val="002F29EC"/>
    <w:rsid w:val="002F5430"/>
    <w:rsid w:val="00301299"/>
    <w:rsid w:val="00302D2B"/>
    <w:rsid w:val="00321FCC"/>
    <w:rsid w:val="00322004"/>
    <w:rsid w:val="003402C2"/>
    <w:rsid w:val="0036600C"/>
    <w:rsid w:val="00367431"/>
    <w:rsid w:val="00373B5F"/>
    <w:rsid w:val="00381C24"/>
    <w:rsid w:val="003958D0"/>
    <w:rsid w:val="003B00E5"/>
    <w:rsid w:val="003E7D98"/>
    <w:rsid w:val="003F1C60"/>
    <w:rsid w:val="003F4F34"/>
    <w:rsid w:val="003F6AB0"/>
    <w:rsid w:val="00412876"/>
    <w:rsid w:val="00414A16"/>
    <w:rsid w:val="00427F10"/>
    <w:rsid w:val="00454E07"/>
    <w:rsid w:val="00465412"/>
    <w:rsid w:val="00465BE1"/>
    <w:rsid w:val="004705A5"/>
    <w:rsid w:val="004A0F53"/>
    <w:rsid w:val="004C662A"/>
    <w:rsid w:val="004D2A99"/>
    <w:rsid w:val="004D2C52"/>
    <w:rsid w:val="004D3D05"/>
    <w:rsid w:val="004D3D0B"/>
    <w:rsid w:val="004D45DB"/>
    <w:rsid w:val="004E1ABD"/>
    <w:rsid w:val="0050108D"/>
    <w:rsid w:val="00501F38"/>
    <w:rsid w:val="005027A7"/>
    <w:rsid w:val="00515B0A"/>
    <w:rsid w:val="00522544"/>
    <w:rsid w:val="005332CE"/>
    <w:rsid w:val="00557AA7"/>
    <w:rsid w:val="00572E19"/>
    <w:rsid w:val="005969B8"/>
    <w:rsid w:val="005A1AA8"/>
    <w:rsid w:val="005C43E4"/>
    <w:rsid w:val="005E066B"/>
    <w:rsid w:val="005F0B42"/>
    <w:rsid w:val="0063751E"/>
    <w:rsid w:val="00653C36"/>
    <w:rsid w:val="00666938"/>
    <w:rsid w:val="00680417"/>
    <w:rsid w:val="00682ECD"/>
    <w:rsid w:val="0069426E"/>
    <w:rsid w:val="006C1EF8"/>
    <w:rsid w:val="006C51FE"/>
    <w:rsid w:val="006E69AB"/>
    <w:rsid w:val="006F35EE"/>
    <w:rsid w:val="007021FF"/>
    <w:rsid w:val="007358B2"/>
    <w:rsid w:val="007561CB"/>
    <w:rsid w:val="00757357"/>
    <w:rsid w:val="00764249"/>
    <w:rsid w:val="007832AC"/>
    <w:rsid w:val="007972A8"/>
    <w:rsid w:val="007D17C6"/>
    <w:rsid w:val="007D7208"/>
    <w:rsid w:val="0082699E"/>
    <w:rsid w:val="00834B71"/>
    <w:rsid w:val="00847DC5"/>
    <w:rsid w:val="008504FF"/>
    <w:rsid w:val="00853903"/>
    <w:rsid w:val="0086445C"/>
    <w:rsid w:val="008A08D7"/>
    <w:rsid w:val="008C1073"/>
    <w:rsid w:val="00901CD5"/>
    <w:rsid w:val="00906890"/>
    <w:rsid w:val="00932CF7"/>
    <w:rsid w:val="00951972"/>
    <w:rsid w:val="0095700F"/>
    <w:rsid w:val="0096216B"/>
    <w:rsid w:val="0098420A"/>
    <w:rsid w:val="00996BF2"/>
    <w:rsid w:val="00A11346"/>
    <w:rsid w:val="00A27CAD"/>
    <w:rsid w:val="00A36AA3"/>
    <w:rsid w:val="00A917B3"/>
    <w:rsid w:val="00A922BD"/>
    <w:rsid w:val="00AB4B51"/>
    <w:rsid w:val="00AC14E4"/>
    <w:rsid w:val="00AC76E8"/>
    <w:rsid w:val="00AF1B93"/>
    <w:rsid w:val="00B05B7F"/>
    <w:rsid w:val="00B10CC7"/>
    <w:rsid w:val="00B31513"/>
    <w:rsid w:val="00B43F85"/>
    <w:rsid w:val="00B460DE"/>
    <w:rsid w:val="00B62458"/>
    <w:rsid w:val="00B6440E"/>
    <w:rsid w:val="00B65693"/>
    <w:rsid w:val="00B77A4B"/>
    <w:rsid w:val="00BA56B6"/>
    <w:rsid w:val="00BB4C55"/>
    <w:rsid w:val="00BB6203"/>
    <w:rsid w:val="00BC4122"/>
    <w:rsid w:val="00BD33EE"/>
    <w:rsid w:val="00BF113C"/>
    <w:rsid w:val="00BF2258"/>
    <w:rsid w:val="00C057D5"/>
    <w:rsid w:val="00C15DB4"/>
    <w:rsid w:val="00C2155F"/>
    <w:rsid w:val="00C35803"/>
    <w:rsid w:val="00C542E9"/>
    <w:rsid w:val="00C57E42"/>
    <w:rsid w:val="00C60F0C"/>
    <w:rsid w:val="00C805C9"/>
    <w:rsid w:val="00CA1679"/>
    <w:rsid w:val="00CA619A"/>
    <w:rsid w:val="00CD7CB2"/>
    <w:rsid w:val="00D05606"/>
    <w:rsid w:val="00D33D63"/>
    <w:rsid w:val="00D4001E"/>
    <w:rsid w:val="00D42E61"/>
    <w:rsid w:val="00D52DBF"/>
    <w:rsid w:val="00D67092"/>
    <w:rsid w:val="00D90138"/>
    <w:rsid w:val="00DA21FF"/>
    <w:rsid w:val="00DB34E1"/>
    <w:rsid w:val="00DB6076"/>
    <w:rsid w:val="00DC036C"/>
    <w:rsid w:val="00DF4F86"/>
    <w:rsid w:val="00E17493"/>
    <w:rsid w:val="00E2391B"/>
    <w:rsid w:val="00E60314"/>
    <w:rsid w:val="00E6742F"/>
    <w:rsid w:val="00E73F76"/>
    <w:rsid w:val="00E7447B"/>
    <w:rsid w:val="00E95817"/>
    <w:rsid w:val="00EA4B2C"/>
    <w:rsid w:val="00EC2B77"/>
    <w:rsid w:val="00EF1360"/>
    <w:rsid w:val="00EF3220"/>
    <w:rsid w:val="00EF4A70"/>
    <w:rsid w:val="00F2520F"/>
    <w:rsid w:val="00F367C1"/>
    <w:rsid w:val="00F80811"/>
    <w:rsid w:val="00F94155"/>
    <w:rsid w:val="00FB0C0A"/>
    <w:rsid w:val="00FD2EF7"/>
    <w:rsid w:val="00FE11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9645B"/>
  <w15:docId w15:val="{38FA7992-B710-4FA5-AB33-8A8A06BE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DA21FF"/>
    <w:rPr>
      <w:rFonts w:cs="Arial"/>
      <w:bCs/>
      <w:iCs/>
      <w:szCs w:val="28"/>
      <w:lang w:val="es-ES" w:eastAsia="es-ES"/>
    </w:rPr>
  </w:style>
  <w:style w:type="character" w:customStyle="1" w:styleId="Ttulo3Car">
    <w:name w:val="Título 3 Car"/>
    <w:basedOn w:val="Fuentedeprrafopredeter"/>
    <w:link w:val="Ttulo3"/>
    <w:semiHidden/>
    <w:rsid w:val="00DA21FF"/>
    <w:rPr>
      <w:rFonts w:ascii="Arial" w:hAnsi="Arial" w:cs="Arial"/>
      <w:b/>
      <w:bCs/>
      <w:sz w:val="26"/>
      <w:szCs w:val="26"/>
      <w:lang w:val="es-ES" w:eastAsia="es-ES"/>
    </w:rPr>
  </w:style>
  <w:style w:type="character" w:customStyle="1" w:styleId="Ttulo4Car">
    <w:name w:val="Título 4 Car"/>
    <w:basedOn w:val="Fuentedeprrafopredeter"/>
    <w:link w:val="Ttulo4"/>
    <w:semiHidden/>
    <w:rsid w:val="00DA21FF"/>
    <w:rPr>
      <w:b/>
      <w:bCs/>
      <w:sz w:val="28"/>
      <w:szCs w:val="28"/>
      <w:lang w:val="es-ES" w:eastAsia="es-ES"/>
    </w:rPr>
  </w:style>
  <w:style w:type="character" w:customStyle="1" w:styleId="Ttulo5Car">
    <w:name w:val="Título 5 Car"/>
    <w:basedOn w:val="Fuentedeprrafopredeter"/>
    <w:link w:val="Ttulo5"/>
    <w:semiHidden/>
    <w:rsid w:val="00DA21FF"/>
    <w:rPr>
      <w:b/>
      <w:bCs/>
      <w:i/>
      <w:iCs/>
      <w:sz w:val="26"/>
      <w:szCs w:val="26"/>
      <w:lang w:val="es-ES" w:eastAsia="es-ES"/>
    </w:rPr>
  </w:style>
  <w:style w:type="character" w:customStyle="1" w:styleId="Ttulo6Car">
    <w:name w:val="Título 6 Car"/>
    <w:basedOn w:val="Fuentedeprrafopredeter"/>
    <w:link w:val="Ttulo6"/>
    <w:semiHidden/>
    <w:rsid w:val="00DA21FF"/>
    <w:rPr>
      <w:b/>
      <w:bCs/>
      <w:sz w:val="22"/>
      <w:szCs w:val="22"/>
      <w:lang w:val="es-ES" w:eastAsia="es-ES"/>
    </w:rPr>
  </w:style>
  <w:style w:type="character" w:customStyle="1" w:styleId="Ttulo7Car">
    <w:name w:val="Título 7 Car"/>
    <w:basedOn w:val="Fuentedeprrafopredeter"/>
    <w:link w:val="Ttulo7"/>
    <w:semiHidden/>
    <w:rsid w:val="00DA21FF"/>
    <w:rPr>
      <w:sz w:val="24"/>
      <w:szCs w:val="24"/>
      <w:lang w:val="es-ES" w:eastAsia="es-ES"/>
    </w:rPr>
  </w:style>
  <w:style w:type="character" w:customStyle="1" w:styleId="Ttulo8Car">
    <w:name w:val="Título 8 Car"/>
    <w:basedOn w:val="Fuentedeprrafopredeter"/>
    <w:link w:val="Ttulo8"/>
    <w:semiHidden/>
    <w:rsid w:val="00DA21FF"/>
    <w:rPr>
      <w:i/>
      <w:iCs/>
      <w:sz w:val="24"/>
      <w:szCs w:val="24"/>
      <w:lang w:val="es-ES" w:eastAsia="es-ES"/>
    </w:rPr>
  </w:style>
  <w:style w:type="character" w:customStyle="1" w:styleId="Ttulo9Car">
    <w:name w:val="Título 9 Car"/>
    <w:basedOn w:val="Fuentedeprrafopredeter"/>
    <w:link w:val="Ttulo9"/>
    <w:semiHidden/>
    <w:rsid w:val="00DA21FF"/>
    <w:rPr>
      <w:rFonts w:ascii="Arial" w:hAnsi="Arial" w:cs="Arial"/>
      <w:sz w:val="22"/>
      <w:szCs w:val="22"/>
      <w:lang w:val="es-ES" w:eastAsia="es-ES"/>
    </w:rPr>
  </w:style>
  <w:style w:type="character" w:styleId="Ttulodellibro">
    <w:name w:val="Book Title"/>
    <w:basedOn w:val="Fuentedeprrafopredeter"/>
    <w:uiPriority w:val="33"/>
    <w:semiHidden/>
    <w:rsid w:val="00DA21FF"/>
    <w:rPr>
      <w:b/>
      <w:bCs/>
      <w:smallCaps/>
      <w:spacing w:val="5"/>
    </w:rPr>
  </w:style>
  <w:style w:type="paragraph" w:styleId="Revisin">
    <w:name w:val="Revision"/>
    <w:hidden/>
    <w:uiPriority w:val="71"/>
    <w:rsid w:val="00DA21FF"/>
    <w:rPr>
      <w:rFonts w:ascii="DepCentury Old Style" w:hAnsi="DepCentury Old Style"/>
      <w:sz w:val="24"/>
      <w:szCs w:val="24"/>
      <w:lang w:val="nb-NO" w:eastAsia="nb-NO"/>
    </w:rPr>
  </w:style>
  <w:style w:type="paragraph" w:styleId="Prrafodelista">
    <w:name w:val="List Paragraph"/>
    <w:basedOn w:val="Normal"/>
    <w:uiPriority w:val="34"/>
    <w:rsid w:val="00DA21FF"/>
    <w:pPr>
      <w:suppressAutoHyphens/>
      <w:ind w:left="720"/>
      <w:contextualSpacing/>
    </w:pPr>
    <w:rPr>
      <w:lang w:val="en-GB" w:eastAsia="en-US"/>
    </w:rPr>
  </w:style>
  <w:style w:type="paragraph" w:styleId="Textocomentario">
    <w:name w:val="annotation text"/>
    <w:basedOn w:val="Normal"/>
    <w:link w:val="TextocomentarioCar"/>
    <w:uiPriority w:val="99"/>
    <w:semiHidden/>
    <w:unhideWhenUsed/>
    <w:rsid w:val="00DA21F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A21FF"/>
    <w:rPr>
      <w:lang w:val="en-GB" w:eastAsia="en-US"/>
    </w:rPr>
  </w:style>
  <w:style w:type="character" w:styleId="Refdecomentario">
    <w:name w:val="annotation reference"/>
    <w:basedOn w:val="Fuentedeprrafopredeter"/>
    <w:uiPriority w:val="99"/>
    <w:semiHidden/>
    <w:unhideWhenUsed/>
    <w:rsid w:val="00DA21FF"/>
    <w:rPr>
      <w:sz w:val="16"/>
      <w:szCs w:val="16"/>
    </w:rPr>
  </w:style>
  <w:style w:type="paragraph" w:styleId="Asuntodelcomentario">
    <w:name w:val="annotation subject"/>
    <w:basedOn w:val="Textocomentario"/>
    <w:next w:val="Textocomentario"/>
    <w:link w:val="AsuntodelcomentarioCar"/>
    <w:uiPriority w:val="99"/>
    <w:semiHidden/>
    <w:unhideWhenUsed/>
    <w:rsid w:val="00DA21FF"/>
    <w:rPr>
      <w:b/>
      <w:bCs/>
    </w:rPr>
  </w:style>
  <w:style w:type="character" w:customStyle="1" w:styleId="AsuntodelcomentarioCar">
    <w:name w:val="Asunto del comentario Car"/>
    <w:basedOn w:val="TextocomentarioCar"/>
    <w:link w:val="Asuntodelcomentario"/>
    <w:uiPriority w:val="99"/>
    <w:semiHidden/>
    <w:rsid w:val="00DA21FF"/>
    <w:rPr>
      <w:b/>
      <w:bCs/>
      <w:lang w:val="en-GB" w:eastAsia="en-US"/>
    </w:rPr>
  </w:style>
  <w:style w:type="character" w:styleId="Mencinsinresolver">
    <w:name w:val="Unresolved Mention"/>
    <w:basedOn w:val="Fuentedeprrafopredeter"/>
    <w:uiPriority w:val="99"/>
    <w:semiHidden/>
    <w:unhideWhenUsed/>
    <w:rsid w:val="00DA2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0608">
      <w:bodyDiv w:val="1"/>
      <w:marLeft w:val="0"/>
      <w:marRight w:val="0"/>
      <w:marTop w:val="0"/>
      <w:marBottom w:val="0"/>
      <w:divBdr>
        <w:top w:val="none" w:sz="0" w:space="0" w:color="auto"/>
        <w:left w:val="none" w:sz="0" w:space="0" w:color="auto"/>
        <w:bottom w:val="none" w:sz="0" w:space="0" w:color="auto"/>
        <w:right w:val="none" w:sz="0" w:space="0" w:color="auto"/>
      </w:divBdr>
    </w:div>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690645663">
      <w:bodyDiv w:val="1"/>
      <w:marLeft w:val="0"/>
      <w:marRight w:val="0"/>
      <w:marTop w:val="0"/>
      <w:marBottom w:val="0"/>
      <w:divBdr>
        <w:top w:val="none" w:sz="0" w:space="0" w:color="auto"/>
        <w:left w:val="none" w:sz="0" w:space="0" w:color="auto"/>
        <w:bottom w:val="none" w:sz="0" w:space="0" w:color="auto"/>
        <w:right w:val="none" w:sz="0" w:space="0" w:color="auto"/>
      </w:divBdr>
    </w:div>
    <w:div w:id="1097100528">
      <w:bodyDiv w:val="1"/>
      <w:marLeft w:val="0"/>
      <w:marRight w:val="0"/>
      <w:marTop w:val="0"/>
      <w:marBottom w:val="0"/>
      <w:divBdr>
        <w:top w:val="none" w:sz="0" w:space="0" w:color="auto"/>
        <w:left w:val="none" w:sz="0" w:space="0" w:color="auto"/>
        <w:bottom w:val="none" w:sz="0" w:space="0" w:color="auto"/>
        <w:right w:val="none" w:sz="0" w:space="0" w:color="auto"/>
      </w:divBdr>
    </w:div>
    <w:div w:id="1247423668">
      <w:bodyDiv w:val="1"/>
      <w:marLeft w:val="0"/>
      <w:marRight w:val="0"/>
      <w:marTop w:val="0"/>
      <w:marBottom w:val="0"/>
      <w:divBdr>
        <w:top w:val="none" w:sz="0" w:space="0" w:color="auto"/>
        <w:left w:val="none" w:sz="0" w:space="0" w:color="auto"/>
        <w:bottom w:val="none" w:sz="0" w:space="0" w:color="auto"/>
        <w:right w:val="none" w:sz="0" w:space="0" w:color="auto"/>
      </w:divBdr>
    </w:div>
    <w:div w:id="1752971933">
      <w:bodyDiv w:val="1"/>
      <w:marLeft w:val="0"/>
      <w:marRight w:val="0"/>
      <w:marTop w:val="0"/>
      <w:marBottom w:val="0"/>
      <w:divBdr>
        <w:top w:val="none" w:sz="0" w:space="0" w:color="auto"/>
        <w:left w:val="none" w:sz="0" w:space="0" w:color="auto"/>
        <w:bottom w:val="none" w:sz="0" w:space="0" w:color="auto"/>
        <w:right w:val="none" w:sz="0" w:space="0" w:color="auto"/>
      </w:divBdr>
    </w:div>
    <w:div w:id="1910965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vdata.no/dokument/NLE/lov/1999-05-21-30?q=The%20Human%20Rights%20Act" TargetMode="External"/><Relationship Id="rId18" Type="http://schemas.openxmlformats.org/officeDocument/2006/relationships/hyperlink" Target="https://lovdata.no/dokument/NLE/lov/1981-03-0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vdata.no/dokument/NLE/lov/2005-04-01-15" TargetMode="External"/><Relationship Id="rId7" Type="http://schemas.openxmlformats.org/officeDocument/2006/relationships/endnotes" Target="endnotes.xml"/><Relationship Id="rId12" Type="http://schemas.openxmlformats.org/officeDocument/2006/relationships/hyperlink" Target="https://lovdata.no/dokument/NLE/lov/1814-05-17" TargetMode="External"/><Relationship Id="rId17" Type="http://schemas.openxmlformats.org/officeDocument/2006/relationships/hyperlink" Target="https://lovdata.no/dokument/NLE/lov/2018-06-22-8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jeringen.no/en/dokumenter/the-sami-act-/id449701/" TargetMode="External"/><Relationship Id="rId20" Type="http://schemas.openxmlformats.org/officeDocument/2006/relationships/hyperlink" Target="https://lovdata.no/dokument/NLE/lov/1998-07-17-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b.no/e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dokument/NLE/lov/2017-06-16-51" TargetMode="External"/><Relationship Id="rId23" Type="http://schemas.openxmlformats.org/officeDocument/2006/relationships/header" Target="header1.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sp.felles.dep.no/sites/f0202f/Dokumenter/Act%20relating%20to%20the%20Norwegian%20National%20Human%20Rights%20Instit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vdata.no/dokument/NLE/lov/2005-05-20-28" TargetMode="External"/><Relationship Id="rId22" Type="http://schemas.openxmlformats.org/officeDocument/2006/relationships/hyperlink" Target="https://lovdata.no/info/information_in_english"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en/dokumenter/the-governments-strategy-against-hate-speech-20162020/id2520975/" TargetMode="External"/><Relationship Id="rId2" Type="http://schemas.openxmlformats.org/officeDocument/2006/relationships/hyperlink" Target="https://www.regjeringen.no/no/tema/likestilling-og-inkludering/likestilling-og-inkludering/konvensjoner/id2510574/" TargetMode="External"/><Relationship Id="rId1" Type="http://schemas.openxmlformats.org/officeDocument/2006/relationships/hyperlink" Target="file:///\\conf-share1\LS\SPA\COMMON\FINAL\www.lovdata.no" TargetMode="External"/><Relationship Id="rId4" Type="http://schemas.openxmlformats.org/officeDocument/2006/relationships/hyperlink" Target="file:///\\conf-share1\LS\SPA\COMMON\FINAL\www.regjeringen.no\contentassets\bb45eed3479549719fb14c78eba35bd4\strategi-mot-barnefattigdom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E1DA7-9679-459E-875E-B508001D7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62</Pages>
  <Words>27880</Words>
  <Characters>153342</Characters>
  <Application>Microsoft Office Word</Application>
  <DocSecurity>0</DocSecurity>
  <Lines>1277</Lines>
  <Paragraphs>361</Paragraphs>
  <ScaleCrop>false</ScaleCrop>
  <HeadingPairs>
    <vt:vector size="2" baseType="variant">
      <vt:variant>
        <vt:lpstr>Título</vt:lpstr>
      </vt:variant>
      <vt:variant>
        <vt:i4>1</vt:i4>
      </vt:variant>
    </vt:vector>
  </HeadingPairs>
  <TitlesOfParts>
    <vt:vector size="1" baseType="lpstr">
      <vt:lpstr>HRI/CORE/NOR/2024</vt:lpstr>
    </vt:vector>
  </TitlesOfParts>
  <Company/>
  <LinksUpToDate>false</LinksUpToDate>
  <CharactersWithSpaces>180861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
  <dc:creator>Javier RODRIGUEZ PEREZ</dc:creator>
  <cp:keywords/>
  <cp:lastModifiedBy>Javier Rodriguez Perez</cp:lastModifiedBy>
  <cp:revision>3</cp:revision>
  <cp:lastPrinted>2024-10-25T12:19:00Z</cp:lastPrinted>
  <dcterms:created xsi:type="dcterms:W3CDTF">2024-10-25T12:19:00Z</dcterms:created>
  <dcterms:modified xsi:type="dcterms:W3CDTF">2024-10-25T12:19:00Z</dcterms:modified>
</cp:coreProperties>
</file>