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CB24697" w14:textId="77777777" w:rsidTr="00BA5E8B">
        <w:trPr>
          <w:trHeight w:hRule="exact" w:val="851"/>
        </w:trPr>
        <w:tc>
          <w:tcPr>
            <w:tcW w:w="1274" w:type="dxa"/>
            <w:tcBorders>
              <w:bottom w:val="single" w:sz="4" w:space="0" w:color="auto"/>
            </w:tcBorders>
          </w:tcPr>
          <w:p w14:paraId="7E63E362" w14:textId="77777777" w:rsidR="006B3E27" w:rsidRPr="003E159A" w:rsidRDefault="006B3E27" w:rsidP="00BA5E8B">
            <w:pPr>
              <w:pStyle w:val="H4GA"/>
              <w:bidi w:val="0"/>
            </w:pPr>
          </w:p>
        </w:tc>
        <w:tc>
          <w:tcPr>
            <w:tcW w:w="4963" w:type="dxa"/>
            <w:tcBorders>
              <w:bottom w:val="single" w:sz="4" w:space="0" w:color="auto"/>
            </w:tcBorders>
            <w:vAlign w:val="bottom"/>
          </w:tcPr>
          <w:p w14:paraId="59172288" w14:textId="77777777"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6794A607" w14:textId="77777777" w:rsidR="006B3E27" w:rsidRPr="003E159A" w:rsidRDefault="00720081" w:rsidP="00071022">
            <w:pPr>
              <w:bidi w:val="0"/>
              <w:spacing w:after="20"/>
              <w:jc w:val="left"/>
              <w:rPr>
                <w:szCs w:val="20"/>
              </w:rPr>
            </w:pPr>
            <w:r w:rsidRPr="00720081">
              <w:rPr>
                <w:sz w:val="40"/>
                <w:szCs w:val="20"/>
              </w:rPr>
              <w:t>C</w:t>
            </w:r>
            <w:r w:rsidRPr="00071022">
              <w:rPr>
                <w:sz w:val="40"/>
                <w:szCs w:val="40"/>
              </w:rPr>
              <w:t>ED</w:t>
            </w:r>
            <w:r>
              <w:rPr>
                <w:szCs w:val="20"/>
              </w:rPr>
              <w:t>/C/16/2</w:t>
            </w:r>
          </w:p>
        </w:tc>
      </w:tr>
      <w:tr w:rsidR="006B3E27" w:rsidRPr="00ED7442" w14:paraId="2226AFB1" w14:textId="77777777" w:rsidTr="00BA5E8B">
        <w:trPr>
          <w:trHeight w:hRule="exact" w:val="2835"/>
        </w:trPr>
        <w:tc>
          <w:tcPr>
            <w:tcW w:w="1274" w:type="dxa"/>
            <w:tcBorders>
              <w:top w:val="single" w:sz="4" w:space="0" w:color="auto"/>
              <w:bottom w:val="single" w:sz="12" w:space="0" w:color="auto"/>
            </w:tcBorders>
          </w:tcPr>
          <w:p w14:paraId="6E4AE5D8" w14:textId="77777777" w:rsidR="006B3E27" w:rsidRPr="00ED7442" w:rsidRDefault="0059622A" w:rsidP="00BA5E8B">
            <w:pPr>
              <w:jc w:val="center"/>
              <w:rPr>
                <w:sz w:val="56"/>
                <w:szCs w:val="56"/>
                <w:rtl/>
              </w:rPr>
            </w:pPr>
            <w:r w:rsidRPr="00ED7442">
              <w:rPr>
                <w:noProof/>
                <w:sz w:val="56"/>
                <w:szCs w:val="56"/>
                <w:lang w:val="fr-CH" w:eastAsia="zh-CN"/>
              </w:rPr>
              <w:drawing>
                <wp:inline distT="0" distB="0" distL="0" distR="0" wp14:anchorId="7ACC4B6D" wp14:editId="0A76876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A608B40" w14:textId="77777777" w:rsidR="006B3E27" w:rsidRPr="008930DB" w:rsidRDefault="00071022" w:rsidP="00071022">
            <w:pPr>
              <w:spacing w:before="120" w:after="40" w:line="640" w:lineRule="exact"/>
              <w:rPr>
                <w:b/>
                <w:bCs/>
                <w:sz w:val="56"/>
                <w:szCs w:val="56"/>
              </w:rPr>
            </w:pPr>
            <w:r w:rsidRPr="00997665">
              <w:rPr>
                <w:rFonts w:hint="cs"/>
                <w:b/>
                <w:bCs/>
                <w:sz w:val="56"/>
                <w:szCs w:val="56"/>
                <w:rtl/>
              </w:rPr>
              <w:t>الاتفاقية الدولية لحماية جميع الأشخاص من الاختفاء القسري</w:t>
            </w:r>
          </w:p>
        </w:tc>
        <w:tc>
          <w:tcPr>
            <w:tcW w:w="3402" w:type="dxa"/>
            <w:tcBorders>
              <w:top w:val="single" w:sz="4" w:space="0" w:color="auto"/>
              <w:bottom w:val="single" w:sz="12" w:space="0" w:color="auto"/>
            </w:tcBorders>
          </w:tcPr>
          <w:p w14:paraId="74CAF2C9" w14:textId="77777777" w:rsidR="006B3E27" w:rsidRDefault="00071022" w:rsidP="00071022">
            <w:pPr>
              <w:bidi w:val="0"/>
              <w:spacing w:before="240"/>
              <w:jc w:val="left"/>
              <w:rPr>
                <w:szCs w:val="20"/>
              </w:rPr>
            </w:pPr>
            <w:r>
              <w:rPr>
                <w:szCs w:val="20"/>
              </w:rPr>
              <w:t>Distr.: General</w:t>
            </w:r>
          </w:p>
          <w:p w14:paraId="28D0EF60" w14:textId="77777777" w:rsidR="00071022" w:rsidRDefault="00264008" w:rsidP="00071022">
            <w:pPr>
              <w:bidi w:val="0"/>
              <w:jc w:val="left"/>
              <w:rPr>
                <w:szCs w:val="20"/>
              </w:rPr>
            </w:pPr>
            <w:r>
              <w:rPr>
                <w:szCs w:val="20"/>
              </w:rPr>
              <w:t>21</w:t>
            </w:r>
            <w:r w:rsidR="00071022">
              <w:rPr>
                <w:szCs w:val="20"/>
              </w:rPr>
              <w:t xml:space="preserve"> May 2019</w:t>
            </w:r>
          </w:p>
          <w:p w14:paraId="727BEE25" w14:textId="77777777" w:rsidR="00071022" w:rsidRDefault="00071022" w:rsidP="00071022">
            <w:pPr>
              <w:bidi w:val="0"/>
              <w:jc w:val="left"/>
              <w:rPr>
                <w:szCs w:val="20"/>
              </w:rPr>
            </w:pPr>
            <w:r>
              <w:rPr>
                <w:szCs w:val="20"/>
              </w:rPr>
              <w:t>Arabic</w:t>
            </w:r>
          </w:p>
          <w:p w14:paraId="176BEB18" w14:textId="77777777" w:rsidR="00071022" w:rsidRPr="003E159A" w:rsidRDefault="00264008" w:rsidP="00264008">
            <w:pPr>
              <w:bidi w:val="0"/>
              <w:jc w:val="left"/>
              <w:rPr>
                <w:szCs w:val="20"/>
              </w:rPr>
            </w:pPr>
            <w:r>
              <w:rPr>
                <w:szCs w:val="20"/>
              </w:rPr>
              <w:t>Original: Spanish</w:t>
            </w:r>
          </w:p>
        </w:tc>
      </w:tr>
    </w:tbl>
    <w:p w14:paraId="412EE714" w14:textId="77777777" w:rsidR="00071022" w:rsidRPr="00071022" w:rsidRDefault="00071022" w:rsidP="00071022">
      <w:pPr>
        <w:spacing w:before="120" w:line="380" w:lineRule="exact"/>
        <w:textDirection w:val="tbRlV"/>
        <w:rPr>
          <w:b/>
          <w:bCs/>
          <w:sz w:val="30"/>
          <w:szCs w:val="36"/>
          <w:rtl/>
          <w:lang w:val="ar-SA" w:eastAsia="zh-TW" w:bidi="ar-DZ"/>
        </w:rPr>
      </w:pPr>
      <w:r w:rsidRPr="00071022">
        <w:rPr>
          <w:b/>
          <w:bCs/>
          <w:sz w:val="26"/>
          <w:szCs w:val="36"/>
          <w:rtl/>
        </w:rPr>
        <w:t>اللجنة المعنية بحالات الاختفاء القسري</w:t>
      </w:r>
    </w:p>
    <w:p w14:paraId="3F63B292" w14:textId="77777777" w:rsidR="00071022" w:rsidRPr="00C20267" w:rsidRDefault="00071022" w:rsidP="00264008">
      <w:pPr>
        <w:pStyle w:val="HChGA"/>
        <w:rPr>
          <w:rtl/>
          <w:lang w:val="ar-SA" w:eastAsia="zh-TW"/>
        </w:rPr>
      </w:pPr>
      <w:r>
        <w:rPr>
          <w:rtl/>
        </w:rPr>
        <w:tab/>
      </w:r>
      <w:r>
        <w:rPr>
          <w:rtl/>
        </w:rPr>
        <w:tab/>
      </w:r>
      <w:r w:rsidRPr="00C20267">
        <w:rPr>
          <w:rtl/>
        </w:rPr>
        <w:t>تقرير عن طلبات الإجراءات العاجلة الواردة بموجب المادة 30 من</w:t>
      </w:r>
      <w:r w:rsidR="00264008">
        <w:rPr>
          <w:rFonts w:hint="cs"/>
          <w:rtl/>
        </w:rPr>
        <w:t> </w:t>
      </w:r>
      <w:r w:rsidRPr="00C20267">
        <w:rPr>
          <w:rtl/>
        </w:rPr>
        <w:t>الاتفاقية</w:t>
      </w:r>
      <w:r w:rsidRPr="00071022">
        <w:rPr>
          <w:rStyle w:val="FootnoteReference"/>
          <w:sz w:val="20"/>
          <w:vertAlign w:val="baseline"/>
          <w:rtl/>
          <w:lang w:val="ar-SA" w:eastAsia="zh-TW"/>
        </w:rPr>
        <w:footnoteReference w:customMarkFollows="1" w:id="1"/>
        <w:t>*</w:t>
      </w:r>
    </w:p>
    <w:p w14:paraId="6EC66FBD" w14:textId="77777777" w:rsidR="00071022" w:rsidRPr="00C20267" w:rsidRDefault="00071022" w:rsidP="00071022">
      <w:pPr>
        <w:pStyle w:val="H1GA"/>
        <w:rPr>
          <w:rtl/>
          <w:lang w:val="ar-SA" w:eastAsia="zh-TW" w:bidi="ar-DZ"/>
        </w:rPr>
      </w:pPr>
      <w:r>
        <w:rPr>
          <w:rtl/>
        </w:rPr>
        <w:tab/>
      </w:r>
      <w:r w:rsidRPr="00C20267">
        <w:rPr>
          <w:rtl/>
        </w:rPr>
        <w:t>ألف-</w:t>
      </w:r>
      <w:r>
        <w:rPr>
          <w:rtl/>
        </w:rPr>
        <w:tab/>
      </w:r>
      <w:r w:rsidRPr="00C20267">
        <w:rPr>
          <w:rtl/>
        </w:rPr>
        <w:t>مقدمة</w:t>
      </w:r>
    </w:p>
    <w:p w14:paraId="4DB9AAA8" w14:textId="77777777" w:rsidR="00071022" w:rsidRPr="0063016C" w:rsidRDefault="00071022" w:rsidP="006B6974">
      <w:pPr>
        <w:pStyle w:val="SingleTxtGA"/>
        <w:rPr>
          <w:rtl/>
          <w:lang w:val="ar-SA" w:eastAsia="zh-TW"/>
        </w:rPr>
      </w:pPr>
      <w:r>
        <w:rPr>
          <w:rtl/>
        </w:rPr>
        <w:t>١-</w:t>
      </w:r>
      <w:r>
        <w:rPr>
          <w:rtl/>
        </w:rPr>
        <w:tab/>
        <w:t xml:space="preserve">تنص المادتان 57 و58 من نظام اللجنة الداخلي على توجيه نظر اللجنة إلى جميع طلبات الإجراءات العاجلة المقدمة لتنظر فيها بموجب المادة 30 من الاتفاقية. ويجوز إتاحة النص الكامل لأي من هذه الطلبات، باللغة التي قُدم بها، لأي عضو من </w:t>
      </w:r>
      <w:r w:rsidR="00536C30">
        <w:rPr>
          <w:rtl/>
        </w:rPr>
        <w:t>أعضاء اللجنة بناء على طلبه. ويو</w:t>
      </w:r>
      <w:r w:rsidR="00536C30">
        <w:rPr>
          <w:rFonts w:hint="cs"/>
          <w:rtl/>
        </w:rPr>
        <w:t>ج</w:t>
      </w:r>
      <w:r>
        <w:rPr>
          <w:rtl/>
        </w:rPr>
        <w:t>ز هذا التقرير المواضيع الرئيسية المتصلة بطلبات الإجراءات العاجلة التي تلقتها اللجنة بموجب المادة 30 من الاتفاقية والقرارات المتّخذة في هذا الصدد منذ الدورة الخامسة عشرة للجنة.</w:t>
      </w:r>
    </w:p>
    <w:p w14:paraId="66D4D8C1" w14:textId="77777777" w:rsidR="00071022" w:rsidRPr="00C20267" w:rsidRDefault="00071022" w:rsidP="00071022">
      <w:pPr>
        <w:pStyle w:val="H1GA"/>
        <w:rPr>
          <w:rtl/>
          <w:lang w:val="ar-SA" w:eastAsia="zh-TW"/>
        </w:rPr>
      </w:pPr>
      <w:r>
        <w:rPr>
          <w:rtl/>
        </w:rPr>
        <w:tab/>
      </w:r>
      <w:r w:rsidRPr="00C20267">
        <w:rPr>
          <w:rtl/>
        </w:rPr>
        <w:t>باء</w:t>
      </w:r>
      <w:r>
        <w:rPr>
          <w:rtl/>
        </w:rPr>
        <w:t>-</w:t>
      </w:r>
      <w:r>
        <w:rPr>
          <w:rtl/>
        </w:rPr>
        <w:tab/>
      </w:r>
      <w:r w:rsidRPr="00C20267">
        <w:rPr>
          <w:rtl/>
        </w:rPr>
        <w:t>طلبات الإجراءات العاجلة الواردة منذ الدورة الخامسة عشرة للجنة</w:t>
      </w:r>
    </w:p>
    <w:p w14:paraId="0E8C4945" w14:textId="77777777" w:rsidR="00071022" w:rsidRPr="0063016C" w:rsidRDefault="00071022" w:rsidP="006B6974">
      <w:pPr>
        <w:pStyle w:val="SingleTxtGA"/>
        <w:rPr>
          <w:rtl/>
          <w:lang w:val="ar-SA" w:eastAsia="zh-TW"/>
        </w:rPr>
      </w:pPr>
      <w:r>
        <w:rPr>
          <w:rtl/>
        </w:rPr>
        <w:t>٢-</w:t>
      </w:r>
      <w:r>
        <w:rPr>
          <w:rtl/>
        </w:rPr>
        <w:tab/>
        <w:t>تبين اللجنة في مذكرتها المتعلقة بطلبات الإجراءات العاجلة، المعتمدة في دورتها الخامسة</w:t>
      </w:r>
      <w:r>
        <w:rPr>
          <w:rFonts w:hint="cs"/>
          <w:rtl/>
        </w:rPr>
        <w:t> </w:t>
      </w:r>
      <w:r>
        <w:rPr>
          <w:rtl/>
        </w:rPr>
        <w:t>عشرة، القرارات التي اتخذتها بشأن طلبات الإجراءات العاجلة المسجّلة حتى 14 أيلول/سبتمبر 2018 البالغ عددها 541 إجراءً. وبين ذلك التاريخ و4 نيسان/أبريل 2019، تلقّت اللجنة 29 طلب إجراءات عاجلة جديدة، سُجل منها 28 طلباً. وتتعلق هذه الطلبات الجديدة الثمانية والعشرين بالأحداث التي وقعت في توغو، والعراق، وكمبوديا، وكوبا، وكولومبيا، وليتوانيا، والمكسيك. ويتضمن هذا التقرير قائمة بطلبات الإجراءات العاجلة المسجلة (انظر</w:t>
      </w:r>
      <w:r>
        <w:rPr>
          <w:rFonts w:hint="cs"/>
          <w:rtl/>
        </w:rPr>
        <w:t> </w:t>
      </w:r>
      <w:r>
        <w:rPr>
          <w:rtl/>
        </w:rPr>
        <w:t>الجدول).</w:t>
      </w:r>
    </w:p>
    <w:p w14:paraId="36E397C9" w14:textId="77777777" w:rsidR="00071022" w:rsidRPr="0063016C" w:rsidRDefault="00071022" w:rsidP="00071022">
      <w:pPr>
        <w:pStyle w:val="SingleTxtGA"/>
        <w:rPr>
          <w:rtl/>
          <w:lang w:val="ar-SA" w:eastAsia="zh-TW"/>
        </w:rPr>
      </w:pPr>
      <w:r>
        <w:rPr>
          <w:rtl/>
        </w:rPr>
        <w:t>٣-</w:t>
      </w:r>
      <w:r>
        <w:rPr>
          <w:rtl/>
        </w:rPr>
        <w:tab/>
        <w:t>وحتى تاريخ كتابة هذا التقرير، كانت اللجنة قد سجلت ما مجموعه 570 طلب إجراءات عاجلة، موزّعة على النحو التالي بحسب العام والبلد:</w:t>
      </w:r>
    </w:p>
    <w:p w14:paraId="5442CAF1" w14:textId="77777777" w:rsidR="00071022" w:rsidRDefault="00071022" w:rsidP="00071022">
      <w:pPr>
        <w:pStyle w:val="H23GA"/>
        <w:rPr>
          <w:rtl/>
          <w:lang w:val="ar-SA" w:eastAsia="zh-TW"/>
        </w:rPr>
      </w:pPr>
      <w:r>
        <w:rPr>
          <w:rtl/>
        </w:rPr>
        <w:lastRenderedPageBreak/>
        <w:tab/>
      </w:r>
      <w:r>
        <w:rPr>
          <w:rtl/>
        </w:rPr>
        <w:tab/>
      </w:r>
      <w:r w:rsidRPr="00C20267">
        <w:rPr>
          <w:rtl/>
        </w:rPr>
        <w:t>طلبات الإجراءات العاجلة المسجلة، حسب السنة والبلد</w:t>
      </w:r>
    </w:p>
    <w:tbl>
      <w:tblP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7"/>
        <w:gridCol w:w="482"/>
        <w:gridCol w:w="482"/>
        <w:gridCol w:w="482"/>
        <w:gridCol w:w="482"/>
        <w:gridCol w:w="482"/>
        <w:gridCol w:w="481"/>
        <w:gridCol w:w="481"/>
        <w:gridCol w:w="481"/>
        <w:gridCol w:w="481"/>
        <w:gridCol w:w="481"/>
        <w:gridCol w:w="481"/>
        <w:gridCol w:w="481"/>
        <w:gridCol w:w="481"/>
        <w:gridCol w:w="481"/>
        <w:gridCol w:w="481"/>
        <w:gridCol w:w="478"/>
      </w:tblGrid>
      <w:tr w:rsidR="00071022" w:rsidRPr="00C20267" w14:paraId="0B9893FD" w14:textId="77777777" w:rsidTr="00E609AC">
        <w:trPr>
          <w:cantSplit/>
          <w:trHeight w:val="771"/>
          <w:tblHeader/>
        </w:trPr>
        <w:tc>
          <w:tcPr>
            <w:tcW w:w="474" w:type="pct"/>
            <w:tcBorders>
              <w:top w:val="single" w:sz="4" w:space="0" w:color="auto"/>
              <w:bottom w:val="single" w:sz="12" w:space="0" w:color="auto"/>
            </w:tcBorders>
            <w:shd w:val="clear" w:color="auto" w:fill="auto"/>
            <w:vAlign w:val="bottom"/>
          </w:tcPr>
          <w:p w14:paraId="21705FFC" w14:textId="77777777" w:rsidR="00071022" w:rsidRPr="00C20267" w:rsidRDefault="00071022" w:rsidP="00FD44FA">
            <w:pPr>
              <w:pStyle w:val="SingleTxtG"/>
              <w:suppressAutoHyphens w:val="0"/>
              <w:bidi/>
              <w:spacing w:before="40" w:after="20" w:line="200" w:lineRule="exact"/>
              <w:ind w:left="57" w:right="0"/>
              <w:jc w:val="left"/>
              <w:textDirection w:val="tbRlV"/>
              <w:rPr>
                <w:i/>
                <w:szCs w:val="20"/>
                <w:rtl/>
                <w:lang w:val="ar-SA" w:eastAsia="zh-TW"/>
              </w:rPr>
            </w:pPr>
            <w:r w:rsidRPr="00C20267">
              <w:rPr>
                <w:i/>
                <w:iCs/>
                <w:szCs w:val="20"/>
                <w:rtl/>
              </w:rPr>
              <w:t>السنة</w:t>
            </w:r>
          </w:p>
        </w:tc>
        <w:tc>
          <w:tcPr>
            <w:tcW w:w="283" w:type="pct"/>
            <w:tcBorders>
              <w:top w:val="single" w:sz="4" w:space="0" w:color="auto"/>
              <w:bottom w:val="single" w:sz="12" w:space="0" w:color="auto"/>
            </w:tcBorders>
            <w:shd w:val="clear" w:color="auto" w:fill="auto"/>
            <w:textDirection w:val="tbRl"/>
            <w:vAlign w:val="bottom"/>
          </w:tcPr>
          <w:p w14:paraId="6F1F179E"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الأرجنتين</w:t>
            </w:r>
          </w:p>
        </w:tc>
        <w:tc>
          <w:tcPr>
            <w:tcW w:w="283" w:type="pct"/>
            <w:tcBorders>
              <w:top w:val="single" w:sz="4" w:space="0" w:color="auto"/>
              <w:bottom w:val="single" w:sz="12" w:space="0" w:color="auto"/>
            </w:tcBorders>
            <w:shd w:val="clear" w:color="auto" w:fill="auto"/>
            <w:textDirection w:val="tbRl"/>
            <w:vAlign w:val="bottom"/>
          </w:tcPr>
          <w:p w14:paraId="16D9F6C5"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أرمينيا</w:t>
            </w:r>
          </w:p>
        </w:tc>
        <w:tc>
          <w:tcPr>
            <w:tcW w:w="283" w:type="pct"/>
            <w:tcBorders>
              <w:top w:val="single" w:sz="4" w:space="0" w:color="auto"/>
              <w:bottom w:val="single" w:sz="12" w:space="0" w:color="auto"/>
            </w:tcBorders>
            <w:shd w:val="clear" w:color="auto" w:fill="auto"/>
            <w:textDirection w:val="tbRl"/>
            <w:vAlign w:val="bottom"/>
          </w:tcPr>
          <w:p w14:paraId="42DCAC79"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البرازيل</w:t>
            </w:r>
          </w:p>
        </w:tc>
        <w:tc>
          <w:tcPr>
            <w:tcW w:w="283" w:type="pct"/>
            <w:tcBorders>
              <w:top w:val="single" w:sz="4" w:space="0" w:color="auto"/>
              <w:bottom w:val="single" w:sz="12" w:space="0" w:color="auto"/>
            </w:tcBorders>
            <w:shd w:val="clear" w:color="auto" w:fill="auto"/>
            <w:textDirection w:val="tbRl"/>
            <w:vAlign w:val="bottom"/>
          </w:tcPr>
          <w:p w14:paraId="26D16DAF"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كمبوديا</w:t>
            </w:r>
          </w:p>
        </w:tc>
        <w:tc>
          <w:tcPr>
            <w:tcW w:w="283" w:type="pct"/>
            <w:tcBorders>
              <w:top w:val="single" w:sz="4" w:space="0" w:color="auto"/>
              <w:bottom w:val="single" w:sz="12" w:space="0" w:color="auto"/>
            </w:tcBorders>
            <w:shd w:val="clear" w:color="auto" w:fill="auto"/>
            <w:textDirection w:val="tbRl"/>
            <w:vAlign w:val="bottom"/>
          </w:tcPr>
          <w:p w14:paraId="4B69903D"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كولومبيا</w:t>
            </w:r>
          </w:p>
        </w:tc>
        <w:tc>
          <w:tcPr>
            <w:tcW w:w="283" w:type="pct"/>
            <w:tcBorders>
              <w:top w:val="single" w:sz="4" w:space="0" w:color="auto"/>
              <w:bottom w:val="single" w:sz="12" w:space="0" w:color="auto"/>
            </w:tcBorders>
            <w:shd w:val="clear" w:color="auto" w:fill="auto"/>
            <w:textDirection w:val="tbRl"/>
            <w:vAlign w:val="bottom"/>
          </w:tcPr>
          <w:p w14:paraId="2BCF60CF"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كوبا</w:t>
            </w:r>
          </w:p>
        </w:tc>
        <w:tc>
          <w:tcPr>
            <w:tcW w:w="283" w:type="pct"/>
            <w:tcBorders>
              <w:top w:val="single" w:sz="4" w:space="0" w:color="auto"/>
              <w:bottom w:val="single" w:sz="12" w:space="0" w:color="auto"/>
            </w:tcBorders>
            <w:shd w:val="clear" w:color="auto" w:fill="auto"/>
            <w:textDirection w:val="tbRl"/>
            <w:vAlign w:val="bottom"/>
          </w:tcPr>
          <w:p w14:paraId="4DC1A736"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هندوراس</w:t>
            </w:r>
          </w:p>
        </w:tc>
        <w:tc>
          <w:tcPr>
            <w:tcW w:w="283" w:type="pct"/>
            <w:tcBorders>
              <w:top w:val="single" w:sz="4" w:space="0" w:color="auto"/>
              <w:bottom w:val="single" w:sz="12" w:space="0" w:color="auto"/>
            </w:tcBorders>
            <w:shd w:val="clear" w:color="auto" w:fill="auto"/>
            <w:textDirection w:val="tbRl"/>
            <w:vAlign w:val="bottom"/>
          </w:tcPr>
          <w:p w14:paraId="19389D6F"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العراق</w:t>
            </w:r>
          </w:p>
        </w:tc>
        <w:tc>
          <w:tcPr>
            <w:tcW w:w="283" w:type="pct"/>
            <w:tcBorders>
              <w:top w:val="single" w:sz="4" w:space="0" w:color="auto"/>
              <w:bottom w:val="single" w:sz="12" w:space="0" w:color="auto"/>
            </w:tcBorders>
            <w:shd w:val="clear" w:color="auto" w:fill="auto"/>
            <w:textDirection w:val="tbRl"/>
            <w:vAlign w:val="bottom"/>
          </w:tcPr>
          <w:p w14:paraId="2BFC647F"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كازاخستان</w:t>
            </w:r>
          </w:p>
        </w:tc>
        <w:tc>
          <w:tcPr>
            <w:tcW w:w="283" w:type="pct"/>
            <w:tcBorders>
              <w:top w:val="single" w:sz="4" w:space="0" w:color="auto"/>
              <w:bottom w:val="single" w:sz="12" w:space="0" w:color="auto"/>
            </w:tcBorders>
            <w:shd w:val="clear" w:color="auto" w:fill="auto"/>
            <w:textDirection w:val="tbRl"/>
            <w:vAlign w:val="bottom"/>
          </w:tcPr>
          <w:p w14:paraId="0CA82652"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ليتوانيا</w:t>
            </w:r>
          </w:p>
        </w:tc>
        <w:tc>
          <w:tcPr>
            <w:tcW w:w="283" w:type="pct"/>
            <w:tcBorders>
              <w:top w:val="single" w:sz="4" w:space="0" w:color="auto"/>
              <w:bottom w:val="single" w:sz="12" w:space="0" w:color="auto"/>
            </w:tcBorders>
            <w:shd w:val="clear" w:color="auto" w:fill="auto"/>
            <w:textDirection w:val="tbRl"/>
            <w:vAlign w:val="bottom"/>
          </w:tcPr>
          <w:p w14:paraId="29D2C486"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المغرب</w:t>
            </w:r>
          </w:p>
        </w:tc>
        <w:tc>
          <w:tcPr>
            <w:tcW w:w="283" w:type="pct"/>
            <w:tcBorders>
              <w:top w:val="single" w:sz="4" w:space="0" w:color="auto"/>
              <w:bottom w:val="single" w:sz="12" w:space="0" w:color="auto"/>
            </w:tcBorders>
            <w:shd w:val="clear" w:color="auto" w:fill="auto"/>
            <w:textDirection w:val="tbRl"/>
            <w:vAlign w:val="bottom"/>
          </w:tcPr>
          <w:p w14:paraId="15CA0D04"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موريتانيا</w:t>
            </w:r>
          </w:p>
        </w:tc>
        <w:tc>
          <w:tcPr>
            <w:tcW w:w="283" w:type="pct"/>
            <w:tcBorders>
              <w:top w:val="single" w:sz="4" w:space="0" w:color="auto"/>
              <w:bottom w:val="single" w:sz="12" w:space="0" w:color="auto"/>
            </w:tcBorders>
            <w:shd w:val="clear" w:color="auto" w:fill="auto"/>
            <w:textDirection w:val="tbRl"/>
            <w:vAlign w:val="bottom"/>
          </w:tcPr>
          <w:p w14:paraId="03621F1C"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المكسيك</w:t>
            </w:r>
          </w:p>
        </w:tc>
        <w:tc>
          <w:tcPr>
            <w:tcW w:w="283" w:type="pct"/>
            <w:tcBorders>
              <w:top w:val="single" w:sz="4" w:space="0" w:color="auto"/>
              <w:bottom w:val="single" w:sz="12" w:space="0" w:color="auto"/>
            </w:tcBorders>
            <w:shd w:val="clear" w:color="auto" w:fill="auto"/>
            <w:textDirection w:val="tbRl"/>
            <w:vAlign w:val="bottom"/>
          </w:tcPr>
          <w:p w14:paraId="665021AD"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سري لانكا</w:t>
            </w:r>
          </w:p>
        </w:tc>
        <w:tc>
          <w:tcPr>
            <w:tcW w:w="283" w:type="pct"/>
            <w:tcBorders>
              <w:top w:val="single" w:sz="4" w:space="0" w:color="auto"/>
              <w:bottom w:val="single" w:sz="12" w:space="0" w:color="auto"/>
            </w:tcBorders>
            <w:shd w:val="clear" w:color="auto" w:fill="auto"/>
            <w:textDirection w:val="tbRl"/>
            <w:vAlign w:val="bottom"/>
          </w:tcPr>
          <w:p w14:paraId="2B28E601" w14:textId="77777777" w:rsidR="00071022" w:rsidRPr="00C20267" w:rsidRDefault="00071022" w:rsidP="00E609AC">
            <w:pPr>
              <w:pStyle w:val="SingleTxtG"/>
              <w:suppressAutoHyphens w:val="0"/>
              <w:bidi/>
              <w:spacing w:before="80" w:after="80" w:line="200" w:lineRule="exact"/>
              <w:ind w:left="57" w:right="0"/>
              <w:jc w:val="left"/>
              <w:textDirection w:val="tbRlV"/>
              <w:rPr>
                <w:i/>
                <w:szCs w:val="20"/>
                <w:rtl/>
                <w:lang w:val="ar-SA" w:eastAsia="zh-TW"/>
              </w:rPr>
            </w:pPr>
            <w:r w:rsidRPr="00C20267">
              <w:rPr>
                <w:i/>
                <w:iCs/>
                <w:szCs w:val="20"/>
                <w:rtl/>
              </w:rPr>
              <w:t>توغو</w:t>
            </w:r>
          </w:p>
        </w:tc>
        <w:tc>
          <w:tcPr>
            <w:tcW w:w="281" w:type="pct"/>
            <w:tcBorders>
              <w:top w:val="single" w:sz="4" w:space="0" w:color="auto"/>
              <w:bottom w:val="single" w:sz="12" w:space="0" w:color="auto"/>
            </w:tcBorders>
            <w:shd w:val="clear" w:color="auto" w:fill="auto"/>
            <w:vAlign w:val="bottom"/>
          </w:tcPr>
          <w:p w14:paraId="5B0C8D60" w14:textId="77777777" w:rsidR="00071022" w:rsidRPr="00E609AC" w:rsidRDefault="00071022" w:rsidP="00E609AC">
            <w:pPr>
              <w:pStyle w:val="SingleTxtG"/>
              <w:suppressAutoHyphens w:val="0"/>
              <w:bidi/>
              <w:spacing w:before="80" w:after="80" w:line="200" w:lineRule="exact"/>
              <w:ind w:left="57" w:right="0"/>
              <w:jc w:val="left"/>
              <w:textDirection w:val="tbRlV"/>
              <w:rPr>
                <w:b/>
                <w:bCs/>
                <w:i/>
                <w:szCs w:val="20"/>
                <w:rtl/>
                <w:lang w:val="ar-SA" w:eastAsia="zh-TW"/>
              </w:rPr>
            </w:pPr>
            <w:r w:rsidRPr="00E609AC">
              <w:rPr>
                <w:b/>
                <w:bCs/>
                <w:i/>
                <w:iCs/>
                <w:szCs w:val="20"/>
                <w:rtl/>
              </w:rPr>
              <w:t>المجموع</w:t>
            </w:r>
          </w:p>
        </w:tc>
      </w:tr>
      <w:tr w:rsidR="00071022" w:rsidRPr="00C20267" w14:paraId="759E8271" w14:textId="77777777" w:rsidTr="00AF2DD5">
        <w:trPr>
          <w:trHeight w:val="370"/>
        </w:trPr>
        <w:tc>
          <w:tcPr>
            <w:tcW w:w="474" w:type="pct"/>
            <w:tcBorders>
              <w:top w:val="single" w:sz="12" w:space="0" w:color="auto"/>
            </w:tcBorders>
            <w:shd w:val="clear" w:color="auto" w:fill="auto"/>
            <w:vAlign w:val="bottom"/>
          </w:tcPr>
          <w:p w14:paraId="77720AE7"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٢٠١٢</w:t>
            </w:r>
          </w:p>
        </w:tc>
        <w:tc>
          <w:tcPr>
            <w:tcW w:w="283" w:type="pct"/>
            <w:tcBorders>
              <w:top w:val="single" w:sz="12" w:space="0" w:color="auto"/>
            </w:tcBorders>
            <w:shd w:val="clear" w:color="auto" w:fill="auto"/>
            <w:vAlign w:val="bottom"/>
          </w:tcPr>
          <w:p w14:paraId="6D193062"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w:t>
            </w:r>
          </w:p>
        </w:tc>
        <w:tc>
          <w:tcPr>
            <w:tcW w:w="283" w:type="pct"/>
            <w:tcBorders>
              <w:top w:val="single" w:sz="12" w:space="0" w:color="auto"/>
            </w:tcBorders>
            <w:shd w:val="clear" w:color="auto" w:fill="auto"/>
            <w:vAlign w:val="bottom"/>
          </w:tcPr>
          <w:p w14:paraId="7A62122A"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w:t>
            </w:r>
          </w:p>
        </w:tc>
        <w:tc>
          <w:tcPr>
            <w:tcW w:w="283" w:type="pct"/>
            <w:tcBorders>
              <w:top w:val="single" w:sz="12" w:space="0" w:color="auto"/>
            </w:tcBorders>
            <w:shd w:val="clear" w:color="auto" w:fill="auto"/>
            <w:vAlign w:val="bottom"/>
          </w:tcPr>
          <w:p w14:paraId="1F5FCB1F"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w:t>
            </w:r>
          </w:p>
        </w:tc>
        <w:tc>
          <w:tcPr>
            <w:tcW w:w="283" w:type="pct"/>
            <w:tcBorders>
              <w:top w:val="single" w:sz="12" w:space="0" w:color="auto"/>
            </w:tcBorders>
            <w:shd w:val="clear" w:color="auto" w:fill="auto"/>
            <w:vAlign w:val="bottom"/>
          </w:tcPr>
          <w:p w14:paraId="39003376"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single" w:sz="12" w:space="0" w:color="auto"/>
            </w:tcBorders>
            <w:shd w:val="clear" w:color="auto" w:fill="auto"/>
            <w:vAlign w:val="bottom"/>
          </w:tcPr>
          <w:p w14:paraId="57C30F7B"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single" w:sz="12" w:space="0" w:color="auto"/>
            </w:tcBorders>
            <w:shd w:val="clear" w:color="auto" w:fill="auto"/>
            <w:vAlign w:val="bottom"/>
          </w:tcPr>
          <w:p w14:paraId="7135C4D0"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single" w:sz="12" w:space="0" w:color="auto"/>
            </w:tcBorders>
            <w:shd w:val="clear" w:color="auto" w:fill="auto"/>
            <w:vAlign w:val="bottom"/>
          </w:tcPr>
          <w:p w14:paraId="36CC4551"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single" w:sz="12" w:space="0" w:color="auto"/>
            </w:tcBorders>
            <w:shd w:val="clear" w:color="auto" w:fill="auto"/>
            <w:vAlign w:val="bottom"/>
          </w:tcPr>
          <w:p w14:paraId="558C01AD"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single" w:sz="12" w:space="0" w:color="auto"/>
            </w:tcBorders>
            <w:shd w:val="clear" w:color="auto" w:fill="auto"/>
            <w:vAlign w:val="bottom"/>
          </w:tcPr>
          <w:p w14:paraId="77292E19"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single" w:sz="12" w:space="0" w:color="auto"/>
            </w:tcBorders>
            <w:shd w:val="clear" w:color="auto" w:fill="auto"/>
            <w:vAlign w:val="bottom"/>
          </w:tcPr>
          <w:p w14:paraId="01DA76A3"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single" w:sz="12" w:space="0" w:color="auto"/>
            </w:tcBorders>
            <w:shd w:val="clear" w:color="auto" w:fill="auto"/>
            <w:vAlign w:val="bottom"/>
          </w:tcPr>
          <w:p w14:paraId="350600F0"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single" w:sz="12" w:space="0" w:color="auto"/>
            </w:tcBorders>
            <w:shd w:val="clear" w:color="auto" w:fill="auto"/>
            <w:vAlign w:val="bottom"/>
          </w:tcPr>
          <w:p w14:paraId="425EDA18"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single" w:sz="12" w:space="0" w:color="auto"/>
            </w:tcBorders>
            <w:shd w:val="clear" w:color="auto" w:fill="auto"/>
            <w:vAlign w:val="bottom"/>
          </w:tcPr>
          <w:p w14:paraId="4BE1B292"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٥</w:t>
            </w:r>
          </w:p>
        </w:tc>
        <w:tc>
          <w:tcPr>
            <w:tcW w:w="283" w:type="pct"/>
            <w:tcBorders>
              <w:top w:val="single" w:sz="12" w:space="0" w:color="auto"/>
            </w:tcBorders>
            <w:shd w:val="clear" w:color="auto" w:fill="auto"/>
            <w:vAlign w:val="bottom"/>
          </w:tcPr>
          <w:p w14:paraId="2C8C5B70"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single" w:sz="12" w:space="0" w:color="auto"/>
            </w:tcBorders>
            <w:shd w:val="clear" w:color="auto" w:fill="auto"/>
            <w:vAlign w:val="bottom"/>
          </w:tcPr>
          <w:p w14:paraId="1F9CADB5"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1" w:type="pct"/>
            <w:tcBorders>
              <w:top w:val="single" w:sz="12" w:space="0" w:color="auto"/>
            </w:tcBorders>
            <w:shd w:val="clear" w:color="auto" w:fill="auto"/>
            <w:vAlign w:val="bottom"/>
          </w:tcPr>
          <w:p w14:paraId="58C0C04F" w14:textId="77777777" w:rsidR="00071022" w:rsidRPr="00E609AC"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E609AC">
              <w:rPr>
                <w:b/>
                <w:bCs/>
                <w:szCs w:val="20"/>
                <w:rtl/>
              </w:rPr>
              <w:t>٥</w:t>
            </w:r>
          </w:p>
        </w:tc>
      </w:tr>
      <w:tr w:rsidR="00071022" w:rsidRPr="00C20267" w14:paraId="59249CA2" w14:textId="77777777" w:rsidTr="00AF2DD5">
        <w:trPr>
          <w:trHeight w:val="360"/>
        </w:trPr>
        <w:tc>
          <w:tcPr>
            <w:tcW w:w="474" w:type="pct"/>
            <w:shd w:val="clear" w:color="auto" w:fill="auto"/>
            <w:vAlign w:val="bottom"/>
          </w:tcPr>
          <w:p w14:paraId="5CFF30E5"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٢٠١٣</w:t>
            </w:r>
          </w:p>
        </w:tc>
        <w:tc>
          <w:tcPr>
            <w:tcW w:w="283" w:type="pct"/>
            <w:shd w:val="clear" w:color="auto" w:fill="auto"/>
            <w:vAlign w:val="bottom"/>
          </w:tcPr>
          <w:p w14:paraId="4503A72B"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3830FEA1"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4AA53071"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3E40439B"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426E6202"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١</w:t>
            </w:r>
          </w:p>
        </w:tc>
        <w:tc>
          <w:tcPr>
            <w:tcW w:w="283" w:type="pct"/>
            <w:shd w:val="clear" w:color="auto" w:fill="auto"/>
            <w:vAlign w:val="bottom"/>
          </w:tcPr>
          <w:p w14:paraId="1FB2B242"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256D450D"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6BFECA9A"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28AF6FB5"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6D5D2CAC"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2A87ABFC"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31DDB2CC"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21210431"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6</w:t>
            </w:r>
            <w:r w:rsidRPr="00071022">
              <w:rPr>
                <w:szCs w:val="20"/>
                <w:vertAlign w:val="superscript"/>
                <w:rtl/>
              </w:rPr>
              <w:t>(أ)</w:t>
            </w:r>
          </w:p>
        </w:tc>
        <w:tc>
          <w:tcPr>
            <w:tcW w:w="283" w:type="pct"/>
            <w:shd w:val="clear" w:color="auto" w:fill="auto"/>
            <w:vAlign w:val="bottom"/>
          </w:tcPr>
          <w:p w14:paraId="0AAA9B9A"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4E202794"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1" w:type="pct"/>
            <w:shd w:val="clear" w:color="auto" w:fill="auto"/>
            <w:vAlign w:val="bottom"/>
          </w:tcPr>
          <w:p w14:paraId="429B414A" w14:textId="77777777" w:rsidR="00071022" w:rsidRPr="00E609AC"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E609AC">
              <w:rPr>
                <w:b/>
                <w:bCs/>
                <w:szCs w:val="20"/>
                <w:rtl/>
              </w:rPr>
              <w:t>٧</w:t>
            </w:r>
          </w:p>
        </w:tc>
      </w:tr>
      <w:tr w:rsidR="00071022" w:rsidRPr="00C20267" w14:paraId="1167D54A" w14:textId="77777777" w:rsidTr="00AF2DD5">
        <w:trPr>
          <w:trHeight w:val="370"/>
        </w:trPr>
        <w:tc>
          <w:tcPr>
            <w:tcW w:w="474" w:type="pct"/>
            <w:tcBorders>
              <w:bottom w:val="nil"/>
            </w:tcBorders>
            <w:shd w:val="clear" w:color="auto" w:fill="auto"/>
            <w:vAlign w:val="bottom"/>
          </w:tcPr>
          <w:p w14:paraId="6C99CA24"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٢٠١٤</w:t>
            </w:r>
          </w:p>
        </w:tc>
        <w:tc>
          <w:tcPr>
            <w:tcW w:w="283" w:type="pct"/>
            <w:tcBorders>
              <w:bottom w:val="nil"/>
            </w:tcBorders>
            <w:shd w:val="clear" w:color="auto" w:fill="auto"/>
            <w:vAlign w:val="bottom"/>
          </w:tcPr>
          <w:p w14:paraId="62ECB85E"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bottom w:val="nil"/>
            </w:tcBorders>
            <w:shd w:val="clear" w:color="auto" w:fill="auto"/>
            <w:vAlign w:val="bottom"/>
          </w:tcPr>
          <w:p w14:paraId="2E69E091"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bottom w:val="nil"/>
            </w:tcBorders>
            <w:shd w:val="clear" w:color="auto" w:fill="auto"/>
            <w:vAlign w:val="bottom"/>
          </w:tcPr>
          <w:p w14:paraId="2ED8DC2A"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١</w:t>
            </w:r>
          </w:p>
        </w:tc>
        <w:tc>
          <w:tcPr>
            <w:tcW w:w="283" w:type="pct"/>
            <w:tcBorders>
              <w:bottom w:val="nil"/>
            </w:tcBorders>
            <w:shd w:val="clear" w:color="auto" w:fill="auto"/>
            <w:vAlign w:val="bottom"/>
          </w:tcPr>
          <w:p w14:paraId="508307A8"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١</w:t>
            </w:r>
          </w:p>
        </w:tc>
        <w:tc>
          <w:tcPr>
            <w:tcW w:w="283" w:type="pct"/>
            <w:tcBorders>
              <w:bottom w:val="nil"/>
            </w:tcBorders>
            <w:shd w:val="clear" w:color="auto" w:fill="auto"/>
            <w:vAlign w:val="bottom"/>
          </w:tcPr>
          <w:p w14:paraId="4DC98E0C"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١</w:t>
            </w:r>
          </w:p>
        </w:tc>
        <w:tc>
          <w:tcPr>
            <w:tcW w:w="283" w:type="pct"/>
            <w:tcBorders>
              <w:bottom w:val="nil"/>
            </w:tcBorders>
            <w:shd w:val="clear" w:color="auto" w:fill="auto"/>
            <w:vAlign w:val="bottom"/>
          </w:tcPr>
          <w:p w14:paraId="485B5047"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bottom w:val="nil"/>
            </w:tcBorders>
            <w:shd w:val="clear" w:color="auto" w:fill="auto"/>
            <w:vAlign w:val="bottom"/>
          </w:tcPr>
          <w:p w14:paraId="72239F8A"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bottom w:val="nil"/>
            </w:tcBorders>
            <w:shd w:val="clear" w:color="auto" w:fill="auto"/>
            <w:vAlign w:val="bottom"/>
          </w:tcPr>
          <w:p w14:paraId="5BAC529D"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٥</w:t>
            </w:r>
          </w:p>
        </w:tc>
        <w:tc>
          <w:tcPr>
            <w:tcW w:w="283" w:type="pct"/>
            <w:tcBorders>
              <w:bottom w:val="nil"/>
            </w:tcBorders>
            <w:shd w:val="clear" w:color="auto" w:fill="auto"/>
            <w:vAlign w:val="bottom"/>
          </w:tcPr>
          <w:p w14:paraId="7CEA3702"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bottom w:val="nil"/>
            </w:tcBorders>
            <w:shd w:val="clear" w:color="auto" w:fill="auto"/>
            <w:vAlign w:val="bottom"/>
          </w:tcPr>
          <w:p w14:paraId="404D5019"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bottom w:val="nil"/>
            </w:tcBorders>
            <w:shd w:val="clear" w:color="auto" w:fill="auto"/>
            <w:vAlign w:val="bottom"/>
          </w:tcPr>
          <w:p w14:paraId="71069909"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bottom w:val="nil"/>
            </w:tcBorders>
            <w:shd w:val="clear" w:color="auto" w:fill="auto"/>
            <w:vAlign w:val="bottom"/>
          </w:tcPr>
          <w:p w14:paraId="2529D2D3"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bottom w:val="nil"/>
            </w:tcBorders>
            <w:shd w:val="clear" w:color="auto" w:fill="auto"/>
            <w:vAlign w:val="bottom"/>
          </w:tcPr>
          <w:p w14:paraId="5089B980"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٤٣</w:t>
            </w:r>
          </w:p>
        </w:tc>
        <w:tc>
          <w:tcPr>
            <w:tcW w:w="283" w:type="pct"/>
            <w:tcBorders>
              <w:bottom w:val="nil"/>
            </w:tcBorders>
            <w:shd w:val="clear" w:color="auto" w:fill="auto"/>
            <w:vAlign w:val="bottom"/>
          </w:tcPr>
          <w:p w14:paraId="4E9E3CF7"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bottom w:val="nil"/>
            </w:tcBorders>
            <w:shd w:val="clear" w:color="auto" w:fill="auto"/>
            <w:vAlign w:val="bottom"/>
          </w:tcPr>
          <w:p w14:paraId="2795A4ED"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1" w:type="pct"/>
            <w:tcBorders>
              <w:bottom w:val="nil"/>
            </w:tcBorders>
            <w:shd w:val="clear" w:color="auto" w:fill="auto"/>
            <w:vAlign w:val="bottom"/>
          </w:tcPr>
          <w:p w14:paraId="32E4DFBB" w14:textId="77777777" w:rsidR="00071022" w:rsidRPr="00E609AC"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E609AC">
              <w:rPr>
                <w:b/>
                <w:bCs/>
                <w:szCs w:val="20"/>
                <w:rtl/>
              </w:rPr>
              <w:t>٥١</w:t>
            </w:r>
          </w:p>
        </w:tc>
      </w:tr>
      <w:tr w:rsidR="00071022" w:rsidRPr="00C20267" w14:paraId="34764574" w14:textId="77777777" w:rsidTr="00AF2DD5">
        <w:trPr>
          <w:trHeight w:val="370"/>
        </w:trPr>
        <w:tc>
          <w:tcPr>
            <w:tcW w:w="474" w:type="pct"/>
            <w:tcBorders>
              <w:top w:val="nil"/>
              <w:bottom w:val="nil"/>
            </w:tcBorders>
            <w:shd w:val="clear" w:color="auto" w:fill="auto"/>
            <w:vAlign w:val="bottom"/>
          </w:tcPr>
          <w:p w14:paraId="576E2EE1"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٢٠١٥</w:t>
            </w:r>
          </w:p>
        </w:tc>
        <w:tc>
          <w:tcPr>
            <w:tcW w:w="283" w:type="pct"/>
            <w:tcBorders>
              <w:top w:val="nil"/>
              <w:bottom w:val="nil"/>
            </w:tcBorders>
            <w:shd w:val="clear" w:color="auto" w:fill="auto"/>
            <w:vAlign w:val="bottom"/>
          </w:tcPr>
          <w:p w14:paraId="39095404"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bottom w:val="nil"/>
            </w:tcBorders>
            <w:shd w:val="clear" w:color="auto" w:fill="auto"/>
            <w:vAlign w:val="bottom"/>
          </w:tcPr>
          <w:p w14:paraId="35E8F4F8"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bottom w:val="nil"/>
            </w:tcBorders>
            <w:shd w:val="clear" w:color="auto" w:fill="auto"/>
            <w:vAlign w:val="bottom"/>
          </w:tcPr>
          <w:p w14:paraId="450AADED"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bottom w:val="nil"/>
            </w:tcBorders>
            <w:shd w:val="clear" w:color="auto" w:fill="auto"/>
            <w:vAlign w:val="bottom"/>
          </w:tcPr>
          <w:p w14:paraId="45BF4326"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bottom w:val="nil"/>
            </w:tcBorders>
            <w:shd w:val="clear" w:color="auto" w:fill="auto"/>
            <w:vAlign w:val="bottom"/>
          </w:tcPr>
          <w:p w14:paraId="557FF1C7"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٣</w:t>
            </w:r>
          </w:p>
        </w:tc>
        <w:tc>
          <w:tcPr>
            <w:tcW w:w="283" w:type="pct"/>
            <w:tcBorders>
              <w:top w:val="nil"/>
              <w:bottom w:val="nil"/>
            </w:tcBorders>
            <w:shd w:val="clear" w:color="auto" w:fill="auto"/>
            <w:vAlign w:val="bottom"/>
          </w:tcPr>
          <w:p w14:paraId="286B4B7E"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bottom w:val="nil"/>
            </w:tcBorders>
            <w:shd w:val="clear" w:color="auto" w:fill="auto"/>
            <w:vAlign w:val="bottom"/>
          </w:tcPr>
          <w:p w14:paraId="373BDF57"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bottom w:val="nil"/>
            </w:tcBorders>
            <w:shd w:val="clear" w:color="auto" w:fill="auto"/>
            <w:vAlign w:val="bottom"/>
          </w:tcPr>
          <w:p w14:paraId="0EF3D9C9"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٤٢</w:t>
            </w:r>
          </w:p>
        </w:tc>
        <w:tc>
          <w:tcPr>
            <w:tcW w:w="283" w:type="pct"/>
            <w:tcBorders>
              <w:top w:val="nil"/>
              <w:bottom w:val="nil"/>
            </w:tcBorders>
            <w:shd w:val="clear" w:color="auto" w:fill="auto"/>
            <w:vAlign w:val="bottom"/>
          </w:tcPr>
          <w:p w14:paraId="3BF6AAF1"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bottom w:val="nil"/>
            </w:tcBorders>
            <w:shd w:val="clear" w:color="auto" w:fill="auto"/>
            <w:vAlign w:val="bottom"/>
          </w:tcPr>
          <w:p w14:paraId="0108BEDD"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bottom w:val="nil"/>
            </w:tcBorders>
            <w:shd w:val="clear" w:color="auto" w:fill="auto"/>
            <w:vAlign w:val="bottom"/>
          </w:tcPr>
          <w:p w14:paraId="478ED98F"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bottom w:val="nil"/>
            </w:tcBorders>
            <w:shd w:val="clear" w:color="auto" w:fill="auto"/>
            <w:vAlign w:val="bottom"/>
          </w:tcPr>
          <w:p w14:paraId="4E3D2269"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bottom w:val="nil"/>
            </w:tcBorders>
            <w:shd w:val="clear" w:color="auto" w:fill="auto"/>
            <w:vAlign w:val="bottom"/>
          </w:tcPr>
          <w:p w14:paraId="1A5DE4D2"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١٦٥</w:t>
            </w:r>
          </w:p>
        </w:tc>
        <w:tc>
          <w:tcPr>
            <w:tcW w:w="283" w:type="pct"/>
            <w:tcBorders>
              <w:top w:val="nil"/>
              <w:bottom w:val="nil"/>
            </w:tcBorders>
            <w:shd w:val="clear" w:color="auto" w:fill="auto"/>
            <w:vAlign w:val="bottom"/>
          </w:tcPr>
          <w:p w14:paraId="1F201B7E"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bottom w:val="nil"/>
            </w:tcBorders>
            <w:shd w:val="clear" w:color="auto" w:fill="auto"/>
            <w:vAlign w:val="bottom"/>
          </w:tcPr>
          <w:p w14:paraId="2DCB6407"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1" w:type="pct"/>
            <w:tcBorders>
              <w:top w:val="nil"/>
              <w:bottom w:val="nil"/>
            </w:tcBorders>
            <w:shd w:val="clear" w:color="auto" w:fill="auto"/>
            <w:vAlign w:val="bottom"/>
          </w:tcPr>
          <w:p w14:paraId="6EC91D4F" w14:textId="77777777" w:rsidR="00071022" w:rsidRPr="00E609AC"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E609AC">
              <w:rPr>
                <w:b/>
                <w:bCs/>
                <w:szCs w:val="20"/>
                <w:rtl/>
              </w:rPr>
              <w:t>٢١٠</w:t>
            </w:r>
          </w:p>
        </w:tc>
      </w:tr>
      <w:tr w:rsidR="00071022" w:rsidRPr="00C20267" w14:paraId="54BCA464" w14:textId="77777777" w:rsidTr="00AF2DD5">
        <w:trPr>
          <w:trHeight w:val="370"/>
        </w:trPr>
        <w:tc>
          <w:tcPr>
            <w:tcW w:w="474" w:type="pct"/>
            <w:tcBorders>
              <w:top w:val="nil"/>
            </w:tcBorders>
            <w:shd w:val="clear" w:color="auto" w:fill="auto"/>
            <w:vAlign w:val="bottom"/>
          </w:tcPr>
          <w:p w14:paraId="38534064"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٢٠١٦</w:t>
            </w:r>
          </w:p>
        </w:tc>
        <w:tc>
          <w:tcPr>
            <w:tcW w:w="283" w:type="pct"/>
            <w:tcBorders>
              <w:top w:val="nil"/>
            </w:tcBorders>
            <w:shd w:val="clear" w:color="auto" w:fill="auto"/>
            <w:vAlign w:val="bottom"/>
          </w:tcPr>
          <w:p w14:paraId="6CDA2094"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tcBorders>
            <w:shd w:val="clear" w:color="auto" w:fill="auto"/>
            <w:vAlign w:val="bottom"/>
          </w:tcPr>
          <w:p w14:paraId="0720CF52"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tcBorders>
            <w:shd w:val="clear" w:color="auto" w:fill="auto"/>
            <w:vAlign w:val="bottom"/>
          </w:tcPr>
          <w:p w14:paraId="10BE3284"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tcBorders>
            <w:shd w:val="clear" w:color="auto" w:fill="auto"/>
            <w:vAlign w:val="bottom"/>
          </w:tcPr>
          <w:p w14:paraId="6BA4AE7E"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tcBorders>
            <w:shd w:val="clear" w:color="auto" w:fill="auto"/>
            <w:vAlign w:val="bottom"/>
          </w:tcPr>
          <w:p w14:paraId="27C70EFC"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٤</w:t>
            </w:r>
          </w:p>
        </w:tc>
        <w:tc>
          <w:tcPr>
            <w:tcW w:w="283" w:type="pct"/>
            <w:tcBorders>
              <w:top w:val="nil"/>
            </w:tcBorders>
            <w:shd w:val="clear" w:color="auto" w:fill="auto"/>
            <w:vAlign w:val="bottom"/>
          </w:tcPr>
          <w:p w14:paraId="1A96B317"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tcBorders>
            <w:shd w:val="clear" w:color="auto" w:fill="auto"/>
            <w:vAlign w:val="bottom"/>
          </w:tcPr>
          <w:p w14:paraId="22612F28"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tcBorders>
            <w:shd w:val="clear" w:color="auto" w:fill="auto"/>
            <w:vAlign w:val="bottom"/>
          </w:tcPr>
          <w:p w14:paraId="055AD50C"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٢٢</w:t>
            </w:r>
          </w:p>
        </w:tc>
        <w:tc>
          <w:tcPr>
            <w:tcW w:w="283" w:type="pct"/>
            <w:tcBorders>
              <w:top w:val="nil"/>
            </w:tcBorders>
            <w:shd w:val="clear" w:color="auto" w:fill="auto"/>
            <w:vAlign w:val="bottom"/>
          </w:tcPr>
          <w:p w14:paraId="08ABD3BA"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tcBorders>
            <w:shd w:val="clear" w:color="auto" w:fill="auto"/>
            <w:vAlign w:val="bottom"/>
          </w:tcPr>
          <w:p w14:paraId="42E63A0C"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tcBorders>
            <w:shd w:val="clear" w:color="auto" w:fill="auto"/>
            <w:vAlign w:val="bottom"/>
          </w:tcPr>
          <w:p w14:paraId="154DB009"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١</w:t>
            </w:r>
          </w:p>
        </w:tc>
        <w:tc>
          <w:tcPr>
            <w:tcW w:w="283" w:type="pct"/>
            <w:tcBorders>
              <w:top w:val="nil"/>
            </w:tcBorders>
            <w:shd w:val="clear" w:color="auto" w:fill="auto"/>
            <w:vAlign w:val="bottom"/>
          </w:tcPr>
          <w:p w14:paraId="6066FC4B"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tcBorders>
            <w:shd w:val="clear" w:color="auto" w:fill="auto"/>
            <w:vAlign w:val="bottom"/>
          </w:tcPr>
          <w:p w14:paraId="69E9BDD5"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٥٨</w:t>
            </w:r>
          </w:p>
        </w:tc>
        <w:tc>
          <w:tcPr>
            <w:tcW w:w="283" w:type="pct"/>
            <w:tcBorders>
              <w:top w:val="nil"/>
            </w:tcBorders>
            <w:shd w:val="clear" w:color="auto" w:fill="auto"/>
            <w:vAlign w:val="bottom"/>
          </w:tcPr>
          <w:p w14:paraId="4724867F"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tcBorders>
              <w:top w:val="nil"/>
            </w:tcBorders>
            <w:shd w:val="clear" w:color="auto" w:fill="auto"/>
            <w:vAlign w:val="bottom"/>
          </w:tcPr>
          <w:p w14:paraId="5F48821D"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1" w:type="pct"/>
            <w:tcBorders>
              <w:top w:val="nil"/>
            </w:tcBorders>
            <w:shd w:val="clear" w:color="auto" w:fill="auto"/>
            <w:vAlign w:val="bottom"/>
          </w:tcPr>
          <w:p w14:paraId="7BB4736A" w14:textId="77777777" w:rsidR="00071022" w:rsidRPr="00E609AC"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E609AC">
              <w:rPr>
                <w:b/>
                <w:bCs/>
                <w:szCs w:val="20"/>
                <w:rtl/>
              </w:rPr>
              <w:t>٨٥</w:t>
            </w:r>
          </w:p>
        </w:tc>
      </w:tr>
      <w:tr w:rsidR="00071022" w:rsidRPr="00C20267" w14:paraId="1D5EC477" w14:textId="77777777" w:rsidTr="00AF2DD5">
        <w:trPr>
          <w:trHeight w:val="360"/>
        </w:trPr>
        <w:tc>
          <w:tcPr>
            <w:tcW w:w="474" w:type="pct"/>
            <w:shd w:val="clear" w:color="auto" w:fill="auto"/>
            <w:vAlign w:val="bottom"/>
          </w:tcPr>
          <w:p w14:paraId="63FB65F8"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٢٠١٧</w:t>
            </w:r>
          </w:p>
        </w:tc>
        <w:tc>
          <w:tcPr>
            <w:tcW w:w="283" w:type="pct"/>
            <w:shd w:val="clear" w:color="auto" w:fill="auto"/>
            <w:vAlign w:val="bottom"/>
          </w:tcPr>
          <w:p w14:paraId="3E83CC89"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٢</w:t>
            </w:r>
          </w:p>
        </w:tc>
        <w:tc>
          <w:tcPr>
            <w:tcW w:w="283" w:type="pct"/>
            <w:shd w:val="clear" w:color="auto" w:fill="auto"/>
            <w:vAlign w:val="bottom"/>
          </w:tcPr>
          <w:p w14:paraId="614A7DC2"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١</w:t>
            </w:r>
          </w:p>
        </w:tc>
        <w:tc>
          <w:tcPr>
            <w:tcW w:w="283" w:type="pct"/>
            <w:shd w:val="clear" w:color="auto" w:fill="auto"/>
            <w:vAlign w:val="bottom"/>
          </w:tcPr>
          <w:p w14:paraId="01C75B17"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57FE2C23"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4CF0300E"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٣</w:t>
            </w:r>
          </w:p>
        </w:tc>
        <w:tc>
          <w:tcPr>
            <w:tcW w:w="283" w:type="pct"/>
            <w:shd w:val="clear" w:color="auto" w:fill="auto"/>
            <w:vAlign w:val="bottom"/>
          </w:tcPr>
          <w:p w14:paraId="357064CD"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33D7CC8A"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78CE8938"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٤٣</w:t>
            </w:r>
          </w:p>
        </w:tc>
        <w:tc>
          <w:tcPr>
            <w:tcW w:w="283" w:type="pct"/>
            <w:shd w:val="clear" w:color="auto" w:fill="auto"/>
            <w:vAlign w:val="bottom"/>
          </w:tcPr>
          <w:p w14:paraId="2673274D"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٢</w:t>
            </w:r>
          </w:p>
        </w:tc>
        <w:tc>
          <w:tcPr>
            <w:tcW w:w="283" w:type="pct"/>
            <w:shd w:val="clear" w:color="auto" w:fill="auto"/>
            <w:vAlign w:val="bottom"/>
          </w:tcPr>
          <w:p w14:paraId="2AB7757D"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5B22FEF2"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٢</w:t>
            </w:r>
          </w:p>
        </w:tc>
        <w:tc>
          <w:tcPr>
            <w:tcW w:w="283" w:type="pct"/>
            <w:shd w:val="clear" w:color="auto" w:fill="auto"/>
            <w:vAlign w:val="bottom"/>
          </w:tcPr>
          <w:p w14:paraId="689B6F24"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١</w:t>
            </w:r>
          </w:p>
        </w:tc>
        <w:tc>
          <w:tcPr>
            <w:tcW w:w="283" w:type="pct"/>
            <w:shd w:val="clear" w:color="auto" w:fill="auto"/>
            <w:vAlign w:val="bottom"/>
          </w:tcPr>
          <w:p w14:paraId="2E03A121"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٣١</w:t>
            </w:r>
          </w:p>
        </w:tc>
        <w:tc>
          <w:tcPr>
            <w:tcW w:w="283" w:type="pct"/>
            <w:shd w:val="clear" w:color="auto" w:fill="auto"/>
            <w:vAlign w:val="bottom"/>
          </w:tcPr>
          <w:p w14:paraId="5C493BCA"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١</w:t>
            </w:r>
          </w:p>
        </w:tc>
        <w:tc>
          <w:tcPr>
            <w:tcW w:w="283" w:type="pct"/>
            <w:shd w:val="clear" w:color="auto" w:fill="auto"/>
            <w:vAlign w:val="bottom"/>
          </w:tcPr>
          <w:p w14:paraId="00879532"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1" w:type="pct"/>
            <w:shd w:val="clear" w:color="auto" w:fill="auto"/>
            <w:vAlign w:val="bottom"/>
          </w:tcPr>
          <w:p w14:paraId="6C734659" w14:textId="77777777" w:rsidR="00071022" w:rsidRPr="00E609AC"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E609AC">
              <w:rPr>
                <w:b/>
                <w:bCs/>
                <w:szCs w:val="20"/>
                <w:rtl/>
              </w:rPr>
              <w:t>٨٦</w:t>
            </w:r>
          </w:p>
        </w:tc>
      </w:tr>
      <w:tr w:rsidR="00071022" w:rsidRPr="00C20267" w14:paraId="5BD7139F" w14:textId="77777777" w:rsidTr="00AF2DD5">
        <w:trPr>
          <w:trHeight w:val="360"/>
        </w:trPr>
        <w:tc>
          <w:tcPr>
            <w:tcW w:w="474" w:type="pct"/>
            <w:shd w:val="clear" w:color="auto" w:fill="auto"/>
            <w:vAlign w:val="bottom"/>
          </w:tcPr>
          <w:p w14:paraId="57A3B91C"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٢٠١٨</w:t>
            </w:r>
          </w:p>
        </w:tc>
        <w:tc>
          <w:tcPr>
            <w:tcW w:w="283" w:type="pct"/>
            <w:shd w:val="clear" w:color="auto" w:fill="auto"/>
            <w:vAlign w:val="bottom"/>
          </w:tcPr>
          <w:p w14:paraId="3F0143A2"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2E8C7D3D"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5EAD4967"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38E5CFC2"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6360090F"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٩</w:t>
            </w:r>
          </w:p>
        </w:tc>
        <w:tc>
          <w:tcPr>
            <w:tcW w:w="283" w:type="pct"/>
            <w:shd w:val="clear" w:color="auto" w:fill="auto"/>
            <w:vAlign w:val="bottom"/>
          </w:tcPr>
          <w:p w14:paraId="76487E81"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١</w:t>
            </w:r>
          </w:p>
        </w:tc>
        <w:tc>
          <w:tcPr>
            <w:tcW w:w="283" w:type="pct"/>
            <w:shd w:val="clear" w:color="auto" w:fill="auto"/>
            <w:vAlign w:val="bottom"/>
          </w:tcPr>
          <w:p w14:paraId="562A16F2"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١٤</w:t>
            </w:r>
          </w:p>
        </w:tc>
        <w:tc>
          <w:tcPr>
            <w:tcW w:w="283" w:type="pct"/>
            <w:shd w:val="clear" w:color="auto" w:fill="auto"/>
            <w:vAlign w:val="bottom"/>
          </w:tcPr>
          <w:p w14:paraId="27BF13F6"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٥٠</w:t>
            </w:r>
          </w:p>
        </w:tc>
        <w:tc>
          <w:tcPr>
            <w:tcW w:w="283" w:type="pct"/>
            <w:shd w:val="clear" w:color="auto" w:fill="auto"/>
            <w:vAlign w:val="bottom"/>
          </w:tcPr>
          <w:p w14:paraId="686D9A3C"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4FC2CFC8"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7FA9F947"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36CD1FE4"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764D347C"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٤٢</w:t>
            </w:r>
          </w:p>
        </w:tc>
        <w:tc>
          <w:tcPr>
            <w:tcW w:w="283" w:type="pct"/>
            <w:shd w:val="clear" w:color="auto" w:fill="auto"/>
            <w:vAlign w:val="bottom"/>
          </w:tcPr>
          <w:p w14:paraId="0AE35DE7"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w:t>
            </w:r>
          </w:p>
        </w:tc>
        <w:tc>
          <w:tcPr>
            <w:tcW w:w="283" w:type="pct"/>
            <w:shd w:val="clear" w:color="auto" w:fill="auto"/>
            <w:vAlign w:val="bottom"/>
          </w:tcPr>
          <w:p w14:paraId="4F962D46" w14:textId="77777777" w:rsidR="00071022" w:rsidRPr="00C20267" w:rsidRDefault="00071022" w:rsidP="00E609AC">
            <w:pPr>
              <w:pStyle w:val="SingleTxtG"/>
              <w:suppressAutoHyphens w:val="0"/>
              <w:bidi/>
              <w:spacing w:before="20" w:after="20" w:line="240" w:lineRule="exact"/>
              <w:ind w:left="0" w:right="113"/>
              <w:jc w:val="left"/>
              <w:textDirection w:val="tbRlV"/>
              <w:rPr>
                <w:szCs w:val="20"/>
                <w:rtl/>
                <w:lang w:val="ar-SA" w:eastAsia="zh-TW"/>
              </w:rPr>
            </w:pPr>
            <w:r w:rsidRPr="00C20267">
              <w:rPr>
                <w:szCs w:val="20"/>
                <w:rtl/>
              </w:rPr>
              <w:t>٢</w:t>
            </w:r>
          </w:p>
        </w:tc>
        <w:tc>
          <w:tcPr>
            <w:tcW w:w="281" w:type="pct"/>
            <w:shd w:val="clear" w:color="auto" w:fill="auto"/>
            <w:vAlign w:val="bottom"/>
          </w:tcPr>
          <w:p w14:paraId="4F53C5C6" w14:textId="77777777" w:rsidR="00071022" w:rsidRPr="00E609AC"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E609AC">
              <w:rPr>
                <w:b/>
                <w:bCs/>
                <w:szCs w:val="20"/>
                <w:rtl/>
              </w:rPr>
              <w:t>١١٨</w:t>
            </w:r>
          </w:p>
        </w:tc>
      </w:tr>
      <w:tr w:rsidR="00071022" w:rsidRPr="00C20267" w14:paraId="2843F6E1" w14:textId="77777777" w:rsidTr="00AF2DD5">
        <w:trPr>
          <w:trHeight w:val="360"/>
        </w:trPr>
        <w:tc>
          <w:tcPr>
            <w:tcW w:w="474" w:type="pct"/>
            <w:tcBorders>
              <w:bottom w:val="single" w:sz="4" w:space="0" w:color="auto"/>
            </w:tcBorders>
            <w:shd w:val="clear" w:color="auto" w:fill="auto"/>
            <w:vAlign w:val="bottom"/>
          </w:tcPr>
          <w:p w14:paraId="65189AAB" w14:textId="77777777" w:rsidR="00071022" w:rsidRPr="00C20267" w:rsidRDefault="00071022" w:rsidP="00E609AC">
            <w:pPr>
              <w:pStyle w:val="SingleTxtG"/>
              <w:suppressAutoHyphens w:val="0"/>
              <w:bidi/>
              <w:spacing w:before="20" w:after="20" w:line="240" w:lineRule="exact"/>
              <w:ind w:left="0" w:right="113"/>
              <w:jc w:val="left"/>
              <w:rPr>
                <w:szCs w:val="20"/>
                <w:rtl/>
              </w:rPr>
            </w:pPr>
            <w:r w:rsidRPr="00C20267">
              <w:rPr>
                <w:szCs w:val="20"/>
                <w:rtl/>
              </w:rPr>
              <w:t>2019</w:t>
            </w:r>
            <w:r w:rsidRPr="00071022">
              <w:rPr>
                <w:rFonts w:hint="cs"/>
                <w:szCs w:val="20"/>
                <w:vertAlign w:val="superscript"/>
                <w:rtl/>
              </w:rPr>
              <w:t>(ب)</w:t>
            </w:r>
          </w:p>
        </w:tc>
        <w:tc>
          <w:tcPr>
            <w:tcW w:w="283" w:type="pct"/>
            <w:tcBorders>
              <w:bottom w:val="single" w:sz="4" w:space="0" w:color="auto"/>
            </w:tcBorders>
            <w:shd w:val="clear" w:color="auto" w:fill="auto"/>
            <w:vAlign w:val="bottom"/>
          </w:tcPr>
          <w:p w14:paraId="7BF27F23" w14:textId="77777777" w:rsidR="00071022" w:rsidRPr="00071022" w:rsidRDefault="00071022" w:rsidP="00E609AC">
            <w:pPr>
              <w:pStyle w:val="SingleTxtG"/>
              <w:suppressAutoHyphens w:val="0"/>
              <w:bidi/>
              <w:spacing w:before="20" w:after="20" w:line="240" w:lineRule="exact"/>
              <w:ind w:left="0" w:right="113"/>
              <w:rPr>
                <w:szCs w:val="20"/>
                <w:rtl/>
                <w:lang w:val="en-US" w:bidi="ar-DZ"/>
              </w:rPr>
            </w:pPr>
            <w:r w:rsidRPr="00C20267">
              <w:rPr>
                <w:szCs w:val="20"/>
                <w:rtl/>
              </w:rPr>
              <w:t>—</w:t>
            </w:r>
          </w:p>
        </w:tc>
        <w:tc>
          <w:tcPr>
            <w:tcW w:w="283" w:type="pct"/>
            <w:tcBorders>
              <w:bottom w:val="single" w:sz="4" w:space="0" w:color="auto"/>
            </w:tcBorders>
            <w:shd w:val="clear" w:color="auto" w:fill="auto"/>
            <w:vAlign w:val="bottom"/>
          </w:tcPr>
          <w:p w14:paraId="21046CEF" w14:textId="77777777" w:rsidR="00071022" w:rsidRPr="00C20267" w:rsidRDefault="00071022" w:rsidP="00E609AC">
            <w:pPr>
              <w:pStyle w:val="SingleTxtG"/>
              <w:suppressAutoHyphens w:val="0"/>
              <w:bidi/>
              <w:spacing w:before="20" w:after="20" w:line="240" w:lineRule="exact"/>
              <w:ind w:left="0" w:right="113"/>
              <w:rPr>
                <w:szCs w:val="20"/>
                <w:rtl/>
              </w:rPr>
            </w:pPr>
            <w:r w:rsidRPr="00C20267">
              <w:rPr>
                <w:szCs w:val="20"/>
                <w:rtl/>
              </w:rPr>
              <w:t>—</w:t>
            </w:r>
          </w:p>
        </w:tc>
        <w:tc>
          <w:tcPr>
            <w:tcW w:w="283" w:type="pct"/>
            <w:tcBorders>
              <w:bottom w:val="single" w:sz="4" w:space="0" w:color="auto"/>
            </w:tcBorders>
            <w:shd w:val="clear" w:color="auto" w:fill="auto"/>
            <w:vAlign w:val="bottom"/>
          </w:tcPr>
          <w:p w14:paraId="41D3D32F" w14:textId="77777777" w:rsidR="00071022" w:rsidRPr="00C20267" w:rsidRDefault="00071022" w:rsidP="00E609AC">
            <w:pPr>
              <w:pStyle w:val="SingleTxtG"/>
              <w:suppressAutoHyphens w:val="0"/>
              <w:bidi/>
              <w:spacing w:before="20" w:after="20" w:line="240" w:lineRule="exact"/>
              <w:ind w:left="0" w:right="113"/>
              <w:rPr>
                <w:szCs w:val="20"/>
                <w:rtl/>
              </w:rPr>
            </w:pPr>
            <w:r w:rsidRPr="00C20267">
              <w:rPr>
                <w:szCs w:val="20"/>
                <w:rtl/>
              </w:rPr>
              <w:t>—</w:t>
            </w:r>
          </w:p>
        </w:tc>
        <w:tc>
          <w:tcPr>
            <w:tcW w:w="283" w:type="pct"/>
            <w:tcBorders>
              <w:bottom w:val="single" w:sz="4" w:space="0" w:color="auto"/>
            </w:tcBorders>
            <w:shd w:val="clear" w:color="auto" w:fill="auto"/>
            <w:vAlign w:val="bottom"/>
          </w:tcPr>
          <w:p w14:paraId="76597B0D" w14:textId="77777777" w:rsidR="00071022" w:rsidRPr="00C20267" w:rsidRDefault="00071022" w:rsidP="00E609AC">
            <w:pPr>
              <w:pStyle w:val="SingleTxtG"/>
              <w:suppressAutoHyphens w:val="0"/>
              <w:bidi/>
              <w:spacing w:before="20" w:after="20" w:line="240" w:lineRule="exact"/>
              <w:ind w:left="0" w:right="113"/>
              <w:textDirection w:val="tbRlV"/>
              <w:rPr>
                <w:szCs w:val="20"/>
                <w:rtl/>
                <w:lang w:val="ar-SA" w:eastAsia="zh-TW"/>
              </w:rPr>
            </w:pPr>
            <w:r w:rsidRPr="00C20267">
              <w:rPr>
                <w:szCs w:val="20"/>
                <w:rtl/>
              </w:rPr>
              <w:t>١</w:t>
            </w:r>
          </w:p>
        </w:tc>
        <w:tc>
          <w:tcPr>
            <w:tcW w:w="283" w:type="pct"/>
            <w:tcBorders>
              <w:bottom w:val="single" w:sz="4" w:space="0" w:color="auto"/>
            </w:tcBorders>
            <w:shd w:val="clear" w:color="auto" w:fill="auto"/>
            <w:vAlign w:val="bottom"/>
          </w:tcPr>
          <w:p w14:paraId="61D29EC7" w14:textId="77777777" w:rsidR="00071022" w:rsidRPr="00C20267" w:rsidRDefault="00071022" w:rsidP="00E609AC">
            <w:pPr>
              <w:pStyle w:val="SingleTxtG"/>
              <w:suppressAutoHyphens w:val="0"/>
              <w:bidi/>
              <w:spacing w:before="20" w:after="20" w:line="240" w:lineRule="exact"/>
              <w:ind w:left="0" w:right="113"/>
              <w:rPr>
                <w:szCs w:val="20"/>
                <w:rtl/>
              </w:rPr>
            </w:pPr>
            <w:r w:rsidRPr="00C20267">
              <w:rPr>
                <w:szCs w:val="20"/>
                <w:rtl/>
              </w:rPr>
              <w:t>—</w:t>
            </w:r>
          </w:p>
        </w:tc>
        <w:tc>
          <w:tcPr>
            <w:tcW w:w="283" w:type="pct"/>
            <w:tcBorders>
              <w:bottom w:val="single" w:sz="4" w:space="0" w:color="auto"/>
            </w:tcBorders>
            <w:shd w:val="clear" w:color="auto" w:fill="auto"/>
            <w:vAlign w:val="bottom"/>
          </w:tcPr>
          <w:p w14:paraId="68221846" w14:textId="77777777" w:rsidR="00071022" w:rsidRPr="00C20267" w:rsidRDefault="00071022" w:rsidP="00E609AC">
            <w:pPr>
              <w:pStyle w:val="SingleTxtG"/>
              <w:suppressAutoHyphens w:val="0"/>
              <w:bidi/>
              <w:spacing w:before="20" w:after="20" w:line="240" w:lineRule="exact"/>
              <w:ind w:left="0" w:right="113"/>
              <w:rPr>
                <w:szCs w:val="20"/>
                <w:rtl/>
              </w:rPr>
            </w:pPr>
            <w:r w:rsidRPr="00C20267">
              <w:rPr>
                <w:szCs w:val="20"/>
                <w:rtl/>
              </w:rPr>
              <w:t>—</w:t>
            </w:r>
          </w:p>
        </w:tc>
        <w:tc>
          <w:tcPr>
            <w:tcW w:w="283" w:type="pct"/>
            <w:tcBorders>
              <w:bottom w:val="single" w:sz="4" w:space="0" w:color="auto"/>
            </w:tcBorders>
            <w:shd w:val="clear" w:color="auto" w:fill="auto"/>
            <w:vAlign w:val="bottom"/>
          </w:tcPr>
          <w:p w14:paraId="7F0A296A" w14:textId="77777777" w:rsidR="00071022" w:rsidRPr="00C20267" w:rsidRDefault="00071022" w:rsidP="00E609AC">
            <w:pPr>
              <w:pStyle w:val="SingleTxtG"/>
              <w:suppressAutoHyphens w:val="0"/>
              <w:bidi/>
              <w:spacing w:before="20" w:after="20" w:line="240" w:lineRule="exact"/>
              <w:ind w:left="0" w:right="113"/>
              <w:rPr>
                <w:szCs w:val="20"/>
                <w:rtl/>
              </w:rPr>
            </w:pPr>
            <w:r w:rsidRPr="00C20267">
              <w:rPr>
                <w:szCs w:val="20"/>
                <w:rtl/>
              </w:rPr>
              <w:t>—</w:t>
            </w:r>
          </w:p>
        </w:tc>
        <w:tc>
          <w:tcPr>
            <w:tcW w:w="283" w:type="pct"/>
            <w:tcBorders>
              <w:bottom w:val="single" w:sz="4" w:space="0" w:color="auto"/>
            </w:tcBorders>
            <w:shd w:val="clear" w:color="auto" w:fill="auto"/>
            <w:vAlign w:val="bottom"/>
          </w:tcPr>
          <w:p w14:paraId="43E3CE9B" w14:textId="77777777" w:rsidR="00071022" w:rsidRPr="00C20267" w:rsidRDefault="00071022" w:rsidP="00E609AC">
            <w:pPr>
              <w:pStyle w:val="SingleTxtG"/>
              <w:suppressAutoHyphens w:val="0"/>
              <w:bidi/>
              <w:spacing w:before="20" w:after="20" w:line="240" w:lineRule="exact"/>
              <w:ind w:left="0" w:right="113"/>
              <w:rPr>
                <w:szCs w:val="20"/>
                <w:rtl/>
              </w:rPr>
            </w:pPr>
            <w:r w:rsidRPr="00C20267">
              <w:rPr>
                <w:szCs w:val="20"/>
                <w:rtl/>
              </w:rPr>
              <w:t>—</w:t>
            </w:r>
          </w:p>
        </w:tc>
        <w:tc>
          <w:tcPr>
            <w:tcW w:w="283" w:type="pct"/>
            <w:tcBorders>
              <w:bottom w:val="single" w:sz="4" w:space="0" w:color="auto"/>
            </w:tcBorders>
            <w:shd w:val="clear" w:color="auto" w:fill="auto"/>
            <w:vAlign w:val="bottom"/>
          </w:tcPr>
          <w:p w14:paraId="1579D6F8" w14:textId="77777777" w:rsidR="00071022" w:rsidRPr="00C20267" w:rsidRDefault="00071022" w:rsidP="00E609AC">
            <w:pPr>
              <w:pStyle w:val="SingleTxtG"/>
              <w:suppressAutoHyphens w:val="0"/>
              <w:bidi/>
              <w:spacing w:before="20" w:after="20" w:line="240" w:lineRule="exact"/>
              <w:ind w:left="0" w:right="113"/>
              <w:rPr>
                <w:szCs w:val="20"/>
                <w:rtl/>
              </w:rPr>
            </w:pPr>
            <w:r w:rsidRPr="00C20267">
              <w:rPr>
                <w:szCs w:val="20"/>
                <w:rtl/>
              </w:rPr>
              <w:t>—</w:t>
            </w:r>
          </w:p>
        </w:tc>
        <w:tc>
          <w:tcPr>
            <w:tcW w:w="283" w:type="pct"/>
            <w:tcBorders>
              <w:bottom w:val="single" w:sz="4" w:space="0" w:color="auto"/>
            </w:tcBorders>
            <w:shd w:val="clear" w:color="auto" w:fill="auto"/>
            <w:vAlign w:val="bottom"/>
          </w:tcPr>
          <w:p w14:paraId="7E38A695" w14:textId="77777777" w:rsidR="00071022" w:rsidRPr="00C20267" w:rsidRDefault="00071022" w:rsidP="00E609AC">
            <w:pPr>
              <w:pStyle w:val="SingleTxtG"/>
              <w:suppressAutoHyphens w:val="0"/>
              <w:bidi/>
              <w:spacing w:before="20" w:after="20" w:line="240" w:lineRule="exact"/>
              <w:ind w:left="0" w:right="113"/>
              <w:textDirection w:val="tbRlV"/>
              <w:rPr>
                <w:szCs w:val="20"/>
                <w:rtl/>
                <w:lang w:val="ar-SA" w:eastAsia="zh-TW"/>
              </w:rPr>
            </w:pPr>
            <w:r w:rsidRPr="00C20267">
              <w:rPr>
                <w:szCs w:val="20"/>
                <w:rtl/>
              </w:rPr>
              <w:t>١</w:t>
            </w:r>
          </w:p>
        </w:tc>
        <w:tc>
          <w:tcPr>
            <w:tcW w:w="283" w:type="pct"/>
            <w:tcBorders>
              <w:bottom w:val="single" w:sz="4" w:space="0" w:color="auto"/>
            </w:tcBorders>
            <w:shd w:val="clear" w:color="auto" w:fill="auto"/>
            <w:vAlign w:val="bottom"/>
          </w:tcPr>
          <w:p w14:paraId="5E5B8EB3" w14:textId="77777777" w:rsidR="00071022" w:rsidRPr="00C20267" w:rsidRDefault="00071022" w:rsidP="00E609AC">
            <w:pPr>
              <w:pStyle w:val="SingleTxtG"/>
              <w:suppressAutoHyphens w:val="0"/>
              <w:bidi/>
              <w:spacing w:before="20" w:after="20" w:line="240" w:lineRule="exact"/>
              <w:ind w:left="0" w:right="113"/>
              <w:rPr>
                <w:szCs w:val="20"/>
                <w:rtl/>
              </w:rPr>
            </w:pPr>
            <w:r w:rsidRPr="00C20267">
              <w:rPr>
                <w:szCs w:val="20"/>
                <w:rtl/>
              </w:rPr>
              <w:t>—</w:t>
            </w:r>
          </w:p>
        </w:tc>
        <w:tc>
          <w:tcPr>
            <w:tcW w:w="283" w:type="pct"/>
            <w:tcBorders>
              <w:bottom w:val="single" w:sz="4" w:space="0" w:color="auto"/>
            </w:tcBorders>
            <w:shd w:val="clear" w:color="auto" w:fill="auto"/>
            <w:vAlign w:val="bottom"/>
          </w:tcPr>
          <w:p w14:paraId="797E4A82" w14:textId="77777777" w:rsidR="00071022" w:rsidRPr="00C20267" w:rsidRDefault="00071022" w:rsidP="00E609AC">
            <w:pPr>
              <w:pStyle w:val="SingleTxtG"/>
              <w:suppressAutoHyphens w:val="0"/>
              <w:bidi/>
              <w:spacing w:before="20" w:after="20" w:line="240" w:lineRule="exact"/>
              <w:ind w:left="0" w:right="113"/>
              <w:rPr>
                <w:szCs w:val="20"/>
                <w:rtl/>
              </w:rPr>
            </w:pPr>
            <w:r w:rsidRPr="00C20267">
              <w:rPr>
                <w:szCs w:val="20"/>
                <w:rtl/>
              </w:rPr>
              <w:t>—</w:t>
            </w:r>
          </w:p>
        </w:tc>
        <w:tc>
          <w:tcPr>
            <w:tcW w:w="283" w:type="pct"/>
            <w:tcBorders>
              <w:bottom w:val="single" w:sz="4" w:space="0" w:color="auto"/>
            </w:tcBorders>
            <w:shd w:val="clear" w:color="auto" w:fill="auto"/>
            <w:vAlign w:val="bottom"/>
          </w:tcPr>
          <w:p w14:paraId="7CFD4320" w14:textId="77777777" w:rsidR="00071022" w:rsidRPr="00C20267" w:rsidRDefault="00071022" w:rsidP="00E609AC">
            <w:pPr>
              <w:pStyle w:val="SingleTxtG"/>
              <w:suppressAutoHyphens w:val="0"/>
              <w:bidi/>
              <w:spacing w:before="20" w:after="20" w:line="240" w:lineRule="exact"/>
              <w:ind w:left="0" w:right="113"/>
              <w:textDirection w:val="tbRlV"/>
              <w:rPr>
                <w:szCs w:val="20"/>
                <w:rtl/>
                <w:lang w:val="ar-SA" w:eastAsia="zh-TW"/>
              </w:rPr>
            </w:pPr>
            <w:r w:rsidRPr="00C20267">
              <w:rPr>
                <w:szCs w:val="20"/>
                <w:rtl/>
              </w:rPr>
              <w:t>٦</w:t>
            </w:r>
          </w:p>
        </w:tc>
        <w:tc>
          <w:tcPr>
            <w:tcW w:w="283" w:type="pct"/>
            <w:tcBorders>
              <w:bottom w:val="single" w:sz="4" w:space="0" w:color="auto"/>
            </w:tcBorders>
            <w:shd w:val="clear" w:color="auto" w:fill="auto"/>
            <w:vAlign w:val="bottom"/>
          </w:tcPr>
          <w:p w14:paraId="1B052407" w14:textId="77777777" w:rsidR="00071022" w:rsidRPr="00C20267" w:rsidRDefault="00071022" w:rsidP="00E609AC">
            <w:pPr>
              <w:pStyle w:val="SingleTxtG"/>
              <w:suppressAutoHyphens w:val="0"/>
              <w:bidi/>
              <w:spacing w:before="20" w:after="20" w:line="240" w:lineRule="exact"/>
              <w:ind w:left="0" w:right="113"/>
              <w:rPr>
                <w:szCs w:val="20"/>
                <w:rtl/>
              </w:rPr>
            </w:pPr>
            <w:r w:rsidRPr="00C20267">
              <w:rPr>
                <w:szCs w:val="20"/>
                <w:rtl/>
              </w:rPr>
              <w:t>—</w:t>
            </w:r>
          </w:p>
        </w:tc>
        <w:tc>
          <w:tcPr>
            <w:tcW w:w="283" w:type="pct"/>
            <w:tcBorders>
              <w:bottom w:val="single" w:sz="4" w:space="0" w:color="auto"/>
            </w:tcBorders>
            <w:shd w:val="clear" w:color="auto" w:fill="auto"/>
            <w:vAlign w:val="bottom"/>
          </w:tcPr>
          <w:p w14:paraId="2F43EEB2" w14:textId="77777777" w:rsidR="00071022" w:rsidRPr="00C20267" w:rsidRDefault="00071022" w:rsidP="00E609AC">
            <w:pPr>
              <w:pStyle w:val="SingleTxtG"/>
              <w:suppressAutoHyphens w:val="0"/>
              <w:bidi/>
              <w:spacing w:before="20" w:after="20" w:line="240" w:lineRule="exact"/>
              <w:ind w:left="0" w:right="113"/>
              <w:rPr>
                <w:szCs w:val="20"/>
                <w:rtl/>
              </w:rPr>
            </w:pPr>
            <w:r w:rsidRPr="00C20267">
              <w:rPr>
                <w:szCs w:val="20"/>
                <w:rtl/>
              </w:rPr>
              <w:t>—</w:t>
            </w:r>
          </w:p>
        </w:tc>
        <w:tc>
          <w:tcPr>
            <w:tcW w:w="281" w:type="pct"/>
            <w:tcBorders>
              <w:bottom w:val="single" w:sz="4" w:space="0" w:color="auto"/>
            </w:tcBorders>
            <w:shd w:val="clear" w:color="auto" w:fill="auto"/>
            <w:vAlign w:val="bottom"/>
          </w:tcPr>
          <w:p w14:paraId="5C28E772" w14:textId="77777777" w:rsidR="00071022" w:rsidRPr="00E609AC"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E609AC">
              <w:rPr>
                <w:b/>
                <w:bCs/>
                <w:szCs w:val="20"/>
                <w:rtl/>
              </w:rPr>
              <w:t>٨</w:t>
            </w:r>
          </w:p>
        </w:tc>
      </w:tr>
      <w:tr w:rsidR="00071022" w:rsidRPr="00071022" w14:paraId="4BF0DDDA" w14:textId="77777777" w:rsidTr="00E609AC">
        <w:trPr>
          <w:trHeight w:val="157"/>
        </w:trPr>
        <w:tc>
          <w:tcPr>
            <w:tcW w:w="474" w:type="pct"/>
            <w:tcBorders>
              <w:top w:val="single" w:sz="4" w:space="0" w:color="auto"/>
              <w:bottom w:val="single" w:sz="12" w:space="0" w:color="auto"/>
            </w:tcBorders>
            <w:shd w:val="clear" w:color="auto" w:fill="auto"/>
          </w:tcPr>
          <w:p w14:paraId="5262CFE2" w14:textId="77777777" w:rsidR="00071022" w:rsidRPr="00071022" w:rsidRDefault="00071022" w:rsidP="00E609AC">
            <w:pPr>
              <w:pStyle w:val="SingleTxtG"/>
              <w:suppressAutoHyphens w:val="0"/>
              <w:bidi/>
              <w:spacing w:before="20" w:after="20" w:line="240" w:lineRule="exact"/>
              <w:ind w:left="283" w:right="0"/>
              <w:jc w:val="left"/>
              <w:textDirection w:val="tbRlV"/>
              <w:rPr>
                <w:b/>
                <w:bCs/>
                <w:szCs w:val="20"/>
                <w:rtl/>
                <w:lang w:val="ar-SA" w:eastAsia="zh-TW"/>
              </w:rPr>
            </w:pPr>
            <w:r w:rsidRPr="00071022">
              <w:rPr>
                <w:b/>
                <w:bCs/>
                <w:szCs w:val="20"/>
                <w:rtl/>
              </w:rPr>
              <w:t>المجموع</w:t>
            </w:r>
          </w:p>
        </w:tc>
        <w:tc>
          <w:tcPr>
            <w:tcW w:w="283" w:type="pct"/>
            <w:tcBorders>
              <w:top w:val="single" w:sz="4" w:space="0" w:color="auto"/>
              <w:bottom w:val="single" w:sz="12" w:space="0" w:color="auto"/>
            </w:tcBorders>
            <w:shd w:val="clear" w:color="auto" w:fill="auto"/>
            <w:vAlign w:val="bottom"/>
          </w:tcPr>
          <w:p w14:paraId="33CDE925"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٢</w:t>
            </w:r>
          </w:p>
        </w:tc>
        <w:tc>
          <w:tcPr>
            <w:tcW w:w="283" w:type="pct"/>
            <w:tcBorders>
              <w:top w:val="single" w:sz="4" w:space="0" w:color="auto"/>
              <w:bottom w:val="single" w:sz="12" w:space="0" w:color="auto"/>
            </w:tcBorders>
            <w:shd w:val="clear" w:color="auto" w:fill="auto"/>
            <w:vAlign w:val="bottom"/>
          </w:tcPr>
          <w:p w14:paraId="7D75F453"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١</w:t>
            </w:r>
          </w:p>
        </w:tc>
        <w:tc>
          <w:tcPr>
            <w:tcW w:w="283" w:type="pct"/>
            <w:tcBorders>
              <w:top w:val="single" w:sz="4" w:space="0" w:color="auto"/>
              <w:bottom w:val="single" w:sz="12" w:space="0" w:color="auto"/>
            </w:tcBorders>
            <w:shd w:val="clear" w:color="auto" w:fill="auto"/>
            <w:vAlign w:val="bottom"/>
          </w:tcPr>
          <w:p w14:paraId="312B03B9"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١</w:t>
            </w:r>
          </w:p>
        </w:tc>
        <w:tc>
          <w:tcPr>
            <w:tcW w:w="283" w:type="pct"/>
            <w:tcBorders>
              <w:top w:val="single" w:sz="4" w:space="0" w:color="auto"/>
              <w:bottom w:val="single" w:sz="12" w:space="0" w:color="auto"/>
            </w:tcBorders>
            <w:shd w:val="clear" w:color="auto" w:fill="auto"/>
            <w:vAlign w:val="bottom"/>
          </w:tcPr>
          <w:p w14:paraId="5A3A9584"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٢</w:t>
            </w:r>
          </w:p>
        </w:tc>
        <w:tc>
          <w:tcPr>
            <w:tcW w:w="283" w:type="pct"/>
            <w:tcBorders>
              <w:top w:val="single" w:sz="4" w:space="0" w:color="auto"/>
              <w:bottom w:val="single" w:sz="12" w:space="0" w:color="auto"/>
            </w:tcBorders>
            <w:shd w:val="clear" w:color="auto" w:fill="auto"/>
            <w:vAlign w:val="bottom"/>
          </w:tcPr>
          <w:p w14:paraId="1486C378"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٢١</w:t>
            </w:r>
          </w:p>
        </w:tc>
        <w:tc>
          <w:tcPr>
            <w:tcW w:w="283" w:type="pct"/>
            <w:tcBorders>
              <w:top w:val="single" w:sz="4" w:space="0" w:color="auto"/>
              <w:bottom w:val="single" w:sz="12" w:space="0" w:color="auto"/>
            </w:tcBorders>
            <w:shd w:val="clear" w:color="auto" w:fill="auto"/>
            <w:vAlign w:val="bottom"/>
          </w:tcPr>
          <w:p w14:paraId="11059642"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١</w:t>
            </w:r>
          </w:p>
        </w:tc>
        <w:tc>
          <w:tcPr>
            <w:tcW w:w="283" w:type="pct"/>
            <w:tcBorders>
              <w:top w:val="single" w:sz="4" w:space="0" w:color="auto"/>
              <w:bottom w:val="single" w:sz="12" w:space="0" w:color="auto"/>
            </w:tcBorders>
            <w:shd w:val="clear" w:color="auto" w:fill="auto"/>
            <w:vAlign w:val="bottom"/>
          </w:tcPr>
          <w:p w14:paraId="1E621647"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١٤</w:t>
            </w:r>
          </w:p>
        </w:tc>
        <w:tc>
          <w:tcPr>
            <w:tcW w:w="283" w:type="pct"/>
            <w:tcBorders>
              <w:top w:val="single" w:sz="4" w:space="0" w:color="auto"/>
              <w:bottom w:val="single" w:sz="12" w:space="0" w:color="auto"/>
            </w:tcBorders>
            <w:shd w:val="clear" w:color="auto" w:fill="auto"/>
            <w:vAlign w:val="bottom"/>
          </w:tcPr>
          <w:p w14:paraId="33FD7364"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١٦٢</w:t>
            </w:r>
          </w:p>
        </w:tc>
        <w:tc>
          <w:tcPr>
            <w:tcW w:w="283" w:type="pct"/>
            <w:tcBorders>
              <w:top w:val="single" w:sz="4" w:space="0" w:color="auto"/>
              <w:bottom w:val="single" w:sz="12" w:space="0" w:color="auto"/>
            </w:tcBorders>
            <w:shd w:val="clear" w:color="auto" w:fill="auto"/>
            <w:vAlign w:val="bottom"/>
          </w:tcPr>
          <w:p w14:paraId="1D4095C0"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٢</w:t>
            </w:r>
          </w:p>
        </w:tc>
        <w:tc>
          <w:tcPr>
            <w:tcW w:w="283" w:type="pct"/>
            <w:tcBorders>
              <w:top w:val="single" w:sz="4" w:space="0" w:color="auto"/>
              <w:bottom w:val="single" w:sz="12" w:space="0" w:color="auto"/>
            </w:tcBorders>
            <w:shd w:val="clear" w:color="auto" w:fill="auto"/>
            <w:vAlign w:val="bottom"/>
          </w:tcPr>
          <w:p w14:paraId="51BDB918"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١</w:t>
            </w:r>
          </w:p>
        </w:tc>
        <w:tc>
          <w:tcPr>
            <w:tcW w:w="283" w:type="pct"/>
            <w:tcBorders>
              <w:top w:val="single" w:sz="4" w:space="0" w:color="auto"/>
              <w:bottom w:val="single" w:sz="12" w:space="0" w:color="auto"/>
            </w:tcBorders>
            <w:shd w:val="clear" w:color="auto" w:fill="auto"/>
            <w:vAlign w:val="bottom"/>
          </w:tcPr>
          <w:p w14:paraId="7672BF75"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٣</w:t>
            </w:r>
          </w:p>
        </w:tc>
        <w:tc>
          <w:tcPr>
            <w:tcW w:w="283" w:type="pct"/>
            <w:tcBorders>
              <w:top w:val="single" w:sz="4" w:space="0" w:color="auto"/>
              <w:bottom w:val="single" w:sz="12" w:space="0" w:color="auto"/>
            </w:tcBorders>
            <w:shd w:val="clear" w:color="auto" w:fill="auto"/>
            <w:vAlign w:val="bottom"/>
          </w:tcPr>
          <w:p w14:paraId="2B27E15E"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١</w:t>
            </w:r>
          </w:p>
        </w:tc>
        <w:tc>
          <w:tcPr>
            <w:tcW w:w="283" w:type="pct"/>
            <w:tcBorders>
              <w:top w:val="single" w:sz="4" w:space="0" w:color="auto"/>
              <w:bottom w:val="single" w:sz="12" w:space="0" w:color="auto"/>
            </w:tcBorders>
            <w:shd w:val="clear" w:color="auto" w:fill="auto"/>
            <w:vAlign w:val="bottom"/>
          </w:tcPr>
          <w:p w14:paraId="33FDA259"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٣٥٦</w:t>
            </w:r>
          </w:p>
        </w:tc>
        <w:tc>
          <w:tcPr>
            <w:tcW w:w="283" w:type="pct"/>
            <w:tcBorders>
              <w:top w:val="single" w:sz="4" w:space="0" w:color="auto"/>
              <w:bottom w:val="single" w:sz="12" w:space="0" w:color="auto"/>
            </w:tcBorders>
            <w:shd w:val="clear" w:color="auto" w:fill="auto"/>
            <w:vAlign w:val="bottom"/>
          </w:tcPr>
          <w:p w14:paraId="244A09F3"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١</w:t>
            </w:r>
          </w:p>
        </w:tc>
        <w:tc>
          <w:tcPr>
            <w:tcW w:w="283" w:type="pct"/>
            <w:tcBorders>
              <w:top w:val="single" w:sz="4" w:space="0" w:color="auto"/>
              <w:bottom w:val="single" w:sz="12" w:space="0" w:color="auto"/>
            </w:tcBorders>
            <w:shd w:val="clear" w:color="auto" w:fill="auto"/>
            <w:vAlign w:val="bottom"/>
          </w:tcPr>
          <w:p w14:paraId="476C6C0B"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٢</w:t>
            </w:r>
          </w:p>
        </w:tc>
        <w:tc>
          <w:tcPr>
            <w:tcW w:w="281" w:type="pct"/>
            <w:tcBorders>
              <w:top w:val="single" w:sz="4" w:space="0" w:color="auto"/>
              <w:bottom w:val="single" w:sz="12" w:space="0" w:color="auto"/>
            </w:tcBorders>
            <w:shd w:val="clear" w:color="auto" w:fill="auto"/>
            <w:vAlign w:val="bottom"/>
          </w:tcPr>
          <w:p w14:paraId="2579C7C0" w14:textId="77777777" w:rsidR="00071022" w:rsidRPr="00071022" w:rsidRDefault="00071022" w:rsidP="00E609AC">
            <w:pPr>
              <w:pStyle w:val="SingleTxtG"/>
              <w:suppressAutoHyphens w:val="0"/>
              <w:bidi/>
              <w:spacing w:before="20" w:after="20" w:line="240" w:lineRule="exact"/>
              <w:ind w:left="0" w:right="113"/>
              <w:jc w:val="left"/>
              <w:textDirection w:val="tbRlV"/>
              <w:rPr>
                <w:b/>
                <w:bCs/>
                <w:szCs w:val="20"/>
                <w:rtl/>
                <w:lang w:val="ar-SA" w:eastAsia="zh-TW"/>
              </w:rPr>
            </w:pPr>
            <w:r w:rsidRPr="00071022">
              <w:rPr>
                <w:b/>
                <w:bCs/>
                <w:szCs w:val="20"/>
                <w:rtl/>
              </w:rPr>
              <w:t>٥٧٠</w:t>
            </w:r>
          </w:p>
        </w:tc>
      </w:tr>
    </w:tbl>
    <w:p w14:paraId="727BCA83" w14:textId="77777777" w:rsidR="00071022" w:rsidRPr="00071022" w:rsidRDefault="00071022" w:rsidP="00071022">
      <w:pPr>
        <w:pStyle w:val="SingleTxtGA"/>
        <w:spacing w:before="120" w:after="60" w:line="300" w:lineRule="exact"/>
        <w:ind w:left="2608" w:hanging="1361"/>
        <w:rPr>
          <w:sz w:val="14"/>
          <w:szCs w:val="26"/>
          <w:rtl/>
          <w:lang w:val="ar-SA" w:eastAsia="zh-TW"/>
        </w:rPr>
      </w:pPr>
      <w:r w:rsidRPr="00071022">
        <w:rPr>
          <w:sz w:val="16"/>
          <w:szCs w:val="26"/>
          <w:rtl/>
        </w:rPr>
        <w:t>(أ)</w:t>
      </w:r>
      <w:r w:rsidRPr="00071022">
        <w:rPr>
          <w:sz w:val="16"/>
          <w:szCs w:val="26"/>
          <w:rtl/>
        </w:rPr>
        <w:tab/>
        <w:t>يُحيل طلب ا</w:t>
      </w:r>
      <w:bookmarkStart w:id="0" w:name="_GoBack"/>
      <w:bookmarkEnd w:id="0"/>
      <w:r w:rsidRPr="00071022">
        <w:rPr>
          <w:sz w:val="16"/>
          <w:szCs w:val="26"/>
          <w:rtl/>
        </w:rPr>
        <w:t>لإجراء العاجل رقم 9/2013 إلى شخصين، ومن ثَّم، يُحتسب كطلبين.</w:t>
      </w:r>
    </w:p>
    <w:p w14:paraId="1214E706" w14:textId="77777777" w:rsidR="00071022" w:rsidRPr="00071022" w:rsidRDefault="00071022" w:rsidP="003C38D4">
      <w:pPr>
        <w:pStyle w:val="SingleTxtGA"/>
        <w:spacing w:after="240" w:line="300" w:lineRule="exact"/>
        <w:rPr>
          <w:sz w:val="14"/>
          <w:szCs w:val="26"/>
          <w:rtl/>
          <w:lang w:val="ar-SA" w:eastAsia="zh-TW"/>
        </w:rPr>
      </w:pPr>
      <w:r w:rsidRPr="00071022">
        <w:rPr>
          <w:sz w:val="16"/>
          <w:szCs w:val="26"/>
          <w:rtl/>
        </w:rPr>
        <w:t>(ب)</w:t>
      </w:r>
      <w:r w:rsidRPr="00071022">
        <w:rPr>
          <w:sz w:val="16"/>
          <w:szCs w:val="26"/>
          <w:rtl/>
        </w:rPr>
        <w:tab/>
        <w:t>حتى ٤ نيسان/أبريل ٢٠١٩.</w:t>
      </w:r>
    </w:p>
    <w:p w14:paraId="46EF8627" w14:textId="77777777" w:rsidR="00071022" w:rsidRPr="00C20267" w:rsidRDefault="00071022" w:rsidP="003C38D4">
      <w:pPr>
        <w:pStyle w:val="H1GA"/>
        <w:spacing w:before="360"/>
        <w:rPr>
          <w:rtl/>
          <w:lang w:val="ar-SA" w:eastAsia="zh-TW"/>
        </w:rPr>
      </w:pPr>
      <w:r>
        <w:rPr>
          <w:rtl/>
        </w:rPr>
        <w:tab/>
      </w:r>
      <w:r w:rsidRPr="00C20267">
        <w:rPr>
          <w:rtl/>
        </w:rPr>
        <w:t>جيم</w:t>
      </w:r>
      <w:r>
        <w:rPr>
          <w:rtl/>
        </w:rPr>
        <w:t>-</w:t>
      </w:r>
      <w:r>
        <w:rPr>
          <w:rtl/>
        </w:rPr>
        <w:tab/>
      </w:r>
      <w:r w:rsidRPr="00C20267">
        <w:rPr>
          <w:rtl/>
        </w:rPr>
        <w:t>متابعة طلبات الإجراءات العاجلة بعد تسجيلها: الاتجاهات منذ الدورة الخامسة عشرة (حتى 4 نيسان/أبريل 2019)</w:t>
      </w:r>
    </w:p>
    <w:p w14:paraId="6DFA701D" w14:textId="77777777" w:rsidR="00071022" w:rsidRPr="0063016C" w:rsidRDefault="00071022" w:rsidP="00071022">
      <w:pPr>
        <w:pStyle w:val="SingleTxtGA"/>
        <w:rPr>
          <w:rtl/>
          <w:lang w:val="ar-SA" w:eastAsia="zh-TW"/>
        </w:rPr>
      </w:pPr>
      <w:r>
        <w:rPr>
          <w:rtl/>
        </w:rPr>
        <w:t>٤-</w:t>
      </w:r>
      <w:r>
        <w:rPr>
          <w:rtl/>
        </w:rPr>
        <w:tab/>
        <w:t>تواصل اللجنة اتصالاتها مع البعثات الدائمة للدول الأطراف، ومع مقدمي طلبات الإجراءات العاجلة، بتوجيه مذكرات ورسائل إلى الدول ومقدمي الطلبات، وكذلك عن طريق الاجتماعات والاتصالات الهاتفية.</w:t>
      </w:r>
    </w:p>
    <w:p w14:paraId="3BAC0298" w14:textId="77777777" w:rsidR="00071022" w:rsidRPr="0063016C" w:rsidRDefault="00071022" w:rsidP="00071022">
      <w:pPr>
        <w:pStyle w:val="SingleTxtGA"/>
        <w:rPr>
          <w:rtl/>
          <w:lang w:val="ar-SA" w:eastAsia="zh-TW"/>
        </w:rPr>
      </w:pPr>
      <w:r>
        <w:rPr>
          <w:rtl/>
        </w:rPr>
        <w:t>٥-</w:t>
      </w:r>
      <w:r>
        <w:rPr>
          <w:rtl/>
        </w:rPr>
        <w:tab/>
        <w:t>ولا تزال المعلومات المقدمة في إطار عملية الإجراءات العاجلة تبين عدد</w:t>
      </w:r>
      <w:r w:rsidR="007A1817">
        <w:rPr>
          <w:rtl/>
        </w:rPr>
        <w:t xml:space="preserve">اً </w:t>
      </w:r>
      <w:r>
        <w:rPr>
          <w:rtl/>
        </w:rPr>
        <w:t>من الاتجاهات المبينة في التقارير التي اعتُمدت في الدورات من الحادية عشرة إلى الخامسة عشرة (</w:t>
      </w:r>
      <w:r>
        <w:t>CED/C/11/3</w:t>
      </w:r>
      <w:r>
        <w:rPr>
          <w:rtl/>
        </w:rPr>
        <w:t>، و</w:t>
      </w:r>
      <w:r>
        <w:t>CED/C/12/2</w:t>
      </w:r>
      <w:r>
        <w:rPr>
          <w:rtl/>
        </w:rPr>
        <w:t>، و</w:t>
      </w:r>
      <w:r>
        <w:t>CED/C/13/3</w:t>
      </w:r>
      <w:r>
        <w:rPr>
          <w:rtl/>
        </w:rPr>
        <w:t xml:space="preserve"> و</w:t>
      </w:r>
      <w:r>
        <w:t>CED/C/14/2</w:t>
      </w:r>
      <w:r>
        <w:rPr>
          <w:rtl/>
        </w:rPr>
        <w:t>، و</w:t>
      </w:r>
      <w:r>
        <w:t>CED/C/15/3</w:t>
      </w:r>
      <w:r>
        <w:rPr>
          <w:rtl/>
        </w:rPr>
        <w:t>). وكما حدث في الماضي، يرتبط أغلب القضايا التي سُجلت فيها طلبات الإجراءات العاجلة بأحداث وقعت في المكسيك والعراق. وفيما يتعلق بالفترة المشمولة بهذا التقرير، توضح اللجنة الاتجاهات التالية التي لاحظتها فيما يتعلق بالدول الأطراف المعنية.</w:t>
      </w:r>
    </w:p>
    <w:p w14:paraId="50EC5703" w14:textId="77777777" w:rsidR="00071022" w:rsidRPr="00C20267" w:rsidRDefault="00071022" w:rsidP="00071022">
      <w:pPr>
        <w:pStyle w:val="H23GA"/>
        <w:rPr>
          <w:rtl/>
          <w:lang w:val="ar-SA" w:eastAsia="zh-TW"/>
        </w:rPr>
      </w:pPr>
      <w:r>
        <w:rPr>
          <w:rtl/>
        </w:rPr>
        <w:tab/>
      </w:r>
      <w:r w:rsidRPr="00C20267">
        <w:rPr>
          <w:rtl/>
        </w:rPr>
        <w:t>١</w:t>
      </w:r>
      <w:r>
        <w:rPr>
          <w:rtl/>
        </w:rPr>
        <w:t>-</w:t>
      </w:r>
      <w:r>
        <w:rPr>
          <w:rtl/>
        </w:rPr>
        <w:tab/>
      </w:r>
      <w:r w:rsidRPr="00C20267">
        <w:rPr>
          <w:rtl/>
        </w:rPr>
        <w:t>الاتجاهات المتعلقة بالمكسيك والعراق</w:t>
      </w:r>
      <w:r w:rsidRPr="00C20267">
        <w:rPr>
          <w:rFonts w:ascii="Arial" w:hAnsi="Arial" w:cs="Arial" w:hint="cs"/>
          <w:rtl/>
        </w:rPr>
        <w:t>‬</w:t>
      </w:r>
    </w:p>
    <w:p w14:paraId="15D2E71C" w14:textId="77777777" w:rsidR="00071022" w:rsidRPr="00C20267" w:rsidRDefault="00071022" w:rsidP="00071022">
      <w:pPr>
        <w:pStyle w:val="H23GA"/>
        <w:rPr>
          <w:rtl/>
          <w:lang w:val="ar-SA" w:eastAsia="zh-TW"/>
        </w:rPr>
      </w:pPr>
      <w:r>
        <w:rPr>
          <w:rtl/>
        </w:rPr>
        <w:tab/>
      </w:r>
      <w:r w:rsidRPr="00C20267">
        <w:rPr>
          <w:rtl/>
        </w:rPr>
        <w:t>(أ)</w:t>
      </w:r>
      <w:r>
        <w:rPr>
          <w:rtl/>
        </w:rPr>
        <w:tab/>
      </w:r>
      <w:r w:rsidRPr="00C20267">
        <w:rPr>
          <w:rtl/>
        </w:rPr>
        <w:t>المكسيك</w:t>
      </w:r>
    </w:p>
    <w:p w14:paraId="56F8C88E" w14:textId="77777777" w:rsidR="00071022" w:rsidRPr="0063016C" w:rsidRDefault="00071022" w:rsidP="003C7F7D">
      <w:pPr>
        <w:pStyle w:val="SingleTxtGA"/>
        <w:spacing w:line="360" w:lineRule="exact"/>
        <w:rPr>
          <w:rtl/>
          <w:lang w:val="ar-SA" w:eastAsia="zh-TW"/>
        </w:rPr>
      </w:pPr>
      <w:r>
        <w:rPr>
          <w:rtl/>
        </w:rPr>
        <w:t>٦-</w:t>
      </w:r>
      <w:r>
        <w:rPr>
          <w:rtl/>
        </w:rPr>
        <w:tab/>
        <w:t xml:space="preserve">ردت الدولة الطرف على أغلب الرسائل المتعلقة بالحالات المسجلة في الآونة الأخيرة. لكن أوقات الاستجابة أطول بكثير فيما يتعلق بمذكرات المتابعة: إذ باتت المعلومات أقل بكثير مع مرور الوقت، وتُظهر الردود الواردة أن عمليات البحث والتحقيق المتعلقة بالأشخاص المفقودين المعنيين قد توقفت. </w:t>
      </w:r>
    </w:p>
    <w:p w14:paraId="2132CFF2" w14:textId="77777777" w:rsidR="00071022" w:rsidRPr="0063016C" w:rsidRDefault="00071022" w:rsidP="003C7F7D">
      <w:pPr>
        <w:pStyle w:val="SingleTxtGA"/>
        <w:spacing w:line="360" w:lineRule="exact"/>
        <w:rPr>
          <w:rtl/>
          <w:lang w:val="ar-SA" w:eastAsia="zh-TW"/>
        </w:rPr>
      </w:pPr>
      <w:r>
        <w:rPr>
          <w:rtl/>
        </w:rPr>
        <w:t>٧-</w:t>
      </w:r>
      <w:r>
        <w:rPr>
          <w:rtl/>
        </w:rPr>
        <w:tab/>
        <w:t xml:space="preserve">وفي حالات الإجراءات العاجلة التي ردت فيها المكسيك على طلبات اللجنة وتوصياتها، ما زالت المعلومات الواردة تنم عن اتخاذ إجراءات معزولة ومتفرقة يتعلق معظمها بالشكل أكثر منه بالموضوع ولا يبدو أنه يتبع استراتيجية بحث وتحقيق محدّدة مسبقاً؛ ولا يزال </w:t>
      </w:r>
      <w:r>
        <w:rPr>
          <w:rtl/>
        </w:rPr>
        <w:lastRenderedPageBreak/>
        <w:t xml:space="preserve">التقدم المحرز في جهود البحث والتحقيق يعتمد إلى حد كبير على ما إذا كان أقارب المفقودين أو الأشخاص المقربون منهم أو ممثلوهم يأخذون زمام المبادرة. </w:t>
      </w:r>
    </w:p>
    <w:p w14:paraId="35604105" w14:textId="77777777" w:rsidR="00071022" w:rsidRPr="0063016C" w:rsidRDefault="00071022" w:rsidP="003C7F7D">
      <w:pPr>
        <w:pStyle w:val="SingleTxtGA"/>
        <w:spacing w:line="360" w:lineRule="exact"/>
        <w:rPr>
          <w:rtl/>
          <w:lang w:val="ar-SA" w:eastAsia="zh-TW"/>
        </w:rPr>
      </w:pPr>
      <w:r>
        <w:rPr>
          <w:rtl/>
        </w:rPr>
        <w:t>٨-</w:t>
      </w:r>
      <w:r>
        <w:rPr>
          <w:rtl/>
        </w:rPr>
        <w:tab/>
        <w:t xml:space="preserve">وفي الغالبية العظمى من الحالات، أعرب مقدمو الطلبات عن شعورهم بالإحباط إزاء الجمود في عمليات البحث والتحقيق. وأعربوا عن الأسف لعدم إجراء تحقيقات في الموقع وعدم اتخاذ إجراء لضمان فحص جميع الأدلة المتاحة بشكل كامل. </w:t>
      </w:r>
    </w:p>
    <w:p w14:paraId="48AB28F1" w14:textId="77777777" w:rsidR="00071022" w:rsidRPr="0063016C" w:rsidRDefault="00071022" w:rsidP="003C7F7D">
      <w:pPr>
        <w:pStyle w:val="SingleTxtGA"/>
        <w:spacing w:line="360" w:lineRule="exact"/>
        <w:rPr>
          <w:rtl/>
          <w:lang w:val="ar-SA" w:eastAsia="zh-TW"/>
        </w:rPr>
      </w:pPr>
      <w:r>
        <w:rPr>
          <w:rtl/>
        </w:rPr>
        <w:t>٩-</w:t>
      </w:r>
      <w:r>
        <w:rPr>
          <w:rtl/>
        </w:rPr>
        <w:tab/>
        <w:t xml:space="preserve">وهناك اتجاه آخر مستمر هو أن مقدمي الطلبات يزعمون في كثير من الأحيان أن السلطات المسؤولة عن عمليات التفتيش والتحقيق تشارك بشكل مباشر أو غير مباشر في الأحداث المحيطة بالاختفاء وأن جهود البحث والتحقيق توقفت. في هذه الحالات، شددت اللجنة على أهمية إنشاء آليات لضمان مساءلة موظفي الدولة المسؤولين عن جهود البحث والتحقيق، وطلبت من الدولة التحقيق في الادعاءات التي تفيد بأن موظفي الدولة قد اتخذوا إجراءات ترمي إلى إبطاء الإجراءات. </w:t>
      </w:r>
    </w:p>
    <w:p w14:paraId="694E945E" w14:textId="77777777" w:rsidR="00071022" w:rsidRPr="0063016C" w:rsidRDefault="00071022" w:rsidP="003C7F7D">
      <w:pPr>
        <w:pStyle w:val="SingleTxtGA"/>
        <w:spacing w:line="360" w:lineRule="exact"/>
        <w:rPr>
          <w:rtl/>
          <w:lang w:val="ar-SA" w:eastAsia="zh-TW"/>
        </w:rPr>
      </w:pPr>
      <w:r>
        <w:rPr>
          <w:rtl/>
        </w:rPr>
        <w:t>١٠-</w:t>
      </w:r>
      <w:r>
        <w:rPr>
          <w:rtl/>
        </w:rPr>
        <w:tab/>
        <w:t xml:space="preserve">وتعرب اللجنة عن قلقها إزاء التقارير التي تفيد بأن أقارب المفقودين تعرضوا للتهديد والترهيب عندما ضغطوا باتجاه التحقيق في الوقائع المحيطة بالاختفاء القسري لذويهم، لا سيما في الحالات التي يُزعم تورط القوات العسكرية فيها. </w:t>
      </w:r>
    </w:p>
    <w:p w14:paraId="069ECCCB" w14:textId="77777777" w:rsidR="00071022" w:rsidRPr="0063016C" w:rsidRDefault="00071022" w:rsidP="003C7F7D">
      <w:pPr>
        <w:pStyle w:val="SingleTxtGA"/>
        <w:spacing w:line="360" w:lineRule="exact"/>
        <w:rPr>
          <w:rtl/>
          <w:lang w:val="ar-SA" w:eastAsia="zh-TW"/>
        </w:rPr>
      </w:pPr>
      <w:r>
        <w:rPr>
          <w:rtl/>
        </w:rPr>
        <w:t>١١-</w:t>
      </w:r>
      <w:r>
        <w:rPr>
          <w:rtl/>
        </w:rPr>
        <w:tab/>
        <w:t>وخلال الفترة المشمولة بالتقرير، اجتمع ممثلو البعثة الدائمة للمكسيك مع أعضاء أمانة اللجنة وأعربوا عن قلقهم إزاء تسجيل الحالات التي تنطوي على أفعال قيل إن مرتكبيها أشخاص أو مجموعات من الأشخاص يعملون بإذن من الدولة أو بدعمها أو موافقتها، وهي بالتالي ليست حالات اختفاء قسري بالمعنى المقصود في المادة 2 من الاتفاقية، لكنها حالات اختطاف على</w:t>
      </w:r>
      <w:r w:rsidR="00536C30">
        <w:rPr>
          <w:rtl/>
        </w:rPr>
        <w:t xml:space="preserve"> أيدي جماعات إجرامية منظمة. ووف</w:t>
      </w:r>
      <w:r w:rsidR="00536C30">
        <w:rPr>
          <w:rFonts w:hint="cs"/>
          <w:rtl/>
        </w:rPr>
        <w:t>ق</w:t>
      </w:r>
      <w:r w:rsidR="00536C30">
        <w:rPr>
          <w:rtl/>
        </w:rPr>
        <w:t xml:space="preserve">اً </w:t>
      </w:r>
      <w:r>
        <w:rPr>
          <w:rtl/>
        </w:rPr>
        <w:t>للسوابق القضائية للجنة فيما يتعلق بطلبات الإجراءات العاجلة، فإن المشاركة المحتملة للجهات الفاعلة من غير الدول -</w:t>
      </w:r>
      <w:r>
        <w:rPr>
          <w:rFonts w:hint="cs"/>
          <w:rtl/>
        </w:rPr>
        <w:t xml:space="preserve"> </w:t>
      </w:r>
      <w:r>
        <w:rPr>
          <w:rtl/>
        </w:rPr>
        <w:t>التي تعمل دون دعم مسؤولي الدولة ودون موافقتهم -</w:t>
      </w:r>
      <w:r>
        <w:rPr>
          <w:rFonts w:hint="cs"/>
          <w:rtl/>
        </w:rPr>
        <w:t xml:space="preserve"> </w:t>
      </w:r>
      <w:r>
        <w:rPr>
          <w:rtl/>
        </w:rPr>
        <w:t>هي مجرد فرضية تتطلب، كي يتم تأكيدها أو</w:t>
      </w:r>
      <w:r>
        <w:rPr>
          <w:rFonts w:hint="cs"/>
          <w:rtl/>
        </w:rPr>
        <w:t> </w:t>
      </w:r>
      <w:r>
        <w:rPr>
          <w:rtl/>
        </w:rPr>
        <w:t>استبعادها، أن تُجري السلطات المختصة تحقيق</w:t>
      </w:r>
      <w:r w:rsidR="007A1817">
        <w:rPr>
          <w:rtl/>
        </w:rPr>
        <w:t>اً شامل</w:t>
      </w:r>
      <w:r w:rsidR="00536C30">
        <w:rPr>
          <w:rtl/>
        </w:rPr>
        <w:t xml:space="preserve">اً. </w:t>
      </w:r>
      <w:r w:rsidR="007A1817">
        <w:rPr>
          <w:rtl/>
        </w:rPr>
        <w:t>وتُسجَّل الطلبات أي</w:t>
      </w:r>
      <w:r w:rsidR="007A1817">
        <w:rPr>
          <w:rFonts w:hint="cs"/>
          <w:rtl/>
        </w:rPr>
        <w:t>ض</w:t>
      </w:r>
      <w:r w:rsidR="007A1817">
        <w:rPr>
          <w:rtl/>
        </w:rPr>
        <w:t xml:space="preserve">اً </w:t>
      </w:r>
      <w:r>
        <w:rPr>
          <w:rtl/>
        </w:rPr>
        <w:t xml:space="preserve">في الحالات التي تثير طبيعة نزاع أو توتر أو أي علاقة أخرى بين الشخص المفقود وموظفي الدولة إمكانية حدوث اختفاء قسري، في ضوء ظروف القضية. </w:t>
      </w:r>
    </w:p>
    <w:p w14:paraId="152337C7" w14:textId="77777777" w:rsidR="00071022" w:rsidRPr="00C20267" w:rsidRDefault="00071022" w:rsidP="00071022">
      <w:pPr>
        <w:pStyle w:val="H23GA"/>
        <w:rPr>
          <w:rtl/>
          <w:lang w:val="ar-SA" w:eastAsia="zh-TW"/>
        </w:rPr>
      </w:pPr>
      <w:r>
        <w:rPr>
          <w:rtl/>
        </w:rPr>
        <w:tab/>
      </w:r>
      <w:r w:rsidRPr="00C20267">
        <w:rPr>
          <w:rtl/>
        </w:rPr>
        <w:t>(ب)</w:t>
      </w:r>
      <w:r>
        <w:rPr>
          <w:rtl/>
        </w:rPr>
        <w:tab/>
      </w:r>
      <w:r w:rsidRPr="00C20267">
        <w:rPr>
          <w:rtl/>
        </w:rPr>
        <w:t>العراق</w:t>
      </w:r>
    </w:p>
    <w:p w14:paraId="031F9155" w14:textId="77777777" w:rsidR="00071022" w:rsidRPr="0063016C" w:rsidRDefault="00071022" w:rsidP="00071022">
      <w:pPr>
        <w:pStyle w:val="SingleTxtGA"/>
        <w:rPr>
          <w:rtl/>
          <w:lang w:val="ar-SA" w:eastAsia="zh-TW"/>
        </w:rPr>
      </w:pPr>
      <w:r>
        <w:rPr>
          <w:rtl/>
        </w:rPr>
        <w:t>١٢-</w:t>
      </w:r>
      <w:r>
        <w:rPr>
          <w:rtl/>
        </w:rPr>
        <w:tab/>
        <w:t>على الرغم من توجيه اللجنة رسالتين تذكيريتين، لم تقدم الدولة الطرف ردود</w:t>
      </w:r>
      <w:r w:rsidR="007A1817">
        <w:rPr>
          <w:rtl/>
        </w:rPr>
        <w:t xml:space="preserve">اً </w:t>
      </w:r>
      <w:r>
        <w:rPr>
          <w:rtl/>
        </w:rPr>
        <w:t xml:space="preserve">تتعلق بمعظم طلبات الإجراءات العاجلة المسجلة التي تنطوي على أحداث وقعت في العراق. وفي 15 من الحالات المسجلة، أُرسلت أربع رسائل تذكير إلى الدولة الطرف لكنها لم ترد. في الحالات التي وردت فيها ردود، لم تقدم الدولة الطرف أي معلومات على الإطلاق عن أي إجراء اتُخذ للبحث عن الأشخاص المفقودين أو للتحقيق في اختفائهم القسري المزعوم. في حالة واحدة، قدمت الدولة الطرف معلومات تشير إلى تحديد مكان الشخص المعني. ومع ذلك، أبلغ أقارب الشخص والمقربون منه وممثلوه اللجنة أنه لم يظهر قط. وبناء على ذلك، طلبت اللجنة من الدولة الطرف التحقق من المعلومات المقدمة وتقديم أدلة تبين أن الشخص الذي تم تحديد موقعه هو الشخص الذي سُجل باسمه إجراء عاجل. وفي حالات أخرى، قدمت الدولة الطرف معلومات لا تتعلق بالوقائع المشار إليها في طلب الإجراء العاجل. وفي هذه الحالات، طُلب من الدولة الطرف التحقق من المعلومات المقدمة. وفي مناسبات أخرى، اكتفت الدولة الطرف </w:t>
      </w:r>
      <w:r>
        <w:rPr>
          <w:rtl/>
        </w:rPr>
        <w:lastRenderedPageBreak/>
        <w:t xml:space="preserve">بالإعلان عن أن الشخص المختفي موجود ضمن قائمة الأشخاص المطلوبين للعدالة بسبب صلاتهم بتنظيم الدولة الإسلامية في العراق والشام. </w:t>
      </w:r>
    </w:p>
    <w:p w14:paraId="6D171AA8" w14:textId="77777777" w:rsidR="00071022" w:rsidRPr="0063016C" w:rsidRDefault="00071022" w:rsidP="00071022">
      <w:pPr>
        <w:pStyle w:val="SingleTxtGA"/>
        <w:rPr>
          <w:rtl/>
          <w:lang w:val="ar-SA" w:eastAsia="zh-TW"/>
        </w:rPr>
      </w:pPr>
      <w:r>
        <w:rPr>
          <w:rtl/>
        </w:rPr>
        <w:t>١٣-</w:t>
      </w:r>
      <w:r>
        <w:rPr>
          <w:rtl/>
        </w:rPr>
        <w:tab/>
        <w:t>وأشارت الدولة الطرف أيض</w:t>
      </w:r>
      <w:r w:rsidR="007A1817">
        <w:rPr>
          <w:rtl/>
        </w:rPr>
        <w:t xml:space="preserve">اً </w:t>
      </w:r>
      <w:r>
        <w:rPr>
          <w:rtl/>
        </w:rPr>
        <w:t>إلى أن العديد من الحالات تتعلق بأشخاص مفقودين يُزعم أنهم إرهابيون، وأنها بالتالي لا تعتبر هذه الحالات حالات اختفاء قسري. ورداً على ذلك، أشارت اللجنة إلى أنها تعتبر الحالات التي يحتجز فيها الشخص بمعزل عن العالم الخارجي دون أن تتوفر معلومات عن مكان وجوده حالات اختفاء. كما دعت الدولةَ الطرف إلى تقديم أي معلومات يمكن أن تساعد في توضيح مصير ومكان وجود الأشخاص الذين طُلب من اللجنة تسجيل طلب إجراء عاجل نيابة عنهم.</w:t>
      </w:r>
    </w:p>
    <w:p w14:paraId="2A668264" w14:textId="77777777" w:rsidR="00071022" w:rsidRPr="0063016C" w:rsidRDefault="00071022" w:rsidP="007A1817">
      <w:pPr>
        <w:pStyle w:val="SingleTxtGA"/>
        <w:rPr>
          <w:rtl/>
          <w:lang w:val="ar-SA" w:eastAsia="zh-TW"/>
        </w:rPr>
      </w:pPr>
      <w:r>
        <w:rPr>
          <w:rtl/>
        </w:rPr>
        <w:t>١٤-</w:t>
      </w:r>
      <w:r>
        <w:rPr>
          <w:rtl/>
        </w:rPr>
        <w:tab/>
        <w:t>وفيما يتعلق بحيدر ذياب أحمد جاسم المسعودي (طلب الإجراء العاجل رقم</w:t>
      </w:r>
      <w:r w:rsidR="007A1817">
        <w:rPr>
          <w:rFonts w:hint="cs"/>
          <w:rtl/>
        </w:rPr>
        <w:t> </w:t>
      </w:r>
      <w:r>
        <w:rPr>
          <w:rtl/>
        </w:rPr>
        <w:t xml:space="preserve">560/2018)، ردت الدولة الطرف بأن القضية لا تنطوي على اختفاء قسري، بالنظر إلى عدم وجود دليل على أن الشخص قد احتجزته إحدى سلطات الدولة. وفي ضوء المعلومات المتاحة عن احتمال تورط سلطات الدولة في حالات مماثلة، أكدت اللجنة من جديد أن السلطات الوطنية المسؤولة عن جهود البحث والتحقيق ملزمة بعدم استبعاد أي فرضية، بما في ذلك احتمال أن تكون الحالة حالة اختفاء قسري. </w:t>
      </w:r>
    </w:p>
    <w:p w14:paraId="39A4FB56" w14:textId="77777777" w:rsidR="00071022" w:rsidRPr="00C20267" w:rsidRDefault="00071022" w:rsidP="00071022">
      <w:pPr>
        <w:pStyle w:val="H23GA"/>
        <w:rPr>
          <w:rtl/>
          <w:lang w:val="ar-SA" w:eastAsia="zh-TW"/>
        </w:rPr>
      </w:pPr>
      <w:r>
        <w:rPr>
          <w:rtl/>
        </w:rPr>
        <w:tab/>
      </w:r>
      <w:r w:rsidRPr="00C20267">
        <w:rPr>
          <w:rtl/>
        </w:rPr>
        <w:t>٢</w:t>
      </w:r>
      <w:r>
        <w:rPr>
          <w:rtl/>
        </w:rPr>
        <w:t>-</w:t>
      </w:r>
      <w:r>
        <w:rPr>
          <w:rtl/>
        </w:rPr>
        <w:tab/>
      </w:r>
      <w:r w:rsidRPr="00C20267">
        <w:rPr>
          <w:rtl/>
        </w:rPr>
        <w:t>طلبات الإجراءات العاجلة المتعلقة بدول أطراف أخرى</w:t>
      </w:r>
    </w:p>
    <w:p w14:paraId="094AF740" w14:textId="77777777" w:rsidR="00071022" w:rsidRPr="0063016C" w:rsidRDefault="00071022" w:rsidP="00071022">
      <w:pPr>
        <w:pStyle w:val="SingleTxtGA"/>
        <w:rPr>
          <w:rtl/>
          <w:lang w:val="ar-SA" w:eastAsia="zh-TW"/>
        </w:rPr>
      </w:pPr>
      <w:r>
        <w:rPr>
          <w:rtl/>
        </w:rPr>
        <w:t>١٥-</w:t>
      </w:r>
      <w:r>
        <w:rPr>
          <w:rtl/>
        </w:rPr>
        <w:tab/>
        <w:t>فيما يتصل بطلبات الإجراءات العاجلة المتعلقة بدول أطراف أخرى، ترى اللجنة أن عدد الطلبات المسجلة صغير جداً لكي يسمح لها باستخلاص ما يفيد بوجود اتجاهات متكررة. بيد أن المعلومات التالية يمكن ملاحظتها فيما يتعلق بهذه الطلبات.</w:t>
      </w:r>
    </w:p>
    <w:p w14:paraId="1BFC0009" w14:textId="77777777" w:rsidR="00071022" w:rsidRPr="00C20267" w:rsidRDefault="00071022" w:rsidP="00071022">
      <w:pPr>
        <w:pStyle w:val="H23GA"/>
        <w:rPr>
          <w:rtl/>
          <w:lang w:val="ar-SA" w:eastAsia="zh-TW"/>
        </w:rPr>
      </w:pPr>
      <w:r>
        <w:rPr>
          <w:rtl/>
        </w:rPr>
        <w:tab/>
      </w:r>
      <w:r w:rsidRPr="00C20267">
        <w:rPr>
          <w:rtl/>
        </w:rPr>
        <w:t>(أ)</w:t>
      </w:r>
      <w:r>
        <w:rPr>
          <w:rtl/>
        </w:rPr>
        <w:tab/>
      </w:r>
      <w:r w:rsidRPr="00C20267">
        <w:rPr>
          <w:rtl/>
        </w:rPr>
        <w:t>أرمينيا</w:t>
      </w:r>
    </w:p>
    <w:p w14:paraId="2D9A0C13" w14:textId="77777777" w:rsidR="00071022" w:rsidRPr="003C7F7D" w:rsidRDefault="00071022" w:rsidP="00071022">
      <w:pPr>
        <w:pStyle w:val="SingleTxtGA"/>
        <w:rPr>
          <w:spacing w:val="-4"/>
          <w:rtl/>
          <w:lang w:val="ar-SA" w:eastAsia="zh-TW"/>
        </w:rPr>
      </w:pPr>
      <w:r>
        <w:rPr>
          <w:rtl/>
        </w:rPr>
        <w:t>١٦-</w:t>
      </w:r>
      <w:r>
        <w:rPr>
          <w:rtl/>
        </w:rPr>
        <w:tab/>
        <w:t xml:space="preserve">كما لوحظ في التقرير الذي اعتمدته اللجنة في دورتها الخامسة عشرة في حالة آرا </w:t>
      </w:r>
      <w:proofErr w:type="spellStart"/>
      <w:r>
        <w:rPr>
          <w:rtl/>
        </w:rPr>
        <w:t>خاتشاتريان</w:t>
      </w:r>
      <w:proofErr w:type="spellEnd"/>
      <w:r>
        <w:rPr>
          <w:rtl/>
        </w:rPr>
        <w:t xml:space="preserve"> (طلب الإجراء العاجل رقم ٣٧٦/2017)، أرسلت الدولة الطرف رداً يفيد بأن تحقيقاً تمهيدياً ما زال جارياً منذ عام ٢٠١١. وأُبلغت هذه المعلومات إلى مقدّمي الطلب الذين </w:t>
      </w:r>
      <w:proofErr w:type="spellStart"/>
      <w:r>
        <w:rPr>
          <w:rtl/>
        </w:rPr>
        <w:t>دُعيوا</w:t>
      </w:r>
      <w:proofErr w:type="spellEnd"/>
      <w:r>
        <w:rPr>
          <w:rtl/>
        </w:rPr>
        <w:t xml:space="preserve"> إلى التعليق عليها؛ وبالنظر إلى المعلومات الواردة، وجهت اللجنة مذكرة تكرر فيها الإعراب عن قلقها من أن اختفاء السيد </w:t>
      </w:r>
      <w:proofErr w:type="spellStart"/>
      <w:r>
        <w:rPr>
          <w:rtl/>
        </w:rPr>
        <w:t>خاتشاتريان</w:t>
      </w:r>
      <w:proofErr w:type="spellEnd"/>
      <w:r>
        <w:rPr>
          <w:rtl/>
        </w:rPr>
        <w:t xml:space="preserve"> ومصيره ومكان وجوده ما زالت مجهولة بعد مرور أكثر من سبع</w:t>
      </w:r>
      <w:r w:rsidR="007A1817">
        <w:rPr>
          <w:rtl/>
        </w:rPr>
        <w:t xml:space="preserve"> </w:t>
      </w:r>
      <w:r>
        <w:rPr>
          <w:rtl/>
        </w:rPr>
        <w:t xml:space="preserve">سنوات؛ ولا تبين المعلومات التي قدمتها الدولة الطرف ما يوحي بأن السلطات المعنية بالقضية قد اتبعت أي استراتيجية أو خطة للتحقيق؛ وتم تغيير كبير المحققين في القضية سبع مرات، ما يقوض دقة واستمرارية التحقيق في اختفاء السيد </w:t>
      </w:r>
      <w:proofErr w:type="spellStart"/>
      <w:r>
        <w:rPr>
          <w:rtl/>
        </w:rPr>
        <w:t>خاتشاتريان</w:t>
      </w:r>
      <w:proofErr w:type="spellEnd"/>
      <w:r w:rsidR="007A1817">
        <w:rPr>
          <w:rtl/>
        </w:rPr>
        <w:t xml:space="preserve">؛ </w:t>
      </w:r>
      <w:r>
        <w:rPr>
          <w:rtl/>
        </w:rPr>
        <w:t xml:space="preserve">ولم تتلق أسرة السيد </w:t>
      </w:r>
      <w:proofErr w:type="spellStart"/>
      <w:r>
        <w:rPr>
          <w:rtl/>
        </w:rPr>
        <w:t>خاتشاتريان</w:t>
      </w:r>
      <w:proofErr w:type="spellEnd"/>
      <w:r>
        <w:rPr>
          <w:rtl/>
        </w:rPr>
        <w:t xml:space="preserve"> وممثلوه أي معلومات عن الإجراءات التي اتخذتها السلطات المكلفة بالبحث والتحقيق؛ ويُزعم أن العديد من سلطات الدولة الطرف تعاملت مع أقارب السيد </w:t>
      </w:r>
      <w:proofErr w:type="spellStart"/>
      <w:r w:rsidRPr="003C7F7D">
        <w:rPr>
          <w:spacing w:val="-4"/>
          <w:rtl/>
        </w:rPr>
        <w:t>خاتشاتريان</w:t>
      </w:r>
      <w:proofErr w:type="spellEnd"/>
      <w:r w:rsidRPr="003C7F7D">
        <w:rPr>
          <w:spacing w:val="-4"/>
          <w:rtl/>
        </w:rPr>
        <w:t xml:space="preserve"> بطريقة عدائية. وفي ضوء المعلومات الواردة، أرسلت اللجنة مذكرة متابعة أخرى تكرر توصياتها السابقة إلى الدولة الطرف، بما في ذلك توصية بوضع وتنفيذ استراتيجية بحث وتحقيق.</w:t>
      </w:r>
    </w:p>
    <w:p w14:paraId="09CDEE3A" w14:textId="77777777" w:rsidR="00071022" w:rsidRPr="00C20267" w:rsidRDefault="00071022" w:rsidP="00071022">
      <w:pPr>
        <w:pStyle w:val="H23GA"/>
        <w:rPr>
          <w:rtl/>
          <w:lang w:val="ar-SA" w:eastAsia="zh-TW" w:bidi="ar-DZ"/>
        </w:rPr>
      </w:pPr>
      <w:r>
        <w:rPr>
          <w:rtl/>
        </w:rPr>
        <w:tab/>
      </w:r>
      <w:r w:rsidRPr="00C20267">
        <w:rPr>
          <w:rtl/>
        </w:rPr>
        <w:t>(ب)</w:t>
      </w:r>
      <w:r>
        <w:rPr>
          <w:rtl/>
        </w:rPr>
        <w:tab/>
      </w:r>
      <w:r w:rsidRPr="00C20267">
        <w:rPr>
          <w:rtl/>
        </w:rPr>
        <w:t>البرازيل</w:t>
      </w:r>
    </w:p>
    <w:p w14:paraId="3C38D8D3" w14:textId="77777777" w:rsidR="00071022" w:rsidRPr="0063016C" w:rsidRDefault="00071022" w:rsidP="007A1817">
      <w:pPr>
        <w:pStyle w:val="SingleTxtGA"/>
        <w:rPr>
          <w:rtl/>
          <w:lang w:val="ar-SA" w:eastAsia="zh-TW"/>
        </w:rPr>
      </w:pPr>
      <w:r>
        <w:rPr>
          <w:rtl/>
        </w:rPr>
        <w:t>١٧-</w:t>
      </w:r>
      <w:r>
        <w:rPr>
          <w:rtl/>
        </w:rPr>
        <w:tab/>
        <w:t xml:space="preserve">في حالة </w:t>
      </w:r>
      <w:proofErr w:type="spellStart"/>
      <w:r>
        <w:rPr>
          <w:rtl/>
        </w:rPr>
        <w:t>ديفي</w:t>
      </w:r>
      <w:proofErr w:type="spellEnd"/>
      <w:r>
        <w:rPr>
          <w:rtl/>
        </w:rPr>
        <w:t xml:space="preserve"> سانتوس </w:t>
      </w:r>
      <w:proofErr w:type="spellStart"/>
      <w:r>
        <w:rPr>
          <w:rtl/>
        </w:rPr>
        <w:t>فيوزا</w:t>
      </w:r>
      <w:proofErr w:type="spellEnd"/>
      <w:r>
        <w:rPr>
          <w:rtl/>
        </w:rPr>
        <w:t xml:space="preserve"> (طلب الإجراء العاجل رقم 61/2014)، ردت الدولة الطرف بأن نتائج البحث والتحقيق اللذين أجرتهما الشرطة في اختفاء السيد سانتوس </w:t>
      </w:r>
      <w:proofErr w:type="spellStart"/>
      <w:r>
        <w:rPr>
          <w:rtl/>
        </w:rPr>
        <w:t>فيوزا</w:t>
      </w:r>
      <w:proofErr w:type="spellEnd"/>
      <w:r>
        <w:rPr>
          <w:rtl/>
        </w:rPr>
        <w:t xml:space="preserve"> طيلة </w:t>
      </w:r>
      <w:r>
        <w:rPr>
          <w:rtl/>
        </w:rPr>
        <w:lastRenderedPageBreak/>
        <w:t xml:space="preserve">أربع سنوات أُرسلت إلى مكتب </w:t>
      </w:r>
      <w:r w:rsidR="007A1817">
        <w:rPr>
          <w:rtl/>
        </w:rPr>
        <w:t xml:space="preserve">النائب العام لولاية باهيا. ووفقاً </w:t>
      </w:r>
      <w:r>
        <w:rPr>
          <w:rtl/>
        </w:rPr>
        <w:t>لسلطات الشرطة، قد يكون</w:t>
      </w:r>
      <w:r w:rsidR="007A1817">
        <w:rPr>
          <w:rFonts w:hint="cs"/>
          <w:rtl/>
        </w:rPr>
        <w:t> </w:t>
      </w:r>
      <w:r>
        <w:rPr>
          <w:rtl/>
        </w:rPr>
        <w:t>17 من أفراد شرطة ولاية باهي</w:t>
      </w:r>
      <w:r w:rsidR="007A1817">
        <w:rPr>
          <w:rtl/>
        </w:rPr>
        <w:t xml:space="preserve">اً </w:t>
      </w:r>
      <w:r>
        <w:rPr>
          <w:rtl/>
        </w:rPr>
        <w:t>(الشرطة العسكرية) متورطين في ال</w:t>
      </w:r>
      <w:r w:rsidR="007A1817">
        <w:rPr>
          <w:rtl/>
        </w:rPr>
        <w:t xml:space="preserve">اختفاء. ويقوم النائب العام حالياً </w:t>
      </w:r>
      <w:r>
        <w:rPr>
          <w:rtl/>
        </w:rPr>
        <w:t>بمراجعة ملف القضية لتحديد المسؤولية الفردية لكل فرد من هؤلاء الأفراد السبعة عشر، بهدف تقديم المسؤولين عن الاختفاء إلى العدالة. وأُبلغت صاحبة الطلب برد الدولة الطرف في 16 تشرين الثاني</w:t>
      </w:r>
      <w:r w:rsidR="00264008">
        <w:rPr>
          <w:rtl/>
        </w:rPr>
        <w:t>/</w:t>
      </w:r>
      <w:r>
        <w:rPr>
          <w:rtl/>
        </w:rPr>
        <w:t>نوفمبر 2018</w:t>
      </w:r>
      <w:r w:rsidR="007A1817">
        <w:rPr>
          <w:rtl/>
        </w:rPr>
        <w:t xml:space="preserve">؛ </w:t>
      </w:r>
      <w:r>
        <w:rPr>
          <w:rtl/>
        </w:rPr>
        <w:t>وحتى الآن لم تقدم أي تعليقات في هذا الصدد. وأُرسل تذكير إلى صاحبة الطلب بتاريخ 13 شباط/فبراير 2019.</w:t>
      </w:r>
    </w:p>
    <w:p w14:paraId="6BE2E181" w14:textId="77777777" w:rsidR="00071022" w:rsidRPr="00C20267" w:rsidRDefault="00071022" w:rsidP="00071022">
      <w:pPr>
        <w:pStyle w:val="H23GA"/>
        <w:rPr>
          <w:rtl/>
          <w:lang w:val="ar-SA" w:eastAsia="zh-TW"/>
        </w:rPr>
      </w:pPr>
      <w:r>
        <w:rPr>
          <w:rtl/>
        </w:rPr>
        <w:tab/>
      </w:r>
      <w:r w:rsidRPr="00C20267">
        <w:rPr>
          <w:rtl/>
        </w:rPr>
        <w:t>(ج)</w:t>
      </w:r>
      <w:r>
        <w:rPr>
          <w:rtl/>
        </w:rPr>
        <w:tab/>
      </w:r>
      <w:r w:rsidRPr="00C20267">
        <w:rPr>
          <w:rtl/>
        </w:rPr>
        <w:t>كمبوديا</w:t>
      </w:r>
    </w:p>
    <w:p w14:paraId="79F1FD4F" w14:textId="77777777" w:rsidR="00071022" w:rsidRPr="0063016C" w:rsidRDefault="00071022" w:rsidP="003C7F7D">
      <w:pPr>
        <w:pStyle w:val="SingleTxtGA"/>
        <w:spacing w:line="360" w:lineRule="exact"/>
        <w:rPr>
          <w:rtl/>
          <w:lang w:val="ar-SA" w:eastAsia="zh-TW"/>
        </w:rPr>
      </w:pPr>
      <w:r>
        <w:rPr>
          <w:rtl/>
        </w:rPr>
        <w:t>١٨-</w:t>
      </w:r>
      <w:r>
        <w:rPr>
          <w:rtl/>
        </w:rPr>
        <w:tab/>
        <w:t xml:space="preserve">لا يزال الإجراء العاجل الذي اتخذ استجابة للطلب المسجل باسم خم </w:t>
      </w:r>
      <w:proofErr w:type="spellStart"/>
      <w:r>
        <w:rPr>
          <w:rtl/>
        </w:rPr>
        <w:t>سوفاث</w:t>
      </w:r>
      <w:proofErr w:type="spellEnd"/>
      <w:r>
        <w:rPr>
          <w:rtl/>
        </w:rPr>
        <w:t xml:space="preserve"> (طلب ال</w:t>
      </w:r>
      <w:r w:rsidR="00536C30">
        <w:rPr>
          <w:rtl/>
        </w:rPr>
        <w:t>إجراء العاجل رقم 11/2014) مستمر</w:t>
      </w:r>
      <w:r>
        <w:rPr>
          <w:rtl/>
        </w:rPr>
        <w:t>ا</w:t>
      </w:r>
      <w:r w:rsidR="00536C30">
        <w:rPr>
          <w:rFonts w:hint="cs"/>
          <w:rtl/>
        </w:rPr>
        <w:t>ً</w:t>
      </w:r>
      <w:r>
        <w:rPr>
          <w:rtl/>
        </w:rPr>
        <w:t>. وأرسلت اللجنة مذكرة متابعة إضافية إلى الدولة الطرف في نيسان</w:t>
      </w:r>
      <w:r w:rsidR="00264008">
        <w:rPr>
          <w:rtl/>
        </w:rPr>
        <w:t>/</w:t>
      </w:r>
      <w:r>
        <w:rPr>
          <w:rtl/>
        </w:rPr>
        <w:t>أبريل 2019، تجدِّد فيه</w:t>
      </w:r>
      <w:r w:rsidR="00536C30">
        <w:rPr>
          <w:rtl/>
        </w:rPr>
        <w:t xml:space="preserve">ا </w:t>
      </w:r>
      <w:r>
        <w:rPr>
          <w:rtl/>
        </w:rPr>
        <w:t xml:space="preserve">طلب الحصول على مزيد من المعلومات من الدولة الطرف وتذكِّرها بالتزامها بتنفيذ أنشطة بحث وتحقيق على أساس جميع الفرضيات القائمة في القضية، بما في ذلك إمكانية مشاركة موظفين حكوميين في الأحداث المعنية. </w:t>
      </w:r>
    </w:p>
    <w:p w14:paraId="538FABD2" w14:textId="77777777" w:rsidR="00071022" w:rsidRPr="003C7F7D" w:rsidRDefault="00071022" w:rsidP="003C7F7D">
      <w:pPr>
        <w:pStyle w:val="SingleTxtGA"/>
        <w:spacing w:line="360" w:lineRule="exact"/>
        <w:rPr>
          <w:spacing w:val="-4"/>
          <w:rtl/>
          <w:lang w:val="ar-SA" w:eastAsia="zh-TW"/>
        </w:rPr>
      </w:pPr>
      <w:r>
        <w:rPr>
          <w:rtl/>
        </w:rPr>
        <w:t>١٩-</w:t>
      </w:r>
      <w:r>
        <w:rPr>
          <w:rtl/>
        </w:rPr>
        <w:tab/>
        <w:t>وخلال الفترة المشمولة بالتقرير، سُجل طلب إجراء عاجل بالنيابة عن موان سوم (طلب الإجراء العاجل رقم 568/2019)، وهو مزارع يُزعم أن مسؤولين في وزارة البيئة ف</w:t>
      </w:r>
      <w:r w:rsidR="00536C30">
        <w:rPr>
          <w:rtl/>
        </w:rPr>
        <w:t xml:space="preserve">ي برياه فيهير احتجزوه مع 14 شخصاً </w:t>
      </w:r>
      <w:r>
        <w:rPr>
          <w:rtl/>
        </w:rPr>
        <w:t xml:space="preserve">آخرين. وبينما وُجهت تهم قطع الأشجار بصورة غير قانونية إلى المحتجزين الأربعة عشر الآخرين، لم يَمثل صاحب البلاغ أمام أي قاضٍ قط. وردت الدولة </w:t>
      </w:r>
      <w:r w:rsidRPr="003C7F7D">
        <w:rPr>
          <w:spacing w:val="-4"/>
          <w:rtl/>
        </w:rPr>
        <w:t>الطرف على الفور، وأبلغت اللجنة بالعثور على صاحب البلاغ في 31 آذار</w:t>
      </w:r>
      <w:r w:rsidR="00264008">
        <w:rPr>
          <w:spacing w:val="-4"/>
          <w:rtl/>
        </w:rPr>
        <w:t>/</w:t>
      </w:r>
      <w:r w:rsidRPr="003C7F7D">
        <w:rPr>
          <w:spacing w:val="-4"/>
          <w:rtl/>
        </w:rPr>
        <w:t xml:space="preserve">مارس 2019 وبأنه الآن مع أسرته. وأكد هذه المعلومات أقارب السيد سوم. وعليه، أُغلق طلب الإجراء العاجل. </w:t>
      </w:r>
    </w:p>
    <w:p w14:paraId="49BF7553" w14:textId="77777777" w:rsidR="00071022" w:rsidRPr="00C20267" w:rsidRDefault="00071022" w:rsidP="00071022">
      <w:pPr>
        <w:pStyle w:val="H23GA"/>
        <w:rPr>
          <w:rtl/>
          <w:lang w:val="ar-SA" w:eastAsia="zh-TW"/>
        </w:rPr>
      </w:pPr>
      <w:r>
        <w:rPr>
          <w:rtl/>
        </w:rPr>
        <w:tab/>
      </w:r>
      <w:r w:rsidRPr="00C20267">
        <w:rPr>
          <w:rtl/>
        </w:rPr>
        <w:t>(د)</w:t>
      </w:r>
      <w:r>
        <w:rPr>
          <w:rtl/>
        </w:rPr>
        <w:tab/>
      </w:r>
      <w:r w:rsidRPr="00C20267">
        <w:rPr>
          <w:rtl/>
        </w:rPr>
        <w:t>كولومبيا</w:t>
      </w:r>
    </w:p>
    <w:p w14:paraId="5104C96B" w14:textId="77777777" w:rsidR="00071022" w:rsidRPr="0063016C" w:rsidRDefault="00071022" w:rsidP="003C7F7D">
      <w:pPr>
        <w:pStyle w:val="SingleTxtGA"/>
        <w:spacing w:line="360" w:lineRule="exact"/>
        <w:rPr>
          <w:rtl/>
          <w:lang w:val="ar-SA" w:eastAsia="zh-TW"/>
        </w:rPr>
      </w:pPr>
      <w:r>
        <w:rPr>
          <w:rtl/>
        </w:rPr>
        <w:t>٢٠-</w:t>
      </w:r>
      <w:r>
        <w:rPr>
          <w:rtl/>
        </w:rPr>
        <w:tab/>
        <w:t>على نحو ما جاء في تقريري الدورة الثالثة عشرة والدورة الخامسة عشرة للجنة، تشير المعلومات التي قدمتها الدولة الطرف عن طلبات الإجراءات العاجلة المسجلة، التي بلغ عددها</w:t>
      </w:r>
      <w:r w:rsidR="00536C30">
        <w:rPr>
          <w:rFonts w:hint="cs"/>
          <w:rtl/>
        </w:rPr>
        <w:t> </w:t>
      </w:r>
      <w:r>
        <w:rPr>
          <w:rtl/>
        </w:rPr>
        <w:t xml:space="preserve">21 طلباً، إلى أن إجراءات البحث والتحقيق تصل، في الكثير من الحالات، إلى طريق مسدود بعد بضعة أشهر من بدايتها. </w:t>
      </w:r>
    </w:p>
    <w:p w14:paraId="3FAFE6A9" w14:textId="77777777" w:rsidR="00071022" w:rsidRPr="00C20267" w:rsidRDefault="00071022" w:rsidP="00071022">
      <w:pPr>
        <w:pStyle w:val="H23GA"/>
        <w:rPr>
          <w:rtl/>
          <w:lang w:val="ar-SA" w:eastAsia="zh-TW"/>
        </w:rPr>
      </w:pPr>
      <w:r>
        <w:rPr>
          <w:rtl/>
        </w:rPr>
        <w:tab/>
      </w:r>
      <w:r w:rsidRPr="00C20267">
        <w:rPr>
          <w:rtl/>
        </w:rPr>
        <w:t>(هـ)</w:t>
      </w:r>
      <w:r>
        <w:rPr>
          <w:rtl/>
        </w:rPr>
        <w:tab/>
      </w:r>
      <w:r w:rsidRPr="00C20267">
        <w:rPr>
          <w:rtl/>
        </w:rPr>
        <w:t>كوبا</w:t>
      </w:r>
    </w:p>
    <w:p w14:paraId="5A30C499" w14:textId="77777777" w:rsidR="00071022" w:rsidRPr="003C7F7D" w:rsidRDefault="00071022" w:rsidP="003C7F7D">
      <w:pPr>
        <w:pStyle w:val="SingleTxtGA"/>
        <w:spacing w:line="360" w:lineRule="exact"/>
        <w:rPr>
          <w:spacing w:val="-4"/>
          <w:rtl/>
          <w:lang w:val="ar-SA" w:eastAsia="zh-TW"/>
        </w:rPr>
      </w:pPr>
      <w:r>
        <w:rPr>
          <w:rtl/>
        </w:rPr>
        <w:t>٢١</w:t>
      </w:r>
      <w:r w:rsidRPr="003C7F7D">
        <w:rPr>
          <w:spacing w:val="-4"/>
          <w:rtl/>
        </w:rPr>
        <w:t>-</w:t>
      </w:r>
      <w:r w:rsidRPr="003C7F7D">
        <w:rPr>
          <w:spacing w:val="-4"/>
          <w:rtl/>
        </w:rPr>
        <w:tab/>
        <w:t xml:space="preserve">خلال الفترة المشمولة بالتقرير، سجلت اللجنة طلب إجراء عاجل لصالح سيزار إيفان </w:t>
      </w:r>
      <w:proofErr w:type="spellStart"/>
      <w:r w:rsidRPr="003C7F7D">
        <w:rPr>
          <w:spacing w:val="-4"/>
          <w:rtl/>
        </w:rPr>
        <w:t>ميندوزا</w:t>
      </w:r>
      <w:proofErr w:type="spellEnd"/>
      <w:r w:rsidRPr="003C7F7D">
        <w:rPr>
          <w:spacing w:val="-4"/>
          <w:rtl/>
        </w:rPr>
        <w:t xml:space="preserve"> </w:t>
      </w:r>
      <w:proofErr w:type="spellStart"/>
      <w:r w:rsidRPr="003C7F7D">
        <w:rPr>
          <w:spacing w:val="-4"/>
          <w:rtl/>
        </w:rPr>
        <w:t>ريغال</w:t>
      </w:r>
      <w:proofErr w:type="spellEnd"/>
      <w:r w:rsidRPr="003C7F7D">
        <w:rPr>
          <w:spacing w:val="-4"/>
          <w:rtl/>
        </w:rPr>
        <w:t xml:space="preserve"> (طلب الإجراء العاجل رقم 542/2018)، وهو محام ومدافع عن حقوق الإنسان زُعم أن وزارة أمن الدولة تحتجزه. ولا يعرف بعد المكان الذي يحتجز فيه ولا الجريمة التي يتهم بها. وأرسلت الدولة الطرف رداً يفيد بأن السيد </w:t>
      </w:r>
      <w:proofErr w:type="spellStart"/>
      <w:r w:rsidRPr="003C7F7D">
        <w:rPr>
          <w:spacing w:val="-4"/>
          <w:rtl/>
        </w:rPr>
        <w:t>مندوزا</w:t>
      </w:r>
      <w:proofErr w:type="spellEnd"/>
      <w:r w:rsidRPr="003C7F7D">
        <w:rPr>
          <w:spacing w:val="-4"/>
          <w:rtl/>
        </w:rPr>
        <w:t xml:space="preserve"> </w:t>
      </w:r>
      <w:proofErr w:type="spellStart"/>
      <w:r w:rsidRPr="003C7F7D">
        <w:rPr>
          <w:spacing w:val="-4"/>
          <w:rtl/>
        </w:rPr>
        <w:t>ريغال</w:t>
      </w:r>
      <w:proofErr w:type="spellEnd"/>
      <w:r w:rsidRPr="003C7F7D">
        <w:rPr>
          <w:spacing w:val="-4"/>
          <w:rtl/>
        </w:rPr>
        <w:t xml:space="preserve"> أودع رهن الاحتجاز السابق للمحاكمة بتهمة الانضمام إلى تنظيم غير مشروع، وأن سراحه قد أُطلق ريثما يتم الانتهاء من التحقيق الجنائي في قضيته. ومع ذلك، يدَّعي ممثلوه أن الدولة الطرف لم تقدم أي دليل يدعم هذه الادعاءات، ويدعون الدولة الطرف إلى تقديم دليل على السلامة البدنية للسيد </w:t>
      </w:r>
      <w:proofErr w:type="spellStart"/>
      <w:r w:rsidRPr="003C7F7D">
        <w:rPr>
          <w:spacing w:val="-4"/>
          <w:rtl/>
        </w:rPr>
        <w:t>ميندوزا</w:t>
      </w:r>
      <w:proofErr w:type="spellEnd"/>
      <w:r w:rsidRPr="003C7F7D">
        <w:rPr>
          <w:spacing w:val="-4"/>
          <w:rtl/>
        </w:rPr>
        <w:t xml:space="preserve"> </w:t>
      </w:r>
      <w:proofErr w:type="spellStart"/>
      <w:r w:rsidRPr="003C7F7D">
        <w:rPr>
          <w:spacing w:val="-4"/>
          <w:rtl/>
        </w:rPr>
        <w:t>ريغال</w:t>
      </w:r>
      <w:proofErr w:type="spellEnd"/>
      <w:r w:rsidRPr="003C7F7D">
        <w:rPr>
          <w:spacing w:val="-4"/>
          <w:rtl/>
        </w:rPr>
        <w:t xml:space="preserve"> وأمنه من خلال السماح له بالمثول علانية في وسائل الإعلام. وستُوجَّه مذكرة متابعة إلى الدولة </w:t>
      </w:r>
      <w:proofErr w:type="gramStart"/>
      <w:r w:rsidRPr="003C7F7D">
        <w:rPr>
          <w:spacing w:val="-4"/>
          <w:rtl/>
        </w:rPr>
        <w:t>الطرف.</w:t>
      </w:r>
      <w:r w:rsidRPr="003C7F7D">
        <w:rPr>
          <w:rFonts w:ascii="Arial" w:hAnsi="Arial" w:cs="Arial" w:hint="cs"/>
          <w:spacing w:val="-4"/>
          <w:rtl/>
        </w:rPr>
        <w:t>‬</w:t>
      </w:r>
      <w:r w:rsidRPr="003C7F7D">
        <w:rPr>
          <w:rFonts w:ascii="Arial" w:hAnsi="Arial" w:cs="Arial" w:hint="cs"/>
          <w:spacing w:val="-4"/>
          <w:rtl/>
        </w:rPr>
        <w:t>‬</w:t>
      </w:r>
      <w:proofErr w:type="gramEnd"/>
      <w:r w:rsidRPr="003C7F7D">
        <w:rPr>
          <w:rFonts w:ascii="Arial" w:hAnsi="Arial" w:cs="Arial" w:hint="cs"/>
          <w:spacing w:val="-4"/>
          <w:rtl/>
        </w:rPr>
        <w:t>‬</w:t>
      </w:r>
      <w:r w:rsidRPr="003C7F7D">
        <w:rPr>
          <w:rFonts w:ascii="Arial" w:hAnsi="Arial" w:cs="Arial" w:hint="cs"/>
          <w:spacing w:val="-4"/>
          <w:rtl/>
        </w:rPr>
        <w:t>‬</w:t>
      </w:r>
      <w:r w:rsidRPr="003C7F7D">
        <w:rPr>
          <w:rFonts w:ascii="Arial" w:hAnsi="Arial" w:cs="Arial" w:hint="cs"/>
          <w:spacing w:val="-4"/>
          <w:rtl/>
        </w:rPr>
        <w:t>‬</w:t>
      </w:r>
      <w:r w:rsidRPr="003C7F7D">
        <w:rPr>
          <w:rFonts w:ascii="Arial" w:hAnsi="Arial" w:cs="Arial" w:hint="cs"/>
          <w:spacing w:val="-4"/>
          <w:rtl/>
        </w:rPr>
        <w:t>‬</w:t>
      </w:r>
      <w:r w:rsidRPr="003C7F7D">
        <w:rPr>
          <w:rFonts w:ascii="Arial" w:hAnsi="Arial" w:cs="Arial" w:hint="cs"/>
          <w:spacing w:val="-4"/>
          <w:rtl/>
        </w:rPr>
        <w:t>‬</w:t>
      </w:r>
      <w:r w:rsidRPr="003C7F7D">
        <w:rPr>
          <w:rFonts w:ascii="Arial" w:hAnsi="Arial" w:cs="Arial" w:hint="cs"/>
          <w:spacing w:val="-4"/>
          <w:rtl/>
        </w:rPr>
        <w:t>‬</w:t>
      </w:r>
      <w:r w:rsidRPr="003C7F7D">
        <w:rPr>
          <w:rFonts w:ascii="Arial" w:hAnsi="Arial" w:cs="Arial" w:hint="cs"/>
          <w:spacing w:val="-4"/>
          <w:rtl/>
        </w:rPr>
        <w:t>‬</w:t>
      </w:r>
      <w:r w:rsidRPr="003C7F7D">
        <w:rPr>
          <w:rFonts w:ascii="Arial" w:hAnsi="Arial" w:cs="Arial" w:hint="cs"/>
          <w:spacing w:val="-4"/>
          <w:rtl/>
        </w:rPr>
        <w:t>‬</w:t>
      </w:r>
      <w:r w:rsidRPr="003C7F7D">
        <w:rPr>
          <w:rFonts w:ascii="Arial" w:hAnsi="Arial" w:cs="Arial" w:hint="cs"/>
          <w:spacing w:val="-4"/>
          <w:rtl/>
        </w:rPr>
        <w:t>‬</w:t>
      </w:r>
    </w:p>
    <w:p w14:paraId="1BF30E4E" w14:textId="77777777" w:rsidR="00071022" w:rsidRPr="00C20267" w:rsidRDefault="00071022" w:rsidP="00071022">
      <w:pPr>
        <w:pStyle w:val="H23GA"/>
        <w:rPr>
          <w:rtl/>
          <w:lang w:val="ar-SA" w:eastAsia="zh-TW"/>
        </w:rPr>
      </w:pPr>
      <w:r>
        <w:rPr>
          <w:rtl/>
        </w:rPr>
        <w:lastRenderedPageBreak/>
        <w:tab/>
      </w:r>
      <w:r w:rsidRPr="00C20267">
        <w:rPr>
          <w:rtl/>
        </w:rPr>
        <w:t>(و)</w:t>
      </w:r>
      <w:r>
        <w:rPr>
          <w:rtl/>
        </w:rPr>
        <w:tab/>
      </w:r>
      <w:r w:rsidRPr="00C20267">
        <w:rPr>
          <w:rtl/>
        </w:rPr>
        <w:t>هندوراس</w:t>
      </w:r>
    </w:p>
    <w:p w14:paraId="56788F51" w14:textId="77777777" w:rsidR="00071022" w:rsidRPr="0063016C" w:rsidRDefault="00071022" w:rsidP="003C7F7D">
      <w:pPr>
        <w:pStyle w:val="SingleTxtGA"/>
        <w:spacing w:line="360" w:lineRule="exact"/>
        <w:rPr>
          <w:rtl/>
          <w:lang w:val="ar-SA" w:eastAsia="zh-TW"/>
        </w:rPr>
      </w:pPr>
      <w:r>
        <w:rPr>
          <w:rtl/>
        </w:rPr>
        <w:t>٢٢-</w:t>
      </w:r>
      <w:r>
        <w:rPr>
          <w:rtl/>
        </w:rPr>
        <w:tab/>
        <w:t>كما ذُكر في الدورتين الرابعة عشرة والخامسة عشرة للجنة، وردت تعليقات من الدولة الطرف فيما يتعلق بطلبات الإجراءات العاجلة المسجلة الأربعة عشر. وفيما يتعلق بطلبات الإجراءات العاجلة البالغ عددها 13 طلب</w:t>
      </w:r>
      <w:r w:rsidR="00536C30">
        <w:rPr>
          <w:rtl/>
        </w:rPr>
        <w:t xml:space="preserve">اً </w:t>
      </w:r>
      <w:r>
        <w:rPr>
          <w:rtl/>
        </w:rPr>
        <w:t>والمرتبطة باختفاء مهاجرين، وردت تعليقات عامة جد</w:t>
      </w:r>
      <w:r w:rsidR="00536C30">
        <w:rPr>
          <w:rtl/>
        </w:rPr>
        <w:t xml:space="preserve">اً </w:t>
      </w:r>
      <w:r>
        <w:rPr>
          <w:rtl/>
        </w:rPr>
        <w:t>ولا تتضمن أي معلومات عن الحالات الفردية. وتشير التعليقات أيضاً إلى أن السلطات المكلفة بإجراءات البحث والتحقيق لم تتخذ التدابير اللازمة لترتيب المساعدة القانونية الدولية، وفقاً للمادة 14 من الاتفاقية، بغية تعقب طرق الهجرة التي يسلكها الضحايا، وتوضيح الوقائع المرتبطة بذلك. وفي كل هذه الحالات، لا تزال اللجنة تنتظر تعليقات مقدمي الطلبات الذين أرسلت لهم رسائل تذكير عديدة.</w:t>
      </w:r>
    </w:p>
    <w:p w14:paraId="6A1EED1E" w14:textId="77777777" w:rsidR="00071022" w:rsidRPr="00C20267" w:rsidRDefault="00071022" w:rsidP="00071022">
      <w:pPr>
        <w:pStyle w:val="H23GA"/>
        <w:rPr>
          <w:rtl/>
          <w:lang w:val="ar-SA" w:eastAsia="zh-TW"/>
        </w:rPr>
      </w:pPr>
      <w:r>
        <w:rPr>
          <w:rtl/>
        </w:rPr>
        <w:tab/>
      </w:r>
      <w:r w:rsidRPr="00C20267">
        <w:rPr>
          <w:rtl/>
        </w:rPr>
        <w:t>(ز)</w:t>
      </w:r>
      <w:r>
        <w:rPr>
          <w:rtl/>
        </w:rPr>
        <w:tab/>
      </w:r>
      <w:r w:rsidRPr="00C20267">
        <w:rPr>
          <w:rtl/>
        </w:rPr>
        <w:t>ليتوانيا</w:t>
      </w:r>
    </w:p>
    <w:p w14:paraId="3F7B77CF" w14:textId="77777777" w:rsidR="00071022" w:rsidRPr="0063016C" w:rsidRDefault="00071022" w:rsidP="00071022">
      <w:pPr>
        <w:pStyle w:val="SingleTxtGA"/>
        <w:rPr>
          <w:rtl/>
          <w:lang w:val="ar-SA" w:eastAsia="zh-TW"/>
        </w:rPr>
      </w:pPr>
      <w:r>
        <w:rPr>
          <w:rtl/>
        </w:rPr>
        <w:t>٢٣-</w:t>
      </w:r>
      <w:r>
        <w:rPr>
          <w:rtl/>
        </w:rPr>
        <w:tab/>
        <w:t xml:space="preserve">خلال الفترة المشمولة بالتقرير، سُجل طلب إجراء عاجل لصالح </w:t>
      </w:r>
      <w:proofErr w:type="spellStart"/>
      <w:r>
        <w:rPr>
          <w:rtl/>
        </w:rPr>
        <w:t>ديمانتي</w:t>
      </w:r>
      <w:proofErr w:type="spellEnd"/>
      <w:r>
        <w:rPr>
          <w:rtl/>
        </w:rPr>
        <w:t xml:space="preserve"> </w:t>
      </w:r>
      <w:proofErr w:type="spellStart"/>
      <w:r>
        <w:rPr>
          <w:rtl/>
        </w:rPr>
        <w:t>ستانكونايت</w:t>
      </w:r>
      <w:proofErr w:type="spellEnd"/>
      <w:r>
        <w:rPr>
          <w:rtl/>
        </w:rPr>
        <w:t xml:space="preserve"> (طلب الإجراء العاجل رقم 569/2019)، التي اختفت في الثامنة من عمرها بعد تعرضها لاستغلال جنسي يُزعم أنه ارتكب بحقها برضا أمها وبمشاركة سلطات حكومية. وأبلغت الدولة الطرف اللجنة في ردها بالعثور على </w:t>
      </w:r>
      <w:proofErr w:type="spellStart"/>
      <w:r>
        <w:rPr>
          <w:rtl/>
        </w:rPr>
        <w:t>ديمانتي</w:t>
      </w:r>
      <w:proofErr w:type="spellEnd"/>
      <w:r>
        <w:rPr>
          <w:rtl/>
        </w:rPr>
        <w:t xml:space="preserve"> وبأنها تتمتع الآن بحماية القانون. ومع ذلك، طلب ممثلها من الدولة الطرف تأكيد مكان </w:t>
      </w:r>
      <w:proofErr w:type="spellStart"/>
      <w:r>
        <w:rPr>
          <w:rtl/>
        </w:rPr>
        <w:t>ديمانتي</w:t>
      </w:r>
      <w:proofErr w:type="spellEnd"/>
      <w:r>
        <w:rPr>
          <w:rtl/>
        </w:rPr>
        <w:t xml:space="preserve"> على وجه التحديد والسماح لها بالاتصال بها. وستُوجَّه مذكرة متابعة إلى الدولة </w:t>
      </w:r>
      <w:proofErr w:type="gramStart"/>
      <w:r>
        <w:rPr>
          <w:rtl/>
        </w:rPr>
        <w:t>الطرف.</w:t>
      </w:r>
      <w:r>
        <w:rPr>
          <w:rFonts w:ascii="Arial" w:hAnsi="Arial" w:cs="Arial" w:hint="cs"/>
          <w:rtl/>
        </w:rPr>
        <w:t>‬</w:t>
      </w:r>
      <w:r>
        <w:rPr>
          <w:rFonts w:ascii="Arial" w:hAnsi="Arial" w:cs="Arial" w:hint="cs"/>
          <w:rtl/>
        </w:rPr>
        <w:t>‬</w:t>
      </w:r>
      <w:proofErr w:type="gramEnd"/>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p>
    <w:p w14:paraId="7EB006DA" w14:textId="77777777" w:rsidR="00071022" w:rsidRPr="00C20267" w:rsidRDefault="00071022" w:rsidP="00071022">
      <w:pPr>
        <w:pStyle w:val="H23GA"/>
        <w:rPr>
          <w:rtl/>
          <w:lang w:val="ar-SA" w:eastAsia="zh-TW"/>
        </w:rPr>
      </w:pPr>
      <w:r>
        <w:rPr>
          <w:rtl/>
        </w:rPr>
        <w:tab/>
      </w:r>
      <w:r w:rsidRPr="00C20267">
        <w:rPr>
          <w:rtl/>
        </w:rPr>
        <w:t>(ح)</w:t>
      </w:r>
      <w:r>
        <w:rPr>
          <w:rtl/>
        </w:rPr>
        <w:tab/>
      </w:r>
      <w:r w:rsidRPr="00C20267">
        <w:rPr>
          <w:rtl/>
        </w:rPr>
        <w:t>توغو</w:t>
      </w:r>
    </w:p>
    <w:p w14:paraId="4203E46A" w14:textId="77777777" w:rsidR="00071022" w:rsidRPr="0063016C" w:rsidRDefault="00071022" w:rsidP="00536C30">
      <w:pPr>
        <w:pStyle w:val="SingleTxtGA"/>
        <w:rPr>
          <w:rtl/>
          <w:lang w:val="ar-SA" w:eastAsia="zh-TW"/>
        </w:rPr>
      </w:pPr>
      <w:r>
        <w:rPr>
          <w:rtl/>
        </w:rPr>
        <w:t>٢٤-</w:t>
      </w:r>
      <w:r>
        <w:rPr>
          <w:rtl/>
        </w:rPr>
        <w:tab/>
        <w:t xml:space="preserve">فيما يتعلق بحالة أتسو </w:t>
      </w:r>
      <w:proofErr w:type="spellStart"/>
      <w:r>
        <w:rPr>
          <w:rtl/>
        </w:rPr>
        <w:t>أدزي</w:t>
      </w:r>
      <w:proofErr w:type="spellEnd"/>
      <w:r>
        <w:rPr>
          <w:rtl/>
        </w:rPr>
        <w:t xml:space="preserve"> وميسان كوكو </w:t>
      </w:r>
      <w:proofErr w:type="spellStart"/>
      <w:r>
        <w:rPr>
          <w:rtl/>
        </w:rPr>
        <w:t>أدزي</w:t>
      </w:r>
      <w:proofErr w:type="spellEnd"/>
      <w:r>
        <w:rPr>
          <w:rtl/>
        </w:rPr>
        <w:t xml:space="preserve"> (طلبا الإجراءين العاجلين رقم</w:t>
      </w:r>
      <w:r>
        <w:rPr>
          <w:rFonts w:hint="cs"/>
          <w:rtl/>
        </w:rPr>
        <w:t> </w:t>
      </w:r>
      <w:r>
        <w:rPr>
          <w:rtl/>
        </w:rPr>
        <w:t>543/2018 ورقم 544/2018)، ردت الدولة الطرف، بتاريخ 27 تشرين الثاني</w:t>
      </w:r>
      <w:r w:rsidR="00264008">
        <w:rPr>
          <w:rtl/>
        </w:rPr>
        <w:t>/</w:t>
      </w:r>
      <w:r w:rsidR="00264008">
        <w:rPr>
          <w:rFonts w:hint="cs"/>
          <w:rtl/>
        </w:rPr>
        <w:t xml:space="preserve">   </w:t>
      </w:r>
      <w:r>
        <w:rPr>
          <w:rtl/>
        </w:rPr>
        <w:t>نوفمبر 2018، مشككة في الادعاء القائل بأن الشرطة احتجزت هذين الشخصين في يوم اختفائهما المزعوم، وذكرت أن السجل الرسمي للمصلحة الوطنية للمعلومات والتحقيقات لا</w:t>
      </w:r>
      <w:r w:rsidR="00536C30">
        <w:rPr>
          <w:rFonts w:hint="cs"/>
          <w:rtl/>
        </w:rPr>
        <w:t> </w:t>
      </w:r>
      <w:r>
        <w:rPr>
          <w:rtl/>
        </w:rPr>
        <w:t>يشير إلى ذلك. ومع ذلك، يدَّعي مقدما الطلب أن الدولة الطرف لم تثبت أنها أجرت تحقيقاً شاملاً في تحركات سيارة الشرطة التي نُقل فيها الضح</w:t>
      </w:r>
      <w:r w:rsidR="003C7F7D">
        <w:rPr>
          <w:rFonts w:hint="cs"/>
          <w:rtl/>
        </w:rPr>
        <w:t>ي</w:t>
      </w:r>
      <w:r>
        <w:rPr>
          <w:rtl/>
        </w:rPr>
        <w:t>تان إلى جهة مجهولة، بحسب ما قاله شهود، ولم توسِّع نطاق التحقيق ليشمل أماكن احتجاز أخرى محتملة خارج المصلحة الوطنية للمعلومات والتحقيقات. ولذلك، أرسلت اللجنة، في 13 شباط/فبراير 2019، مذكرة متابعة تعرب فيها عن قلقها إزاء عدم إحراز أي تقدم في البحث عن هذين الشخصين أو في التحقيق، بعد مرور سنة ونصف على اختفائهما، ولم يُجر، على وجه الخصوص، أي تحقيق بشأن سيارة شرطة تم تحديدها على أنها السيارة التي يزعم أنهما اختفيا فيها.</w:t>
      </w:r>
    </w:p>
    <w:p w14:paraId="2A5E7CDE" w14:textId="77777777" w:rsidR="00071022" w:rsidRPr="00C20267" w:rsidRDefault="00071022" w:rsidP="00071022">
      <w:pPr>
        <w:pStyle w:val="H1GA"/>
        <w:rPr>
          <w:rtl/>
          <w:lang w:val="ar-SA" w:eastAsia="zh-TW"/>
        </w:rPr>
      </w:pPr>
      <w:r>
        <w:rPr>
          <w:rtl/>
        </w:rPr>
        <w:tab/>
      </w:r>
      <w:r w:rsidRPr="00C20267">
        <w:rPr>
          <w:rtl/>
        </w:rPr>
        <w:t>دال</w:t>
      </w:r>
      <w:r>
        <w:rPr>
          <w:rtl/>
        </w:rPr>
        <w:t>-</w:t>
      </w:r>
      <w:r>
        <w:rPr>
          <w:rtl/>
        </w:rPr>
        <w:tab/>
      </w:r>
      <w:r w:rsidRPr="00C20267">
        <w:rPr>
          <w:rtl/>
        </w:rPr>
        <w:t>طلبات الإجراءات العاجلة التي أُوقف النظر فيها أو أُغلقت أو لا تزال مفتوحة لحماية الأشخاص المستفيدين من تدابير مؤقتة</w:t>
      </w:r>
    </w:p>
    <w:p w14:paraId="05E919A2" w14:textId="77777777" w:rsidR="00071022" w:rsidRPr="0063016C" w:rsidRDefault="00071022" w:rsidP="00071022">
      <w:pPr>
        <w:pStyle w:val="SingleTxtGA"/>
        <w:rPr>
          <w:rtl/>
          <w:lang w:val="ar-SA" w:eastAsia="zh-TW"/>
        </w:rPr>
      </w:pPr>
      <w:r>
        <w:rPr>
          <w:rtl/>
        </w:rPr>
        <w:t>٢٥-</w:t>
      </w:r>
      <w:r>
        <w:rPr>
          <w:rtl/>
        </w:rPr>
        <w:tab/>
        <w:t>عملاً بالمعايير التي اعتمدتها اللجنة في جلستها العامة في دورتها الثامنة:</w:t>
      </w:r>
    </w:p>
    <w:p w14:paraId="5A890C2E" w14:textId="77777777" w:rsidR="00071022" w:rsidRPr="0063016C" w:rsidRDefault="00071022" w:rsidP="00071022">
      <w:pPr>
        <w:pStyle w:val="SingleTxtGA"/>
        <w:rPr>
          <w:rtl/>
          <w:lang w:val="ar-SA" w:eastAsia="zh-TW"/>
        </w:rPr>
      </w:pPr>
      <w:r>
        <w:rPr>
          <w:rtl/>
        </w:rPr>
        <w:tab/>
        <w:t>(أ)</w:t>
      </w:r>
      <w:r>
        <w:rPr>
          <w:rtl/>
        </w:rPr>
        <w:tab/>
        <w:t>يتوقف الإجراء العاجل عندما يُعثر على الشخص المختفي وهو لا يزال قيد الاحتجاز. ففي هذه الحالة، يكون هذا الشخص بالفعل عرضة لخطر الاختفاء من جديد، والوقوع خارج نطاق حماية القانون؛</w:t>
      </w:r>
    </w:p>
    <w:p w14:paraId="56A5209E" w14:textId="77777777" w:rsidR="00071022" w:rsidRPr="0063016C" w:rsidRDefault="00071022" w:rsidP="00536C30">
      <w:pPr>
        <w:pStyle w:val="SingleTxtGA"/>
        <w:rPr>
          <w:rtl/>
          <w:lang w:val="ar-SA" w:eastAsia="zh-TW"/>
        </w:rPr>
      </w:pPr>
      <w:r>
        <w:rPr>
          <w:rtl/>
        </w:rPr>
        <w:lastRenderedPageBreak/>
        <w:tab/>
        <w:t>(ب)</w:t>
      </w:r>
      <w:r>
        <w:rPr>
          <w:rtl/>
        </w:rPr>
        <w:tab/>
        <w:t>يُغلَق طلب الإجراء العاجل متى عُثر على الشخص المختفي حُراً طليقاً، أو</w:t>
      </w:r>
      <w:r w:rsidR="00536C30">
        <w:rPr>
          <w:rFonts w:hint="cs"/>
          <w:rtl/>
        </w:rPr>
        <w:t> </w:t>
      </w:r>
      <w:r>
        <w:rPr>
          <w:rtl/>
        </w:rPr>
        <w:t>عرِف مكانه وأُفرج عنه، أو عُثر عليه ميتاً، شريطة ألا يطعن الأقارب و/أو مقدمو الطلبات في هذه الوقائع؛</w:t>
      </w:r>
    </w:p>
    <w:p w14:paraId="17E13A6C" w14:textId="77777777" w:rsidR="00071022" w:rsidRPr="0063016C" w:rsidRDefault="00071022" w:rsidP="00071022">
      <w:pPr>
        <w:pStyle w:val="SingleTxtGA"/>
        <w:rPr>
          <w:rtl/>
          <w:lang w:val="ar-SA" w:eastAsia="zh-TW"/>
        </w:rPr>
      </w:pPr>
      <w:r>
        <w:rPr>
          <w:rtl/>
        </w:rPr>
        <w:tab/>
        <w:t>(ج)</w:t>
      </w:r>
      <w:r>
        <w:rPr>
          <w:rtl/>
        </w:rPr>
        <w:tab/>
        <w:t>يظل طلب الإجراء العاجل مفتوحاً إذا حُدد مكان وجود الشخص المختفي لكن ما زال الأشخاص الذين اتُّخذت لصالحهم تدابير احترازية في سياق الإجراء العاجل مهددين. وفي هذه الحالة، تقتصر مهام اللجنة على متابعة تدابير الحماية المتخذة.</w:t>
      </w:r>
    </w:p>
    <w:p w14:paraId="368AFFBA" w14:textId="77777777" w:rsidR="00071022" w:rsidRPr="0063016C" w:rsidRDefault="00071022" w:rsidP="00071022">
      <w:pPr>
        <w:pStyle w:val="SingleTxtGA"/>
        <w:rPr>
          <w:rtl/>
          <w:lang w:val="ar-SA" w:eastAsia="zh-TW"/>
        </w:rPr>
      </w:pPr>
      <w:r>
        <w:rPr>
          <w:rtl/>
        </w:rPr>
        <w:t>٢٦-</w:t>
      </w:r>
      <w:r>
        <w:rPr>
          <w:rtl/>
        </w:rPr>
        <w:tab/>
        <w:t>وحتى تاريخ إعداد هذا التقرير، أغلقت اللجنة ما مجموعه 51 حالة تتضمن طلبات إجراءات عاجلة، وهي كما يلي: 29 حالة عُثر فيها على الشخص المختفي وأُفرج عنه حيّاً؛ و٢٢ حالة عُثر فيها على جثث الأشخاص المختفين.</w:t>
      </w:r>
    </w:p>
    <w:p w14:paraId="0D8148C8" w14:textId="77777777" w:rsidR="00071022" w:rsidRPr="0063016C" w:rsidRDefault="00071022" w:rsidP="00071022">
      <w:pPr>
        <w:pStyle w:val="SingleTxtGA"/>
        <w:rPr>
          <w:rtl/>
          <w:lang w:val="ar-SA" w:eastAsia="zh-TW"/>
        </w:rPr>
      </w:pPr>
      <w:r>
        <w:rPr>
          <w:rtl/>
        </w:rPr>
        <w:t>٢٧-</w:t>
      </w:r>
      <w:r>
        <w:rPr>
          <w:rtl/>
        </w:rPr>
        <w:tab/>
        <w:t>وبالإضافة إلى ذلك، أوقفت اللجنة النظر في 13 طلب إجراء عاجل لأنه عُثر على الأشخاص المختفين لكنهم ما زالوا محتجزين.</w:t>
      </w:r>
    </w:p>
    <w:p w14:paraId="33D1DBB3" w14:textId="77777777" w:rsidR="00071022" w:rsidRPr="003C7F7D" w:rsidRDefault="00071022" w:rsidP="00071022">
      <w:pPr>
        <w:pStyle w:val="SingleTxtGA"/>
        <w:rPr>
          <w:spacing w:val="-4"/>
          <w:rtl/>
          <w:lang w:val="ar-SA" w:eastAsia="zh-TW"/>
        </w:rPr>
      </w:pPr>
      <w:r>
        <w:rPr>
          <w:rtl/>
        </w:rPr>
        <w:t>٢٨</w:t>
      </w:r>
      <w:r w:rsidRPr="003C7F7D">
        <w:rPr>
          <w:spacing w:val="-4"/>
          <w:rtl/>
        </w:rPr>
        <w:t>-</w:t>
      </w:r>
      <w:r w:rsidRPr="003C7F7D">
        <w:rPr>
          <w:spacing w:val="-4"/>
          <w:rtl/>
        </w:rPr>
        <w:tab/>
        <w:t>وفي طلبي إجراءين عاجلين، عُثر على الأشخاص المختفين أمواتا</w:t>
      </w:r>
      <w:r w:rsidR="00536C30" w:rsidRPr="003C7F7D">
        <w:rPr>
          <w:rFonts w:hint="cs"/>
          <w:spacing w:val="-4"/>
          <w:rtl/>
        </w:rPr>
        <w:t>ً</w:t>
      </w:r>
      <w:r w:rsidRPr="003C7F7D">
        <w:rPr>
          <w:spacing w:val="-4"/>
          <w:rtl/>
        </w:rPr>
        <w:t>، لكن الإجراءين العاجلين ما زالا مفتوحين لأن الأشخاص الذين اتُخذت لصالح</w:t>
      </w:r>
      <w:r w:rsidR="003C38D4">
        <w:rPr>
          <w:rFonts w:hint="cs"/>
          <w:spacing w:val="-4"/>
          <w:rtl/>
        </w:rPr>
        <w:t>ه</w:t>
      </w:r>
      <w:r w:rsidRPr="003C7F7D">
        <w:rPr>
          <w:spacing w:val="-4"/>
          <w:rtl/>
        </w:rPr>
        <w:t>م تدابير مؤقتة ما زالوا يتلقون تهديدات.</w:t>
      </w:r>
    </w:p>
    <w:p w14:paraId="14E640F7" w14:textId="77777777" w:rsidR="00071022" w:rsidRPr="00C20267" w:rsidRDefault="00071022" w:rsidP="00071022">
      <w:pPr>
        <w:pStyle w:val="H1GA"/>
        <w:rPr>
          <w:rtl/>
          <w:lang w:val="ar-SA" w:eastAsia="zh-TW"/>
        </w:rPr>
      </w:pPr>
      <w:r>
        <w:rPr>
          <w:rtl/>
        </w:rPr>
        <w:tab/>
      </w:r>
      <w:r w:rsidRPr="00C20267">
        <w:rPr>
          <w:rtl/>
        </w:rPr>
        <w:t>هاء</w:t>
      </w:r>
      <w:r>
        <w:rPr>
          <w:rtl/>
        </w:rPr>
        <w:t>-</w:t>
      </w:r>
      <w:r>
        <w:rPr>
          <w:rtl/>
        </w:rPr>
        <w:tab/>
      </w:r>
      <w:r w:rsidRPr="00C20267">
        <w:rPr>
          <w:rtl/>
        </w:rPr>
        <w:t>الاستنتاجات والمقررات المعتمدة</w:t>
      </w:r>
    </w:p>
    <w:p w14:paraId="6056FC86" w14:textId="77777777" w:rsidR="00071022" w:rsidRPr="0063016C" w:rsidRDefault="00071022" w:rsidP="00071022">
      <w:pPr>
        <w:pStyle w:val="SingleTxtGA"/>
        <w:rPr>
          <w:rtl/>
          <w:lang w:val="ar-SA" w:eastAsia="zh-TW"/>
        </w:rPr>
      </w:pPr>
      <w:r>
        <w:rPr>
          <w:rtl/>
        </w:rPr>
        <w:t>٢٩-</w:t>
      </w:r>
      <w:r>
        <w:rPr>
          <w:rtl/>
        </w:rPr>
        <w:tab/>
        <w:t>تُذكِّر اللجنة بأن عدد طلبات الإجراءات العاجلة المسجلة ما فتئ يتزايد. ونتيجة لذلك، ثمة حاجة ملحة لزيادة عدد موظفي أمانة مفوضية الأمم المتحدة السامية لحقوق الإنسان المكلفين بمعالجة هذه الطلبات.</w:t>
      </w:r>
    </w:p>
    <w:p w14:paraId="042294BF" w14:textId="77777777" w:rsidR="00071022" w:rsidRPr="003C7F7D" w:rsidRDefault="00071022" w:rsidP="00536C30">
      <w:pPr>
        <w:pStyle w:val="SingleTxtGA"/>
        <w:rPr>
          <w:spacing w:val="-6"/>
          <w:rtl/>
          <w:lang w:val="ar-SA" w:eastAsia="zh-TW"/>
        </w:rPr>
      </w:pPr>
      <w:r>
        <w:rPr>
          <w:rtl/>
        </w:rPr>
        <w:t>٣٠-</w:t>
      </w:r>
      <w:r>
        <w:rPr>
          <w:rtl/>
        </w:rPr>
        <w:tab/>
        <w:t>ونظرت اللجنة في معلومات قدمتها مختلف الدول الأطراف فيما يتعلق بإجراءات عاجلة خاصة بأفعال لا تنسب بوضوح إلى أشخاص يتصرفون بإذن من الدولة أو بدعم منها أو</w:t>
      </w:r>
      <w:r w:rsidR="00536C30">
        <w:rPr>
          <w:rFonts w:hint="cs"/>
          <w:rtl/>
        </w:rPr>
        <w:t> </w:t>
      </w:r>
      <w:r>
        <w:rPr>
          <w:rtl/>
        </w:rPr>
        <w:t xml:space="preserve">بموافقتها. وفي هذا الصدد، تكرر اللجنة تأكيد موقفها بوجوب أن تجري الدول الأطراف </w:t>
      </w:r>
      <w:r w:rsidRPr="003C7F7D">
        <w:rPr>
          <w:spacing w:val="-6"/>
          <w:rtl/>
        </w:rPr>
        <w:t>تحقيق</w:t>
      </w:r>
      <w:r w:rsidR="00536C30" w:rsidRPr="003C7F7D">
        <w:rPr>
          <w:spacing w:val="-6"/>
          <w:rtl/>
        </w:rPr>
        <w:t xml:space="preserve">اً </w:t>
      </w:r>
      <w:r w:rsidRPr="003C7F7D">
        <w:rPr>
          <w:spacing w:val="-6"/>
          <w:rtl/>
        </w:rPr>
        <w:t>شامل</w:t>
      </w:r>
      <w:r w:rsidR="00536C30" w:rsidRPr="003C7F7D">
        <w:rPr>
          <w:spacing w:val="-6"/>
          <w:rtl/>
        </w:rPr>
        <w:t xml:space="preserve">اً </w:t>
      </w:r>
      <w:r w:rsidRPr="003C7F7D">
        <w:rPr>
          <w:spacing w:val="-6"/>
          <w:rtl/>
        </w:rPr>
        <w:t>في الحالات المبلغ عنها، دون استبعاد أي فرضية، بما في ذلك فرضية الاختفاء القسري.</w:t>
      </w:r>
    </w:p>
    <w:p w14:paraId="3DB124BA" w14:textId="77777777" w:rsidR="00071022" w:rsidRPr="0063016C" w:rsidRDefault="00071022" w:rsidP="00071022">
      <w:pPr>
        <w:pStyle w:val="SingleTxtGA"/>
        <w:rPr>
          <w:rtl/>
          <w:lang w:val="ar-SA" w:eastAsia="zh-TW"/>
        </w:rPr>
      </w:pPr>
      <w:r>
        <w:rPr>
          <w:rtl/>
        </w:rPr>
        <w:t>٣١-</w:t>
      </w:r>
      <w:r>
        <w:rPr>
          <w:rtl/>
        </w:rPr>
        <w:tab/>
        <w:t>وترى اللجنة أنها تتمتع بسلطة اتخاذ إجراءات عاجلة في الحالات التي مَنحت فيها لجنة البلدان الأمريكية لحقوق الإنسان تدابير وقائية وطلبت البحث عن الشخص المختفي وتحديد مكانه، بالنظر إلى أن التدابير العاجلة أوسع نطاق</w:t>
      </w:r>
      <w:r w:rsidR="00536C30">
        <w:rPr>
          <w:rtl/>
        </w:rPr>
        <w:t xml:space="preserve">اً </w:t>
      </w:r>
      <w:r>
        <w:rPr>
          <w:rtl/>
        </w:rPr>
        <w:t>من التدابير الوقائية التي اتخذتها لجنة البلدان الأمريكية، وبالتالي، لا يوجد أي تزامن مع إجراء قانوني آخر بالمعنى المقصود في المادة</w:t>
      </w:r>
      <w:r>
        <w:rPr>
          <w:rFonts w:hint="cs"/>
          <w:rtl/>
        </w:rPr>
        <w:t> </w:t>
      </w:r>
      <w:r>
        <w:rPr>
          <w:rtl/>
        </w:rPr>
        <w:t>30(</w:t>
      </w:r>
      <w:proofErr w:type="gramStart"/>
      <w:r>
        <w:rPr>
          <w:rtl/>
        </w:rPr>
        <w:t>2)(</w:t>
      </w:r>
      <w:proofErr w:type="gramEnd"/>
      <w:r>
        <w:rPr>
          <w:rtl/>
        </w:rPr>
        <w:t>هـ) من الاتفاقية. وعندما ظهرت حالات كهذه، نسَّقت اللجنة مع لجنة البلدان الأمريكية بهدف تجنب الازدواج في الإجراءات القانونية المتماثلة.</w:t>
      </w:r>
    </w:p>
    <w:p w14:paraId="4FDAB608" w14:textId="77777777" w:rsidR="00071022" w:rsidRDefault="00071022" w:rsidP="00071022">
      <w:pPr>
        <w:pStyle w:val="SingleTxtGA"/>
        <w:rPr>
          <w:rtl/>
        </w:rPr>
      </w:pPr>
      <w:r>
        <w:rPr>
          <w:rtl/>
        </w:rPr>
        <w:t>٣٢-</w:t>
      </w:r>
      <w:r>
        <w:rPr>
          <w:rtl/>
        </w:rPr>
        <w:tab/>
        <w:t xml:space="preserve">وفيما يتعلق بادعاءات اختفاء أفراد أعادتهم دولة طرف إلى دولة أخرى ليست طرفاً في الاتفاقية، ترى اللجنة أن لها سلطة اتخاذ إجراءات عاجلة فيما يتعلق بحالات الاختفاء هذه، عملاً بالتزام الدول الأطراف بالتعاون (المادتان 14 و15 من الاتفاقية) والتزامها بعدم الإعادة القسرية (المادة 16). </w:t>
      </w:r>
    </w:p>
    <w:p w14:paraId="14862F2B" w14:textId="77777777" w:rsidR="00071022" w:rsidRPr="00071022" w:rsidRDefault="00071022" w:rsidP="00071022">
      <w:pPr>
        <w:spacing w:before="120"/>
        <w:jc w:val="center"/>
        <w:rPr>
          <w:u w:val="single"/>
          <w:rtl/>
        </w:rPr>
      </w:pPr>
      <w:r>
        <w:rPr>
          <w:u w:val="single"/>
          <w:rtl/>
        </w:rPr>
        <w:tab/>
      </w:r>
      <w:r>
        <w:rPr>
          <w:u w:val="single"/>
          <w:rtl/>
        </w:rPr>
        <w:tab/>
      </w:r>
      <w:r>
        <w:rPr>
          <w:u w:val="single"/>
          <w:rtl/>
        </w:rPr>
        <w:tab/>
      </w:r>
    </w:p>
    <w:sectPr w:rsidR="00071022" w:rsidRPr="00071022" w:rsidSect="0072008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DB52A" w14:textId="77777777" w:rsidR="00085565" w:rsidRPr="002901D9" w:rsidRDefault="00085565" w:rsidP="002901D9">
      <w:pPr>
        <w:spacing w:after="60" w:line="240" w:lineRule="auto"/>
        <w:rPr>
          <w:i/>
          <w:iCs/>
        </w:rPr>
      </w:pPr>
      <w:r>
        <w:rPr>
          <w:rFonts w:hint="cs"/>
          <w:i/>
          <w:iCs/>
          <w:rtl/>
        </w:rPr>
        <w:t>الحواشي</w:t>
      </w:r>
    </w:p>
  </w:endnote>
  <w:endnote w:type="continuationSeparator" w:id="0">
    <w:p w14:paraId="0B047F34" w14:textId="77777777" w:rsidR="00085565" w:rsidRDefault="0008556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92702" w14:textId="77777777" w:rsidR="00720081" w:rsidRPr="00071022" w:rsidRDefault="00071022" w:rsidP="00071022">
    <w:pPr>
      <w:pStyle w:val="Footer"/>
      <w:tabs>
        <w:tab w:val="right" w:pos="9598"/>
      </w:tabs>
      <w:rPr>
        <w:sz w:val="17"/>
      </w:rPr>
    </w:pPr>
    <w:r>
      <w:rPr>
        <w:sz w:val="17"/>
      </w:rPr>
      <w:t>GE.19-08286</w:t>
    </w:r>
    <w:r>
      <w:rPr>
        <w:sz w:val="17"/>
      </w:rPr>
      <w:tab/>
    </w:r>
    <w:r w:rsidRPr="00071022">
      <w:rPr>
        <w:b/>
        <w:sz w:val="18"/>
      </w:rPr>
      <w:fldChar w:fldCharType="begin"/>
    </w:r>
    <w:r w:rsidRPr="00071022">
      <w:rPr>
        <w:b/>
        <w:sz w:val="18"/>
      </w:rPr>
      <w:instrText xml:space="preserve"> PAGE  \* MERGEFORMAT </w:instrText>
    </w:r>
    <w:r w:rsidRPr="00071022">
      <w:rPr>
        <w:b/>
        <w:sz w:val="18"/>
      </w:rPr>
      <w:fldChar w:fldCharType="separate"/>
    </w:r>
    <w:r w:rsidR="006B6974">
      <w:rPr>
        <w:b/>
        <w:noProof/>
        <w:sz w:val="18"/>
      </w:rPr>
      <w:t>6</w:t>
    </w:r>
    <w:r w:rsidRPr="0007102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642FC" w14:textId="77777777" w:rsidR="006959B0" w:rsidRPr="00071022" w:rsidRDefault="00071022" w:rsidP="006959B0">
    <w:pPr>
      <w:pStyle w:val="Footer"/>
      <w:tabs>
        <w:tab w:val="right" w:pos="9599"/>
      </w:tabs>
      <w:jc w:val="left"/>
      <w:rPr>
        <w:b/>
        <w:sz w:val="18"/>
        <w:lang w:val="en-US"/>
      </w:rPr>
    </w:pPr>
    <w:r w:rsidRPr="00071022">
      <w:rPr>
        <w:b/>
        <w:sz w:val="18"/>
        <w:lang w:val="en-US"/>
      </w:rPr>
      <w:fldChar w:fldCharType="begin"/>
    </w:r>
    <w:r w:rsidRPr="00071022">
      <w:rPr>
        <w:b/>
        <w:sz w:val="18"/>
        <w:lang w:val="en-US"/>
      </w:rPr>
      <w:instrText xml:space="preserve"> PAGE  \* MERGEFORMAT </w:instrText>
    </w:r>
    <w:r w:rsidRPr="00071022">
      <w:rPr>
        <w:b/>
        <w:sz w:val="18"/>
        <w:lang w:val="en-US"/>
      </w:rPr>
      <w:fldChar w:fldCharType="separate"/>
    </w:r>
    <w:r w:rsidR="006B6974">
      <w:rPr>
        <w:b/>
        <w:noProof/>
        <w:sz w:val="18"/>
        <w:lang w:val="en-US"/>
      </w:rPr>
      <w:t>7</w:t>
    </w:r>
    <w:r w:rsidRPr="00071022">
      <w:rPr>
        <w:b/>
        <w:sz w:val="18"/>
        <w:lang w:val="en-US"/>
      </w:rPr>
      <w:fldChar w:fldCharType="end"/>
    </w:r>
    <w:r>
      <w:rPr>
        <w:b/>
        <w:sz w:val="18"/>
        <w:lang w:val="en-US"/>
      </w:rPr>
      <w:tab/>
    </w:r>
    <w:r>
      <w:rPr>
        <w:sz w:val="17"/>
        <w:lang w:val="en-US"/>
      </w:rPr>
      <w:t>GE.19-08286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79227" w14:textId="77777777" w:rsidR="00FD4BC9" w:rsidRDefault="00720081" w:rsidP="00F6741C">
    <w:pPr>
      <w:pStyle w:val="Footer"/>
      <w:spacing w:before="360"/>
      <w:jc w:val="right"/>
      <w:rPr>
        <w:sz w:val="20"/>
        <w:szCs w:val="20"/>
      </w:rPr>
    </w:pPr>
    <w:r>
      <w:rPr>
        <w:sz w:val="20"/>
        <w:szCs w:val="20"/>
      </w:rPr>
      <w:t>GE.19-08286</w:t>
    </w:r>
    <w:r w:rsidR="00FD4BC9">
      <w:rPr>
        <w:noProof/>
        <w:lang w:val="fr-CH" w:eastAsia="zh-CN"/>
      </w:rPr>
      <w:drawing>
        <wp:anchor distT="0" distB="0" distL="114300" distR="114300" simplePos="0" relativeHeight="251665408" behindDoc="1" locked="1" layoutInCell="0" allowOverlap="1" wp14:anchorId="14D372E3" wp14:editId="0EEB2E6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79FEDDB9" w14:textId="77777777" w:rsidR="00720081" w:rsidRPr="00720081" w:rsidRDefault="00720081" w:rsidP="00720081">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56704" behindDoc="0" locked="0" layoutInCell="1" allowOverlap="1" wp14:anchorId="6F5F16C1" wp14:editId="2DF8C9F3">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68B4E" w14:textId="77777777" w:rsidR="00085565" w:rsidRPr="0054762C" w:rsidRDefault="00085565" w:rsidP="000E524A">
      <w:pPr>
        <w:pStyle w:val="Footer"/>
        <w:bidi/>
        <w:spacing w:after="80" w:line="200" w:lineRule="exact"/>
        <w:ind w:left="680"/>
      </w:pPr>
      <w:r>
        <w:rPr>
          <w:rtl/>
        </w:rPr>
        <w:t>__________</w:t>
      </w:r>
    </w:p>
  </w:footnote>
  <w:footnote w:type="continuationSeparator" w:id="0">
    <w:p w14:paraId="5435BE42" w14:textId="77777777" w:rsidR="00085565" w:rsidRDefault="00085565" w:rsidP="00656392">
      <w:pPr>
        <w:spacing w:line="240" w:lineRule="auto"/>
      </w:pPr>
      <w:r>
        <w:continuationSeparator/>
      </w:r>
    </w:p>
  </w:footnote>
  <w:footnote w:id="1">
    <w:p w14:paraId="3C682F0B" w14:textId="77777777" w:rsidR="00071022" w:rsidRPr="00071022" w:rsidRDefault="00071022" w:rsidP="00071022">
      <w:pPr>
        <w:pStyle w:val="FootnoteText1"/>
      </w:pPr>
      <w:r>
        <w:rPr>
          <w:rtl/>
          <w:lang w:bidi="ar-DZ"/>
        </w:rPr>
        <w:t>*</w:t>
      </w:r>
      <w:r>
        <w:rPr>
          <w:rtl/>
          <w:lang w:bidi="ar-DZ"/>
        </w:rPr>
        <w:tab/>
      </w:r>
      <w:r>
        <w:rPr>
          <w:rtl/>
        </w:rPr>
        <w:t>اعتمدته اللجنة في دورتها السادسة عشرة (8-18 نيسان/أبريل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9734E" w14:textId="77777777" w:rsidR="00720081" w:rsidRPr="00071022" w:rsidRDefault="00071022" w:rsidP="00071022">
    <w:pPr>
      <w:pStyle w:val="Header"/>
      <w:jc w:val="right"/>
    </w:pPr>
    <w:r w:rsidRPr="00071022">
      <w:t>CED/C/16/2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8BBBA" w14:textId="77777777" w:rsidR="00720081" w:rsidRPr="00071022" w:rsidRDefault="00071022" w:rsidP="00071022">
    <w:pPr>
      <w:pStyle w:val="Header"/>
      <w:jc w:val="left"/>
    </w:pPr>
    <w:r w:rsidRPr="00071022">
      <w:t>CED/C/16/2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085565"/>
    <w:rsid w:val="000076D5"/>
    <w:rsid w:val="00043663"/>
    <w:rsid w:val="000505CF"/>
    <w:rsid w:val="00071022"/>
    <w:rsid w:val="00085565"/>
    <w:rsid w:val="000D701C"/>
    <w:rsid w:val="000E2A71"/>
    <w:rsid w:val="000E524A"/>
    <w:rsid w:val="00160263"/>
    <w:rsid w:val="001773DB"/>
    <w:rsid w:val="00181F96"/>
    <w:rsid w:val="001A1371"/>
    <w:rsid w:val="001B346A"/>
    <w:rsid w:val="001E1CAD"/>
    <w:rsid w:val="001E290D"/>
    <w:rsid w:val="001F3EB8"/>
    <w:rsid w:val="002144FA"/>
    <w:rsid w:val="0023469A"/>
    <w:rsid w:val="00243C8A"/>
    <w:rsid w:val="00264008"/>
    <w:rsid w:val="00267A0E"/>
    <w:rsid w:val="002901D9"/>
    <w:rsid w:val="002976C2"/>
    <w:rsid w:val="00325CC1"/>
    <w:rsid w:val="003260FF"/>
    <w:rsid w:val="00343D95"/>
    <w:rsid w:val="00374341"/>
    <w:rsid w:val="003C38D4"/>
    <w:rsid w:val="003C7F7D"/>
    <w:rsid w:val="003D1062"/>
    <w:rsid w:val="003E159A"/>
    <w:rsid w:val="004205C7"/>
    <w:rsid w:val="00420D7B"/>
    <w:rsid w:val="00450B21"/>
    <w:rsid w:val="00453B63"/>
    <w:rsid w:val="00455780"/>
    <w:rsid w:val="004B0A1C"/>
    <w:rsid w:val="004D298E"/>
    <w:rsid w:val="004E32F4"/>
    <w:rsid w:val="00517BC9"/>
    <w:rsid w:val="005212F8"/>
    <w:rsid w:val="00527E4C"/>
    <w:rsid w:val="00536C30"/>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B6974"/>
    <w:rsid w:val="006C104C"/>
    <w:rsid w:val="00720081"/>
    <w:rsid w:val="00733704"/>
    <w:rsid w:val="00740188"/>
    <w:rsid w:val="0078071A"/>
    <w:rsid w:val="007A1817"/>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1531D"/>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609AC"/>
    <w:rsid w:val="00E70E04"/>
    <w:rsid w:val="00EC05A7"/>
    <w:rsid w:val="00EC4B6B"/>
    <w:rsid w:val="00ED7442"/>
    <w:rsid w:val="00EE0B18"/>
    <w:rsid w:val="00EF1EE5"/>
    <w:rsid w:val="00F6741C"/>
    <w:rsid w:val="00F763B4"/>
    <w:rsid w:val="00F900C3"/>
    <w:rsid w:val="00FC75D1"/>
    <w:rsid w:val="00FD44FA"/>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D5312A0"/>
  <w15:docId w15:val="{CDE17E5B-02BC-472B-AE2A-F596B60E6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07102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07102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071022"/>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071022"/>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071022"/>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9D9B7-D7B6-415B-8196-9C3355B8D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7</Pages>
  <Words>2323</Words>
  <Characters>13243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CED/C/16/2</vt:lpstr>
    </vt:vector>
  </TitlesOfParts>
  <Company>DCM</Company>
  <LinksUpToDate>false</LinksUpToDate>
  <CharactersWithSpaces>15535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CED/C/16/2</dc:title>
  <dc:subject>GE.1908286A</dc:subject>
  <dc:creator>MBU, MBA</dc:creator>
  <cp:keywords>ODS No.1914311</cp:keywords>
  <dc:description>Original: Spanish_x000d_
Distribution: General_x000d_
Date: 21  May 2019</dc:description>
  <cp:lastModifiedBy>Ibrahim BALAN</cp:lastModifiedBy>
  <cp:revision>3</cp:revision>
  <cp:lastPrinted>2019-06-18T10:05:00Z</cp:lastPrinted>
  <dcterms:created xsi:type="dcterms:W3CDTF">2019-06-18T10:05:00Z</dcterms:created>
  <dcterms:modified xsi:type="dcterms:W3CDTF">2019-06-18T10:06:00Z</dcterms:modified>
  <cp:category>Final</cp:category>
</cp:coreProperties>
</file>