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505" w:rsidRDefault="00B82505">
      <w:pPr>
        <w:rPr>
          <w:lang w:val="es-ES_tradnl"/>
        </w:rPr>
      </w:pPr>
      <w:r>
        <w:rPr>
          <w:noProof/>
          <w:sz w:val="20"/>
        </w:rPr>
        <w:pict>
          <v:line id="_x0000_s1031" style="position:absolute;z-index:6;mso-wrap-edited:f;mso-position-horizontal-relative:page;mso-position-vertical-relative:page" from="85.05pt,249.5pt" to="552.75pt,249.5pt" strokeweight="4.5pt">
            <w10:wrap anchorx="page" anchory="page"/>
            <w10:anchorlock/>
          </v:line>
        </w:pict>
      </w: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66.05pt;margin-top:119.05pt;width:164.4pt;height:65.45pt;z-index:5;mso-wrap-edited:f;mso-position-horizontal-relative:page;mso-position-vertical-relative:page" wrapcoords="-167 0 -167 21600 21767 21600 21767 0 -167 0" filled="f" stroked="f">
            <v:textbox inset="0,0,0,0">
              <w:txbxContent>
                <w:p w:rsidR="00B82505" w:rsidRDefault="00B82505">
                  <w:pP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pacing w:val="6"/>
                      <w:sz w:val="32"/>
                      <w:lang w:val="es-ES_tradnl"/>
                    </w:rPr>
                    <w:t>Pacto Internacional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de Derechos Civiles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y Políticos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87.9pt;margin-top:112pt;width:68.05pt;height:63.9pt;z-index:4;visibility:visible;mso-wrap-edited:f;mso-position-horizontal-relative:page;mso-position-vertical-relative:page">
            <v:imagedata r:id="rId7" o:title=""/>
            <w10:wrap anchorx="page" anchory="page"/>
            <w10:anchorlock/>
          </v:shape>
          <o:OLEObject Type="Embed" ProgID="Word.Picture.8" ShapeID="_x0000_s1029" DrawAspect="Content" ObjectID="_1444033338" r:id="rId8"/>
        </w:pict>
      </w:r>
      <w:r>
        <w:rPr>
          <w:noProof/>
          <w:sz w:val="20"/>
        </w:rPr>
        <w:pict>
          <v:line id="_x0000_s1028" style="position:absolute;z-index:3;mso-wrap-edited:f;mso-position-horizontal-relative:page;mso-position-vertical-relative:page" from="85.05pt,104.9pt" to="552.75pt,104.9pt" wrapcoords="-35 0 -35 0 21635 0 21635 0 -35 0">
            <w10:wrap anchorx="page" anchory="page"/>
            <w10:anchorlock/>
          </v:line>
        </w:pict>
      </w:r>
      <w:r>
        <w:rPr>
          <w:noProof/>
          <w:sz w:val="20"/>
        </w:rPr>
        <w:pict>
          <v:shape id="_x0000_s1027" type="#_x0000_t202" style="position:absolute;margin-left:445.05pt;margin-top:51.05pt;width:107.75pt;height:45.35pt;z-index:2;mso-wrap-edited:f;mso-position-horizontal-relative:page;mso-position-vertical-relative:page" wrapcoords="-167 0 -167 21600 21767 21600 21767 0 -167 0" filled="f" stroked="f">
            <v:textbox inset="0,0,0,0">
              <w:txbxContent>
                <w:p w:rsidR="00B82505" w:rsidRDefault="00B82505">
                  <w:pP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  <w:t>CCPR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 id="_x0000_s1026" type="#_x0000_t202" style="position:absolute;margin-left:85.05pt;margin-top:56.7pt;width:96.4pt;height:36.85pt;z-index:1;mso-wrap-edited:f;mso-position-horizontal-relative:page;mso-position-vertical-relative:page" wrapcoords="-167 0 -167 21600 21767 21600 21767 0 -167 0" filled="f" stroked="f">
            <v:textbox inset="0,0,0,0">
              <w:txbxContent>
                <w:p w:rsidR="00B82505" w:rsidRDefault="00B82505">
                  <w:pP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  <w:t>NACIONES UNIDAS</w:t>
                  </w:r>
                </w:p>
              </w:txbxContent>
            </v:textbox>
            <w10:wrap anchorx="page" anchory="page"/>
            <w10:anchorlock/>
          </v:shape>
        </w:pict>
      </w:r>
    </w:p>
    <w:p w:rsidR="00B82505" w:rsidRDefault="00B82505">
      <w:pPr>
        <w:rPr>
          <w:lang w:val="es-ES_tradnl"/>
        </w:rPr>
      </w:pPr>
    </w:p>
    <w:p w:rsidR="00B82505" w:rsidRDefault="00B82505"/>
    <w:p w:rsidR="00B82505" w:rsidRPr="00D851AC" w:rsidRDefault="00A8461E" w:rsidP="00B82505">
      <w:pPr>
        <w:spacing w:after="240"/>
        <w:ind w:left="7279"/>
        <w:rPr>
          <w:lang w:eastAsia="es-ES"/>
        </w:rPr>
      </w:pPr>
      <w:r>
        <w:rPr>
          <w:lang w:eastAsia="es-ES"/>
        </w:rPr>
        <w:t xml:space="preserve">Distr. </w:t>
      </w:r>
      <w:r>
        <w:rPr>
          <w:lang w:eastAsia="es-ES"/>
        </w:rPr>
        <w:br/>
        <w:t>GENERAL</w:t>
      </w:r>
    </w:p>
    <w:p w:rsidR="00B82505" w:rsidRPr="00D851AC" w:rsidRDefault="00B82505" w:rsidP="00B82505">
      <w:pPr>
        <w:spacing w:after="240"/>
        <w:ind w:left="7279"/>
        <w:rPr>
          <w:lang w:eastAsia="es-ES"/>
        </w:rPr>
      </w:pPr>
      <w:r w:rsidRPr="00D851AC">
        <w:rPr>
          <w:lang w:eastAsia="es-ES"/>
        </w:rPr>
        <w:t>CCPR/C/NLD/CO/4</w:t>
      </w:r>
      <w:r w:rsidRPr="00D851AC">
        <w:rPr>
          <w:lang w:eastAsia="es-ES"/>
        </w:rPr>
        <w:br/>
        <w:t>2</w:t>
      </w:r>
      <w:r>
        <w:rPr>
          <w:lang w:eastAsia="es-ES"/>
        </w:rPr>
        <w:t>5 de agosto</w:t>
      </w:r>
      <w:r w:rsidRPr="00D851AC">
        <w:rPr>
          <w:lang w:eastAsia="es-ES"/>
        </w:rPr>
        <w:t xml:space="preserve"> de 2009</w:t>
      </w:r>
    </w:p>
    <w:p w:rsidR="00B82505" w:rsidRPr="00D851AC" w:rsidRDefault="00B82505" w:rsidP="00B82505">
      <w:pPr>
        <w:spacing w:after="600"/>
        <w:ind w:left="7279"/>
        <w:rPr>
          <w:lang w:eastAsia="es-ES"/>
        </w:rPr>
      </w:pPr>
      <w:r w:rsidRPr="00D851AC">
        <w:rPr>
          <w:lang w:eastAsia="es-ES"/>
        </w:rPr>
        <w:t>ESPAÑOL</w:t>
      </w:r>
      <w:r w:rsidRPr="00D851AC">
        <w:rPr>
          <w:lang w:eastAsia="es-ES"/>
        </w:rPr>
        <w:br/>
        <w:t>Original:  INGLÉS</w:t>
      </w:r>
    </w:p>
    <w:p w:rsidR="00B82505" w:rsidRPr="00D851AC" w:rsidRDefault="00B82505" w:rsidP="00B82505">
      <w:pPr>
        <w:adjustRightInd w:val="0"/>
        <w:snapToGrid w:val="0"/>
        <w:spacing w:after="1200"/>
        <w:rPr>
          <w:snapToGrid w:val="0"/>
        </w:rPr>
      </w:pPr>
      <w:r w:rsidRPr="00D851AC">
        <w:rPr>
          <w:snapToGrid w:val="0"/>
        </w:rPr>
        <w:t>COMITÉ DE DERECHOS HUMANOS</w:t>
      </w:r>
      <w:r>
        <w:rPr>
          <w:snapToGrid w:val="0"/>
        </w:rPr>
        <w:br/>
      </w:r>
      <w:r w:rsidRPr="00D851AC">
        <w:rPr>
          <w:snapToGrid w:val="0"/>
        </w:rPr>
        <w:t>96º período de sesiones</w:t>
      </w:r>
      <w:r>
        <w:rPr>
          <w:snapToGrid w:val="0"/>
        </w:rPr>
        <w:br/>
      </w:r>
      <w:r w:rsidRPr="00D851AC">
        <w:rPr>
          <w:snapToGrid w:val="0"/>
        </w:rPr>
        <w:t>Ginebra, 13 a 31 de julio de 2009</w:t>
      </w:r>
    </w:p>
    <w:p w:rsidR="00B82505" w:rsidRPr="00D851AC" w:rsidRDefault="00B82505" w:rsidP="00B82505">
      <w:pPr>
        <w:adjustRightInd w:val="0"/>
        <w:snapToGrid w:val="0"/>
        <w:spacing w:after="240"/>
        <w:jc w:val="center"/>
        <w:rPr>
          <w:b/>
          <w:snapToGrid w:val="0"/>
        </w:rPr>
      </w:pPr>
      <w:r w:rsidRPr="00D851AC">
        <w:rPr>
          <w:b/>
          <w:snapToGrid w:val="0"/>
        </w:rPr>
        <w:t>EXAMEN DE LOS INFORMES PRESENTADOS POR LOS ESTADOS</w:t>
      </w:r>
      <w:r>
        <w:rPr>
          <w:b/>
          <w:snapToGrid w:val="0"/>
        </w:rPr>
        <w:br/>
      </w:r>
      <w:r w:rsidRPr="00D851AC">
        <w:rPr>
          <w:b/>
          <w:snapToGrid w:val="0"/>
        </w:rPr>
        <w:t>PARTES DE CONFORMIDAD CON EL ARTÍCULO 40 DEL PACTO</w:t>
      </w:r>
    </w:p>
    <w:p w:rsidR="00B82505" w:rsidRPr="00D851AC" w:rsidRDefault="00B82505" w:rsidP="00B82505">
      <w:pPr>
        <w:adjustRightInd w:val="0"/>
        <w:snapToGrid w:val="0"/>
        <w:spacing w:after="360"/>
        <w:jc w:val="center"/>
        <w:rPr>
          <w:b/>
          <w:snapToGrid w:val="0"/>
        </w:rPr>
      </w:pPr>
      <w:r w:rsidRPr="00D851AC">
        <w:rPr>
          <w:b/>
          <w:snapToGrid w:val="0"/>
        </w:rPr>
        <w:t>Proyecto de observaciones finales del Comité de Derechos Humanos</w:t>
      </w:r>
    </w:p>
    <w:p w:rsidR="00B82505" w:rsidRPr="00D851AC" w:rsidRDefault="00B82505" w:rsidP="00B82505">
      <w:pPr>
        <w:adjustRightInd w:val="0"/>
        <w:snapToGrid w:val="0"/>
        <w:spacing w:after="240"/>
        <w:jc w:val="center"/>
        <w:rPr>
          <w:b/>
          <w:snapToGrid w:val="0"/>
        </w:rPr>
      </w:pPr>
      <w:r w:rsidRPr="00D851AC">
        <w:rPr>
          <w:b/>
          <w:snapToGrid w:val="0"/>
        </w:rPr>
        <w:t>PAÍSES BAJOS</w:t>
      </w:r>
    </w:p>
    <w:p w:rsidR="00B82505" w:rsidRPr="00D851AC" w:rsidRDefault="00B82505" w:rsidP="00B82505">
      <w:pPr>
        <w:adjustRightInd w:val="0"/>
        <w:snapToGrid w:val="0"/>
        <w:spacing w:after="240"/>
        <w:rPr>
          <w:snapToGrid w:val="0"/>
        </w:rPr>
      </w:pPr>
      <w:r w:rsidRPr="00D851AC">
        <w:rPr>
          <w:snapToGrid w:val="0"/>
        </w:rPr>
        <w:t>1.</w:t>
      </w:r>
      <w:r w:rsidRPr="00D851AC">
        <w:rPr>
          <w:snapToGrid w:val="0"/>
        </w:rPr>
        <w:tab/>
        <w:t>En sus sesiones 2630ª y 2631ª, celebradas los días 14 y 15 de julio de 2009, el Comité examinó el cuarto informe periódico presentado por los Países Bajos (CCPR/C/NET/4, CCPR/C/NET/4/Add.1 y CCPR/C/NET/4/Add.2) y en su 2650ª sesión, celebrada el 28 de julio de 2009, aprobó las observaciones finales que figuran a continuación.</w:t>
      </w:r>
    </w:p>
    <w:p w:rsidR="00B82505" w:rsidRPr="00D851AC" w:rsidRDefault="00B82505" w:rsidP="00B82505">
      <w:pPr>
        <w:adjustRightInd w:val="0"/>
        <w:snapToGrid w:val="0"/>
        <w:spacing w:after="240"/>
        <w:jc w:val="center"/>
        <w:rPr>
          <w:b/>
          <w:snapToGrid w:val="0"/>
        </w:rPr>
      </w:pPr>
      <w:r w:rsidRPr="00D851AC">
        <w:rPr>
          <w:b/>
          <w:snapToGrid w:val="0"/>
        </w:rPr>
        <w:t>A.  Introducción</w:t>
      </w:r>
    </w:p>
    <w:p w:rsidR="00B82505" w:rsidRDefault="00B82505" w:rsidP="00B82505">
      <w:pPr>
        <w:adjustRightInd w:val="0"/>
        <w:snapToGrid w:val="0"/>
        <w:spacing w:after="240"/>
        <w:rPr>
          <w:snapToGrid w:val="0"/>
        </w:rPr>
      </w:pPr>
      <w:r w:rsidRPr="00D851AC">
        <w:rPr>
          <w:snapToGrid w:val="0"/>
        </w:rPr>
        <w:t>2.</w:t>
      </w:r>
      <w:r w:rsidRPr="00D851AC">
        <w:rPr>
          <w:snapToGrid w:val="0"/>
        </w:rPr>
        <w:tab/>
        <w:t xml:space="preserve">El Comité acoge con satisfacción el cuarto informe periódico de los Países Bajos, en el que se proporciona información detallada sobre las medidas adoptadas por el Estado parte y sobre los planes que ejecutará próximamente para promover la aplicación del Pacto.  El Comité expresa su agradecimiento por </w:t>
      </w:r>
      <w:r>
        <w:rPr>
          <w:snapToGrid w:val="0"/>
        </w:rPr>
        <w:t xml:space="preserve">la calidad de </w:t>
      </w:r>
      <w:r w:rsidRPr="00D851AC">
        <w:rPr>
          <w:snapToGrid w:val="0"/>
        </w:rPr>
        <w:t xml:space="preserve">las respuestas presentadas por escrito a la lista de cuestiones y </w:t>
      </w:r>
      <w:r>
        <w:rPr>
          <w:snapToGrid w:val="0"/>
        </w:rPr>
        <w:t xml:space="preserve">por </w:t>
      </w:r>
      <w:r w:rsidRPr="00D851AC">
        <w:rPr>
          <w:snapToGrid w:val="0"/>
        </w:rPr>
        <w:t>las proporcionadas oralmente por la delegación</w:t>
      </w:r>
      <w:r>
        <w:rPr>
          <w:snapToGrid w:val="0"/>
        </w:rPr>
        <w:t>.</w:t>
      </w:r>
    </w:p>
    <w:p w:rsidR="00B82505" w:rsidRDefault="00B82505" w:rsidP="00B82505">
      <w:pPr>
        <w:adjustRightInd w:val="0"/>
        <w:snapToGrid w:val="0"/>
        <w:spacing w:before="1440"/>
        <w:rPr>
          <w:snapToGrid w:val="0"/>
        </w:rPr>
      </w:pPr>
      <w:r>
        <w:rPr>
          <w:snapToGrid w:val="0"/>
        </w:rPr>
        <w:t>GE.09-44565  (S)    070909    080909</w:t>
      </w:r>
    </w:p>
    <w:p w:rsidR="00B82505" w:rsidRPr="00D851AC" w:rsidRDefault="00B82505" w:rsidP="00B82505">
      <w:pPr>
        <w:keepNext/>
        <w:adjustRightInd w:val="0"/>
        <w:snapToGrid w:val="0"/>
        <w:spacing w:before="480" w:after="240"/>
        <w:jc w:val="center"/>
        <w:rPr>
          <w:b/>
          <w:snapToGrid w:val="0"/>
        </w:rPr>
      </w:pPr>
      <w:r w:rsidRPr="00D851AC">
        <w:rPr>
          <w:b/>
          <w:snapToGrid w:val="0"/>
        </w:rPr>
        <w:t>PARTE EUROPEA DEL REINO</w:t>
      </w:r>
    </w:p>
    <w:p w:rsidR="00B82505" w:rsidRPr="00D851AC" w:rsidRDefault="00B82505" w:rsidP="00B82505">
      <w:pPr>
        <w:keepNext/>
        <w:adjustRightInd w:val="0"/>
        <w:snapToGrid w:val="0"/>
        <w:spacing w:after="240"/>
        <w:jc w:val="center"/>
        <w:rPr>
          <w:b/>
          <w:snapToGrid w:val="0"/>
        </w:rPr>
      </w:pPr>
      <w:r w:rsidRPr="00D851AC">
        <w:rPr>
          <w:b/>
          <w:snapToGrid w:val="0"/>
        </w:rPr>
        <w:t>B.  Aspectos positivos</w:t>
      </w:r>
    </w:p>
    <w:p w:rsidR="00B82505" w:rsidRPr="00CC2EEF" w:rsidRDefault="00B82505" w:rsidP="00B82505">
      <w:pPr>
        <w:keepNext/>
        <w:keepLines/>
        <w:adjustRightInd w:val="0"/>
        <w:snapToGrid w:val="0"/>
        <w:spacing w:after="240"/>
        <w:rPr>
          <w:snapToGrid w:val="0"/>
          <w:spacing w:val="-4"/>
        </w:rPr>
      </w:pPr>
      <w:r>
        <w:rPr>
          <w:snapToGrid w:val="0"/>
        </w:rPr>
        <w:t>3.</w:t>
      </w:r>
      <w:r>
        <w:rPr>
          <w:snapToGrid w:val="0"/>
        </w:rPr>
        <w:tab/>
      </w:r>
      <w:r w:rsidRPr="00CC2EEF">
        <w:rPr>
          <w:snapToGrid w:val="0"/>
          <w:spacing w:val="-4"/>
        </w:rPr>
        <w:t>El Comité, que toma nota de la atención continua que presta el Estado parte a la protección de los derechos humanos</w:t>
      </w:r>
      <w:r>
        <w:rPr>
          <w:snapToGrid w:val="0"/>
          <w:spacing w:val="-4"/>
        </w:rPr>
        <w:t>,</w:t>
      </w:r>
      <w:r w:rsidRPr="00CC2EEF">
        <w:rPr>
          <w:snapToGrid w:val="0"/>
          <w:spacing w:val="-4"/>
        </w:rPr>
        <w:t xml:space="preserve"> celebra la adopción de las siguientes medidas legislativas y de otra índole:</w:t>
      </w:r>
    </w:p>
    <w:p w:rsidR="00B82505" w:rsidRDefault="00B82505" w:rsidP="00B82505">
      <w:pPr>
        <w:adjustRightInd w:val="0"/>
        <w:snapToGrid w:val="0"/>
        <w:spacing w:after="240"/>
        <w:ind w:left="1134" w:hanging="567"/>
        <w:rPr>
          <w:snapToGrid w:val="0"/>
        </w:rPr>
      </w:pPr>
      <w:r w:rsidRPr="00D851AC">
        <w:rPr>
          <w:snapToGrid w:val="0"/>
        </w:rPr>
        <w:t>a)</w:t>
      </w:r>
      <w:r w:rsidRPr="00D851AC">
        <w:rPr>
          <w:snapToGrid w:val="0"/>
        </w:rPr>
        <w:tab/>
        <w:t>La Ley de igualdad de trato en el empleo (discriminación por edad), de mayo de 2004, que prohíbe la discriminación por edad en el empleo, la ocupación y la formación profesional;</w:t>
      </w:r>
    </w:p>
    <w:p w:rsidR="00B82505" w:rsidRPr="00D851AC" w:rsidRDefault="00B82505" w:rsidP="00B82505">
      <w:pPr>
        <w:adjustRightInd w:val="0"/>
        <w:snapToGrid w:val="0"/>
        <w:spacing w:after="240"/>
        <w:ind w:left="1134" w:hanging="567"/>
        <w:rPr>
          <w:snapToGrid w:val="0"/>
        </w:rPr>
      </w:pPr>
      <w:r w:rsidRPr="00D851AC">
        <w:rPr>
          <w:snapToGrid w:val="0"/>
        </w:rPr>
        <w:t>b)</w:t>
      </w:r>
      <w:r w:rsidRPr="00D851AC">
        <w:rPr>
          <w:snapToGrid w:val="0"/>
        </w:rPr>
        <w:tab/>
        <w:t xml:space="preserve">La Ley sobre las órdenes de </w:t>
      </w:r>
      <w:r>
        <w:rPr>
          <w:snapToGrid w:val="0"/>
        </w:rPr>
        <w:t>alejamiento</w:t>
      </w:r>
      <w:r w:rsidRPr="00D851AC">
        <w:rPr>
          <w:snapToGrid w:val="0"/>
        </w:rPr>
        <w:t xml:space="preserve"> temporal del </w:t>
      </w:r>
      <w:r>
        <w:rPr>
          <w:snapToGrid w:val="0"/>
        </w:rPr>
        <w:t xml:space="preserve">domicilio </w:t>
      </w:r>
      <w:r w:rsidRPr="00D851AC">
        <w:rPr>
          <w:snapToGrid w:val="0"/>
        </w:rPr>
        <w:t xml:space="preserve">(2009), que autoriza </w:t>
      </w:r>
      <w:r>
        <w:rPr>
          <w:snapToGrid w:val="0"/>
        </w:rPr>
        <w:t xml:space="preserve">a excluir </w:t>
      </w:r>
      <w:r w:rsidRPr="00D851AC">
        <w:rPr>
          <w:snapToGrid w:val="0"/>
        </w:rPr>
        <w:t xml:space="preserve">del hogar </w:t>
      </w:r>
      <w:r>
        <w:rPr>
          <w:snapToGrid w:val="0"/>
        </w:rPr>
        <w:t>a</w:t>
      </w:r>
      <w:r w:rsidRPr="00D851AC">
        <w:rPr>
          <w:snapToGrid w:val="0"/>
        </w:rPr>
        <w:t xml:space="preserve"> los autores de actos de violencia doméstica </w:t>
      </w:r>
      <w:r>
        <w:rPr>
          <w:snapToGrid w:val="0"/>
        </w:rPr>
        <w:t xml:space="preserve">cuando </w:t>
      </w:r>
      <w:r w:rsidRPr="00D851AC">
        <w:rPr>
          <w:snapToGrid w:val="0"/>
        </w:rPr>
        <w:t xml:space="preserve">exista una </w:t>
      </w:r>
      <w:r>
        <w:rPr>
          <w:snapToGrid w:val="0"/>
        </w:rPr>
        <w:t xml:space="preserve">grave amenaza para las víctimas, incluidos eventualmente </w:t>
      </w:r>
      <w:r w:rsidRPr="00D851AC">
        <w:rPr>
          <w:snapToGrid w:val="0"/>
        </w:rPr>
        <w:t>los hijos;</w:t>
      </w:r>
    </w:p>
    <w:p w:rsidR="00B82505" w:rsidRPr="00D851AC" w:rsidRDefault="00B82505" w:rsidP="00B82505">
      <w:pPr>
        <w:adjustRightInd w:val="0"/>
        <w:snapToGrid w:val="0"/>
        <w:spacing w:after="240"/>
        <w:ind w:left="1134" w:hanging="567"/>
        <w:rPr>
          <w:snapToGrid w:val="0"/>
        </w:rPr>
      </w:pPr>
      <w:r w:rsidRPr="00D851AC">
        <w:rPr>
          <w:snapToGrid w:val="0"/>
        </w:rPr>
        <w:t>c)</w:t>
      </w:r>
      <w:r w:rsidRPr="00D851AC">
        <w:rPr>
          <w:snapToGrid w:val="0"/>
        </w:rPr>
        <w:tab/>
        <w:t>El Programa de acción "Todos participan" (2007), destinado a combatir la discriminación étnica y racial en el acceso al empleo;</w:t>
      </w:r>
      <w:r>
        <w:rPr>
          <w:snapToGrid w:val="0"/>
        </w:rPr>
        <w:t xml:space="preserve"> y</w:t>
      </w:r>
    </w:p>
    <w:p w:rsidR="00B82505" w:rsidRPr="00D851AC" w:rsidRDefault="00B82505" w:rsidP="00B82505">
      <w:pPr>
        <w:adjustRightInd w:val="0"/>
        <w:snapToGrid w:val="0"/>
        <w:spacing w:after="240"/>
        <w:ind w:left="1134" w:hanging="567"/>
        <w:rPr>
          <w:snapToGrid w:val="0"/>
        </w:rPr>
      </w:pPr>
      <w:r w:rsidRPr="00D851AC">
        <w:rPr>
          <w:snapToGrid w:val="0"/>
        </w:rPr>
        <w:t>d)</w:t>
      </w:r>
      <w:r w:rsidRPr="00D851AC">
        <w:rPr>
          <w:snapToGrid w:val="0"/>
        </w:rPr>
        <w:tab/>
        <w:t>El Plan Nacional de Acción para combatir la trata de seres humanos, de diciembre de 2004</w:t>
      </w:r>
      <w:r>
        <w:rPr>
          <w:snapToGrid w:val="0"/>
        </w:rPr>
        <w:t xml:space="preserve">, así como el </w:t>
      </w:r>
      <w:r w:rsidRPr="00D851AC">
        <w:rPr>
          <w:snapToGrid w:val="0"/>
        </w:rPr>
        <w:t>establecimiento, en 2008, de</w:t>
      </w:r>
      <w:r>
        <w:rPr>
          <w:snapToGrid w:val="0"/>
        </w:rPr>
        <w:t>l</w:t>
      </w:r>
      <w:r w:rsidRPr="00D851AC">
        <w:rPr>
          <w:snapToGrid w:val="0"/>
        </w:rPr>
        <w:t xml:space="preserve"> Grupo Especial sobre la trata de seres humanos para apoyar y coordinar la lucha contra esa trata, mediante, entre otras cosas, el intercambio de prácticas óptimas y el suministro de apoyo a los organismos locales y regionales.</w:t>
      </w:r>
    </w:p>
    <w:p w:rsidR="00B82505" w:rsidRPr="00D851AC" w:rsidRDefault="00B82505" w:rsidP="00B82505">
      <w:pPr>
        <w:adjustRightInd w:val="0"/>
        <w:snapToGrid w:val="0"/>
        <w:spacing w:after="240"/>
        <w:ind w:left="1134" w:hanging="567"/>
        <w:jc w:val="center"/>
        <w:rPr>
          <w:b/>
          <w:snapToGrid w:val="0"/>
        </w:rPr>
      </w:pPr>
      <w:r w:rsidRPr="00D851AC">
        <w:rPr>
          <w:b/>
          <w:snapToGrid w:val="0"/>
        </w:rPr>
        <w:t>C.  Principales motivos de preocupación y recomendaciones</w:t>
      </w:r>
    </w:p>
    <w:p w:rsidR="00B82505" w:rsidRPr="00D851AC" w:rsidRDefault="00B82505" w:rsidP="00B82505">
      <w:pPr>
        <w:adjustRightInd w:val="0"/>
        <w:snapToGrid w:val="0"/>
        <w:spacing w:after="240"/>
        <w:rPr>
          <w:snapToGrid w:val="0"/>
        </w:rPr>
      </w:pPr>
      <w:r w:rsidRPr="00D851AC">
        <w:rPr>
          <w:snapToGrid w:val="0"/>
        </w:rPr>
        <w:t>4.</w:t>
      </w:r>
      <w:r w:rsidRPr="00D851AC">
        <w:rPr>
          <w:snapToGrid w:val="0"/>
        </w:rPr>
        <w:tab/>
        <w:t xml:space="preserve">El Comité </w:t>
      </w:r>
      <w:r>
        <w:rPr>
          <w:snapToGrid w:val="0"/>
        </w:rPr>
        <w:t xml:space="preserve">observa </w:t>
      </w:r>
      <w:r w:rsidRPr="00D851AC">
        <w:rPr>
          <w:snapToGrid w:val="0"/>
        </w:rPr>
        <w:t>que el Estado parte mantiene su reserva, entr</w:t>
      </w:r>
      <w:r>
        <w:rPr>
          <w:snapToGrid w:val="0"/>
        </w:rPr>
        <w:t>e otros, a los párrafos 1 y 2 </w:t>
      </w:r>
      <w:r w:rsidRPr="00D851AC">
        <w:rPr>
          <w:snapToGrid w:val="0"/>
        </w:rPr>
        <w:t xml:space="preserve">del artículo 10 del Pacto.  Con respecto a la reserva al párrafo 2 </w:t>
      </w:r>
      <w:r w:rsidRPr="00A57DC3">
        <w:rPr>
          <w:snapToGrid w:val="0"/>
        </w:rPr>
        <w:t>a)</w:t>
      </w:r>
      <w:r w:rsidRPr="00D851AC">
        <w:rPr>
          <w:snapToGrid w:val="0"/>
        </w:rPr>
        <w:t xml:space="preserve"> del artículo 10, el Comité toma nota de la declaración del Estado parte de que, en la práctica, los acusados y los condenados privados de libertad </w:t>
      </w:r>
      <w:r>
        <w:rPr>
          <w:snapToGrid w:val="0"/>
        </w:rPr>
        <w:t xml:space="preserve">lo están ya </w:t>
      </w:r>
      <w:r w:rsidRPr="00D851AC">
        <w:rPr>
          <w:snapToGrid w:val="0"/>
        </w:rPr>
        <w:t>separadamente y celebra la indicación de la delegación de que el Estado parte está dispuesto a reconsiderar su posición a este respecto.</w:t>
      </w:r>
    </w:p>
    <w:p w:rsidR="00B82505" w:rsidRPr="00D851AC" w:rsidRDefault="00B82505" w:rsidP="00B82505">
      <w:pPr>
        <w:adjustRightInd w:val="0"/>
        <w:snapToGrid w:val="0"/>
        <w:spacing w:after="240"/>
        <w:ind w:left="567" w:hanging="567"/>
        <w:rPr>
          <w:b/>
          <w:snapToGrid w:val="0"/>
        </w:rPr>
      </w:pPr>
      <w:r w:rsidRPr="00D851AC">
        <w:rPr>
          <w:snapToGrid w:val="0"/>
        </w:rPr>
        <w:tab/>
      </w:r>
      <w:r w:rsidRPr="00D851AC">
        <w:rPr>
          <w:b/>
          <w:snapToGrid w:val="0"/>
        </w:rPr>
        <w:t>El Estado parte de</w:t>
      </w:r>
      <w:r>
        <w:rPr>
          <w:b/>
          <w:snapToGrid w:val="0"/>
        </w:rPr>
        <w:t>bería retirar su reserva al artículo</w:t>
      </w:r>
      <w:r w:rsidRPr="00D851AC">
        <w:rPr>
          <w:b/>
          <w:snapToGrid w:val="0"/>
        </w:rPr>
        <w:t xml:space="preserve"> 10 y considerar la posibilidad de retirar otras reservas </w:t>
      </w:r>
      <w:r>
        <w:rPr>
          <w:b/>
          <w:snapToGrid w:val="0"/>
        </w:rPr>
        <w:t>a</w:t>
      </w:r>
      <w:r w:rsidRPr="00D851AC">
        <w:rPr>
          <w:b/>
          <w:snapToGrid w:val="0"/>
        </w:rPr>
        <w:t>l Pacto.</w:t>
      </w:r>
    </w:p>
    <w:p w:rsidR="00B82505" w:rsidRPr="00D851AC" w:rsidRDefault="00B82505" w:rsidP="00B82505">
      <w:pPr>
        <w:adjustRightInd w:val="0"/>
        <w:snapToGrid w:val="0"/>
        <w:spacing w:after="240"/>
        <w:rPr>
          <w:snapToGrid w:val="0"/>
        </w:rPr>
      </w:pPr>
      <w:r w:rsidRPr="00D851AC">
        <w:rPr>
          <w:snapToGrid w:val="0"/>
        </w:rPr>
        <w:t>5.</w:t>
      </w:r>
      <w:r w:rsidRPr="00D851AC">
        <w:rPr>
          <w:snapToGrid w:val="0"/>
        </w:rPr>
        <w:tab/>
        <w:t xml:space="preserve">Si bien reconoce los esfuerzos del Estado parte para mejorar la paridad de género en el acceso al empleo, el Comité </w:t>
      </w:r>
      <w:r>
        <w:rPr>
          <w:snapToGrid w:val="0"/>
        </w:rPr>
        <w:t xml:space="preserve">toma nota </w:t>
      </w:r>
      <w:r w:rsidRPr="00D851AC">
        <w:rPr>
          <w:snapToGrid w:val="0"/>
        </w:rPr>
        <w:t>con preocupación que la participación de la mujer en el mercado laboral sigue siendo considerablemente inferior a la de</w:t>
      </w:r>
      <w:r>
        <w:rPr>
          <w:snapToGrid w:val="0"/>
        </w:rPr>
        <w:t>l</w:t>
      </w:r>
      <w:r w:rsidRPr="00D851AC">
        <w:rPr>
          <w:snapToGrid w:val="0"/>
        </w:rPr>
        <w:t xml:space="preserve"> hombre, que la mujer sigue estando excesivamente representada en el empleo a tiempo parcial y que persiste una importante diferencia de remuneración en detrimento de la mujer (art. 3).</w:t>
      </w:r>
    </w:p>
    <w:p w:rsidR="00B82505" w:rsidRPr="00D851AC" w:rsidRDefault="00B82505" w:rsidP="00B82505">
      <w:pPr>
        <w:adjustRightInd w:val="0"/>
        <w:snapToGrid w:val="0"/>
        <w:spacing w:after="240"/>
        <w:ind w:left="567" w:hanging="567"/>
        <w:rPr>
          <w:b/>
          <w:snapToGrid w:val="0"/>
        </w:rPr>
      </w:pPr>
      <w:r w:rsidRPr="00D851AC">
        <w:rPr>
          <w:snapToGrid w:val="0"/>
        </w:rPr>
        <w:tab/>
      </w:r>
      <w:r w:rsidRPr="00D851AC">
        <w:rPr>
          <w:b/>
          <w:snapToGrid w:val="0"/>
        </w:rPr>
        <w:t xml:space="preserve">El Estado parte debería reforzar la aplicación de las medidas destinadas a garantizar que la mujer disfrute de igual acceso al mercado laboral </w:t>
      </w:r>
      <w:r>
        <w:rPr>
          <w:b/>
          <w:snapToGrid w:val="0"/>
        </w:rPr>
        <w:t xml:space="preserve">y perciba </w:t>
      </w:r>
      <w:r w:rsidRPr="00D851AC">
        <w:rPr>
          <w:b/>
          <w:snapToGrid w:val="0"/>
        </w:rPr>
        <w:t xml:space="preserve">igual remuneración por un trabajo de igual valor.  El Estado parte debería prestar especial atención a alentar a las madres de niños pequeños a </w:t>
      </w:r>
      <w:r>
        <w:rPr>
          <w:b/>
          <w:snapToGrid w:val="0"/>
        </w:rPr>
        <w:t xml:space="preserve">conservar el </w:t>
      </w:r>
      <w:r w:rsidRPr="00D851AC">
        <w:rPr>
          <w:b/>
          <w:snapToGrid w:val="0"/>
        </w:rPr>
        <w:t xml:space="preserve">empleo aumentando las opciones disponibles para la atención de los niños a tiempo completo y parcial y </w:t>
      </w:r>
      <w:r>
        <w:rPr>
          <w:b/>
          <w:snapToGrid w:val="0"/>
        </w:rPr>
        <w:t xml:space="preserve">estableciendo </w:t>
      </w:r>
      <w:r w:rsidRPr="00D851AC">
        <w:rPr>
          <w:b/>
          <w:snapToGrid w:val="0"/>
        </w:rPr>
        <w:t xml:space="preserve">programas apropiados </w:t>
      </w:r>
      <w:r>
        <w:rPr>
          <w:b/>
          <w:snapToGrid w:val="0"/>
        </w:rPr>
        <w:t xml:space="preserve">de actividades </w:t>
      </w:r>
      <w:r w:rsidRPr="00D851AC">
        <w:rPr>
          <w:b/>
          <w:snapToGrid w:val="0"/>
        </w:rPr>
        <w:t>después de la escuela.</w:t>
      </w:r>
    </w:p>
    <w:p w:rsidR="00B82505" w:rsidRPr="00D851AC" w:rsidRDefault="00B82505" w:rsidP="00B82505">
      <w:pPr>
        <w:adjustRightInd w:val="0"/>
        <w:snapToGrid w:val="0"/>
        <w:spacing w:after="240"/>
        <w:rPr>
          <w:snapToGrid w:val="0"/>
        </w:rPr>
      </w:pPr>
      <w:r w:rsidRPr="00D851AC">
        <w:rPr>
          <w:snapToGrid w:val="0"/>
        </w:rPr>
        <w:t>6.</w:t>
      </w:r>
      <w:r w:rsidRPr="00D851AC">
        <w:rPr>
          <w:snapToGrid w:val="0"/>
        </w:rPr>
        <w:tab/>
        <w:t xml:space="preserve">El Comité </w:t>
      </w:r>
      <w:r>
        <w:rPr>
          <w:snapToGrid w:val="0"/>
        </w:rPr>
        <w:t xml:space="preserve">toma nota de </w:t>
      </w:r>
      <w:r w:rsidRPr="00D851AC">
        <w:rPr>
          <w:snapToGrid w:val="0"/>
        </w:rPr>
        <w:t>la baja participación de la mujer en los cargos públicos de nivel superior, particularmente en el Senado y el Gabinete</w:t>
      </w:r>
      <w:r>
        <w:rPr>
          <w:snapToGrid w:val="0"/>
        </w:rPr>
        <w:t xml:space="preserve">, y que lo mismo sucede </w:t>
      </w:r>
      <w:r w:rsidRPr="00D851AC">
        <w:rPr>
          <w:snapToGrid w:val="0"/>
        </w:rPr>
        <w:t xml:space="preserve">en el sector privado, en </w:t>
      </w:r>
      <w:r>
        <w:rPr>
          <w:snapToGrid w:val="0"/>
        </w:rPr>
        <w:t xml:space="preserve">el </w:t>
      </w:r>
      <w:r w:rsidRPr="00D851AC">
        <w:rPr>
          <w:snapToGrid w:val="0"/>
        </w:rPr>
        <w:t xml:space="preserve">que la mujer ocupa un número considerablemente </w:t>
      </w:r>
      <w:r>
        <w:rPr>
          <w:snapToGrid w:val="0"/>
        </w:rPr>
        <w:t xml:space="preserve">menor </w:t>
      </w:r>
      <w:r w:rsidRPr="00D851AC">
        <w:rPr>
          <w:snapToGrid w:val="0"/>
        </w:rPr>
        <w:t>de cargos superiores (arts. 3</w:t>
      </w:r>
      <w:r>
        <w:rPr>
          <w:snapToGrid w:val="0"/>
        </w:rPr>
        <w:t>,</w:t>
      </w:r>
      <w:r w:rsidRPr="00D851AC">
        <w:rPr>
          <w:snapToGrid w:val="0"/>
        </w:rPr>
        <w:t xml:space="preserve"> 25</w:t>
      </w:r>
      <w:r>
        <w:rPr>
          <w:snapToGrid w:val="0"/>
        </w:rPr>
        <w:t xml:space="preserve"> y 26</w:t>
      </w:r>
      <w:r w:rsidRPr="00D851AC">
        <w:rPr>
          <w:snapToGrid w:val="0"/>
        </w:rPr>
        <w:t>)</w:t>
      </w:r>
      <w:r>
        <w:rPr>
          <w:snapToGrid w:val="0"/>
        </w:rPr>
        <w:t>.</w:t>
      </w:r>
    </w:p>
    <w:p w:rsidR="00B82505" w:rsidRPr="00D851AC" w:rsidRDefault="00B82505" w:rsidP="00B82505">
      <w:pPr>
        <w:adjustRightInd w:val="0"/>
        <w:snapToGrid w:val="0"/>
        <w:spacing w:after="240"/>
        <w:ind w:left="567"/>
        <w:rPr>
          <w:b/>
          <w:snapToGrid w:val="0"/>
        </w:rPr>
      </w:pPr>
      <w:r>
        <w:rPr>
          <w:b/>
          <w:snapToGrid w:val="0"/>
        </w:rPr>
        <w:t>S</w:t>
      </w:r>
      <w:r w:rsidRPr="00D851AC">
        <w:rPr>
          <w:b/>
          <w:snapToGrid w:val="0"/>
        </w:rPr>
        <w:t xml:space="preserve">i bien reconoce la diferencia de condiciones </w:t>
      </w:r>
      <w:r>
        <w:rPr>
          <w:b/>
          <w:snapToGrid w:val="0"/>
        </w:rPr>
        <w:t xml:space="preserve">que reinan </w:t>
      </w:r>
      <w:r w:rsidRPr="00D851AC">
        <w:rPr>
          <w:b/>
          <w:snapToGrid w:val="0"/>
        </w:rPr>
        <w:t>en los sectores público y privado, el Comité considera que el Estado parte debería intensificar sus esfuerzos p</w:t>
      </w:r>
      <w:r>
        <w:rPr>
          <w:b/>
          <w:snapToGrid w:val="0"/>
        </w:rPr>
        <w:t>or</w:t>
      </w:r>
      <w:r w:rsidRPr="00D851AC">
        <w:rPr>
          <w:b/>
          <w:snapToGrid w:val="0"/>
        </w:rPr>
        <w:t xml:space="preserve"> aumentar la participación de la mujer en los cargos </w:t>
      </w:r>
      <w:r>
        <w:rPr>
          <w:b/>
          <w:snapToGrid w:val="0"/>
        </w:rPr>
        <w:t xml:space="preserve">políticos </w:t>
      </w:r>
      <w:r w:rsidRPr="00D851AC">
        <w:rPr>
          <w:b/>
          <w:snapToGrid w:val="0"/>
        </w:rPr>
        <w:t xml:space="preserve">directivos de todos los niveles, así como en los </w:t>
      </w:r>
      <w:r>
        <w:rPr>
          <w:b/>
          <w:snapToGrid w:val="0"/>
        </w:rPr>
        <w:t xml:space="preserve">altos </w:t>
      </w:r>
      <w:r w:rsidRPr="00D851AC">
        <w:rPr>
          <w:b/>
          <w:snapToGrid w:val="0"/>
        </w:rPr>
        <w:t>cargos del sector privado, entre otras cosas realizando campañas de sensibilización y fomentando una búsqueda más intensiva de candidatas aptas.</w:t>
      </w:r>
    </w:p>
    <w:p w:rsidR="00B82505" w:rsidRPr="00D851AC" w:rsidRDefault="00B82505" w:rsidP="00B82505">
      <w:pPr>
        <w:adjustRightInd w:val="0"/>
        <w:snapToGrid w:val="0"/>
        <w:spacing w:after="240"/>
        <w:rPr>
          <w:snapToGrid w:val="0"/>
        </w:rPr>
      </w:pPr>
      <w:r w:rsidRPr="00D851AC">
        <w:rPr>
          <w:snapToGrid w:val="0"/>
        </w:rPr>
        <w:t>7.</w:t>
      </w:r>
      <w:r w:rsidRPr="00D851AC">
        <w:rPr>
          <w:snapToGrid w:val="0"/>
        </w:rPr>
        <w:tab/>
        <w:t xml:space="preserve">Sigue preocupando al Comité </w:t>
      </w:r>
      <w:r>
        <w:rPr>
          <w:snapToGrid w:val="0"/>
        </w:rPr>
        <w:t xml:space="preserve">el grado en que se practican </w:t>
      </w:r>
      <w:r w:rsidRPr="00D851AC">
        <w:rPr>
          <w:snapToGrid w:val="0"/>
        </w:rPr>
        <w:t>la eutanasia y la ayuda al suicid</w:t>
      </w:r>
      <w:r>
        <w:rPr>
          <w:snapToGrid w:val="0"/>
        </w:rPr>
        <w:t>io</w:t>
      </w:r>
      <w:r w:rsidRPr="00D851AC">
        <w:rPr>
          <w:snapToGrid w:val="0"/>
        </w:rPr>
        <w:t xml:space="preserve"> en el Estado parte.  Con arreglo a la Ley sobre la terminación de </w:t>
      </w:r>
      <w:r>
        <w:rPr>
          <w:snapToGrid w:val="0"/>
        </w:rPr>
        <w:t xml:space="preserve">la </w:t>
      </w:r>
      <w:r w:rsidRPr="00D851AC">
        <w:rPr>
          <w:snapToGrid w:val="0"/>
        </w:rPr>
        <w:t xml:space="preserve">vida </w:t>
      </w:r>
      <w:r>
        <w:rPr>
          <w:snapToGrid w:val="0"/>
        </w:rPr>
        <w:t>a petición propia y suicidio asistido</w:t>
      </w:r>
      <w:r w:rsidRPr="00D851AC">
        <w:rPr>
          <w:snapToGrid w:val="0"/>
        </w:rPr>
        <w:t xml:space="preserve">, </w:t>
      </w:r>
      <w:r>
        <w:rPr>
          <w:snapToGrid w:val="0"/>
        </w:rPr>
        <w:t xml:space="preserve">aunque un segundo médico debe dar su opinión, cualquier </w:t>
      </w:r>
      <w:r w:rsidRPr="00D851AC">
        <w:rPr>
          <w:snapToGrid w:val="0"/>
        </w:rPr>
        <w:t>médico puede poner término a la vida de</w:t>
      </w:r>
      <w:r>
        <w:rPr>
          <w:snapToGrid w:val="0"/>
        </w:rPr>
        <w:t xml:space="preserve"> un</w:t>
      </w:r>
      <w:r w:rsidRPr="00D851AC">
        <w:rPr>
          <w:snapToGrid w:val="0"/>
        </w:rPr>
        <w:t xml:space="preserve"> paciente sin que intervenga de manera independiente un juez que garantice que esa decisión no se tomó bajo influencia indebida o por error</w:t>
      </w:r>
      <w:r>
        <w:rPr>
          <w:snapToGrid w:val="0"/>
        </w:rPr>
        <w:t xml:space="preserve"> (art. 6)</w:t>
      </w:r>
      <w:r w:rsidRPr="00D851AC">
        <w:rPr>
          <w:snapToGrid w:val="0"/>
        </w:rPr>
        <w:t>.</w:t>
      </w:r>
    </w:p>
    <w:p w:rsidR="00B82505" w:rsidRPr="00D851AC" w:rsidRDefault="00B82505" w:rsidP="00B82505">
      <w:pPr>
        <w:adjustRightInd w:val="0"/>
        <w:snapToGrid w:val="0"/>
        <w:spacing w:after="240"/>
        <w:ind w:left="567"/>
        <w:rPr>
          <w:b/>
          <w:snapToGrid w:val="0"/>
        </w:rPr>
      </w:pPr>
      <w:r w:rsidRPr="00D851AC">
        <w:rPr>
          <w:b/>
          <w:snapToGrid w:val="0"/>
        </w:rPr>
        <w:t>El Comité reitera sus recomendaciones anteriores a este respecto e insta a que se revise esa legislación teniendo en cuenta que el Pacto reconoce el derecho a la vida.</w:t>
      </w:r>
    </w:p>
    <w:p w:rsidR="00B82505" w:rsidRPr="00D851AC" w:rsidRDefault="00B82505" w:rsidP="00B82505">
      <w:pPr>
        <w:adjustRightInd w:val="0"/>
        <w:snapToGrid w:val="0"/>
        <w:spacing w:after="240"/>
        <w:rPr>
          <w:snapToGrid w:val="0"/>
        </w:rPr>
      </w:pPr>
      <w:r w:rsidRPr="00D851AC">
        <w:rPr>
          <w:snapToGrid w:val="0"/>
        </w:rPr>
        <w:t>8.</w:t>
      </w:r>
      <w:r w:rsidRPr="00D851AC">
        <w:rPr>
          <w:snapToGrid w:val="0"/>
        </w:rPr>
        <w:tab/>
        <w:t xml:space="preserve">El Comité </w:t>
      </w:r>
      <w:r>
        <w:rPr>
          <w:snapToGrid w:val="0"/>
        </w:rPr>
        <w:t xml:space="preserve">toma nota de </w:t>
      </w:r>
      <w:r w:rsidRPr="00D851AC">
        <w:rPr>
          <w:snapToGrid w:val="0"/>
        </w:rPr>
        <w:t xml:space="preserve">que los experimentos médicos con menores están permitidos </w:t>
      </w:r>
      <w:r>
        <w:rPr>
          <w:snapToGrid w:val="0"/>
        </w:rPr>
        <w:t xml:space="preserve">actualmente </w:t>
      </w:r>
      <w:r w:rsidRPr="00D851AC">
        <w:rPr>
          <w:snapToGrid w:val="0"/>
        </w:rPr>
        <w:t xml:space="preserve">en el Estado parte </w:t>
      </w:r>
      <w:r>
        <w:rPr>
          <w:snapToGrid w:val="0"/>
        </w:rPr>
        <w:t xml:space="preserve">en dos casos:  </w:t>
      </w:r>
      <w:r w:rsidRPr="00D851AC">
        <w:rPr>
          <w:snapToGrid w:val="0"/>
        </w:rPr>
        <w:t>cuando benefici</w:t>
      </w:r>
      <w:r>
        <w:rPr>
          <w:snapToGrid w:val="0"/>
        </w:rPr>
        <w:t>a</w:t>
      </w:r>
      <w:r w:rsidRPr="00D851AC">
        <w:rPr>
          <w:snapToGrid w:val="0"/>
        </w:rPr>
        <w:t>n directamente al menor de que se trate</w:t>
      </w:r>
      <w:r>
        <w:rPr>
          <w:snapToGrid w:val="0"/>
        </w:rPr>
        <w:t xml:space="preserve">, o bien cuando </w:t>
      </w:r>
      <w:r w:rsidRPr="00D851AC">
        <w:rPr>
          <w:snapToGrid w:val="0"/>
        </w:rPr>
        <w:t>la participación de niños sea un componente necesario de la investigación y tenga un efecto "insignificante".  No obstante, sigue preocupando al Comité que la ley no contenga salvaguardias adecuadas en relación con los experimentos médicos que necesitan la participación de niños (arts. 7 y 24).</w:t>
      </w:r>
    </w:p>
    <w:p w:rsidR="00B82505" w:rsidRPr="00D851AC" w:rsidRDefault="00B82505" w:rsidP="00B82505">
      <w:pPr>
        <w:adjustRightInd w:val="0"/>
        <w:snapToGrid w:val="0"/>
        <w:spacing w:after="240"/>
        <w:ind w:left="567"/>
        <w:rPr>
          <w:b/>
          <w:snapToGrid w:val="0"/>
        </w:rPr>
      </w:pPr>
      <w:r w:rsidRPr="00D851AC">
        <w:rPr>
          <w:b/>
          <w:snapToGrid w:val="0"/>
        </w:rPr>
        <w:t xml:space="preserve">El Comité reitera su recomendación de </w:t>
      </w:r>
      <w:r>
        <w:rPr>
          <w:b/>
          <w:snapToGrid w:val="0"/>
        </w:rPr>
        <w:t>que el Estado parte vele</w:t>
      </w:r>
      <w:r w:rsidRPr="00D851AC">
        <w:rPr>
          <w:b/>
          <w:snapToGrid w:val="0"/>
        </w:rPr>
        <w:t xml:space="preserve"> por</w:t>
      </w:r>
      <w:r>
        <w:rPr>
          <w:b/>
          <w:snapToGrid w:val="0"/>
        </w:rPr>
        <w:t xml:space="preserve"> </w:t>
      </w:r>
      <w:r w:rsidRPr="00D851AC">
        <w:rPr>
          <w:b/>
          <w:snapToGrid w:val="0"/>
        </w:rPr>
        <w:t xml:space="preserve">que los menores no sean sometidos a ningún experimento médico que no </w:t>
      </w:r>
      <w:r>
        <w:rPr>
          <w:b/>
          <w:snapToGrid w:val="0"/>
        </w:rPr>
        <w:t xml:space="preserve">los </w:t>
      </w:r>
      <w:r w:rsidRPr="00D851AC">
        <w:rPr>
          <w:b/>
          <w:snapToGrid w:val="0"/>
        </w:rPr>
        <w:t>beneficie directamente</w:t>
      </w:r>
      <w:r>
        <w:rPr>
          <w:b/>
          <w:snapToGrid w:val="0"/>
        </w:rPr>
        <w:t xml:space="preserve"> (investigaciones no terapéuticas) y por que existan salvaguardias plenamente compatibles con los derechos del niño, incluso en lo que respecta a la cuestión del consentimiento</w:t>
      </w:r>
      <w:r w:rsidRPr="00D851AC">
        <w:rPr>
          <w:b/>
          <w:snapToGrid w:val="0"/>
        </w:rPr>
        <w:t>.</w:t>
      </w:r>
    </w:p>
    <w:p w:rsidR="00B82505" w:rsidRPr="00D851AC" w:rsidRDefault="00B82505" w:rsidP="00B82505">
      <w:pPr>
        <w:adjustRightInd w:val="0"/>
        <w:snapToGrid w:val="0"/>
        <w:spacing w:after="240"/>
        <w:rPr>
          <w:snapToGrid w:val="0"/>
        </w:rPr>
      </w:pPr>
      <w:r w:rsidRPr="00D851AC">
        <w:rPr>
          <w:snapToGrid w:val="0"/>
        </w:rPr>
        <w:t>9.</w:t>
      </w:r>
      <w:r w:rsidRPr="00D851AC">
        <w:rPr>
          <w:snapToGrid w:val="0"/>
        </w:rPr>
        <w:tab/>
        <w:t xml:space="preserve">El Comité </w:t>
      </w:r>
      <w:r>
        <w:rPr>
          <w:snapToGrid w:val="0"/>
        </w:rPr>
        <w:t xml:space="preserve">observa </w:t>
      </w:r>
      <w:r w:rsidRPr="00D851AC">
        <w:rPr>
          <w:snapToGrid w:val="0"/>
        </w:rPr>
        <w:t>que, con arreglo al "procedimiento acelerado" para la tramitación de las solicitudes de asilo, estas se examinan e</w:t>
      </w:r>
      <w:r>
        <w:rPr>
          <w:snapToGrid w:val="0"/>
        </w:rPr>
        <w:t>n</w:t>
      </w:r>
      <w:r w:rsidRPr="00D851AC">
        <w:rPr>
          <w:snapToGrid w:val="0"/>
        </w:rPr>
        <w:t xml:space="preserve"> un plazo de 48 horas </w:t>
      </w:r>
      <w:r>
        <w:rPr>
          <w:snapToGrid w:val="0"/>
        </w:rPr>
        <w:t>laborables</w:t>
      </w:r>
      <w:r w:rsidRPr="00D851AC">
        <w:rPr>
          <w:snapToGrid w:val="0"/>
        </w:rPr>
        <w:t xml:space="preserve">.  Preocupa al Comité que tanto el procedimiento actual como el propuesto procedimiento habitual de ocho días </w:t>
      </w:r>
      <w:r>
        <w:rPr>
          <w:snapToGrid w:val="0"/>
        </w:rPr>
        <w:t xml:space="preserve">puedan no brindar </w:t>
      </w:r>
      <w:r w:rsidRPr="00D851AC">
        <w:rPr>
          <w:snapToGrid w:val="0"/>
        </w:rPr>
        <w:t xml:space="preserve">a los solicitantes de asilo la oportunidad </w:t>
      </w:r>
      <w:r>
        <w:rPr>
          <w:snapToGrid w:val="0"/>
        </w:rPr>
        <w:t>de</w:t>
      </w:r>
      <w:r w:rsidRPr="00D851AC">
        <w:rPr>
          <w:snapToGrid w:val="0"/>
        </w:rPr>
        <w:t xml:space="preserve"> fundamentar adecuadamente sus solicitudes y </w:t>
      </w:r>
      <w:r>
        <w:rPr>
          <w:snapToGrid w:val="0"/>
        </w:rPr>
        <w:t xml:space="preserve">hacerles </w:t>
      </w:r>
      <w:r w:rsidRPr="00D851AC">
        <w:rPr>
          <w:snapToGrid w:val="0"/>
        </w:rPr>
        <w:t xml:space="preserve">correr el riesgo de ser expulsados a un país </w:t>
      </w:r>
      <w:r>
        <w:rPr>
          <w:snapToGrid w:val="0"/>
        </w:rPr>
        <w:t xml:space="preserve">donde </w:t>
      </w:r>
      <w:r w:rsidRPr="00D851AC">
        <w:rPr>
          <w:snapToGrid w:val="0"/>
        </w:rPr>
        <w:t>no esté garantizada su seguridad (art. 7).</w:t>
      </w:r>
    </w:p>
    <w:p w:rsidR="00B82505" w:rsidRPr="00D851AC" w:rsidRDefault="00B82505" w:rsidP="00B82505">
      <w:pPr>
        <w:adjustRightInd w:val="0"/>
        <w:snapToGrid w:val="0"/>
        <w:spacing w:after="240"/>
        <w:ind w:left="567"/>
        <w:rPr>
          <w:b/>
          <w:snapToGrid w:val="0"/>
        </w:rPr>
      </w:pPr>
      <w:r w:rsidRPr="00D851AC">
        <w:rPr>
          <w:b/>
          <w:snapToGrid w:val="0"/>
        </w:rPr>
        <w:t>El Estado parte debería garantizar que el procedimiento para tramitar las solicitudes de asilo permit</w:t>
      </w:r>
      <w:r>
        <w:rPr>
          <w:b/>
          <w:snapToGrid w:val="0"/>
        </w:rPr>
        <w:t>e</w:t>
      </w:r>
      <w:r w:rsidRPr="00D851AC">
        <w:rPr>
          <w:b/>
          <w:snapToGrid w:val="0"/>
        </w:rPr>
        <w:t xml:space="preserve"> una evaluación a fondo y adecuada de </w:t>
      </w:r>
      <w:r>
        <w:rPr>
          <w:b/>
          <w:snapToGrid w:val="0"/>
        </w:rPr>
        <w:t>esas</w:t>
      </w:r>
      <w:r w:rsidRPr="00D851AC">
        <w:rPr>
          <w:b/>
          <w:snapToGrid w:val="0"/>
        </w:rPr>
        <w:t xml:space="preserve"> solicitudes previendo un período </w:t>
      </w:r>
      <w:r>
        <w:rPr>
          <w:b/>
          <w:snapToGrid w:val="0"/>
        </w:rPr>
        <w:t xml:space="preserve">de tiempo </w:t>
      </w:r>
      <w:r w:rsidRPr="00D851AC">
        <w:rPr>
          <w:b/>
          <w:snapToGrid w:val="0"/>
        </w:rPr>
        <w:t>suficiente para la presentación de las pruebas.  El Estado parte debe garantizar en todos los casos el respecto del principio de no devolución.</w:t>
      </w:r>
    </w:p>
    <w:p w:rsidR="00B82505" w:rsidRPr="00D851AC" w:rsidRDefault="00B82505" w:rsidP="00B82505">
      <w:pPr>
        <w:keepNext/>
        <w:keepLines/>
        <w:adjustRightInd w:val="0"/>
        <w:snapToGrid w:val="0"/>
        <w:spacing w:after="240"/>
        <w:rPr>
          <w:snapToGrid w:val="0"/>
        </w:rPr>
      </w:pPr>
      <w:r w:rsidRPr="00D851AC">
        <w:rPr>
          <w:snapToGrid w:val="0"/>
        </w:rPr>
        <w:t>10.</w:t>
      </w:r>
      <w:r w:rsidRPr="00D851AC">
        <w:rPr>
          <w:snapToGrid w:val="0"/>
        </w:rPr>
        <w:tab/>
        <w:t xml:space="preserve">El Comité </w:t>
      </w:r>
      <w:r>
        <w:rPr>
          <w:snapToGrid w:val="0"/>
        </w:rPr>
        <w:t xml:space="preserve">toma nota </w:t>
      </w:r>
      <w:r w:rsidRPr="00D851AC">
        <w:rPr>
          <w:snapToGrid w:val="0"/>
        </w:rPr>
        <w:t xml:space="preserve">con preocupación </w:t>
      </w:r>
      <w:r>
        <w:rPr>
          <w:snapToGrid w:val="0"/>
        </w:rPr>
        <w:t xml:space="preserve">de </w:t>
      </w:r>
      <w:r w:rsidRPr="00D851AC">
        <w:rPr>
          <w:snapToGrid w:val="0"/>
        </w:rPr>
        <w:t xml:space="preserve">que el proyecto de ley de medidas administrativas de seguridad nacional de 2008 dispone que </w:t>
      </w:r>
      <w:r>
        <w:rPr>
          <w:snapToGrid w:val="0"/>
        </w:rPr>
        <w:t xml:space="preserve">el Ministro del Interior y de Relaciones del Reino, sin </w:t>
      </w:r>
      <w:r w:rsidRPr="00D851AC">
        <w:rPr>
          <w:snapToGrid w:val="0"/>
        </w:rPr>
        <w:t>examen judicial</w:t>
      </w:r>
      <w:r>
        <w:rPr>
          <w:snapToGrid w:val="0"/>
        </w:rPr>
        <w:t xml:space="preserve"> previo</w:t>
      </w:r>
      <w:r w:rsidRPr="00D851AC">
        <w:rPr>
          <w:snapToGrid w:val="0"/>
        </w:rPr>
        <w:t xml:space="preserve">, puede ordenar la exclusión de determinadas zonas o instalaciones de personas que pueden estar "asociadas con actividades terroristas" o "apoyar esas actividades" y </w:t>
      </w:r>
      <w:r>
        <w:rPr>
          <w:snapToGrid w:val="0"/>
        </w:rPr>
        <w:t xml:space="preserve">puede </w:t>
      </w:r>
      <w:r w:rsidRPr="00D851AC">
        <w:rPr>
          <w:snapToGrid w:val="0"/>
        </w:rPr>
        <w:t xml:space="preserve">también imponer </w:t>
      </w:r>
      <w:r>
        <w:rPr>
          <w:snapToGrid w:val="0"/>
        </w:rPr>
        <w:t xml:space="preserve">a esas personas </w:t>
      </w:r>
      <w:r w:rsidRPr="00D851AC">
        <w:rPr>
          <w:snapToGrid w:val="0"/>
        </w:rPr>
        <w:t xml:space="preserve">la obligación de </w:t>
      </w:r>
      <w:r>
        <w:rPr>
          <w:snapToGrid w:val="0"/>
        </w:rPr>
        <w:t xml:space="preserve">presentarse </w:t>
      </w:r>
      <w:r w:rsidRPr="00D851AC">
        <w:rPr>
          <w:snapToGrid w:val="0"/>
        </w:rPr>
        <w:t xml:space="preserve">periódicamente a la policía.  La violación de la orden </w:t>
      </w:r>
      <w:r>
        <w:rPr>
          <w:snapToGrid w:val="0"/>
        </w:rPr>
        <w:t xml:space="preserve">ministerial </w:t>
      </w:r>
      <w:r w:rsidRPr="00D851AC">
        <w:rPr>
          <w:snapToGrid w:val="0"/>
        </w:rPr>
        <w:t xml:space="preserve">de exclusión </w:t>
      </w:r>
      <w:r>
        <w:rPr>
          <w:snapToGrid w:val="0"/>
        </w:rPr>
        <w:t>se</w:t>
      </w:r>
      <w:r w:rsidRPr="00D851AC">
        <w:rPr>
          <w:snapToGrid w:val="0"/>
        </w:rPr>
        <w:t xml:space="preserve"> puede castigar con una pena de hasta un año de prisión (arts. 9 y 12).</w:t>
      </w:r>
    </w:p>
    <w:p w:rsidR="00B82505" w:rsidRPr="00D851AC" w:rsidRDefault="00B82505" w:rsidP="00B82505">
      <w:pPr>
        <w:adjustRightInd w:val="0"/>
        <w:snapToGrid w:val="0"/>
        <w:spacing w:after="240"/>
        <w:ind w:left="567"/>
        <w:rPr>
          <w:b/>
          <w:snapToGrid w:val="0"/>
        </w:rPr>
      </w:pPr>
      <w:r w:rsidRPr="00D851AC">
        <w:rPr>
          <w:b/>
          <w:snapToGrid w:val="0"/>
        </w:rPr>
        <w:t xml:space="preserve">El Estado parte debería reconsiderar el proyecto de ley teniendo en cuenta estas preocupaciones.  </w:t>
      </w:r>
      <w:r>
        <w:rPr>
          <w:b/>
          <w:snapToGrid w:val="0"/>
        </w:rPr>
        <w:t xml:space="preserve">Las eventuales </w:t>
      </w:r>
      <w:r w:rsidRPr="00D851AC">
        <w:rPr>
          <w:b/>
          <w:snapToGrid w:val="0"/>
        </w:rPr>
        <w:t>enmienda</w:t>
      </w:r>
      <w:r>
        <w:rPr>
          <w:b/>
          <w:snapToGrid w:val="0"/>
        </w:rPr>
        <w:t>s</w:t>
      </w:r>
      <w:r w:rsidRPr="00D851AC">
        <w:rPr>
          <w:b/>
          <w:snapToGrid w:val="0"/>
        </w:rPr>
        <w:t xml:space="preserve"> debería</w:t>
      </w:r>
      <w:r>
        <w:rPr>
          <w:b/>
          <w:snapToGrid w:val="0"/>
        </w:rPr>
        <w:t>n</w:t>
      </w:r>
      <w:r w:rsidRPr="00D851AC">
        <w:rPr>
          <w:b/>
          <w:snapToGrid w:val="0"/>
        </w:rPr>
        <w:t xml:space="preserve"> garantizar que las restricciones </w:t>
      </w:r>
      <w:r>
        <w:rPr>
          <w:b/>
          <w:snapToGrid w:val="0"/>
        </w:rPr>
        <w:t>del</w:t>
      </w:r>
      <w:r w:rsidRPr="00D851AC">
        <w:rPr>
          <w:b/>
          <w:snapToGrid w:val="0"/>
        </w:rPr>
        <w:t xml:space="preserve"> derecho a la libertad y a la libertad de circulación se funden en una sospecha razonable de participación en una actividad delictiva y que todas esas medidas sean compatibles con el Pacto, en particular el artículo 9 y el párrafo 1 del artículo 12.</w:t>
      </w:r>
    </w:p>
    <w:p w:rsidR="00B82505" w:rsidRPr="00D851AC" w:rsidRDefault="00B82505" w:rsidP="00B82505">
      <w:pPr>
        <w:adjustRightInd w:val="0"/>
        <w:snapToGrid w:val="0"/>
        <w:spacing w:after="240"/>
        <w:rPr>
          <w:snapToGrid w:val="0"/>
        </w:rPr>
      </w:pPr>
      <w:r w:rsidRPr="00D851AC">
        <w:rPr>
          <w:snapToGrid w:val="0"/>
        </w:rPr>
        <w:t>11.</w:t>
      </w:r>
      <w:r w:rsidRPr="00D851AC">
        <w:rPr>
          <w:snapToGrid w:val="0"/>
        </w:rPr>
        <w:tab/>
        <w:t xml:space="preserve">El Comité </w:t>
      </w:r>
      <w:r>
        <w:rPr>
          <w:snapToGrid w:val="0"/>
        </w:rPr>
        <w:t xml:space="preserve">observa que en el Estado parte </w:t>
      </w:r>
      <w:r w:rsidRPr="00D851AC">
        <w:rPr>
          <w:snapToGrid w:val="0"/>
        </w:rPr>
        <w:t>las personas sospechosas de participa</w:t>
      </w:r>
      <w:r>
        <w:rPr>
          <w:snapToGrid w:val="0"/>
        </w:rPr>
        <w:t>ción</w:t>
      </w:r>
      <w:r w:rsidRPr="00D851AC">
        <w:rPr>
          <w:snapToGrid w:val="0"/>
        </w:rPr>
        <w:t xml:space="preserve"> en un delito no tienen derecho a la presencia de un </w:t>
      </w:r>
      <w:r>
        <w:rPr>
          <w:snapToGrid w:val="0"/>
        </w:rPr>
        <w:t xml:space="preserve">abogado </w:t>
      </w:r>
      <w:r w:rsidRPr="00D851AC">
        <w:rPr>
          <w:snapToGrid w:val="0"/>
        </w:rPr>
        <w:t xml:space="preserve">durante el interrogatorio policial.  Solo después de que un fiscal ha ordenado su privación de libertad </w:t>
      </w:r>
      <w:r>
        <w:rPr>
          <w:snapToGrid w:val="0"/>
        </w:rPr>
        <w:t xml:space="preserve">tras el </w:t>
      </w:r>
      <w:r w:rsidRPr="00D851AC">
        <w:rPr>
          <w:snapToGrid w:val="0"/>
        </w:rPr>
        <w:t xml:space="preserve">interrogatorio inicial, la persona puede consultar a un abogado.  Incluso entonces, el abogado no puede estar presente durante los </w:t>
      </w:r>
      <w:r>
        <w:rPr>
          <w:snapToGrid w:val="0"/>
        </w:rPr>
        <w:t>subsiguientes</w:t>
      </w:r>
      <w:r w:rsidRPr="00D851AC">
        <w:rPr>
          <w:snapToGrid w:val="0"/>
        </w:rPr>
        <w:t xml:space="preserve"> interrogatorios policiales y la policía puede rechazar la solicitud del abogado de que </w:t>
      </w:r>
      <w:r>
        <w:rPr>
          <w:snapToGrid w:val="0"/>
        </w:rPr>
        <w:t xml:space="preserve">se </w:t>
      </w:r>
      <w:r w:rsidRPr="00D851AC">
        <w:rPr>
          <w:snapToGrid w:val="0"/>
        </w:rPr>
        <w:t>deje de interrogar a su cliente.  El Comité señala que el derecho a un abogado es una salvaguardia importante contra los abusos (art</w:t>
      </w:r>
      <w:r>
        <w:rPr>
          <w:snapToGrid w:val="0"/>
        </w:rPr>
        <w:t>s</w:t>
      </w:r>
      <w:r w:rsidRPr="00D851AC">
        <w:rPr>
          <w:snapToGrid w:val="0"/>
        </w:rPr>
        <w:t xml:space="preserve">. </w:t>
      </w:r>
      <w:r>
        <w:rPr>
          <w:snapToGrid w:val="0"/>
        </w:rPr>
        <w:t>9 y</w:t>
      </w:r>
      <w:r w:rsidRPr="00D851AC">
        <w:rPr>
          <w:snapToGrid w:val="0"/>
        </w:rPr>
        <w:t>14).</w:t>
      </w:r>
    </w:p>
    <w:p w:rsidR="00B82505" w:rsidRPr="00D851AC" w:rsidRDefault="00B82505" w:rsidP="00B82505">
      <w:pPr>
        <w:adjustRightInd w:val="0"/>
        <w:snapToGrid w:val="0"/>
        <w:spacing w:after="240"/>
        <w:ind w:left="567"/>
        <w:rPr>
          <w:b/>
          <w:snapToGrid w:val="0"/>
        </w:rPr>
      </w:pPr>
      <w:r w:rsidRPr="00D851AC">
        <w:rPr>
          <w:b/>
          <w:snapToGrid w:val="0"/>
        </w:rPr>
        <w:t>El Estado parte debería hacer plenamente efectivo el derecho a contactar a un abogado antes del interrogatorio policial.  El Estado parte debería velar por</w:t>
      </w:r>
      <w:r>
        <w:rPr>
          <w:b/>
          <w:snapToGrid w:val="0"/>
        </w:rPr>
        <w:t xml:space="preserve"> </w:t>
      </w:r>
      <w:r w:rsidRPr="00D851AC">
        <w:rPr>
          <w:b/>
          <w:snapToGrid w:val="0"/>
        </w:rPr>
        <w:t xml:space="preserve">que se informe </w:t>
      </w:r>
      <w:r>
        <w:rPr>
          <w:b/>
          <w:snapToGrid w:val="0"/>
        </w:rPr>
        <w:t>a la persona acusada d</w:t>
      </w:r>
      <w:r w:rsidRPr="00D851AC">
        <w:rPr>
          <w:b/>
          <w:snapToGrid w:val="0"/>
        </w:rPr>
        <w:t xml:space="preserve">e un delito, inmediatamente después de su detención, de que tiene derecho a un abogado y </w:t>
      </w:r>
      <w:r>
        <w:rPr>
          <w:b/>
          <w:snapToGrid w:val="0"/>
        </w:rPr>
        <w:t>a no incriminarse</w:t>
      </w:r>
      <w:r w:rsidRPr="00D851AC">
        <w:rPr>
          <w:b/>
          <w:snapToGrid w:val="0"/>
        </w:rPr>
        <w:t>.</w:t>
      </w:r>
    </w:p>
    <w:p w:rsidR="00B82505" w:rsidRPr="00D851AC" w:rsidRDefault="00B82505" w:rsidP="00B82505">
      <w:pPr>
        <w:adjustRightInd w:val="0"/>
        <w:snapToGrid w:val="0"/>
        <w:spacing w:after="240"/>
        <w:rPr>
          <w:snapToGrid w:val="0"/>
        </w:rPr>
      </w:pPr>
      <w:r w:rsidRPr="00D851AC">
        <w:rPr>
          <w:snapToGrid w:val="0"/>
        </w:rPr>
        <w:t>12.</w:t>
      </w:r>
      <w:r w:rsidRPr="00D851AC">
        <w:rPr>
          <w:snapToGrid w:val="0"/>
        </w:rPr>
        <w:tab/>
        <w:t xml:space="preserve">Preocupa al Comité que en el Estado parte la </w:t>
      </w:r>
      <w:r>
        <w:rPr>
          <w:snapToGrid w:val="0"/>
        </w:rPr>
        <w:t>detención</w:t>
      </w:r>
      <w:r w:rsidRPr="00D851AC">
        <w:rPr>
          <w:snapToGrid w:val="0"/>
        </w:rPr>
        <w:t xml:space="preserve"> preventiva pueda durar hasta dos años, situación agravada por la restricción del derecho </w:t>
      </w:r>
      <w:r>
        <w:rPr>
          <w:snapToGrid w:val="0"/>
        </w:rPr>
        <w:t>a</w:t>
      </w:r>
      <w:r w:rsidRPr="00D851AC">
        <w:rPr>
          <w:snapToGrid w:val="0"/>
        </w:rPr>
        <w:t xml:space="preserve"> contactar a un abogado.  El Comité considera que se trata de una </w:t>
      </w:r>
      <w:r>
        <w:rPr>
          <w:snapToGrid w:val="0"/>
        </w:rPr>
        <w:t xml:space="preserve">dilación excesiva del proceso de los acusados </w:t>
      </w:r>
      <w:r w:rsidRPr="00D851AC">
        <w:rPr>
          <w:snapToGrid w:val="0"/>
        </w:rPr>
        <w:t>(arts. 9 y 14)</w:t>
      </w:r>
      <w:r>
        <w:rPr>
          <w:snapToGrid w:val="0"/>
        </w:rPr>
        <w:t>.</w:t>
      </w:r>
    </w:p>
    <w:p w:rsidR="00B82505" w:rsidRPr="00D851AC" w:rsidRDefault="00B82505" w:rsidP="00B82505">
      <w:pPr>
        <w:adjustRightInd w:val="0"/>
        <w:snapToGrid w:val="0"/>
        <w:spacing w:after="240"/>
        <w:ind w:left="567"/>
        <w:rPr>
          <w:b/>
          <w:snapToGrid w:val="0"/>
        </w:rPr>
      </w:pPr>
      <w:r w:rsidRPr="00D851AC">
        <w:rPr>
          <w:b/>
          <w:snapToGrid w:val="0"/>
        </w:rPr>
        <w:t xml:space="preserve">El Estado parte debería velar por que todas las personas sean procesadas dentro de un plazo razonable y que la </w:t>
      </w:r>
      <w:r>
        <w:rPr>
          <w:b/>
          <w:snapToGrid w:val="0"/>
        </w:rPr>
        <w:t>detención</w:t>
      </w:r>
      <w:r w:rsidRPr="00D851AC">
        <w:rPr>
          <w:b/>
          <w:snapToGrid w:val="0"/>
        </w:rPr>
        <w:t xml:space="preserve"> preventiva no sea incompatible con el derecho a ser juzgado sin d</w:t>
      </w:r>
      <w:r>
        <w:rPr>
          <w:b/>
          <w:snapToGrid w:val="0"/>
        </w:rPr>
        <w:t>i</w:t>
      </w:r>
      <w:r w:rsidRPr="00D851AC">
        <w:rPr>
          <w:b/>
          <w:snapToGrid w:val="0"/>
        </w:rPr>
        <w:t>laciones indebidas</w:t>
      </w:r>
      <w:r>
        <w:rPr>
          <w:b/>
          <w:snapToGrid w:val="0"/>
        </w:rPr>
        <w:t>,</w:t>
      </w:r>
      <w:r w:rsidRPr="00D851AC">
        <w:rPr>
          <w:b/>
          <w:snapToGrid w:val="0"/>
        </w:rPr>
        <w:t xml:space="preserve"> </w:t>
      </w:r>
      <w:r>
        <w:rPr>
          <w:b/>
          <w:snapToGrid w:val="0"/>
        </w:rPr>
        <w:t xml:space="preserve">según se especifica </w:t>
      </w:r>
      <w:r w:rsidRPr="00D851AC">
        <w:rPr>
          <w:b/>
          <w:snapToGrid w:val="0"/>
        </w:rPr>
        <w:t>en el artículo 14.</w:t>
      </w:r>
    </w:p>
    <w:p w:rsidR="00B82505" w:rsidRPr="00D851AC" w:rsidRDefault="00B82505" w:rsidP="00130B31">
      <w:pPr>
        <w:adjustRightInd w:val="0"/>
        <w:snapToGrid w:val="0"/>
        <w:spacing w:after="240"/>
        <w:rPr>
          <w:snapToGrid w:val="0"/>
        </w:rPr>
      </w:pPr>
      <w:r w:rsidRPr="00D851AC">
        <w:rPr>
          <w:snapToGrid w:val="0"/>
        </w:rPr>
        <w:t>13.</w:t>
      </w:r>
      <w:r w:rsidRPr="00D851AC">
        <w:rPr>
          <w:snapToGrid w:val="0"/>
        </w:rPr>
        <w:tab/>
        <w:t xml:space="preserve">El Comité </w:t>
      </w:r>
      <w:r>
        <w:rPr>
          <w:snapToGrid w:val="0"/>
        </w:rPr>
        <w:t xml:space="preserve">observa </w:t>
      </w:r>
      <w:r w:rsidRPr="00D851AC">
        <w:rPr>
          <w:snapToGrid w:val="0"/>
        </w:rPr>
        <w:t>que, con arreglo a la Ley de protección de la identidad de los testigos, no se permite que la defensa conozca la identidad de determinados testigos</w:t>
      </w:r>
      <w:r>
        <w:rPr>
          <w:snapToGrid w:val="0"/>
        </w:rPr>
        <w:t xml:space="preserve"> por razones de seguridad nacional</w:t>
      </w:r>
      <w:r w:rsidRPr="00D851AC">
        <w:rPr>
          <w:snapToGrid w:val="0"/>
        </w:rPr>
        <w:t xml:space="preserve">.  Si bien la defensa puede </w:t>
      </w:r>
      <w:r>
        <w:rPr>
          <w:snapToGrid w:val="0"/>
        </w:rPr>
        <w:t xml:space="preserve">formular </w:t>
      </w:r>
      <w:r w:rsidRPr="00D851AC">
        <w:rPr>
          <w:snapToGrid w:val="0"/>
        </w:rPr>
        <w:t xml:space="preserve">preguntas a dichos testigos </w:t>
      </w:r>
      <w:r>
        <w:rPr>
          <w:snapToGrid w:val="0"/>
        </w:rPr>
        <w:t xml:space="preserve">por conducto </w:t>
      </w:r>
      <w:r w:rsidRPr="00D851AC">
        <w:rPr>
          <w:snapToGrid w:val="0"/>
        </w:rPr>
        <w:t xml:space="preserve">del juez de instrucción, no siempre puede asistir </w:t>
      </w:r>
      <w:r>
        <w:rPr>
          <w:snapToGrid w:val="0"/>
        </w:rPr>
        <w:t xml:space="preserve">a su </w:t>
      </w:r>
      <w:r w:rsidRPr="00D851AC">
        <w:rPr>
          <w:snapToGrid w:val="0"/>
        </w:rPr>
        <w:t xml:space="preserve">interrogatorio.  Habida cuenta de la importancia de la identidad y el comportamiento de un testigo para </w:t>
      </w:r>
      <w:r>
        <w:rPr>
          <w:snapToGrid w:val="0"/>
        </w:rPr>
        <w:t xml:space="preserve">evaluar </w:t>
      </w:r>
      <w:r w:rsidRPr="00D851AC">
        <w:rPr>
          <w:snapToGrid w:val="0"/>
        </w:rPr>
        <w:t xml:space="preserve">la credibilidad de </w:t>
      </w:r>
      <w:r>
        <w:rPr>
          <w:snapToGrid w:val="0"/>
        </w:rPr>
        <w:t>su testimonio</w:t>
      </w:r>
      <w:r w:rsidRPr="00D851AC">
        <w:rPr>
          <w:snapToGrid w:val="0"/>
        </w:rPr>
        <w:t>, esa ley reduce considerablemente la capacidad de</w:t>
      </w:r>
      <w:r>
        <w:rPr>
          <w:snapToGrid w:val="0"/>
        </w:rPr>
        <w:t xml:space="preserve">l </w:t>
      </w:r>
      <w:r w:rsidRPr="00D851AC">
        <w:rPr>
          <w:snapToGrid w:val="0"/>
        </w:rPr>
        <w:t xml:space="preserve">acusado para impugnar </w:t>
      </w:r>
      <w:r>
        <w:rPr>
          <w:snapToGrid w:val="0"/>
        </w:rPr>
        <w:t xml:space="preserve">los hechos que se le imputan </w:t>
      </w:r>
      <w:r w:rsidRPr="00D851AC">
        <w:rPr>
          <w:snapToGrid w:val="0"/>
        </w:rPr>
        <w:t>(art. 14).</w:t>
      </w:r>
    </w:p>
    <w:p w:rsidR="00B82505" w:rsidRPr="00D851AC" w:rsidRDefault="00B82505" w:rsidP="00B82505">
      <w:pPr>
        <w:adjustRightInd w:val="0"/>
        <w:snapToGrid w:val="0"/>
        <w:spacing w:after="240"/>
        <w:ind w:left="567"/>
        <w:rPr>
          <w:b/>
          <w:snapToGrid w:val="0"/>
        </w:rPr>
      </w:pPr>
      <w:r w:rsidRPr="00D851AC">
        <w:rPr>
          <w:b/>
          <w:snapToGrid w:val="0"/>
        </w:rPr>
        <w:t xml:space="preserve">El Estado parte debería aplicar la ley de manera que se haga plenamente efectivo el derecho de </w:t>
      </w:r>
      <w:r>
        <w:rPr>
          <w:b/>
          <w:snapToGrid w:val="0"/>
        </w:rPr>
        <w:t>toda</w:t>
      </w:r>
      <w:r w:rsidRPr="00D851AC">
        <w:rPr>
          <w:b/>
          <w:snapToGrid w:val="0"/>
        </w:rPr>
        <w:t xml:space="preserve"> persona a interrogar o </w:t>
      </w:r>
      <w:r>
        <w:rPr>
          <w:b/>
          <w:snapToGrid w:val="0"/>
        </w:rPr>
        <w:t xml:space="preserve">a que se interrogue </w:t>
      </w:r>
      <w:r w:rsidRPr="00D851AC">
        <w:rPr>
          <w:b/>
          <w:snapToGrid w:val="0"/>
        </w:rPr>
        <w:t xml:space="preserve">a los testigos de cargo de conformidad con el apartado </w:t>
      </w:r>
      <w:r w:rsidRPr="00A57DC3">
        <w:rPr>
          <w:b/>
          <w:snapToGrid w:val="0"/>
        </w:rPr>
        <w:t>e)</w:t>
      </w:r>
      <w:r w:rsidRPr="00D851AC">
        <w:rPr>
          <w:b/>
          <w:snapToGrid w:val="0"/>
        </w:rPr>
        <w:t xml:space="preserve"> del artículo 14 del Pacto.</w:t>
      </w:r>
    </w:p>
    <w:p w:rsidR="00B82505" w:rsidRPr="00D851AC" w:rsidRDefault="00B82505" w:rsidP="00B82505">
      <w:pPr>
        <w:adjustRightInd w:val="0"/>
        <w:snapToGrid w:val="0"/>
        <w:spacing w:after="240"/>
        <w:rPr>
          <w:snapToGrid w:val="0"/>
        </w:rPr>
      </w:pPr>
      <w:r w:rsidRPr="00D851AC">
        <w:rPr>
          <w:snapToGrid w:val="0"/>
        </w:rPr>
        <w:t>14.</w:t>
      </w:r>
      <w:r w:rsidRPr="00D851AC">
        <w:rPr>
          <w:snapToGrid w:val="0"/>
        </w:rPr>
        <w:tab/>
        <w:t>El Comité es consciente de que el Estado parte considera que la intervenci</w:t>
      </w:r>
      <w:r>
        <w:rPr>
          <w:snapToGrid w:val="0"/>
        </w:rPr>
        <w:t>ón</w:t>
      </w:r>
      <w:r w:rsidRPr="00D851AC">
        <w:rPr>
          <w:snapToGrid w:val="0"/>
        </w:rPr>
        <w:t xml:space="preserve"> de las comunicaciones telegráficas y telefónicas </w:t>
      </w:r>
      <w:r>
        <w:rPr>
          <w:snapToGrid w:val="0"/>
        </w:rPr>
        <w:t>es</w:t>
      </w:r>
      <w:r w:rsidRPr="00D851AC">
        <w:rPr>
          <w:snapToGrid w:val="0"/>
        </w:rPr>
        <w:t xml:space="preserve"> </w:t>
      </w:r>
      <w:r>
        <w:rPr>
          <w:snapToGrid w:val="0"/>
        </w:rPr>
        <w:t xml:space="preserve">un </w:t>
      </w:r>
      <w:r w:rsidRPr="00D851AC">
        <w:rPr>
          <w:snapToGrid w:val="0"/>
        </w:rPr>
        <w:t xml:space="preserve">importante instrumento de investigación, pero </w:t>
      </w:r>
      <w:r>
        <w:rPr>
          <w:snapToGrid w:val="0"/>
        </w:rPr>
        <w:t xml:space="preserve">estima que el recurso a las </w:t>
      </w:r>
      <w:r w:rsidRPr="00D851AC">
        <w:rPr>
          <w:snapToGrid w:val="0"/>
        </w:rPr>
        <w:t xml:space="preserve">grabaciones telegráficas y telefónicas debería reducirse al mínimo de manera que solo se reúnan pruebas pertinentes y que un juez debería supervisar </w:t>
      </w:r>
      <w:r>
        <w:rPr>
          <w:snapToGrid w:val="0"/>
        </w:rPr>
        <w:t>el empleo de este medio</w:t>
      </w:r>
      <w:r w:rsidRPr="00D851AC">
        <w:rPr>
          <w:snapToGrid w:val="0"/>
        </w:rPr>
        <w:t xml:space="preserve">.  </w:t>
      </w:r>
      <w:r>
        <w:rPr>
          <w:snapToGrid w:val="0"/>
        </w:rPr>
        <w:t>Inquieta además al Comité la conclusión de</w:t>
      </w:r>
      <w:r w:rsidRPr="00D851AC">
        <w:rPr>
          <w:snapToGrid w:val="0"/>
        </w:rPr>
        <w:t xml:space="preserve"> la Junta de Protección de Datos </w:t>
      </w:r>
      <w:r>
        <w:rPr>
          <w:snapToGrid w:val="0"/>
        </w:rPr>
        <w:t xml:space="preserve">de que </w:t>
      </w:r>
      <w:r w:rsidRPr="00D851AC">
        <w:rPr>
          <w:snapToGrid w:val="0"/>
        </w:rPr>
        <w:t xml:space="preserve">las grabaciones de conversaciones telefónicas en las que intervienen profesionales </w:t>
      </w:r>
      <w:r>
        <w:rPr>
          <w:snapToGrid w:val="0"/>
        </w:rPr>
        <w:t xml:space="preserve">sujetos </w:t>
      </w:r>
      <w:r w:rsidRPr="00D851AC">
        <w:rPr>
          <w:snapToGrid w:val="0"/>
        </w:rPr>
        <w:t>al deber de confidencialidad, en especial abogados, no est</w:t>
      </w:r>
      <w:r>
        <w:rPr>
          <w:snapToGrid w:val="0"/>
        </w:rPr>
        <w:t>á</w:t>
      </w:r>
      <w:r w:rsidRPr="00D851AC">
        <w:rPr>
          <w:snapToGrid w:val="0"/>
        </w:rPr>
        <w:t xml:space="preserve">n protegidas de manera que se </w:t>
      </w:r>
      <w:r>
        <w:rPr>
          <w:snapToGrid w:val="0"/>
        </w:rPr>
        <w:t xml:space="preserve">preserve </w:t>
      </w:r>
      <w:r w:rsidRPr="00D851AC">
        <w:rPr>
          <w:snapToGrid w:val="0"/>
        </w:rPr>
        <w:t>la confidencialidad entre el abogado y su cliente (art. 17).</w:t>
      </w:r>
    </w:p>
    <w:p w:rsidR="00B82505" w:rsidRPr="00D851AC" w:rsidRDefault="00B82505" w:rsidP="00B82505">
      <w:pPr>
        <w:adjustRightInd w:val="0"/>
        <w:snapToGrid w:val="0"/>
        <w:spacing w:after="240"/>
        <w:ind w:left="567"/>
        <w:rPr>
          <w:b/>
          <w:snapToGrid w:val="0"/>
        </w:rPr>
      </w:pPr>
      <w:r w:rsidRPr="00D851AC">
        <w:rPr>
          <w:b/>
          <w:snapToGrid w:val="0"/>
        </w:rPr>
        <w:t>El Estado parte debería aplicar la ley sobre la intervenci</w:t>
      </w:r>
      <w:r>
        <w:rPr>
          <w:b/>
          <w:snapToGrid w:val="0"/>
        </w:rPr>
        <w:t>ón</w:t>
      </w:r>
      <w:r w:rsidRPr="00D851AC">
        <w:rPr>
          <w:b/>
          <w:snapToGrid w:val="0"/>
        </w:rPr>
        <w:t xml:space="preserve"> de comunicaciones telegráficas y telefónicas de manera compatible con el artículo 17 del Pacto y debería </w:t>
      </w:r>
      <w:r>
        <w:rPr>
          <w:b/>
          <w:snapToGrid w:val="0"/>
        </w:rPr>
        <w:t xml:space="preserve">cerciorarse de que queda excluida la grabación de </w:t>
      </w:r>
      <w:r w:rsidRPr="00D851AC">
        <w:rPr>
          <w:b/>
          <w:snapToGrid w:val="0"/>
        </w:rPr>
        <w:t xml:space="preserve">comunicaciones protegidas por el privilegio de </w:t>
      </w:r>
      <w:r>
        <w:rPr>
          <w:b/>
          <w:snapToGrid w:val="0"/>
        </w:rPr>
        <w:t xml:space="preserve">la </w:t>
      </w:r>
      <w:r w:rsidRPr="00D851AC">
        <w:rPr>
          <w:b/>
          <w:snapToGrid w:val="0"/>
        </w:rPr>
        <w:t>confidencialidad.</w:t>
      </w:r>
    </w:p>
    <w:p w:rsidR="00B82505" w:rsidRPr="00D851AC" w:rsidRDefault="00B82505" w:rsidP="00B82505">
      <w:pPr>
        <w:adjustRightInd w:val="0"/>
        <w:snapToGrid w:val="0"/>
        <w:spacing w:after="240"/>
        <w:rPr>
          <w:snapToGrid w:val="0"/>
        </w:rPr>
      </w:pPr>
      <w:r w:rsidRPr="00D851AC">
        <w:rPr>
          <w:snapToGrid w:val="0"/>
        </w:rPr>
        <w:t>15.</w:t>
      </w:r>
      <w:r w:rsidRPr="00D851AC">
        <w:rPr>
          <w:snapToGrid w:val="0"/>
        </w:rPr>
        <w:tab/>
        <w:t xml:space="preserve">Al Comité le preocupa que, como parte de las medidas </w:t>
      </w:r>
      <w:r>
        <w:rPr>
          <w:snapToGrid w:val="0"/>
        </w:rPr>
        <w:t>de</w:t>
      </w:r>
      <w:r w:rsidRPr="00D851AC">
        <w:rPr>
          <w:snapToGrid w:val="0"/>
        </w:rPr>
        <w:t xml:space="preserve"> lucha contra el terrorismo, los alcaldes puedan emitir órdenes administrativas </w:t>
      </w:r>
      <w:r>
        <w:rPr>
          <w:snapToGrid w:val="0"/>
        </w:rPr>
        <w:t>d</w:t>
      </w:r>
      <w:r w:rsidRPr="00D851AC">
        <w:rPr>
          <w:snapToGrid w:val="0"/>
        </w:rPr>
        <w:t xml:space="preserve">e disturbio, en virtud de las cuales una persona puede ser objeto de injerencias en su vida </w:t>
      </w:r>
      <w:r>
        <w:rPr>
          <w:snapToGrid w:val="0"/>
        </w:rPr>
        <w:t>cotidiana</w:t>
      </w:r>
      <w:r w:rsidRPr="00D851AC">
        <w:rPr>
          <w:snapToGrid w:val="0"/>
        </w:rPr>
        <w:t xml:space="preserve">.  Dichas injerencias pueden incluir </w:t>
      </w:r>
      <w:r>
        <w:rPr>
          <w:snapToGrid w:val="0"/>
        </w:rPr>
        <w:t xml:space="preserve">visitas </w:t>
      </w:r>
      <w:r w:rsidRPr="00D851AC">
        <w:rPr>
          <w:snapToGrid w:val="0"/>
        </w:rPr>
        <w:t xml:space="preserve">al domicilio, contacto con los conocidos de esa persona y contacto repetido con la persona en público.  Como las órdenes </w:t>
      </w:r>
      <w:r>
        <w:rPr>
          <w:snapToGrid w:val="0"/>
        </w:rPr>
        <w:t>d</w:t>
      </w:r>
      <w:r w:rsidRPr="00D851AC">
        <w:rPr>
          <w:snapToGrid w:val="0"/>
        </w:rPr>
        <w:t>e disturbio no necesitan autorización ni supervisión judicial, inquieta al Comit</w:t>
      </w:r>
      <w:r>
        <w:rPr>
          <w:snapToGrid w:val="0"/>
        </w:rPr>
        <w:t xml:space="preserve">é el riesgo existente de que su </w:t>
      </w:r>
      <w:r w:rsidRPr="00D851AC">
        <w:rPr>
          <w:snapToGrid w:val="0"/>
        </w:rPr>
        <w:t xml:space="preserve">aplicación no esté en consonancia con el derecho a la </w:t>
      </w:r>
      <w:r>
        <w:rPr>
          <w:snapToGrid w:val="0"/>
        </w:rPr>
        <w:t xml:space="preserve">intimidad </w:t>
      </w:r>
      <w:r w:rsidRPr="00D851AC">
        <w:rPr>
          <w:snapToGrid w:val="0"/>
        </w:rPr>
        <w:t>(art. 17).</w:t>
      </w:r>
    </w:p>
    <w:p w:rsidR="00B82505" w:rsidRPr="00D851AC" w:rsidRDefault="00B82505" w:rsidP="00130B31">
      <w:pPr>
        <w:adjustRightInd w:val="0"/>
        <w:snapToGrid w:val="0"/>
        <w:spacing w:after="240"/>
        <w:ind w:left="567"/>
        <w:rPr>
          <w:b/>
          <w:snapToGrid w:val="0"/>
        </w:rPr>
      </w:pPr>
      <w:r w:rsidRPr="00D851AC">
        <w:rPr>
          <w:b/>
          <w:snapToGrid w:val="0"/>
        </w:rPr>
        <w:t xml:space="preserve">El Estado parte debería enmendar su legislación para </w:t>
      </w:r>
      <w:r>
        <w:rPr>
          <w:b/>
          <w:snapToGrid w:val="0"/>
        </w:rPr>
        <w:t xml:space="preserve">velar por </w:t>
      </w:r>
      <w:r w:rsidRPr="00D851AC">
        <w:rPr>
          <w:b/>
          <w:snapToGrid w:val="0"/>
        </w:rPr>
        <w:t xml:space="preserve">que las medidas de lucha contra el terrorismo no se contradigan con el artículo 17 del Pacto y </w:t>
      </w:r>
      <w:r>
        <w:rPr>
          <w:b/>
          <w:snapToGrid w:val="0"/>
        </w:rPr>
        <w:t>por que haya salvaguardias eficaces</w:t>
      </w:r>
      <w:r w:rsidRPr="00D851AC">
        <w:rPr>
          <w:b/>
          <w:snapToGrid w:val="0"/>
        </w:rPr>
        <w:t>, como la supervisión judicial, para combatir los abusos.</w:t>
      </w:r>
    </w:p>
    <w:p w:rsidR="00B82505" w:rsidRPr="00D851AC" w:rsidRDefault="00B82505" w:rsidP="00B82505">
      <w:pPr>
        <w:adjustRightInd w:val="0"/>
        <w:snapToGrid w:val="0"/>
        <w:spacing w:after="240"/>
        <w:rPr>
          <w:snapToGrid w:val="0"/>
        </w:rPr>
      </w:pPr>
      <w:r w:rsidRPr="00D851AC">
        <w:rPr>
          <w:snapToGrid w:val="0"/>
        </w:rPr>
        <w:t>16.</w:t>
      </w:r>
      <w:r w:rsidRPr="00D851AC">
        <w:rPr>
          <w:snapToGrid w:val="0"/>
        </w:rPr>
        <w:tab/>
        <w:t xml:space="preserve">El Comité </w:t>
      </w:r>
      <w:r>
        <w:rPr>
          <w:snapToGrid w:val="0"/>
        </w:rPr>
        <w:t>toma nota de</w:t>
      </w:r>
      <w:r w:rsidRPr="00D851AC">
        <w:rPr>
          <w:snapToGrid w:val="0"/>
        </w:rPr>
        <w:t xml:space="preserve"> la intención del Estado parte de abolir el artículo sobre la blasfemia en el Código Penal y revisar al mismo tiempo sus disposiciones de lucha contra la discriminación (arts. 19 y 20).</w:t>
      </w:r>
    </w:p>
    <w:p w:rsidR="00B82505" w:rsidRPr="00D851AC" w:rsidRDefault="00B82505" w:rsidP="00B82505">
      <w:pPr>
        <w:adjustRightInd w:val="0"/>
        <w:snapToGrid w:val="0"/>
        <w:spacing w:after="240"/>
        <w:ind w:left="567"/>
        <w:rPr>
          <w:b/>
          <w:snapToGrid w:val="0"/>
        </w:rPr>
      </w:pPr>
      <w:r w:rsidRPr="00D851AC">
        <w:rPr>
          <w:b/>
          <w:snapToGrid w:val="0"/>
        </w:rPr>
        <w:t xml:space="preserve">El Estado parte debería </w:t>
      </w:r>
      <w:r>
        <w:rPr>
          <w:b/>
          <w:snapToGrid w:val="0"/>
        </w:rPr>
        <w:t>seguir de cerca la reforma legislativa en la materia para cerciorarse de que sea compatible con el artículo 19</w:t>
      </w:r>
      <w:r w:rsidRPr="00D851AC">
        <w:rPr>
          <w:b/>
          <w:snapToGrid w:val="0"/>
        </w:rPr>
        <w:t>.</w:t>
      </w:r>
    </w:p>
    <w:p w:rsidR="00B82505" w:rsidRPr="00D851AC" w:rsidRDefault="00B82505" w:rsidP="00B82505">
      <w:pPr>
        <w:adjustRightInd w:val="0"/>
        <w:snapToGrid w:val="0"/>
        <w:spacing w:after="240"/>
        <w:rPr>
          <w:snapToGrid w:val="0"/>
        </w:rPr>
      </w:pPr>
      <w:r w:rsidRPr="00D851AC">
        <w:rPr>
          <w:snapToGrid w:val="0"/>
        </w:rPr>
        <w:t>17.</w:t>
      </w:r>
      <w:r w:rsidRPr="00D851AC">
        <w:rPr>
          <w:snapToGrid w:val="0"/>
        </w:rPr>
        <w:tab/>
        <w:t xml:space="preserve">El Comité está preocupado por el problema de los abusos sexuales de niños en el Estado parte.  Incluso </w:t>
      </w:r>
      <w:r>
        <w:rPr>
          <w:snapToGrid w:val="0"/>
        </w:rPr>
        <w:t xml:space="preserve">con el </w:t>
      </w:r>
      <w:r w:rsidRPr="00D851AC">
        <w:rPr>
          <w:snapToGrid w:val="0"/>
        </w:rPr>
        <w:t>plan de acción "Children Safe at Home", inquieta al Comité que la labor realizada para proteger a los niños sea insuf</w:t>
      </w:r>
      <w:r>
        <w:rPr>
          <w:snapToGrid w:val="0"/>
        </w:rPr>
        <w:t>iciente y</w:t>
      </w:r>
      <w:r w:rsidR="00130B31">
        <w:rPr>
          <w:snapToGrid w:val="0"/>
        </w:rPr>
        <w:t>,</w:t>
      </w:r>
      <w:r>
        <w:rPr>
          <w:snapToGrid w:val="0"/>
        </w:rPr>
        <w:t xml:space="preserve"> que muchos casos de abuso</w:t>
      </w:r>
      <w:r w:rsidRPr="00D851AC">
        <w:rPr>
          <w:snapToGrid w:val="0"/>
        </w:rPr>
        <w:t xml:space="preserve"> queden sin denunciar (arts. 7 y 24).</w:t>
      </w:r>
    </w:p>
    <w:p w:rsidR="00B82505" w:rsidRPr="00D851AC" w:rsidRDefault="00B82505" w:rsidP="00B82505">
      <w:pPr>
        <w:adjustRightInd w:val="0"/>
        <w:snapToGrid w:val="0"/>
        <w:spacing w:after="240"/>
        <w:ind w:left="567"/>
        <w:rPr>
          <w:b/>
          <w:snapToGrid w:val="0"/>
        </w:rPr>
      </w:pPr>
      <w:r w:rsidRPr="00D851AC">
        <w:rPr>
          <w:b/>
          <w:snapToGrid w:val="0"/>
        </w:rPr>
        <w:t xml:space="preserve">El Estado parte debería redoblar sus esfuerzos </w:t>
      </w:r>
      <w:r>
        <w:rPr>
          <w:b/>
          <w:snapToGrid w:val="0"/>
        </w:rPr>
        <w:t xml:space="preserve">por combatir </w:t>
      </w:r>
      <w:r w:rsidRPr="00D851AC">
        <w:rPr>
          <w:b/>
          <w:snapToGrid w:val="0"/>
        </w:rPr>
        <w:t xml:space="preserve">el maltrato infantil mejorando los mecanismos para su detección temprana, </w:t>
      </w:r>
      <w:r>
        <w:rPr>
          <w:b/>
          <w:snapToGrid w:val="0"/>
        </w:rPr>
        <w:t>fomentando</w:t>
      </w:r>
      <w:r w:rsidRPr="00D851AC">
        <w:rPr>
          <w:b/>
          <w:snapToGrid w:val="0"/>
        </w:rPr>
        <w:t xml:space="preserve"> la denuncia de l</w:t>
      </w:r>
      <w:r>
        <w:rPr>
          <w:b/>
          <w:snapToGrid w:val="0"/>
        </w:rPr>
        <w:t>o</w:t>
      </w:r>
      <w:r w:rsidRPr="00D851AC">
        <w:rPr>
          <w:b/>
          <w:snapToGrid w:val="0"/>
        </w:rPr>
        <w:t>s malos tratos reales</w:t>
      </w:r>
      <w:r>
        <w:rPr>
          <w:b/>
          <w:snapToGrid w:val="0"/>
        </w:rPr>
        <w:t xml:space="preserve"> o presuntos</w:t>
      </w:r>
      <w:r w:rsidRPr="00D851AC">
        <w:rPr>
          <w:b/>
          <w:snapToGrid w:val="0"/>
        </w:rPr>
        <w:t xml:space="preserve"> y exigiendo a las autoridades que </w:t>
      </w:r>
      <w:r>
        <w:rPr>
          <w:b/>
          <w:snapToGrid w:val="0"/>
        </w:rPr>
        <w:t xml:space="preserve">inicien acciones judiciales </w:t>
      </w:r>
      <w:r w:rsidRPr="00D851AC">
        <w:rPr>
          <w:b/>
          <w:snapToGrid w:val="0"/>
        </w:rPr>
        <w:t>contra las personas que participen en el maltrato infantil.</w:t>
      </w:r>
    </w:p>
    <w:p w:rsidR="00B82505" w:rsidRPr="00D851AC" w:rsidRDefault="00B82505" w:rsidP="00B82505">
      <w:pPr>
        <w:adjustRightInd w:val="0"/>
        <w:snapToGrid w:val="0"/>
        <w:spacing w:after="240"/>
        <w:rPr>
          <w:snapToGrid w:val="0"/>
        </w:rPr>
      </w:pPr>
      <w:r w:rsidRPr="00D851AC">
        <w:rPr>
          <w:snapToGrid w:val="0"/>
        </w:rPr>
        <w:t>18.</w:t>
      </w:r>
      <w:r w:rsidRPr="00D851AC">
        <w:rPr>
          <w:snapToGrid w:val="0"/>
        </w:rPr>
        <w:tab/>
        <w:t xml:space="preserve">Al Comité le preocupa que condicionar la asignación de viviendas en determinadas zonas a requisitos </w:t>
      </w:r>
      <w:r>
        <w:rPr>
          <w:snapToGrid w:val="0"/>
        </w:rPr>
        <w:t>de ingresos adicionales</w:t>
      </w:r>
      <w:r w:rsidRPr="00D851AC">
        <w:rPr>
          <w:snapToGrid w:val="0"/>
        </w:rPr>
        <w:t xml:space="preserve">, con arreglo a la Ley sobre </w:t>
      </w:r>
      <w:r>
        <w:rPr>
          <w:snapToGrid w:val="0"/>
        </w:rPr>
        <w:t xml:space="preserve">zonas </w:t>
      </w:r>
      <w:r w:rsidRPr="00D851AC">
        <w:rPr>
          <w:snapToGrid w:val="0"/>
        </w:rPr>
        <w:t>urbanas (medidas especiales)</w:t>
      </w:r>
      <w:r>
        <w:rPr>
          <w:snapToGrid w:val="0"/>
        </w:rPr>
        <w:t xml:space="preserve"> de 2006</w:t>
      </w:r>
      <w:r w:rsidRPr="00D851AC">
        <w:rPr>
          <w:snapToGrid w:val="0"/>
        </w:rPr>
        <w:t>, junto con el hecho de al</w:t>
      </w:r>
      <w:r>
        <w:rPr>
          <w:snapToGrid w:val="0"/>
        </w:rPr>
        <w:t>ojar</w:t>
      </w:r>
      <w:r w:rsidRPr="00D851AC">
        <w:rPr>
          <w:snapToGrid w:val="0"/>
        </w:rPr>
        <w:t xml:space="preserve"> deliberadamente a personas y familias </w:t>
      </w:r>
      <w:r>
        <w:rPr>
          <w:snapToGrid w:val="0"/>
        </w:rPr>
        <w:t>de</w:t>
      </w:r>
      <w:r w:rsidRPr="00D851AC">
        <w:rPr>
          <w:snapToGrid w:val="0"/>
        </w:rPr>
        <w:t xml:space="preserve"> bajos ingresos en distritos municipales de la periferia y el centro, pueda dar lugar a violaciones del párrafo 1 del artículo 12 y el artículo 26 del Pacto (art</w:t>
      </w:r>
      <w:r>
        <w:rPr>
          <w:snapToGrid w:val="0"/>
        </w:rPr>
        <w:t xml:space="preserve">ículo </w:t>
      </w:r>
      <w:r w:rsidRPr="00D851AC">
        <w:rPr>
          <w:snapToGrid w:val="0"/>
        </w:rPr>
        <w:t xml:space="preserve">2, </w:t>
      </w:r>
      <w:r>
        <w:rPr>
          <w:snapToGrid w:val="0"/>
        </w:rPr>
        <w:t>párrafo 1 del art</w:t>
      </w:r>
      <w:r w:rsidR="00130B31">
        <w:rPr>
          <w:snapToGrid w:val="0"/>
        </w:rPr>
        <w:t>í</w:t>
      </w:r>
      <w:r>
        <w:rPr>
          <w:snapToGrid w:val="0"/>
        </w:rPr>
        <w:t xml:space="preserve">culo </w:t>
      </w:r>
      <w:r w:rsidRPr="00D851AC">
        <w:rPr>
          <w:snapToGrid w:val="0"/>
        </w:rPr>
        <w:t>12</w:t>
      </w:r>
      <w:r>
        <w:rPr>
          <w:snapToGrid w:val="0"/>
        </w:rPr>
        <w:t xml:space="preserve"> y artículos 17 y</w:t>
      </w:r>
      <w:r w:rsidRPr="00D851AC">
        <w:rPr>
          <w:snapToGrid w:val="0"/>
        </w:rPr>
        <w:t xml:space="preserve"> 26).</w:t>
      </w:r>
    </w:p>
    <w:p w:rsidR="00B82505" w:rsidRPr="00D851AC" w:rsidRDefault="00B82505" w:rsidP="00B82505">
      <w:pPr>
        <w:adjustRightInd w:val="0"/>
        <w:snapToGrid w:val="0"/>
        <w:spacing w:after="240"/>
        <w:ind w:left="567"/>
        <w:rPr>
          <w:b/>
          <w:snapToGrid w:val="0"/>
        </w:rPr>
      </w:pPr>
      <w:r w:rsidRPr="00D851AC">
        <w:rPr>
          <w:b/>
          <w:snapToGrid w:val="0"/>
        </w:rPr>
        <w:t xml:space="preserve">El Estado parte debería </w:t>
      </w:r>
      <w:r>
        <w:rPr>
          <w:b/>
          <w:snapToGrid w:val="0"/>
        </w:rPr>
        <w:t xml:space="preserve">velar por que su reglamentación del </w:t>
      </w:r>
      <w:r w:rsidRPr="00D851AC">
        <w:rPr>
          <w:b/>
          <w:snapToGrid w:val="0"/>
        </w:rPr>
        <w:t xml:space="preserve">acceso a la vivienda no discrimine a las familias </w:t>
      </w:r>
      <w:r>
        <w:rPr>
          <w:b/>
          <w:snapToGrid w:val="0"/>
        </w:rPr>
        <w:t>de</w:t>
      </w:r>
      <w:r w:rsidRPr="00D851AC">
        <w:rPr>
          <w:b/>
          <w:snapToGrid w:val="0"/>
        </w:rPr>
        <w:t xml:space="preserve"> bajos ingresos y respete el derecho a elegir el lugar de residencia.</w:t>
      </w:r>
    </w:p>
    <w:p w:rsidR="00B82505" w:rsidRPr="00D851AC" w:rsidRDefault="00B82505" w:rsidP="00B82505">
      <w:pPr>
        <w:adjustRightInd w:val="0"/>
        <w:snapToGrid w:val="0"/>
        <w:spacing w:after="240"/>
        <w:rPr>
          <w:snapToGrid w:val="0"/>
        </w:rPr>
      </w:pPr>
      <w:r w:rsidRPr="00D851AC">
        <w:rPr>
          <w:snapToGrid w:val="0"/>
        </w:rPr>
        <w:t>19.</w:t>
      </w:r>
      <w:r w:rsidRPr="00D851AC">
        <w:rPr>
          <w:snapToGrid w:val="0"/>
        </w:rPr>
        <w:tab/>
        <w:t>Preocupa</w:t>
      </w:r>
      <w:r>
        <w:rPr>
          <w:snapToGrid w:val="0"/>
        </w:rPr>
        <w:t>n</w:t>
      </w:r>
      <w:r w:rsidRPr="00D851AC">
        <w:rPr>
          <w:snapToGrid w:val="0"/>
        </w:rPr>
        <w:t xml:space="preserve"> al Comité las denuncias de discriminación contra </w:t>
      </w:r>
      <w:r>
        <w:rPr>
          <w:snapToGrid w:val="0"/>
        </w:rPr>
        <w:t>minorías étnicas, entre otras cosas</w:t>
      </w:r>
      <w:r w:rsidRPr="00D851AC">
        <w:rPr>
          <w:snapToGrid w:val="0"/>
        </w:rPr>
        <w:t xml:space="preserve">, en la contratación y </w:t>
      </w:r>
      <w:r>
        <w:rPr>
          <w:snapToGrid w:val="0"/>
        </w:rPr>
        <w:t xml:space="preserve">la </w:t>
      </w:r>
      <w:r w:rsidRPr="00D851AC">
        <w:rPr>
          <w:snapToGrid w:val="0"/>
        </w:rPr>
        <w:t xml:space="preserve">selección </w:t>
      </w:r>
      <w:r>
        <w:rPr>
          <w:snapToGrid w:val="0"/>
        </w:rPr>
        <w:t xml:space="preserve">en el lugar </w:t>
      </w:r>
      <w:r w:rsidRPr="00D851AC">
        <w:rPr>
          <w:snapToGrid w:val="0"/>
        </w:rPr>
        <w:t>de trabajo (art. 26).</w:t>
      </w:r>
    </w:p>
    <w:p w:rsidR="00B82505" w:rsidRDefault="00B82505" w:rsidP="00B82505">
      <w:pPr>
        <w:adjustRightInd w:val="0"/>
        <w:snapToGrid w:val="0"/>
        <w:spacing w:after="240"/>
        <w:ind w:left="567"/>
        <w:rPr>
          <w:b/>
          <w:snapToGrid w:val="0"/>
        </w:rPr>
      </w:pPr>
      <w:r w:rsidRPr="00D851AC">
        <w:rPr>
          <w:b/>
          <w:snapToGrid w:val="0"/>
        </w:rPr>
        <w:t xml:space="preserve">El Estado parte debería adoptar medidas </w:t>
      </w:r>
      <w:r>
        <w:rPr>
          <w:b/>
          <w:snapToGrid w:val="0"/>
        </w:rPr>
        <w:t xml:space="preserve">activas </w:t>
      </w:r>
      <w:r w:rsidRPr="00D851AC">
        <w:rPr>
          <w:b/>
          <w:snapToGrid w:val="0"/>
        </w:rPr>
        <w:t xml:space="preserve">para que </w:t>
      </w:r>
      <w:r>
        <w:rPr>
          <w:b/>
          <w:snapToGrid w:val="0"/>
        </w:rPr>
        <w:t xml:space="preserve">los miembros de </w:t>
      </w:r>
      <w:r w:rsidRPr="00D851AC">
        <w:rPr>
          <w:b/>
          <w:snapToGrid w:val="0"/>
        </w:rPr>
        <w:t>las minorías étnicas ten</w:t>
      </w:r>
      <w:r>
        <w:rPr>
          <w:b/>
          <w:snapToGrid w:val="0"/>
        </w:rPr>
        <w:t>gan</w:t>
      </w:r>
      <w:r w:rsidRPr="00D851AC">
        <w:rPr>
          <w:b/>
          <w:snapToGrid w:val="0"/>
        </w:rPr>
        <w:t xml:space="preserve"> las mismas oportunidades que las </w:t>
      </w:r>
      <w:r>
        <w:rPr>
          <w:b/>
          <w:snapToGrid w:val="0"/>
        </w:rPr>
        <w:t xml:space="preserve">demás </w:t>
      </w:r>
      <w:r w:rsidRPr="00D851AC">
        <w:rPr>
          <w:b/>
          <w:snapToGrid w:val="0"/>
        </w:rPr>
        <w:t xml:space="preserve">personas en la contratación y </w:t>
      </w:r>
      <w:r>
        <w:rPr>
          <w:b/>
          <w:snapToGrid w:val="0"/>
        </w:rPr>
        <w:t xml:space="preserve">la </w:t>
      </w:r>
      <w:r w:rsidRPr="00D851AC">
        <w:rPr>
          <w:b/>
          <w:snapToGrid w:val="0"/>
        </w:rPr>
        <w:t xml:space="preserve">selección </w:t>
      </w:r>
      <w:r>
        <w:rPr>
          <w:b/>
          <w:snapToGrid w:val="0"/>
        </w:rPr>
        <w:t xml:space="preserve">en el lugar </w:t>
      </w:r>
      <w:r w:rsidRPr="00D851AC">
        <w:rPr>
          <w:b/>
          <w:snapToGrid w:val="0"/>
        </w:rPr>
        <w:t>de trabajo</w:t>
      </w:r>
      <w:r>
        <w:rPr>
          <w:b/>
          <w:snapToGrid w:val="0"/>
        </w:rPr>
        <w:t>, por ejemplo:</w:t>
      </w:r>
    </w:p>
    <w:p w:rsidR="00B82505" w:rsidRDefault="00B82505" w:rsidP="00B82505">
      <w:pPr>
        <w:adjustRightInd w:val="0"/>
        <w:snapToGrid w:val="0"/>
        <w:spacing w:after="240"/>
        <w:ind w:left="1134" w:hanging="567"/>
        <w:rPr>
          <w:b/>
          <w:snapToGrid w:val="0"/>
        </w:rPr>
      </w:pPr>
      <w:r>
        <w:rPr>
          <w:b/>
          <w:snapToGrid w:val="0"/>
        </w:rPr>
        <w:t>a)</w:t>
      </w:r>
      <w:r>
        <w:rPr>
          <w:b/>
          <w:snapToGrid w:val="0"/>
        </w:rPr>
        <w:tab/>
        <w:t>Desplegando actividades de sensibilización sobre este asunto en el sector privado;</w:t>
      </w:r>
    </w:p>
    <w:p w:rsidR="00B82505" w:rsidRDefault="00B82505" w:rsidP="00B82505">
      <w:pPr>
        <w:adjustRightInd w:val="0"/>
        <w:snapToGrid w:val="0"/>
        <w:spacing w:after="240"/>
        <w:ind w:left="1134" w:hanging="567"/>
        <w:rPr>
          <w:b/>
          <w:snapToGrid w:val="0"/>
        </w:rPr>
      </w:pPr>
      <w:r>
        <w:rPr>
          <w:b/>
          <w:snapToGrid w:val="0"/>
        </w:rPr>
        <w:t>b)</w:t>
      </w:r>
      <w:r>
        <w:rPr>
          <w:b/>
          <w:snapToGrid w:val="0"/>
        </w:rPr>
        <w:tab/>
        <w:t>Cerciorándose de que las oportunidades de empleo en el sector público reciben una publicidad apropiada en el seno de las comunidades étnicas minoritarias; y</w:t>
      </w:r>
    </w:p>
    <w:p w:rsidR="00B82505" w:rsidRPr="00D851AC" w:rsidRDefault="00B82505" w:rsidP="00B82505">
      <w:pPr>
        <w:adjustRightInd w:val="0"/>
        <w:snapToGrid w:val="0"/>
        <w:spacing w:after="240"/>
        <w:ind w:left="1134" w:hanging="567"/>
        <w:rPr>
          <w:b/>
          <w:snapToGrid w:val="0"/>
        </w:rPr>
      </w:pPr>
      <w:r>
        <w:rPr>
          <w:b/>
          <w:snapToGrid w:val="0"/>
        </w:rPr>
        <w:t>c)</w:t>
      </w:r>
      <w:r>
        <w:rPr>
          <w:b/>
          <w:snapToGrid w:val="0"/>
        </w:rPr>
        <w:tab/>
        <w:t>Procediendo a una búsqueda debidamente amplia de candidatos procedentes de minorías étnicas.</w:t>
      </w:r>
    </w:p>
    <w:p w:rsidR="00B82505" w:rsidRPr="00D851AC" w:rsidRDefault="00B82505" w:rsidP="00130B31">
      <w:pPr>
        <w:adjustRightInd w:val="0"/>
        <w:snapToGrid w:val="0"/>
        <w:spacing w:before="480" w:after="240"/>
        <w:jc w:val="center"/>
        <w:rPr>
          <w:b/>
          <w:snapToGrid w:val="0"/>
        </w:rPr>
      </w:pPr>
      <w:r w:rsidRPr="00D851AC">
        <w:rPr>
          <w:b/>
          <w:snapToGrid w:val="0"/>
        </w:rPr>
        <w:t>ANTILLAS NEERLANDESAS</w:t>
      </w:r>
    </w:p>
    <w:p w:rsidR="00B82505" w:rsidRPr="00D851AC" w:rsidRDefault="00B82505" w:rsidP="00B82505">
      <w:pPr>
        <w:adjustRightInd w:val="0"/>
        <w:snapToGrid w:val="0"/>
        <w:spacing w:after="240"/>
        <w:jc w:val="center"/>
        <w:rPr>
          <w:b/>
          <w:snapToGrid w:val="0"/>
        </w:rPr>
      </w:pPr>
      <w:r w:rsidRPr="00D851AC">
        <w:rPr>
          <w:b/>
          <w:snapToGrid w:val="0"/>
        </w:rPr>
        <w:t>B.  Aspectos positivos</w:t>
      </w:r>
    </w:p>
    <w:p w:rsidR="00B82505" w:rsidRPr="00D851AC" w:rsidRDefault="00B82505" w:rsidP="00B82505">
      <w:pPr>
        <w:adjustRightInd w:val="0"/>
        <w:snapToGrid w:val="0"/>
        <w:spacing w:after="240"/>
        <w:rPr>
          <w:snapToGrid w:val="0"/>
        </w:rPr>
      </w:pPr>
      <w:r w:rsidRPr="00D851AC">
        <w:rPr>
          <w:snapToGrid w:val="0"/>
        </w:rPr>
        <w:t>20.</w:t>
      </w:r>
      <w:r w:rsidRPr="00D851AC">
        <w:rPr>
          <w:snapToGrid w:val="0"/>
        </w:rPr>
        <w:tab/>
        <w:t xml:space="preserve">El Comité acoge con agrado el desarrollo en 2006 de un sistema nacional de </w:t>
      </w:r>
      <w:r>
        <w:rPr>
          <w:snapToGrid w:val="0"/>
        </w:rPr>
        <w:t xml:space="preserve">referencia </w:t>
      </w:r>
      <w:r w:rsidRPr="00D851AC">
        <w:rPr>
          <w:snapToGrid w:val="0"/>
        </w:rPr>
        <w:t xml:space="preserve">para las víctimas de la trata necesitadas de asistencia, que se actualiza periódicamente en consulta con la Organización Internacional para las Migraciones y el Centro de Coordinación </w:t>
      </w:r>
      <w:r>
        <w:rPr>
          <w:snapToGrid w:val="0"/>
        </w:rPr>
        <w:t>sobre</w:t>
      </w:r>
      <w:r w:rsidRPr="00D851AC">
        <w:rPr>
          <w:snapToGrid w:val="0"/>
        </w:rPr>
        <w:t xml:space="preserve"> la Trata de Personas.</w:t>
      </w:r>
    </w:p>
    <w:p w:rsidR="00B82505" w:rsidRPr="00D851AC" w:rsidRDefault="00B82505" w:rsidP="00B82505">
      <w:pPr>
        <w:adjustRightInd w:val="0"/>
        <w:snapToGrid w:val="0"/>
        <w:spacing w:after="240"/>
        <w:jc w:val="center"/>
        <w:rPr>
          <w:b/>
          <w:snapToGrid w:val="0"/>
        </w:rPr>
      </w:pPr>
      <w:r w:rsidRPr="00D851AC">
        <w:rPr>
          <w:b/>
          <w:snapToGrid w:val="0"/>
        </w:rPr>
        <w:t>C.  Principales motivos de preocupación y recomendaciones</w:t>
      </w:r>
    </w:p>
    <w:p w:rsidR="00B82505" w:rsidRPr="00D851AC" w:rsidRDefault="00B82505" w:rsidP="00B82505">
      <w:pPr>
        <w:adjustRightInd w:val="0"/>
        <w:snapToGrid w:val="0"/>
        <w:spacing w:after="240"/>
        <w:rPr>
          <w:snapToGrid w:val="0"/>
        </w:rPr>
      </w:pPr>
      <w:r w:rsidRPr="00D851AC">
        <w:rPr>
          <w:snapToGrid w:val="0"/>
        </w:rPr>
        <w:t>21.</w:t>
      </w:r>
      <w:r w:rsidRPr="00D851AC">
        <w:rPr>
          <w:snapToGrid w:val="0"/>
        </w:rPr>
        <w:tab/>
        <w:t xml:space="preserve">El Comité felicita al Estado parte por la enmienda legislativa que permite la declaración </w:t>
      </w:r>
      <w:r>
        <w:rPr>
          <w:snapToGrid w:val="0"/>
        </w:rPr>
        <w:t>judicial</w:t>
      </w:r>
      <w:r w:rsidRPr="00D851AC">
        <w:rPr>
          <w:snapToGrid w:val="0"/>
        </w:rPr>
        <w:t xml:space="preserve"> de paternidad respecto de </w:t>
      </w:r>
      <w:r>
        <w:rPr>
          <w:snapToGrid w:val="0"/>
        </w:rPr>
        <w:t xml:space="preserve">los </w:t>
      </w:r>
      <w:r w:rsidRPr="00D851AC">
        <w:rPr>
          <w:snapToGrid w:val="0"/>
        </w:rPr>
        <w:t xml:space="preserve">hijos nacidos fuera de matrimonio.  No obstante, </w:t>
      </w:r>
      <w:r>
        <w:rPr>
          <w:snapToGrid w:val="0"/>
        </w:rPr>
        <w:t xml:space="preserve">le </w:t>
      </w:r>
      <w:r w:rsidRPr="00D851AC">
        <w:rPr>
          <w:snapToGrid w:val="0"/>
        </w:rPr>
        <w:t>preocupa que los hijos na</w:t>
      </w:r>
      <w:r>
        <w:rPr>
          <w:snapToGrid w:val="0"/>
        </w:rPr>
        <w:t>cidos fuera de matrimonio siga</w:t>
      </w:r>
      <w:r w:rsidRPr="00D851AC">
        <w:rPr>
          <w:snapToGrid w:val="0"/>
        </w:rPr>
        <w:t xml:space="preserve">n siendo objeto de discriminación </w:t>
      </w:r>
      <w:r>
        <w:rPr>
          <w:snapToGrid w:val="0"/>
        </w:rPr>
        <w:t xml:space="preserve">en forma de </w:t>
      </w:r>
      <w:r w:rsidRPr="00D851AC">
        <w:rPr>
          <w:snapToGrid w:val="0"/>
        </w:rPr>
        <w:t>pérdida o limitación de s</w:t>
      </w:r>
      <w:r>
        <w:rPr>
          <w:snapToGrid w:val="0"/>
        </w:rPr>
        <w:t xml:space="preserve">u derecho a la herencia (arts. </w:t>
      </w:r>
      <w:r w:rsidRPr="00D851AC">
        <w:rPr>
          <w:snapToGrid w:val="0"/>
        </w:rPr>
        <w:t>2 y 26).</w:t>
      </w:r>
    </w:p>
    <w:p w:rsidR="00B82505" w:rsidRPr="00D851AC" w:rsidRDefault="00B82505" w:rsidP="00B82505">
      <w:pPr>
        <w:adjustRightInd w:val="0"/>
        <w:snapToGrid w:val="0"/>
        <w:spacing w:after="240"/>
        <w:ind w:left="567"/>
        <w:rPr>
          <w:b/>
          <w:snapToGrid w:val="0"/>
        </w:rPr>
      </w:pPr>
      <w:r w:rsidRPr="00D851AC">
        <w:rPr>
          <w:b/>
          <w:snapToGrid w:val="0"/>
        </w:rPr>
        <w:t xml:space="preserve">El Estado parte debería modificar su legislación a fin de eliminar las disposiciones que discriminen a los hijos nacidos fuera de matrimonio </w:t>
      </w:r>
      <w:r>
        <w:rPr>
          <w:b/>
          <w:snapToGrid w:val="0"/>
        </w:rPr>
        <w:t xml:space="preserve">en materia de </w:t>
      </w:r>
      <w:r w:rsidRPr="00D851AC">
        <w:rPr>
          <w:b/>
          <w:snapToGrid w:val="0"/>
        </w:rPr>
        <w:t>herencia.</w:t>
      </w:r>
    </w:p>
    <w:p w:rsidR="00B82505" w:rsidRPr="00D851AC" w:rsidRDefault="00B82505" w:rsidP="00B82505">
      <w:pPr>
        <w:adjustRightInd w:val="0"/>
        <w:snapToGrid w:val="0"/>
        <w:spacing w:after="240"/>
        <w:rPr>
          <w:snapToGrid w:val="0"/>
        </w:rPr>
      </w:pPr>
      <w:r w:rsidRPr="00D851AC">
        <w:rPr>
          <w:snapToGrid w:val="0"/>
        </w:rPr>
        <w:t>22.</w:t>
      </w:r>
      <w:r w:rsidRPr="00D851AC">
        <w:rPr>
          <w:snapToGrid w:val="0"/>
        </w:rPr>
        <w:tab/>
        <w:t xml:space="preserve">El Comité </w:t>
      </w:r>
      <w:r>
        <w:rPr>
          <w:snapToGrid w:val="0"/>
        </w:rPr>
        <w:t xml:space="preserve">observa </w:t>
      </w:r>
      <w:r w:rsidRPr="00D851AC">
        <w:rPr>
          <w:snapToGrid w:val="0"/>
        </w:rPr>
        <w:t xml:space="preserve">con inquietud que la trata de personas no constituye un delito independiente </w:t>
      </w:r>
      <w:r>
        <w:rPr>
          <w:snapToGrid w:val="0"/>
        </w:rPr>
        <w:t xml:space="preserve">en </w:t>
      </w:r>
      <w:r w:rsidRPr="00D851AC">
        <w:rPr>
          <w:snapToGrid w:val="0"/>
        </w:rPr>
        <w:t xml:space="preserve">la </w:t>
      </w:r>
      <w:r>
        <w:rPr>
          <w:snapToGrid w:val="0"/>
        </w:rPr>
        <w:t xml:space="preserve">legislación </w:t>
      </w:r>
      <w:r w:rsidRPr="00D851AC">
        <w:rPr>
          <w:snapToGrid w:val="0"/>
        </w:rPr>
        <w:t xml:space="preserve">de las Antillas Neerlandesas y que se hace frente a </w:t>
      </w:r>
      <w:r>
        <w:rPr>
          <w:snapToGrid w:val="0"/>
        </w:rPr>
        <w:t xml:space="preserve">ese fenómeno formulando cargos </w:t>
      </w:r>
      <w:r w:rsidRPr="00D851AC">
        <w:rPr>
          <w:snapToGrid w:val="0"/>
        </w:rPr>
        <w:t>por otros delitos tipificados en el Código Penal, como l</w:t>
      </w:r>
      <w:r>
        <w:rPr>
          <w:snapToGrid w:val="0"/>
        </w:rPr>
        <w:t>a privación ilegal de libertad o</w:t>
      </w:r>
      <w:r w:rsidRPr="00D851AC">
        <w:rPr>
          <w:snapToGrid w:val="0"/>
        </w:rPr>
        <w:t xml:space="preserve"> los delitos sexuales.  El Comité considera que es importante tipificar la trata como delito diferenciado, ya que así se tienen en cuenta </w:t>
      </w:r>
      <w:r>
        <w:rPr>
          <w:snapToGrid w:val="0"/>
        </w:rPr>
        <w:t>sus</w:t>
      </w:r>
      <w:r w:rsidRPr="00D851AC">
        <w:rPr>
          <w:snapToGrid w:val="0"/>
        </w:rPr>
        <w:t xml:space="preserve"> elementos específicos y se incrementan las probabilidades de éxito en los </w:t>
      </w:r>
      <w:r>
        <w:rPr>
          <w:snapToGrid w:val="0"/>
        </w:rPr>
        <w:t xml:space="preserve">procesos </w:t>
      </w:r>
      <w:r w:rsidRPr="00D851AC">
        <w:rPr>
          <w:snapToGrid w:val="0"/>
        </w:rPr>
        <w:t>(art. 7)</w:t>
      </w:r>
      <w:r>
        <w:rPr>
          <w:snapToGrid w:val="0"/>
        </w:rPr>
        <w:t>.</w:t>
      </w:r>
    </w:p>
    <w:p w:rsidR="00B82505" w:rsidRPr="00D851AC" w:rsidRDefault="00B82505" w:rsidP="00B82505">
      <w:pPr>
        <w:adjustRightInd w:val="0"/>
        <w:snapToGrid w:val="0"/>
        <w:spacing w:after="240"/>
        <w:ind w:left="567"/>
        <w:rPr>
          <w:b/>
          <w:snapToGrid w:val="0"/>
        </w:rPr>
      </w:pPr>
      <w:r w:rsidRPr="00D851AC">
        <w:rPr>
          <w:b/>
          <w:snapToGrid w:val="0"/>
        </w:rPr>
        <w:t>El Estado parte debería introducir en su Código Penal un delito diferenciado de trata de seres humanos.</w:t>
      </w:r>
    </w:p>
    <w:p w:rsidR="00B82505" w:rsidRPr="00D851AC" w:rsidRDefault="00B82505" w:rsidP="00B82505">
      <w:pPr>
        <w:adjustRightInd w:val="0"/>
        <w:snapToGrid w:val="0"/>
        <w:spacing w:after="240"/>
        <w:rPr>
          <w:snapToGrid w:val="0"/>
        </w:rPr>
      </w:pPr>
      <w:r w:rsidRPr="00D851AC">
        <w:rPr>
          <w:snapToGrid w:val="0"/>
        </w:rPr>
        <w:t>23.</w:t>
      </w:r>
      <w:r w:rsidRPr="00D851AC">
        <w:rPr>
          <w:snapToGrid w:val="0"/>
        </w:rPr>
        <w:tab/>
      </w:r>
      <w:r>
        <w:rPr>
          <w:snapToGrid w:val="0"/>
        </w:rPr>
        <w:t>P</w:t>
      </w:r>
      <w:r w:rsidRPr="00D851AC">
        <w:rPr>
          <w:snapToGrid w:val="0"/>
        </w:rPr>
        <w:t xml:space="preserve">reocupan </w:t>
      </w:r>
      <w:r>
        <w:rPr>
          <w:snapToGrid w:val="0"/>
        </w:rPr>
        <w:t xml:space="preserve">al Comité </w:t>
      </w:r>
      <w:r w:rsidRPr="00D851AC">
        <w:rPr>
          <w:snapToGrid w:val="0"/>
        </w:rPr>
        <w:t xml:space="preserve">las informaciones </w:t>
      </w:r>
      <w:r>
        <w:rPr>
          <w:snapToGrid w:val="0"/>
        </w:rPr>
        <w:t xml:space="preserve">según las cuales </w:t>
      </w:r>
      <w:r w:rsidRPr="00D851AC">
        <w:rPr>
          <w:snapToGrid w:val="0"/>
        </w:rPr>
        <w:t xml:space="preserve">las condiciones penitenciarias en las cárceles </w:t>
      </w:r>
      <w:r>
        <w:rPr>
          <w:snapToGrid w:val="0"/>
        </w:rPr>
        <w:t xml:space="preserve">de </w:t>
      </w:r>
      <w:r w:rsidRPr="00D851AC">
        <w:rPr>
          <w:snapToGrid w:val="0"/>
        </w:rPr>
        <w:t>Bon Futuro y Bonaire Remand siguen siendo extremadamente duras (arts. 7 y 10).</w:t>
      </w:r>
    </w:p>
    <w:p w:rsidR="00B82505" w:rsidRPr="00D851AC" w:rsidRDefault="00B82505" w:rsidP="00B82505">
      <w:pPr>
        <w:adjustRightInd w:val="0"/>
        <w:snapToGrid w:val="0"/>
        <w:spacing w:after="240"/>
        <w:ind w:left="567"/>
        <w:rPr>
          <w:b/>
          <w:snapToGrid w:val="0"/>
        </w:rPr>
      </w:pPr>
      <w:r w:rsidRPr="00D851AC">
        <w:rPr>
          <w:b/>
          <w:snapToGrid w:val="0"/>
        </w:rPr>
        <w:t xml:space="preserve">El Estado parte debería </w:t>
      </w:r>
      <w:r>
        <w:rPr>
          <w:b/>
          <w:snapToGrid w:val="0"/>
        </w:rPr>
        <w:t>velar urgentemente por que mejore</w:t>
      </w:r>
      <w:r w:rsidRPr="00D851AC">
        <w:rPr>
          <w:b/>
          <w:snapToGrid w:val="0"/>
        </w:rPr>
        <w:t xml:space="preserve">n las condiciones en los </w:t>
      </w:r>
      <w:r>
        <w:rPr>
          <w:b/>
          <w:snapToGrid w:val="0"/>
        </w:rPr>
        <w:t>centros</w:t>
      </w:r>
      <w:r w:rsidRPr="00D851AC">
        <w:rPr>
          <w:b/>
          <w:snapToGrid w:val="0"/>
        </w:rPr>
        <w:t xml:space="preserve"> de </w:t>
      </w:r>
      <w:r>
        <w:rPr>
          <w:b/>
          <w:snapToGrid w:val="0"/>
        </w:rPr>
        <w:t xml:space="preserve">internamiento </w:t>
      </w:r>
      <w:r w:rsidRPr="00D851AC">
        <w:rPr>
          <w:b/>
          <w:snapToGrid w:val="0"/>
        </w:rPr>
        <w:t>para cumplir la norma fijada en el párrafo 1 del artículo 10.</w:t>
      </w:r>
    </w:p>
    <w:p w:rsidR="00B82505" w:rsidRPr="00D851AC" w:rsidRDefault="00B82505" w:rsidP="00B82505">
      <w:pPr>
        <w:adjustRightInd w:val="0"/>
        <w:snapToGrid w:val="0"/>
        <w:spacing w:after="240"/>
        <w:rPr>
          <w:snapToGrid w:val="0"/>
        </w:rPr>
      </w:pPr>
      <w:r w:rsidRPr="00D851AC">
        <w:rPr>
          <w:snapToGrid w:val="0"/>
        </w:rPr>
        <w:t>24.</w:t>
      </w:r>
      <w:r w:rsidRPr="00D851AC">
        <w:rPr>
          <w:snapToGrid w:val="0"/>
        </w:rPr>
        <w:tab/>
        <w:t xml:space="preserve">Además, preocupan al Comité los informes fidedignos de malos tratos físicos y agresiones verbales cometidos por la policía en las cárceles </w:t>
      </w:r>
      <w:r>
        <w:rPr>
          <w:snapToGrid w:val="0"/>
        </w:rPr>
        <w:t xml:space="preserve">de </w:t>
      </w:r>
      <w:r w:rsidRPr="00D851AC">
        <w:rPr>
          <w:snapToGrid w:val="0"/>
        </w:rPr>
        <w:t xml:space="preserve">Bon Futuro y Bonaire Remand, así como en la cárcel para migrantes </w:t>
      </w:r>
      <w:r>
        <w:rPr>
          <w:snapToGrid w:val="0"/>
        </w:rPr>
        <w:t xml:space="preserve">en situación </w:t>
      </w:r>
      <w:r w:rsidRPr="00D851AC">
        <w:rPr>
          <w:snapToGrid w:val="0"/>
        </w:rPr>
        <w:t>irregular ("</w:t>
      </w:r>
      <w:r w:rsidRPr="00D851AC">
        <w:rPr>
          <w:i/>
          <w:snapToGrid w:val="0"/>
        </w:rPr>
        <w:t>Illegalen Barakken</w:t>
      </w:r>
      <w:r w:rsidRPr="00D851AC">
        <w:rPr>
          <w:snapToGrid w:val="0"/>
        </w:rPr>
        <w:t>") (art. 10).</w:t>
      </w:r>
    </w:p>
    <w:p w:rsidR="00B82505" w:rsidRDefault="00B82505" w:rsidP="00130B31">
      <w:pPr>
        <w:adjustRightInd w:val="0"/>
        <w:snapToGrid w:val="0"/>
        <w:spacing w:after="240"/>
        <w:ind w:left="567"/>
        <w:rPr>
          <w:b/>
          <w:snapToGrid w:val="0"/>
        </w:rPr>
      </w:pPr>
      <w:r w:rsidRPr="00D851AC">
        <w:rPr>
          <w:b/>
          <w:snapToGrid w:val="0"/>
        </w:rPr>
        <w:t>El Estado parte debería impedir y sancionar la</w:t>
      </w:r>
      <w:r>
        <w:rPr>
          <w:b/>
          <w:snapToGrid w:val="0"/>
        </w:rPr>
        <w:t xml:space="preserve"> imposición de malos tratos a la</w:t>
      </w:r>
      <w:r w:rsidRPr="00D851AC">
        <w:rPr>
          <w:b/>
          <w:snapToGrid w:val="0"/>
        </w:rPr>
        <w:t xml:space="preserve">s </w:t>
      </w:r>
      <w:r>
        <w:rPr>
          <w:b/>
          <w:snapToGrid w:val="0"/>
        </w:rPr>
        <w:t>personas privadas de libertad</w:t>
      </w:r>
      <w:r w:rsidRPr="00D851AC">
        <w:rPr>
          <w:b/>
          <w:snapToGrid w:val="0"/>
        </w:rPr>
        <w:t xml:space="preserve"> por la policía y </w:t>
      </w:r>
      <w:r>
        <w:rPr>
          <w:b/>
          <w:snapToGrid w:val="0"/>
        </w:rPr>
        <w:t xml:space="preserve">los organismos </w:t>
      </w:r>
      <w:r w:rsidRPr="00D851AC">
        <w:rPr>
          <w:b/>
          <w:snapToGrid w:val="0"/>
        </w:rPr>
        <w:t>penitenciari</w:t>
      </w:r>
      <w:r>
        <w:rPr>
          <w:b/>
          <w:snapToGrid w:val="0"/>
        </w:rPr>
        <w:t>o</w:t>
      </w:r>
      <w:r w:rsidRPr="00D851AC">
        <w:rPr>
          <w:b/>
          <w:snapToGrid w:val="0"/>
        </w:rPr>
        <w:t>s</w:t>
      </w:r>
      <w:r>
        <w:rPr>
          <w:b/>
          <w:snapToGrid w:val="0"/>
        </w:rPr>
        <w:t xml:space="preserve"> y velar urgentemente por que el personal penitenciario reciba formación en materia de aplicación de las Reglas Mínimas para el tratamiento de los reclusos de 1955</w:t>
      </w:r>
      <w:r w:rsidRPr="00D851AC">
        <w:rPr>
          <w:b/>
          <w:snapToGrid w:val="0"/>
        </w:rPr>
        <w:t>.</w:t>
      </w:r>
    </w:p>
    <w:p w:rsidR="00B82505" w:rsidRDefault="00B82505" w:rsidP="00130B31">
      <w:pPr>
        <w:adjustRightInd w:val="0"/>
        <w:snapToGrid w:val="0"/>
        <w:spacing w:after="240"/>
        <w:ind w:left="28"/>
        <w:rPr>
          <w:snapToGrid w:val="0"/>
        </w:rPr>
      </w:pPr>
      <w:r>
        <w:rPr>
          <w:snapToGrid w:val="0"/>
        </w:rPr>
        <w:t>25.</w:t>
      </w:r>
      <w:r>
        <w:rPr>
          <w:snapToGrid w:val="0"/>
        </w:rPr>
        <w:tab/>
        <w:t>El Comité toma nota de la próxima adopción de nuevas disposiciones constitucionales en los territorios de las Antillas Neerlandesas.</w:t>
      </w:r>
    </w:p>
    <w:p w:rsidR="00B82505" w:rsidRPr="00F167B6" w:rsidRDefault="00B82505" w:rsidP="00130B31">
      <w:pPr>
        <w:adjustRightInd w:val="0"/>
        <w:snapToGrid w:val="0"/>
        <w:spacing w:after="480"/>
        <w:ind w:left="567" w:hanging="539"/>
        <w:rPr>
          <w:b/>
          <w:snapToGrid w:val="0"/>
        </w:rPr>
      </w:pPr>
      <w:r>
        <w:rPr>
          <w:snapToGrid w:val="0"/>
        </w:rPr>
        <w:tab/>
      </w:r>
      <w:r>
        <w:rPr>
          <w:b/>
          <w:snapToGrid w:val="0"/>
        </w:rPr>
        <w:t>El Estado parte debe cerciorarse de que cada una de las nuevas disposiciones constitucionales garantice la plena protección de los derechos reconocidos en el Pacto.</w:t>
      </w:r>
    </w:p>
    <w:p w:rsidR="00B82505" w:rsidRPr="00D851AC" w:rsidRDefault="00B82505" w:rsidP="00B82505">
      <w:pPr>
        <w:adjustRightInd w:val="0"/>
        <w:snapToGrid w:val="0"/>
        <w:spacing w:after="240"/>
        <w:jc w:val="center"/>
        <w:rPr>
          <w:b/>
          <w:snapToGrid w:val="0"/>
        </w:rPr>
      </w:pPr>
      <w:r w:rsidRPr="00D851AC">
        <w:rPr>
          <w:b/>
          <w:snapToGrid w:val="0"/>
        </w:rPr>
        <w:t>ARUBA</w:t>
      </w:r>
    </w:p>
    <w:p w:rsidR="00B82505" w:rsidRPr="00D851AC" w:rsidRDefault="00B82505" w:rsidP="00B82505">
      <w:pPr>
        <w:adjustRightInd w:val="0"/>
        <w:snapToGrid w:val="0"/>
        <w:spacing w:after="240"/>
        <w:jc w:val="center"/>
        <w:rPr>
          <w:b/>
          <w:snapToGrid w:val="0"/>
        </w:rPr>
      </w:pPr>
      <w:r w:rsidRPr="00D851AC">
        <w:rPr>
          <w:b/>
          <w:snapToGrid w:val="0"/>
        </w:rPr>
        <w:t>B.  Aspectos positivos</w:t>
      </w:r>
    </w:p>
    <w:p w:rsidR="00B82505" w:rsidRPr="00D851AC" w:rsidRDefault="00B82505" w:rsidP="00B82505">
      <w:pPr>
        <w:adjustRightInd w:val="0"/>
        <w:snapToGrid w:val="0"/>
        <w:spacing w:after="240"/>
        <w:rPr>
          <w:snapToGrid w:val="0"/>
        </w:rPr>
      </w:pPr>
      <w:r w:rsidRPr="00D851AC">
        <w:rPr>
          <w:snapToGrid w:val="0"/>
        </w:rPr>
        <w:t>2</w:t>
      </w:r>
      <w:r>
        <w:rPr>
          <w:snapToGrid w:val="0"/>
        </w:rPr>
        <w:t>6</w:t>
      </w:r>
      <w:r w:rsidRPr="00D851AC">
        <w:rPr>
          <w:snapToGrid w:val="0"/>
        </w:rPr>
        <w:t>.</w:t>
      </w:r>
      <w:r w:rsidRPr="00D851AC">
        <w:rPr>
          <w:snapToGrid w:val="0"/>
        </w:rPr>
        <w:tab/>
        <w:t xml:space="preserve">El Comité encomia al Estado parte por la aprobación de la Ordenanza de 2003 sobre </w:t>
      </w:r>
      <w:r>
        <w:rPr>
          <w:snapToGrid w:val="0"/>
        </w:rPr>
        <w:t xml:space="preserve">la penalización de </w:t>
      </w:r>
      <w:r w:rsidRPr="00D851AC">
        <w:rPr>
          <w:snapToGrid w:val="0"/>
        </w:rPr>
        <w:t xml:space="preserve">los delitos y </w:t>
      </w:r>
      <w:r>
        <w:rPr>
          <w:snapToGrid w:val="0"/>
        </w:rPr>
        <w:t xml:space="preserve">el acoso </w:t>
      </w:r>
      <w:r w:rsidRPr="00D851AC">
        <w:rPr>
          <w:snapToGrid w:val="0"/>
        </w:rPr>
        <w:t xml:space="preserve">sexuales, que amplía la protección otorgada por </w:t>
      </w:r>
      <w:r>
        <w:rPr>
          <w:snapToGrid w:val="0"/>
        </w:rPr>
        <w:t xml:space="preserve">la legislación </w:t>
      </w:r>
      <w:r w:rsidRPr="00D851AC">
        <w:rPr>
          <w:snapToGrid w:val="0"/>
        </w:rPr>
        <w:t xml:space="preserve">penal a los menores </w:t>
      </w:r>
      <w:r>
        <w:rPr>
          <w:snapToGrid w:val="0"/>
        </w:rPr>
        <w:t xml:space="preserve">contra el </w:t>
      </w:r>
      <w:r w:rsidRPr="00D851AC">
        <w:rPr>
          <w:snapToGrid w:val="0"/>
        </w:rPr>
        <w:t xml:space="preserve">abuso sexual.  El Comité acoge </w:t>
      </w:r>
      <w:r>
        <w:rPr>
          <w:snapToGrid w:val="0"/>
        </w:rPr>
        <w:t xml:space="preserve">también </w:t>
      </w:r>
      <w:r w:rsidRPr="00D851AC">
        <w:rPr>
          <w:snapToGrid w:val="0"/>
        </w:rPr>
        <w:t xml:space="preserve">con agrado la revisión de la Orden policial sobre el tratamiento </w:t>
      </w:r>
      <w:r>
        <w:rPr>
          <w:snapToGrid w:val="0"/>
        </w:rPr>
        <w:t xml:space="preserve">de los reclusos </w:t>
      </w:r>
      <w:r w:rsidRPr="00D851AC">
        <w:rPr>
          <w:snapToGrid w:val="0"/>
        </w:rPr>
        <w:t xml:space="preserve">para </w:t>
      </w:r>
      <w:r>
        <w:rPr>
          <w:snapToGrid w:val="0"/>
        </w:rPr>
        <w:t xml:space="preserve">que se tengan </w:t>
      </w:r>
      <w:r w:rsidRPr="00D851AC">
        <w:rPr>
          <w:snapToGrid w:val="0"/>
        </w:rPr>
        <w:t>en cuenta las normas del Comité Europeo para la Prevención de la Tortura y de las Penas o Tratos Inhumanos o Degradantes.</w:t>
      </w:r>
    </w:p>
    <w:p w:rsidR="00B82505" w:rsidRPr="00D851AC" w:rsidRDefault="00B82505" w:rsidP="00B82505">
      <w:pPr>
        <w:adjustRightInd w:val="0"/>
        <w:snapToGrid w:val="0"/>
        <w:spacing w:after="240"/>
        <w:jc w:val="center"/>
        <w:rPr>
          <w:b/>
          <w:snapToGrid w:val="0"/>
        </w:rPr>
      </w:pPr>
      <w:r w:rsidRPr="00D851AC">
        <w:rPr>
          <w:b/>
          <w:snapToGrid w:val="0"/>
        </w:rPr>
        <w:t>C.  Principales motivos de preocupación y recomendaciones</w:t>
      </w:r>
    </w:p>
    <w:p w:rsidR="00B82505" w:rsidRPr="00D851AC" w:rsidRDefault="00B82505" w:rsidP="00B82505">
      <w:pPr>
        <w:adjustRightInd w:val="0"/>
        <w:snapToGrid w:val="0"/>
        <w:spacing w:after="240"/>
        <w:rPr>
          <w:snapToGrid w:val="0"/>
        </w:rPr>
      </w:pPr>
      <w:r w:rsidRPr="00D851AC">
        <w:rPr>
          <w:snapToGrid w:val="0"/>
        </w:rPr>
        <w:t>2</w:t>
      </w:r>
      <w:r>
        <w:rPr>
          <w:snapToGrid w:val="0"/>
        </w:rPr>
        <w:t>7.</w:t>
      </w:r>
      <w:r>
        <w:rPr>
          <w:snapToGrid w:val="0"/>
        </w:rPr>
        <w:tab/>
        <w:t xml:space="preserve">Preocupa al Comité que, como reconoce el Estado parte, </w:t>
      </w:r>
      <w:r w:rsidRPr="00D851AC">
        <w:rPr>
          <w:snapToGrid w:val="0"/>
        </w:rPr>
        <w:t xml:space="preserve">la detención preventiva </w:t>
      </w:r>
      <w:r>
        <w:rPr>
          <w:snapToGrid w:val="0"/>
        </w:rPr>
        <w:t>sea</w:t>
      </w:r>
      <w:r w:rsidRPr="00D851AC">
        <w:rPr>
          <w:snapToGrid w:val="0"/>
        </w:rPr>
        <w:t xml:space="preserve"> prolongada, de 116 días </w:t>
      </w:r>
      <w:r>
        <w:rPr>
          <w:snapToGrid w:val="0"/>
        </w:rPr>
        <w:t xml:space="preserve">por </w:t>
      </w:r>
      <w:r w:rsidRPr="00D851AC">
        <w:rPr>
          <w:snapToGrid w:val="0"/>
        </w:rPr>
        <w:t xml:space="preserve">término medio y hasta un máximo de 146 días, tras lo </w:t>
      </w:r>
      <w:r>
        <w:rPr>
          <w:snapToGrid w:val="0"/>
        </w:rPr>
        <w:t>cual</w:t>
      </w:r>
      <w:r w:rsidRPr="00D851AC">
        <w:rPr>
          <w:snapToGrid w:val="0"/>
        </w:rPr>
        <w:t xml:space="preserve"> el juez instructor puede prorrogarla otros</w:t>
      </w:r>
      <w:r>
        <w:rPr>
          <w:snapToGrid w:val="0"/>
        </w:rPr>
        <w:t> </w:t>
      </w:r>
      <w:r w:rsidRPr="00D851AC">
        <w:rPr>
          <w:snapToGrid w:val="0"/>
        </w:rPr>
        <w:t>30 días (arts. 9 y 14).</w:t>
      </w:r>
    </w:p>
    <w:p w:rsidR="00B82505" w:rsidRPr="00D851AC" w:rsidRDefault="00B82505" w:rsidP="00B82505">
      <w:pPr>
        <w:adjustRightInd w:val="0"/>
        <w:snapToGrid w:val="0"/>
        <w:spacing w:after="240"/>
        <w:ind w:left="567"/>
        <w:rPr>
          <w:b/>
          <w:snapToGrid w:val="0"/>
        </w:rPr>
      </w:pPr>
      <w:r w:rsidRPr="00D851AC">
        <w:rPr>
          <w:b/>
          <w:snapToGrid w:val="0"/>
        </w:rPr>
        <w:t>El Estado parte debería limitar la duración de la detención preventiva de conformidad con el apartado c) del párrafo 3 del artículo 14 del Pacto y asegurar</w:t>
      </w:r>
      <w:r>
        <w:rPr>
          <w:b/>
          <w:snapToGrid w:val="0"/>
        </w:rPr>
        <w:t>se</w:t>
      </w:r>
      <w:r w:rsidRPr="00D851AC">
        <w:rPr>
          <w:b/>
          <w:snapToGrid w:val="0"/>
        </w:rPr>
        <w:t xml:space="preserve"> que se respet</w:t>
      </w:r>
      <w:r>
        <w:rPr>
          <w:b/>
          <w:snapToGrid w:val="0"/>
        </w:rPr>
        <w:t>e</w:t>
      </w:r>
      <w:r w:rsidRPr="00D851AC">
        <w:rPr>
          <w:b/>
          <w:snapToGrid w:val="0"/>
        </w:rPr>
        <w:t xml:space="preserve"> plenamente lo dispuesto en el artículo 9</w:t>
      </w:r>
      <w:r>
        <w:rPr>
          <w:b/>
          <w:snapToGrid w:val="0"/>
        </w:rPr>
        <w:t>.</w:t>
      </w:r>
    </w:p>
    <w:p w:rsidR="00B82505" w:rsidRPr="00D851AC" w:rsidRDefault="00B82505" w:rsidP="00B82505">
      <w:pPr>
        <w:adjustRightInd w:val="0"/>
        <w:snapToGrid w:val="0"/>
        <w:spacing w:after="240"/>
        <w:rPr>
          <w:snapToGrid w:val="0"/>
        </w:rPr>
      </w:pPr>
      <w:r w:rsidRPr="00D851AC">
        <w:rPr>
          <w:snapToGrid w:val="0"/>
        </w:rPr>
        <w:t>2</w:t>
      </w:r>
      <w:r>
        <w:rPr>
          <w:snapToGrid w:val="0"/>
        </w:rPr>
        <w:t>8</w:t>
      </w:r>
      <w:r w:rsidRPr="00D851AC">
        <w:rPr>
          <w:snapToGrid w:val="0"/>
        </w:rPr>
        <w:t>.</w:t>
      </w:r>
      <w:r w:rsidRPr="00D851AC">
        <w:rPr>
          <w:snapToGrid w:val="0"/>
        </w:rPr>
        <w:tab/>
        <w:t xml:space="preserve">El Comité </w:t>
      </w:r>
      <w:r>
        <w:rPr>
          <w:snapToGrid w:val="0"/>
        </w:rPr>
        <w:t xml:space="preserve">pide al Estado parte que publique </w:t>
      </w:r>
      <w:r w:rsidRPr="00D851AC">
        <w:rPr>
          <w:snapToGrid w:val="0"/>
        </w:rPr>
        <w:t>el cuarto informe periódico y las presentes observaciones finales</w:t>
      </w:r>
      <w:r>
        <w:rPr>
          <w:snapToGrid w:val="0"/>
        </w:rPr>
        <w:t>,</w:t>
      </w:r>
      <w:r w:rsidRPr="00D851AC">
        <w:rPr>
          <w:snapToGrid w:val="0"/>
        </w:rPr>
        <w:t xml:space="preserve"> </w:t>
      </w:r>
      <w:r>
        <w:rPr>
          <w:snapToGrid w:val="0"/>
        </w:rPr>
        <w:t xml:space="preserve">difundiéndolos </w:t>
      </w:r>
      <w:r w:rsidRPr="00D851AC">
        <w:rPr>
          <w:snapToGrid w:val="0"/>
        </w:rPr>
        <w:t xml:space="preserve">ampliamente entre el público en general y en los organismos judiciales, legislativos y administrativos.  Se deberían distribuir copias impresas de estos documentos en las universidades, </w:t>
      </w:r>
      <w:r>
        <w:rPr>
          <w:snapToGrid w:val="0"/>
        </w:rPr>
        <w:t xml:space="preserve">las </w:t>
      </w:r>
      <w:r w:rsidRPr="00D851AC">
        <w:rPr>
          <w:snapToGrid w:val="0"/>
        </w:rPr>
        <w:t>bibliotecas públicas, la biblioteca del Parlamento y otros lugares pertinentes</w:t>
      </w:r>
      <w:r>
        <w:rPr>
          <w:snapToGrid w:val="0"/>
        </w:rPr>
        <w:t xml:space="preserve"> de cada territorio del Estado parte</w:t>
      </w:r>
      <w:r w:rsidRPr="00D851AC">
        <w:rPr>
          <w:snapToGrid w:val="0"/>
        </w:rPr>
        <w:t xml:space="preserve">.  También pide </w:t>
      </w:r>
      <w:r>
        <w:rPr>
          <w:snapToGrid w:val="0"/>
        </w:rPr>
        <w:t xml:space="preserve">al Estado parte </w:t>
      </w:r>
      <w:r w:rsidRPr="00D851AC">
        <w:rPr>
          <w:snapToGrid w:val="0"/>
        </w:rPr>
        <w:t xml:space="preserve">que el cuarto informe periódico y las presentes </w:t>
      </w:r>
      <w:r>
        <w:rPr>
          <w:snapToGrid w:val="0"/>
        </w:rPr>
        <w:t>observaciones</w:t>
      </w:r>
      <w:r w:rsidRPr="00D851AC">
        <w:rPr>
          <w:snapToGrid w:val="0"/>
        </w:rPr>
        <w:t xml:space="preserve"> finales se pongan a disposición de la sociedad civil y las organizaciones no gubernamentales que </w:t>
      </w:r>
      <w:r>
        <w:rPr>
          <w:snapToGrid w:val="0"/>
        </w:rPr>
        <w:t xml:space="preserve">operan </w:t>
      </w:r>
      <w:r w:rsidRPr="00D851AC">
        <w:rPr>
          <w:snapToGrid w:val="0"/>
        </w:rPr>
        <w:t>en el país.</w:t>
      </w:r>
    </w:p>
    <w:p w:rsidR="00B82505" w:rsidRPr="00933D02" w:rsidRDefault="00B82505" w:rsidP="00B82505">
      <w:pPr>
        <w:adjustRightInd w:val="0"/>
        <w:snapToGrid w:val="0"/>
        <w:spacing w:after="240"/>
        <w:rPr>
          <w:snapToGrid w:val="0"/>
        </w:rPr>
      </w:pPr>
      <w:r w:rsidRPr="00D851AC">
        <w:rPr>
          <w:snapToGrid w:val="0"/>
        </w:rPr>
        <w:t>2</w:t>
      </w:r>
      <w:r>
        <w:rPr>
          <w:snapToGrid w:val="0"/>
        </w:rPr>
        <w:t>9</w:t>
      </w:r>
      <w:r w:rsidRPr="00D851AC">
        <w:rPr>
          <w:snapToGrid w:val="0"/>
        </w:rPr>
        <w:t>.</w:t>
      </w:r>
      <w:r w:rsidRPr="00D851AC">
        <w:rPr>
          <w:snapToGrid w:val="0"/>
        </w:rPr>
        <w:tab/>
        <w:t xml:space="preserve">De conformidad con el párrafo 5 del artículo 71 del reglamento del Comité, el Estado parte debe presentar en el plazo de un año información </w:t>
      </w:r>
      <w:r>
        <w:rPr>
          <w:snapToGrid w:val="0"/>
        </w:rPr>
        <w:t xml:space="preserve">sobre </w:t>
      </w:r>
      <w:r w:rsidRPr="00D851AC">
        <w:rPr>
          <w:snapToGrid w:val="0"/>
        </w:rPr>
        <w:t xml:space="preserve">la situación </w:t>
      </w:r>
      <w:r>
        <w:rPr>
          <w:snapToGrid w:val="0"/>
        </w:rPr>
        <w:t xml:space="preserve">reinante en ese momento y sobre la </w:t>
      </w:r>
      <w:r w:rsidRPr="00D851AC">
        <w:rPr>
          <w:snapToGrid w:val="0"/>
        </w:rPr>
        <w:t>aplicación de las recomendaciones del Comité</w:t>
      </w:r>
      <w:r>
        <w:rPr>
          <w:snapToGrid w:val="0"/>
        </w:rPr>
        <w:t xml:space="preserve"> que figuran en los párrafos 7, 9 y 23 </w:t>
      </w:r>
      <w:r>
        <w:rPr>
          <w:i/>
          <w:snapToGrid w:val="0"/>
        </w:rPr>
        <w:t>supra</w:t>
      </w:r>
      <w:r>
        <w:rPr>
          <w:snapToGrid w:val="0"/>
        </w:rPr>
        <w:t>.</w:t>
      </w:r>
    </w:p>
    <w:p w:rsidR="00B82505" w:rsidRPr="00D851AC" w:rsidRDefault="00B82505" w:rsidP="00B82505">
      <w:pPr>
        <w:adjustRightInd w:val="0"/>
        <w:snapToGrid w:val="0"/>
        <w:spacing w:after="240"/>
        <w:rPr>
          <w:snapToGrid w:val="0"/>
        </w:rPr>
      </w:pPr>
      <w:r>
        <w:rPr>
          <w:snapToGrid w:val="0"/>
        </w:rPr>
        <w:t>30</w:t>
      </w:r>
      <w:r w:rsidRPr="00D851AC">
        <w:rPr>
          <w:snapToGrid w:val="0"/>
        </w:rPr>
        <w:t>.</w:t>
      </w:r>
      <w:r w:rsidRPr="00D851AC">
        <w:rPr>
          <w:snapToGrid w:val="0"/>
        </w:rPr>
        <w:tab/>
        <w:t xml:space="preserve">El Comité pide al Estado parte que en su próximo informe periódico, que ha de presentar a más tardar </w:t>
      </w:r>
      <w:r>
        <w:rPr>
          <w:snapToGrid w:val="0"/>
        </w:rPr>
        <w:t xml:space="preserve">el 31 de </w:t>
      </w:r>
      <w:r w:rsidRPr="00D851AC">
        <w:rPr>
          <w:snapToGrid w:val="0"/>
        </w:rPr>
        <w:t xml:space="preserve">julio de 2014, facilite información sobre las medidas adoptadas para aplicar las demás recomendaciones y sobre el cumplimiento del Pacto en su conjunto.  </w:t>
      </w:r>
      <w:r>
        <w:rPr>
          <w:snapToGrid w:val="0"/>
        </w:rPr>
        <w:t>A este respecto</w:t>
      </w:r>
      <w:r w:rsidRPr="00D851AC">
        <w:rPr>
          <w:snapToGrid w:val="0"/>
        </w:rPr>
        <w:t xml:space="preserve">, el Comité también le pide que presente un único informe consolidado </w:t>
      </w:r>
      <w:r>
        <w:rPr>
          <w:snapToGrid w:val="0"/>
        </w:rPr>
        <w:t xml:space="preserve">relativo a </w:t>
      </w:r>
      <w:r w:rsidRPr="00D851AC">
        <w:rPr>
          <w:snapToGrid w:val="0"/>
        </w:rPr>
        <w:t>tod</w:t>
      </w:r>
      <w:r w:rsidR="00130B31">
        <w:rPr>
          <w:snapToGrid w:val="0"/>
        </w:rPr>
        <w:t>o</w:t>
      </w:r>
      <w:r w:rsidRPr="00D851AC">
        <w:rPr>
          <w:snapToGrid w:val="0"/>
        </w:rPr>
        <w:t xml:space="preserve">s </w:t>
      </w:r>
      <w:r>
        <w:rPr>
          <w:snapToGrid w:val="0"/>
        </w:rPr>
        <w:t xml:space="preserve">los territorios </w:t>
      </w:r>
      <w:r w:rsidRPr="00D851AC">
        <w:rPr>
          <w:snapToGrid w:val="0"/>
        </w:rPr>
        <w:t>de los Países Bajos.</w:t>
      </w:r>
    </w:p>
    <w:p w:rsidR="00941D4E" w:rsidRPr="00C820BE" w:rsidRDefault="00B82505" w:rsidP="00B82505">
      <w:pPr>
        <w:adjustRightInd w:val="0"/>
        <w:snapToGrid w:val="0"/>
        <w:spacing w:after="240"/>
        <w:jc w:val="center"/>
        <w:rPr>
          <w:snapToGrid w:val="0"/>
        </w:rPr>
      </w:pPr>
      <w:r w:rsidRPr="00D851AC">
        <w:rPr>
          <w:snapToGrid w:val="0"/>
        </w:rPr>
        <w:t>-----</w:t>
      </w:r>
    </w:p>
    <w:sectPr w:rsidR="00941D4E" w:rsidRPr="00C820BE" w:rsidSect="00B82505">
      <w:headerReference w:type="even" r:id="rId9"/>
      <w:headerReference w:type="default" r:id="rId10"/>
      <w:pgSz w:w="11906" w:h="16838" w:code="9"/>
      <w:pgMar w:top="1701" w:right="850" w:bottom="1984" w:left="1701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5112" w:rsidRDefault="00B35112">
      <w:r>
        <w:separator/>
      </w:r>
    </w:p>
  </w:endnote>
  <w:endnote w:type="continuationSeparator" w:id="0">
    <w:p w:rsidR="00B35112" w:rsidRDefault="00B351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5112" w:rsidRDefault="00B35112">
      <w:r>
        <w:separator/>
      </w:r>
    </w:p>
  </w:footnote>
  <w:footnote w:type="continuationSeparator" w:id="0">
    <w:p w:rsidR="00B35112" w:rsidRDefault="00B351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505" w:rsidRDefault="00B82505">
    <w:pPr>
      <w:pStyle w:val="Header"/>
    </w:pPr>
    <w:r>
      <w:t>CCPR/C/NLD/CO/4</w:t>
    </w:r>
  </w:p>
  <w:p w:rsidR="00B82505" w:rsidRDefault="00B82505">
    <w:pPr>
      <w:pStyle w:val="Header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DE018B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505" w:rsidRDefault="00B82505" w:rsidP="00B82505">
    <w:pPr>
      <w:tabs>
        <w:tab w:val="left" w:pos="7200"/>
      </w:tabs>
    </w:pPr>
    <w:r>
      <w:tab/>
      <w:t>CCPR/C/NLD/CO/4</w:t>
    </w:r>
  </w:p>
  <w:p w:rsidR="00E0567E" w:rsidRDefault="00B82505" w:rsidP="00B82505">
    <w:pPr>
      <w:tabs>
        <w:tab w:val="left" w:pos="7200"/>
      </w:tabs>
    </w:pPr>
    <w:r>
      <w:tab/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DE018B">
      <w:rPr>
        <w:noProof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02EC25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FB6E8D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BAE35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FB0B4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D7067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83C4CE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12EE49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23610B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F3418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3585C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mirrorMargins/>
  <w:activeWritingStyle w:appName="MSWord" w:lang="es-ES" w:vendorID="64" w:dllVersion="131078" w:nlCheck="1" w:checkStyle="1"/>
  <w:activeWritingStyle w:appName="MSWord" w:lang="es-ES_tradnl" w:vendorID="64" w:dllVersion="131078" w:nlCheck="1" w:checkStyle="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0A8D"/>
    <w:rsid w:val="00002067"/>
    <w:rsid w:val="00074CD9"/>
    <w:rsid w:val="000F18F3"/>
    <w:rsid w:val="001000B7"/>
    <w:rsid w:val="00130B31"/>
    <w:rsid w:val="001D17E6"/>
    <w:rsid w:val="001E79FD"/>
    <w:rsid w:val="001E7D80"/>
    <w:rsid w:val="002009CB"/>
    <w:rsid w:val="002426E2"/>
    <w:rsid w:val="00273020"/>
    <w:rsid w:val="00493B79"/>
    <w:rsid w:val="00623B06"/>
    <w:rsid w:val="006541BE"/>
    <w:rsid w:val="006C222A"/>
    <w:rsid w:val="006F1748"/>
    <w:rsid w:val="00716E4C"/>
    <w:rsid w:val="0077727F"/>
    <w:rsid w:val="007A4CF7"/>
    <w:rsid w:val="007E1504"/>
    <w:rsid w:val="007E7BD0"/>
    <w:rsid w:val="008C2547"/>
    <w:rsid w:val="00941D4E"/>
    <w:rsid w:val="00980A8D"/>
    <w:rsid w:val="00A4420C"/>
    <w:rsid w:val="00A528E7"/>
    <w:rsid w:val="00A8461E"/>
    <w:rsid w:val="00AA0CDD"/>
    <w:rsid w:val="00AE40CB"/>
    <w:rsid w:val="00B35112"/>
    <w:rsid w:val="00B82505"/>
    <w:rsid w:val="00BE1186"/>
    <w:rsid w:val="00C2721A"/>
    <w:rsid w:val="00C32600"/>
    <w:rsid w:val="00C820BE"/>
    <w:rsid w:val="00CC6673"/>
    <w:rsid w:val="00DE018B"/>
    <w:rsid w:val="00E01E15"/>
    <w:rsid w:val="00E0567E"/>
    <w:rsid w:val="00ED50B8"/>
    <w:rsid w:val="00F17191"/>
    <w:rsid w:val="00F7742E"/>
    <w:rsid w:val="00F82B34"/>
    <w:rsid w:val="00FB6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252"/>
      </w:tabs>
    </w:pPr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  <w:pPr>
      <w:spacing w:after="240" w:line="840" w:lineRule="auto"/>
    </w:pPr>
    <w:rPr>
      <w:szCs w:val="20"/>
    </w:rPr>
  </w:style>
  <w:style w:type="paragraph" w:styleId="FootnoteText">
    <w:name w:val="footnote text"/>
    <w:basedOn w:val="Normal"/>
    <w:semiHidden/>
    <w:pPr>
      <w:spacing w:after="240" w:line="840" w:lineRule="auto"/>
    </w:pPr>
    <w:rPr>
      <w:szCs w:val="20"/>
    </w:rPr>
  </w:style>
  <w:style w:type="table" w:styleId="TableGrid">
    <w:name w:val="Table Grid"/>
    <w:basedOn w:val="TableNormal"/>
    <w:rsid w:val="002009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68" w:type="dxa"/>
        <w:bottom w:w="0" w:type="dxa"/>
        <w:right w:w="68" w:type="dxa"/>
      </w:tblCellMar>
    </w:tblPr>
    <w:tcPr>
      <w:tcMar>
        <w:left w:w="68" w:type="dxa"/>
        <w:right w:w="68" w:type="dxa"/>
      </w:tcMar>
    </w:tcPr>
  </w:style>
  <w:style w:type="paragraph" w:styleId="Footer">
    <w:name w:val="footer"/>
    <w:basedOn w:val="Normal"/>
    <w:rsid w:val="00B82505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8</Pages>
  <Words>3014</Words>
  <Characters>16579</Characters>
  <Application>Microsoft Office Word</Application>
  <DocSecurity>4</DocSecurity>
  <Lines>138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CCPR/C/NLD/CO/4  -  09-44565</vt:lpstr>
    </vt:vector>
  </TitlesOfParts>
  <Company>CSD</Company>
  <LinksUpToDate>false</LinksUpToDate>
  <CharactersWithSpaces>19554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CCPR/C/NLD/CO/4  -  09-44565</dc:title>
  <dc:subject>FINAL</dc:subject>
  <dc:creator>Luz María Urquizu</dc:creator>
  <cp:keywords/>
  <dc:description/>
  <cp:lastModifiedBy>Admieng</cp:lastModifiedBy>
  <cp:revision>2</cp:revision>
  <cp:lastPrinted>2001-03-13T14:07:00Z</cp:lastPrinted>
  <dcterms:created xsi:type="dcterms:W3CDTF">2009-09-08T13:30:00Z</dcterms:created>
  <dcterms:modified xsi:type="dcterms:W3CDTF">2009-09-08T13:30:00Z</dcterms:modified>
</cp:coreProperties>
</file>