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857DD" w14:paraId="348382A7" w14:textId="77777777" w:rsidTr="001832BB">
        <w:trPr>
          <w:trHeight w:hRule="exact" w:val="851"/>
        </w:trPr>
        <w:tc>
          <w:tcPr>
            <w:tcW w:w="1280" w:type="dxa"/>
            <w:tcBorders>
              <w:bottom w:val="single" w:sz="4" w:space="0" w:color="auto"/>
            </w:tcBorders>
          </w:tcPr>
          <w:p w14:paraId="3E3EC4FB" w14:textId="77777777" w:rsidR="002D5AAC" w:rsidRDefault="002D5AAC" w:rsidP="00F96907">
            <w:pPr>
              <w:kinsoku w:val="0"/>
              <w:overflowPunct w:val="0"/>
              <w:autoSpaceDE w:val="0"/>
              <w:autoSpaceDN w:val="0"/>
              <w:adjustRightInd w:val="0"/>
              <w:snapToGrid w:val="0"/>
            </w:pPr>
          </w:p>
        </w:tc>
        <w:tc>
          <w:tcPr>
            <w:tcW w:w="2273" w:type="dxa"/>
            <w:tcBorders>
              <w:bottom w:val="single" w:sz="4" w:space="0" w:color="auto"/>
            </w:tcBorders>
            <w:vAlign w:val="bottom"/>
          </w:tcPr>
          <w:p w14:paraId="0917966C" w14:textId="77777777" w:rsidR="002D5AAC" w:rsidRPr="00D857DD" w:rsidRDefault="00BD33EE" w:rsidP="006E27AD">
            <w:pPr>
              <w:spacing w:after="80" w:line="300" w:lineRule="exact"/>
              <w:rPr>
                <w:sz w:val="28"/>
              </w:rPr>
            </w:pPr>
            <w:r w:rsidRPr="00D857DD">
              <w:rPr>
                <w:sz w:val="28"/>
              </w:rPr>
              <w:t>Naciones Unidas</w:t>
            </w:r>
          </w:p>
        </w:tc>
        <w:tc>
          <w:tcPr>
            <w:tcW w:w="6086" w:type="dxa"/>
            <w:gridSpan w:val="2"/>
            <w:tcBorders>
              <w:bottom w:val="single" w:sz="4" w:space="0" w:color="auto"/>
            </w:tcBorders>
            <w:vAlign w:val="bottom"/>
          </w:tcPr>
          <w:p w14:paraId="68F25A6A" w14:textId="687677A0" w:rsidR="002D5AAC" w:rsidRPr="00D857DD" w:rsidRDefault="00F96907" w:rsidP="00F96907">
            <w:pPr>
              <w:jc w:val="right"/>
            </w:pPr>
            <w:r w:rsidRPr="00D857DD">
              <w:rPr>
                <w:sz w:val="40"/>
              </w:rPr>
              <w:t>E</w:t>
            </w:r>
            <w:r w:rsidRPr="00D857DD">
              <w:t>/C.12/GBR/RQ/7</w:t>
            </w:r>
          </w:p>
        </w:tc>
      </w:tr>
      <w:tr w:rsidR="002D5AAC" w:rsidRPr="00D857DD" w14:paraId="34EB315B" w14:textId="77777777" w:rsidTr="001832BB">
        <w:trPr>
          <w:trHeight w:hRule="exact" w:val="2835"/>
        </w:trPr>
        <w:tc>
          <w:tcPr>
            <w:tcW w:w="1280" w:type="dxa"/>
            <w:tcBorders>
              <w:top w:val="single" w:sz="4" w:space="0" w:color="auto"/>
              <w:bottom w:val="single" w:sz="12" w:space="0" w:color="auto"/>
            </w:tcBorders>
          </w:tcPr>
          <w:p w14:paraId="34381AF5" w14:textId="77777777" w:rsidR="002D5AAC" w:rsidRPr="00D857DD" w:rsidRDefault="00DC6544" w:rsidP="006E27AD">
            <w:pPr>
              <w:spacing w:before="120"/>
              <w:jc w:val="center"/>
            </w:pPr>
            <w:r w:rsidRPr="00D857DD">
              <w:rPr>
                <w:noProof/>
              </w:rPr>
              <w:drawing>
                <wp:inline distT="0" distB="0" distL="0" distR="0" wp14:anchorId="218588CC" wp14:editId="1ADDBFD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76EFE1F" w14:textId="77777777" w:rsidR="002D5AAC" w:rsidRPr="00D857DD" w:rsidRDefault="004B19F2" w:rsidP="006E27AD">
            <w:pPr>
              <w:spacing w:before="120" w:line="420" w:lineRule="exact"/>
              <w:rPr>
                <w:b/>
                <w:sz w:val="40"/>
                <w:szCs w:val="40"/>
              </w:rPr>
            </w:pPr>
            <w:r w:rsidRPr="00D857DD">
              <w:rPr>
                <w:b/>
                <w:sz w:val="40"/>
                <w:szCs w:val="40"/>
              </w:rPr>
              <w:t>Consejo Económico y Social</w:t>
            </w:r>
          </w:p>
        </w:tc>
        <w:tc>
          <w:tcPr>
            <w:tcW w:w="2819" w:type="dxa"/>
            <w:tcBorders>
              <w:top w:val="single" w:sz="4" w:space="0" w:color="auto"/>
              <w:bottom w:val="single" w:sz="12" w:space="0" w:color="auto"/>
            </w:tcBorders>
          </w:tcPr>
          <w:p w14:paraId="0A3041C4" w14:textId="7174772C" w:rsidR="002D5AAC" w:rsidRPr="00D857DD" w:rsidRDefault="00F96907" w:rsidP="006E27AD">
            <w:pPr>
              <w:spacing w:before="240"/>
            </w:pPr>
            <w:r w:rsidRPr="00D857DD">
              <w:t>Distr. general</w:t>
            </w:r>
          </w:p>
          <w:p w14:paraId="6CB8ADEC" w14:textId="4B053180" w:rsidR="00F96907" w:rsidRPr="00D857DD" w:rsidRDefault="001832BB" w:rsidP="00F96907">
            <w:pPr>
              <w:spacing w:line="240" w:lineRule="exact"/>
            </w:pPr>
            <w:r w:rsidRPr="00D857DD">
              <w:t xml:space="preserve">10 </w:t>
            </w:r>
            <w:r w:rsidR="00F96907" w:rsidRPr="00D857DD">
              <w:t>de octubre de 2024</w:t>
            </w:r>
          </w:p>
          <w:p w14:paraId="698AE2E0" w14:textId="77777777" w:rsidR="00F96907" w:rsidRPr="00D857DD" w:rsidRDefault="00F96907" w:rsidP="00F96907">
            <w:pPr>
              <w:spacing w:line="240" w:lineRule="exact"/>
            </w:pPr>
            <w:r w:rsidRPr="00D857DD">
              <w:t>Español</w:t>
            </w:r>
          </w:p>
          <w:p w14:paraId="00FF69DC" w14:textId="77777777" w:rsidR="00F96907" w:rsidRPr="00D857DD" w:rsidRDefault="00F96907" w:rsidP="00F96907">
            <w:pPr>
              <w:spacing w:line="240" w:lineRule="exact"/>
            </w:pPr>
            <w:r w:rsidRPr="00D857DD">
              <w:t>Original: inglés</w:t>
            </w:r>
          </w:p>
          <w:p w14:paraId="2817D24A" w14:textId="02028C29" w:rsidR="001832BB" w:rsidRPr="00D857DD" w:rsidRDefault="001832BB" w:rsidP="00F96907">
            <w:pPr>
              <w:spacing w:line="240" w:lineRule="exact"/>
            </w:pPr>
            <w:r w:rsidRPr="00D857DD">
              <w:t>Español, francés e inglés únicamente</w:t>
            </w:r>
          </w:p>
        </w:tc>
      </w:tr>
    </w:tbl>
    <w:p w14:paraId="52CDBEBE" w14:textId="77777777" w:rsidR="001832BB" w:rsidRPr="00D857DD" w:rsidRDefault="001832BB" w:rsidP="001832BB">
      <w:pPr>
        <w:spacing w:before="120"/>
        <w:rPr>
          <w:b/>
          <w:bCs/>
          <w:sz w:val="24"/>
          <w:szCs w:val="24"/>
        </w:rPr>
      </w:pPr>
      <w:r w:rsidRPr="00D857DD">
        <w:rPr>
          <w:b/>
          <w:bCs/>
          <w:sz w:val="24"/>
          <w:szCs w:val="24"/>
        </w:rPr>
        <w:t>Comité de Derechos Económicos, Sociales y Culturales</w:t>
      </w:r>
    </w:p>
    <w:p w14:paraId="3A1B5EA3" w14:textId="77777777" w:rsidR="001832BB" w:rsidRPr="00D857DD" w:rsidRDefault="001832BB" w:rsidP="001832BB">
      <w:pPr>
        <w:rPr>
          <w:b/>
          <w:bCs/>
        </w:rPr>
      </w:pPr>
      <w:r w:rsidRPr="00D857DD">
        <w:rPr>
          <w:b/>
          <w:bCs/>
        </w:rPr>
        <w:t>77º período de sesiones</w:t>
      </w:r>
    </w:p>
    <w:p w14:paraId="470A5500" w14:textId="77777777" w:rsidR="001832BB" w:rsidRPr="00D857DD" w:rsidRDefault="001832BB" w:rsidP="001832BB">
      <w:r w:rsidRPr="00D857DD">
        <w:t>Ginebra, 10 a 28 de febrero de 2025</w:t>
      </w:r>
    </w:p>
    <w:p w14:paraId="726BCD45" w14:textId="5E84BE02" w:rsidR="001832BB" w:rsidRPr="00D857DD" w:rsidRDefault="001832BB" w:rsidP="001832BB">
      <w:pPr>
        <w:rPr>
          <w:b/>
          <w:bCs/>
        </w:rPr>
      </w:pPr>
      <w:r w:rsidRPr="00D857DD">
        <w:rPr>
          <w:b/>
          <w:bCs/>
        </w:rPr>
        <w:t xml:space="preserve">Examen de los informes: informes presentados por los </w:t>
      </w:r>
      <w:r w:rsidRPr="00D857DD">
        <w:rPr>
          <w:b/>
          <w:bCs/>
        </w:rPr>
        <w:br/>
        <w:t>Estados partes en virtud de los artículos 16 y 17 del Pacto</w:t>
      </w:r>
    </w:p>
    <w:p w14:paraId="2CAEBBF7" w14:textId="1E7A831D" w:rsidR="001832BB" w:rsidRPr="00D857DD" w:rsidRDefault="001832BB" w:rsidP="001832BB">
      <w:pPr>
        <w:pStyle w:val="HMG"/>
      </w:pPr>
      <w:r w:rsidRPr="00D857DD">
        <w:tab/>
      </w:r>
      <w:r w:rsidRPr="00D857DD">
        <w:tab/>
        <w:t xml:space="preserve">Respuestas del Reino Unido de Gran Bretaña </w:t>
      </w:r>
      <w:r w:rsidRPr="00D857DD">
        <w:br/>
        <w:t xml:space="preserve">e Irlanda del Norte a la lista de cuestiones </w:t>
      </w:r>
      <w:r w:rsidRPr="00D857DD">
        <w:br/>
        <w:t>relativa a su séptimo informe periódico</w:t>
      </w:r>
      <w:r w:rsidRPr="00D857DD">
        <w:rPr>
          <w:b w:val="0"/>
          <w:bCs/>
          <w:sz w:val="20"/>
          <w:szCs w:val="10"/>
        </w:rPr>
        <w:footnoteReference w:customMarkFollows="1" w:id="1"/>
        <w:t xml:space="preserve">* </w:t>
      </w:r>
      <w:r w:rsidRPr="00D857DD">
        <w:rPr>
          <w:b w:val="0"/>
          <w:bCs/>
          <w:sz w:val="20"/>
          <w:szCs w:val="10"/>
        </w:rPr>
        <w:footnoteReference w:customMarkFollows="1" w:id="2"/>
        <w:t>**</w:t>
      </w:r>
    </w:p>
    <w:p w14:paraId="466DBBC9" w14:textId="77777777" w:rsidR="001832BB" w:rsidRPr="00D857DD" w:rsidRDefault="001832BB" w:rsidP="001832BB">
      <w:pPr>
        <w:pStyle w:val="SingleTxtG"/>
        <w:jc w:val="right"/>
      </w:pPr>
      <w:r w:rsidRPr="00D857DD">
        <w:t>[Fecha de recepción: 30 de agosto de 2024]</w:t>
      </w:r>
    </w:p>
    <w:p w14:paraId="7AC9EBAD" w14:textId="77777777" w:rsidR="001832BB" w:rsidRPr="00D857DD" w:rsidRDefault="001832BB" w:rsidP="001832BB">
      <w:pPr>
        <w:pStyle w:val="SingleTxtG"/>
      </w:pPr>
      <w:r w:rsidRPr="00D857DD">
        <w:br w:type="page"/>
      </w:r>
    </w:p>
    <w:p w14:paraId="2F634E00" w14:textId="54769F30" w:rsidR="001832BB" w:rsidRPr="00D857DD" w:rsidRDefault="001832BB" w:rsidP="001832BB">
      <w:pPr>
        <w:pStyle w:val="HChG"/>
      </w:pPr>
      <w:bookmarkStart w:id="0" w:name="_Toc1517588829"/>
      <w:r w:rsidRPr="00D857DD">
        <w:lastRenderedPageBreak/>
        <w:tab/>
      </w:r>
      <w:r w:rsidRPr="00D857DD">
        <w:tab/>
        <w:t>Introducción</w:t>
      </w:r>
      <w:bookmarkEnd w:id="0"/>
    </w:p>
    <w:p w14:paraId="0FB41D1C" w14:textId="77777777" w:rsidR="001832BB" w:rsidRPr="00D857DD" w:rsidRDefault="001832BB" w:rsidP="001832BB">
      <w:pPr>
        <w:pStyle w:val="SingleTxtG"/>
      </w:pPr>
      <w:r w:rsidRPr="00D857DD">
        <w:t>1.</w:t>
      </w:r>
      <w:r w:rsidRPr="00D857DD">
        <w:tab/>
        <w:t>El Gobierno del Reino Unido agradece al Comité de Derechos Económicos, Sociales y Culturales el informe en el que este presenta su lista de cuestiones. Al preparar la presente respuesta, el Gobierno del Reino Unido ha tenido en cuenta las opiniones expresadas por instituciones nacionales de derechos humanos y organizaciones de la sociedad civil.</w:t>
      </w:r>
    </w:p>
    <w:p w14:paraId="0BCD7D1D" w14:textId="77777777" w:rsidR="001832BB" w:rsidRPr="00D857DD" w:rsidRDefault="001832BB" w:rsidP="001832BB">
      <w:pPr>
        <w:pStyle w:val="SingleTxtG"/>
      </w:pPr>
      <w:r w:rsidRPr="00D857DD">
        <w:t>2.</w:t>
      </w:r>
      <w:r w:rsidRPr="00D857DD">
        <w:tab/>
        <w:t xml:space="preserve">La respuesta contiene aportaciones de diversos departamentos gubernamentales, las administraciones autónomas, las dependencias de la Corona y los territorios británicos de ultramar; el Gobierno del Reino Unido observa la dificultad que supuso reflejar en su totalidad la extensión territorial del país respetando el límite de palabras. </w:t>
      </w:r>
    </w:p>
    <w:p w14:paraId="65456F04" w14:textId="77777777" w:rsidR="001832BB" w:rsidRPr="00D857DD" w:rsidRDefault="001832BB" w:rsidP="001832BB">
      <w:pPr>
        <w:pStyle w:val="SingleTxtG"/>
      </w:pPr>
      <w:r w:rsidRPr="00D857DD">
        <w:t>3.</w:t>
      </w:r>
      <w:r w:rsidRPr="00D857DD">
        <w:tab/>
        <w:t>El Reino Unido está decidido a proteger y respetar los derechos humanos y cuenta con protecciones sólidas de dichos derechos en el marco de un sistema constitucional y jurídico amplio y bien establecido, así como con un sólido historial de protección de los derechos y libertades en su territorio y de cumplimiento de sus obligaciones internacionales en materia de derechos humanos. El Gobierno del Reino Unido apoya firmemente la labor de los órganos de tratados de las Naciones Unidas y los considera fundamentales en el contexto más amplio del sistema de derechos humanos.</w:t>
      </w:r>
    </w:p>
    <w:p w14:paraId="33C0D01C" w14:textId="77777777" w:rsidR="001832BB" w:rsidRPr="00D857DD" w:rsidRDefault="001832BB" w:rsidP="001832BB">
      <w:pPr>
        <w:pStyle w:val="SingleTxtG"/>
      </w:pPr>
      <w:r w:rsidRPr="00D857DD">
        <w:t>4.</w:t>
      </w:r>
      <w:r w:rsidRPr="00D857DD">
        <w:tab/>
        <w:t>Tras las elecciones generales del 4 de julio de 2024, el Reino Unido eligió un nuevo gobierno dirigido por el Partido Laborista.</w:t>
      </w:r>
    </w:p>
    <w:p w14:paraId="06FC8BFB" w14:textId="77777777" w:rsidR="001832BB" w:rsidRPr="00D857DD" w:rsidRDefault="001832BB" w:rsidP="001832BB">
      <w:pPr>
        <w:pStyle w:val="SingleTxtG"/>
      </w:pPr>
      <w:r w:rsidRPr="00D857DD">
        <w:t>5.</w:t>
      </w:r>
      <w:r w:rsidRPr="00D857DD">
        <w:tab/>
        <w:t>Aunque en la mayoría de este informe se presenta información fáctica e histórica que no se ve afectada por las elecciones, los ámbitos de políticas son susceptibles de examen y modificación, y esperamos con interés presentar al Comité información actualizada en el marco del diálogo.</w:t>
      </w:r>
    </w:p>
    <w:p w14:paraId="2192CC71" w14:textId="77777777" w:rsidR="001832BB" w:rsidRPr="00D857DD" w:rsidRDefault="001832BB" w:rsidP="001832BB">
      <w:pPr>
        <w:pStyle w:val="SingleTxtG"/>
      </w:pPr>
      <w:r w:rsidRPr="00D857DD">
        <w:t>6.</w:t>
      </w:r>
      <w:r w:rsidRPr="00D857DD">
        <w:tab/>
        <w:t>No obstante, nos gustaría señalar a la atención del Comité los siguientes compromisos a modo de manifiesto, así como una serie de anuncios legislativos pertinentes para el Pacto:</w:t>
      </w:r>
    </w:p>
    <w:p w14:paraId="17B9BDA1" w14:textId="25C75C8E" w:rsidR="001832BB" w:rsidRPr="00D857DD" w:rsidRDefault="001832BB" w:rsidP="001832BB">
      <w:pPr>
        <w:pStyle w:val="Bullet1G"/>
      </w:pPr>
      <w:r w:rsidRPr="00D857DD">
        <w:t>Es inequívoco que el Reino Unido seguirá siendo miembro del Convenio Europeo de Derechos Humanos.</w:t>
      </w:r>
    </w:p>
    <w:p w14:paraId="4BAC9444" w14:textId="016C9C56" w:rsidR="001832BB" w:rsidRPr="00D857DD" w:rsidRDefault="001832BB" w:rsidP="001832BB">
      <w:pPr>
        <w:pStyle w:val="Bullet1G"/>
      </w:pPr>
      <w:r w:rsidRPr="00D857DD">
        <w:t>En el discurso del Rey del 17 de julio de 2024 se anunció un instrumento legislativo encaminado a concertar un nuevo pacto a favor de los trabajadores a efectos de prohibir las prácticas de explotación y mejorar los derechos laborales (proyecto de ley sobre los derechos laborales).</w:t>
      </w:r>
    </w:p>
    <w:p w14:paraId="36C0D92F" w14:textId="72E50A99" w:rsidR="001832BB" w:rsidRPr="00D857DD" w:rsidRDefault="001832BB" w:rsidP="001832BB">
      <w:pPr>
        <w:pStyle w:val="Bullet1G"/>
      </w:pPr>
      <w:r w:rsidRPr="00D857DD">
        <w:t>En virtud del Plan para que el trabajo sea rentable se establece un programa importante y ambicioso para velar por que los derechos en el lugar de trabajo sean apropiados para una economía moderna, empoderen a los trabajadores y generen crecimiento económico. Se trata de una parte central de la misión del Gobierno de impulsar el crecimiento de la economía y elevar el nivel de vida en todo el país.</w:t>
      </w:r>
    </w:p>
    <w:p w14:paraId="1F58A9CE" w14:textId="0F2454A3" w:rsidR="001832BB" w:rsidRPr="00D857DD" w:rsidRDefault="001832BB" w:rsidP="001832BB">
      <w:pPr>
        <w:pStyle w:val="Bullet1G"/>
      </w:pPr>
      <w:r w:rsidRPr="00D857DD">
        <w:t>Se fortalecerán los derechos en materia de igualdad de remuneración y las protecciones frente a la discriminación por maternidad y menopausia y frente al acoso sexual.</w:t>
      </w:r>
    </w:p>
    <w:p w14:paraId="2777137D" w14:textId="5C4707F6" w:rsidR="001832BB" w:rsidRPr="00D857DD" w:rsidRDefault="001832BB" w:rsidP="001832BB">
      <w:pPr>
        <w:pStyle w:val="Bullet1G"/>
      </w:pPr>
      <w:r w:rsidRPr="00D857DD">
        <w:t>El Gobierno introducirá el pleno derecho de las personas con discapacidad a la igualdad de remuneración.</w:t>
      </w:r>
    </w:p>
    <w:p w14:paraId="1E33591C" w14:textId="7E095136" w:rsidR="001832BB" w:rsidRPr="00D857DD" w:rsidRDefault="001832BB" w:rsidP="001832BB">
      <w:pPr>
        <w:pStyle w:val="Bullet1G"/>
      </w:pPr>
      <w:r w:rsidRPr="00D857DD">
        <w:t>En atención al deseo del Gobierno de velar por que todos los ciudadanos prosperen, independientemente de su extracción, cumplirá la obligación socioeconómica prevista en el artículo 1 de la Ley de Igualdad de 2010.</w:t>
      </w:r>
    </w:p>
    <w:p w14:paraId="32EE5194" w14:textId="77777777" w:rsidR="001832BB" w:rsidRPr="00D857DD" w:rsidRDefault="001832BB" w:rsidP="001832BB">
      <w:pPr>
        <w:pStyle w:val="Bullet1G"/>
      </w:pPr>
      <w:r w:rsidRPr="00D857DD">
        <w:t>El Gobierno publicará un proyecto de ley de igualdad (raza y discapacidad) que consagrará legalmente el pleno derecho de las minorías étnicas y las personas con discapacidad a la igualdad de remuneración y hará obligatoria la notificación de las brechas salariales motivadas por el origen étnico y la discapacidad.</w:t>
      </w:r>
    </w:p>
    <w:p w14:paraId="7BBC5C66" w14:textId="601E56A0" w:rsidR="001832BB" w:rsidRPr="00D857DD" w:rsidRDefault="001832BB" w:rsidP="00B2156B">
      <w:pPr>
        <w:pStyle w:val="HChG"/>
      </w:pPr>
      <w:bookmarkStart w:id="1" w:name="_Toc1987621254"/>
      <w:bookmarkStart w:id="2" w:name="_Hlk164071772"/>
      <w:r w:rsidRPr="00D857DD">
        <w:lastRenderedPageBreak/>
        <w:tab/>
        <w:t>A.</w:t>
      </w:r>
      <w:r w:rsidRPr="00D857DD">
        <w:tab/>
        <w:t>Información general</w:t>
      </w:r>
      <w:bookmarkEnd w:id="1"/>
    </w:p>
    <w:p w14:paraId="0431B9C2" w14:textId="06EE1ACF" w:rsidR="001832BB" w:rsidRPr="00D857DD" w:rsidRDefault="001832BB" w:rsidP="00B2156B">
      <w:pPr>
        <w:pStyle w:val="H1G"/>
      </w:pPr>
      <w:bookmarkStart w:id="3" w:name="_Toc864292639"/>
      <w:r w:rsidRPr="00D857DD">
        <w:tab/>
        <w:t>1.</w:t>
      </w:r>
      <w:r w:rsidRPr="00D857DD">
        <w:tab/>
        <w:t>Elecciones generales de julio de 2024</w:t>
      </w:r>
      <w:bookmarkEnd w:id="3"/>
    </w:p>
    <w:p w14:paraId="02AFEEF8" w14:textId="22D09007" w:rsidR="001832BB" w:rsidRPr="00D857DD" w:rsidRDefault="001832BB" w:rsidP="001832BB">
      <w:pPr>
        <w:pStyle w:val="SingleTxtG"/>
      </w:pPr>
      <w:r w:rsidRPr="00D857DD">
        <w:t>7.</w:t>
      </w:r>
      <w:r w:rsidRPr="00D857DD">
        <w:tab/>
        <w:t xml:space="preserve">El 4 de julio de 2024 el Reino Unido celebró elecciones generales para determinar la composición del </w:t>
      </w:r>
      <w:r w:rsidR="00CF748A" w:rsidRPr="00D857DD">
        <w:t>p</w:t>
      </w:r>
      <w:r w:rsidRPr="00D857DD">
        <w:t>arlamento y el gobierno próximos. El nuevo Gobierno del Reino Unido ha examinado detenidamente este informe, pese a ser limitado el tiempo de que disponía para ello. En los casos en los que todavía no se haya determinado una política, ello se indicará con claridad.</w:t>
      </w:r>
    </w:p>
    <w:p w14:paraId="326F4901" w14:textId="5B344861" w:rsidR="001832BB" w:rsidRPr="00D857DD" w:rsidRDefault="001832BB" w:rsidP="00B2156B">
      <w:pPr>
        <w:pStyle w:val="H1G"/>
      </w:pPr>
      <w:bookmarkStart w:id="4" w:name="_Toc1307321116"/>
      <w:bookmarkEnd w:id="2"/>
      <w:r w:rsidRPr="00D857DD">
        <w:tab/>
        <w:t>2.</w:t>
      </w:r>
      <w:r w:rsidRPr="00D857DD">
        <w:tab/>
        <w:t xml:space="preserve">Carácter justiciable de los derechos económicos, sociales </w:t>
      </w:r>
      <w:r w:rsidR="000A4CE3" w:rsidRPr="00D857DD">
        <w:br/>
      </w:r>
      <w:r w:rsidRPr="00D857DD">
        <w:t>y culturales</w:t>
      </w:r>
      <w:bookmarkEnd w:id="4"/>
    </w:p>
    <w:p w14:paraId="72508BF2" w14:textId="77777777" w:rsidR="001832BB" w:rsidRPr="00D857DD" w:rsidRDefault="001832BB" w:rsidP="001832BB">
      <w:pPr>
        <w:pStyle w:val="SingleTxtG"/>
      </w:pPr>
      <w:r w:rsidRPr="00D857DD">
        <w:t>8.</w:t>
      </w:r>
      <w:r w:rsidRPr="00D857DD">
        <w:tab/>
        <w:t>El Reino Unido ha puesto en marcha una combinación de políticas y de leyes para desarrollar los tratados de derechos humanos de las Naciones Unidas que ha ratificado. Los territorios de ultramar y las dependencias de la Corona a los que se habían hecho extensibles esos tratados aplican el mismo enfoque. Tomamos nota de la recomendación sobre la necesidad de cumplir nuestras obligaciones y de proporcionar recursos jurídicos efectivos. El Reino Unido considera que cumple plenamente las obligaciones que le incumben en virtud de los tratados de las Naciones Unidas, incluida la de ofrecer recursos efectivos para cualquier infracción cuando procede.</w:t>
      </w:r>
    </w:p>
    <w:p w14:paraId="1715B8EE" w14:textId="0CDEB9CF" w:rsidR="001832BB" w:rsidRPr="00D857DD" w:rsidRDefault="001832BB" w:rsidP="001832BB">
      <w:pPr>
        <w:pStyle w:val="H23G"/>
      </w:pPr>
      <w:bookmarkStart w:id="5" w:name="_Toc1718285213"/>
      <w:r w:rsidRPr="00D857DD">
        <w:tab/>
      </w:r>
      <w:r w:rsidRPr="00D857DD">
        <w:tab/>
        <w:t xml:space="preserve">La causa </w:t>
      </w:r>
      <w:r w:rsidRPr="00D857DD">
        <w:rPr>
          <w:i/>
        </w:rPr>
        <w:t xml:space="preserve">R (SC y otros) c. el Secretario de Estado </w:t>
      </w:r>
      <w:r w:rsidRPr="00D857DD">
        <w:t>en materia de trabajo y pensiones</w:t>
      </w:r>
      <w:bookmarkEnd w:id="5"/>
    </w:p>
    <w:p w14:paraId="3764393C" w14:textId="1C5353A0" w:rsidR="001832BB" w:rsidRPr="00D857DD" w:rsidRDefault="001832BB" w:rsidP="001832BB">
      <w:pPr>
        <w:pStyle w:val="SingleTxtG"/>
      </w:pPr>
      <w:r w:rsidRPr="00D857DD">
        <w:t>9.</w:t>
      </w:r>
      <w:r w:rsidRPr="00D857DD">
        <w:tab/>
        <w:t xml:space="preserve">En la causa </w:t>
      </w:r>
      <w:r w:rsidRPr="00D857DD">
        <w:rPr>
          <w:i/>
        </w:rPr>
        <w:t>R (SC y otros) c. el Secretario de Estado</w:t>
      </w:r>
      <w:r w:rsidRPr="00D857DD">
        <w:t xml:space="preserve"> se reconocía la posición constitucional arraigada en el sentido de que los tribunales nacionales no podían hacer cumplir tratados no incorporados</w:t>
      </w:r>
      <w:r w:rsidRPr="00D857DD">
        <w:rPr>
          <w:sz w:val="18"/>
          <w:szCs w:val="18"/>
          <w:vertAlign w:val="superscript"/>
        </w:rPr>
        <w:footnoteReference w:id="3"/>
      </w:r>
      <w:r w:rsidRPr="00D857DD">
        <w:t>. La Ley de Derechos Humanos de 1998 da mayor efectividad interna al Convenio Europeo de Derechos Humanos. Sin embargo, el Tribunal Supremo también ha reconocido que el Reino Unido se propone obligarse cuando se adhiera a tratados internacionales y que el Tribunal Europeo de Derechos Humanos puede tener en cuenta el derecho internacional al interpretar el Convenio Europeo de Derechos Humanos y crear consenso entre los Estados.</w:t>
      </w:r>
    </w:p>
    <w:p w14:paraId="1AF4842C" w14:textId="70EBEEF5" w:rsidR="001832BB" w:rsidRPr="00D857DD" w:rsidRDefault="001832BB" w:rsidP="001832BB">
      <w:pPr>
        <w:pStyle w:val="H23G"/>
      </w:pPr>
      <w:bookmarkStart w:id="6" w:name="_Toc805057959"/>
      <w:r w:rsidRPr="00D857DD">
        <w:tab/>
      </w:r>
      <w:r w:rsidRPr="00D857DD">
        <w:tab/>
        <w:t>La Carta de Derechos</w:t>
      </w:r>
      <w:bookmarkEnd w:id="6"/>
    </w:p>
    <w:p w14:paraId="317F4980" w14:textId="5ABCD628" w:rsidR="001832BB" w:rsidRPr="00D857DD" w:rsidRDefault="001832BB" w:rsidP="001832BB">
      <w:pPr>
        <w:pStyle w:val="SingleTxtG"/>
      </w:pPr>
      <w:r w:rsidRPr="00D857DD">
        <w:t>10.</w:t>
      </w:r>
      <w:r w:rsidRPr="00D857DD">
        <w:tab/>
        <w:t>El Gobierno del Reino Unido está plenamente comprometido con la protección de los derechos humanos en los planos nacional e internacional. Como ha dejado claro el Primer Ministro, el Reino Unido está comprometido inequívocamente con el Convenio Europeo de Derechos Humanos. Por lo que se refiere en particular al proyecto de ley de la Carta de Derechos, el por entonces Lord Canciller del anterior Gobierno informó el 27 de junio de 2023 a la Cámara de los Comunes de que el Gobierno del Reino Unido no seguiría adelante con dicho proyecto de ley. El nuevo Gobierno no asumió en su manifiesto ningún compromiso a efectos de impulsar este cambio del marco de derechos humanos del Reino Unido ni ningún otro cambio comparable.</w:t>
      </w:r>
    </w:p>
    <w:p w14:paraId="7B339235" w14:textId="263B286A" w:rsidR="001832BB" w:rsidRPr="00D857DD" w:rsidRDefault="001832BB" w:rsidP="001832BB">
      <w:pPr>
        <w:pStyle w:val="H23G"/>
      </w:pPr>
      <w:bookmarkStart w:id="7" w:name="_Toc1369502144"/>
      <w:r w:rsidRPr="00D857DD">
        <w:tab/>
      </w:r>
      <w:r w:rsidRPr="00D857DD">
        <w:tab/>
        <w:t>Escocia</w:t>
      </w:r>
      <w:bookmarkEnd w:id="7"/>
    </w:p>
    <w:p w14:paraId="047CEBE0" w14:textId="77777777" w:rsidR="001832BB" w:rsidRPr="00D857DD" w:rsidRDefault="001832BB" w:rsidP="001832BB">
      <w:pPr>
        <w:pStyle w:val="SingleTxtG"/>
      </w:pPr>
      <w:r w:rsidRPr="00D857DD">
        <w:t>11.</w:t>
      </w:r>
      <w:r w:rsidRPr="00D857DD">
        <w:tab/>
        <w:t>El Gobierno de Escocia propone que, dentro de los límites de las competencias transferidas, se incorporen en el derecho escocés cuatro tratados de las Naciones Unidas, así como que se reconozca e incluya el derecho al medio ambiente saludable a través de un nuevo proyecto de ley de derechos humanos. El Pacto Internacional de Derechos Económicos, Sociales y Culturales formará parte central de esta propuesta.</w:t>
      </w:r>
    </w:p>
    <w:p w14:paraId="4771A426" w14:textId="468A2447" w:rsidR="001832BB" w:rsidRPr="00D857DD" w:rsidRDefault="001832BB" w:rsidP="001832BB">
      <w:pPr>
        <w:pStyle w:val="H23G"/>
      </w:pPr>
      <w:bookmarkStart w:id="8" w:name="_Toc300694244"/>
      <w:r w:rsidRPr="00D857DD">
        <w:lastRenderedPageBreak/>
        <w:tab/>
      </w:r>
      <w:r w:rsidRPr="00D857DD">
        <w:tab/>
        <w:t>Proyecto de ley de derechos humanos de Irlanda del Norte</w:t>
      </w:r>
      <w:bookmarkEnd w:id="8"/>
    </w:p>
    <w:p w14:paraId="6DB33359" w14:textId="77777777" w:rsidR="001832BB" w:rsidRPr="00D857DD" w:rsidRDefault="001832BB" w:rsidP="001832BB">
      <w:pPr>
        <w:pStyle w:val="SingleTxtG"/>
      </w:pPr>
      <w:r w:rsidRPr="00D857DD">
        <w:t>12.</w:t>
      </w:r>
      <w:r w:rsidRPr="00D857DD">
        <w:tab/>
        <w:t>El Gobierno del Reino Unido tiene la firme determinación de respetar el Acuerdo del Viernes Santo en todas sus partes, lo que incluye la disposición relativa a una Carta de Derechos para Irlanda del Norte.</w:t>
      </w:r>
      <w:bookmarkStart w:id="9" w:name="_Hlk165914954"/>
      <w:bookmarkEnd w:id="9"/>
    </w:p>
    <w:p w14:paraId="0EC5CC9B" w14:textId="3E23CD5F" w:rsidR="001832BB" w:rsidRPr="00D857DD" w:rsidRDefault="001832BB" w:rsidP="001832BB">
      <w:pPr>
        <w:pStyle w:val="SingleTxtG"/>
      </w:pPr>
      <w:r w:rsidRPr="00D857DD">
        <w:t>13.</w:t>
      </w:r>
      <w:r w:rsidRPr="00D857DD">
        <w:tab/>
        <w:t>En virtud del acuerdo “Nuevo decenio, nuevo enfoque”, las partes se comprometen a considerar la posibilidad de crear una Carta de Derechos a través de la labor de una Comisión Ad Hoc de la Asamblea. La Asamblea aprobó el informe de la Comisión el 14 de febrero de</w:t>
      </w:r>
      <w:r w:rsidR="00CF748A" w:rsidRPr="00D857DD">
        <w:t> </w:t>
      </w:r>
      <w:r w:rsidRPr="00D857DD">
        <w:t>2022. Sin embargo, para que avance la elaboración de la Carta de Derechos es preciso un mayor grado de consenso en Irlanda del Norte. El enfoque de consenso siempre estuvo previsto en el Acuerdo del Viernes Santo.</w:t>
      </w:r>
    </w:p>
    <w:p w14:paraId="5546FFBE" w14:textId="475445DC" w:rsidR="001832BB" w:rsidRPr="00D857DD" w:rsidRDefault="001832BB" w:rsidP="00B2156B">
      <w:pPr>
        <w:pStyle w:val="H1G"/>
      </w:pPr>
      <w:bookmarkStart w:id="10" w:name="_Toc1123481741"/>
      <w:r w:rsidRPr="00D857DD">
        <w:tab/>
        <w:t>3.</w:t>
      </w:r>
      <w:r w:rsidRPr="00D857DD">
        <w:tab/>
        <w:t xml:space="preserve">Disposiciones del Pacto y normas ambientales en la Ley de </w:t>
      </w:r>
      <w:r w:rsidR="00B2156B" w:rsidRPr="00D857DD">
        <w:br/>
      </w:r>
      <w:r w:rsidRPr="00D857DD">
        <w:t xml:space="preserve">Retirada de la Unión Europea de 2018 y en el proyecto de </w:t>
      </w:r>
      <w:r w:rsidR="00B2156B" w:rsidRPr="00D857DD">
        <w:br/>
      </w:r>
      <w:r w:rsidRPr="00D857DD">
        <w:t xml:space="preserve">ley de reforma y derogación de la legislación conservada </w:t>
      </w:r>
      <w:r w:rsidR="00B2156B" w:rsidRPr="00D857DD">
        <w:br/>
      </w:r>
      <w:r w:rsidRPr="00D857DD">
        <w:t xml:space="preserve">de la Unión Europea de 2022 y medidas adoptadas para </w:t>
      </w:r>
      <w:r w:rsidR="00B2156B" w:rsidRPr="00D857DD">
        <w:br/>
      </w:r>
      <w:r w:rsidRPr="00D857DD">
        <w:t xml:space="preserve">valorar y responder a las repercusiones de la pérdida de </w:t>
      </w:r>
      <w:r w:rsidR="00B2156B" w:rsidRPr="00D857DD">
        <w:br/>
      </w:r>
      <w:r w:rsidRPr="00D857DD">
        <w:t xml:space="preserve">financiación procedente del Fondo Social Europeo y el </w:t>
      </w:r>
      <w:r w:rsidR="00B2156B" w:rsidRPr="00D857DD">
        <w:br/>
      </w:r>
      <w:r w:rsidRPr="00D857DD">
        <w:t>Fondo Europeo de Desarrollo Regional</w:t>
      </w:r>
      <w:bookmarkEnd w:id="10"/>
    </w:p>
    <w:p w14:paraId="1FCE0706" w14:textId="77777777" w:rsidR="001832BB" w:rsidRPr="00D857DD" w:rsidRDefault="001832BB" w:rsidP="001832BB">
      <w:pPr>
        <w:pStyle w:val="SingleTxtG"/>
      </w:pPr>
      <w:r w:rsidRPr="00D857DD">
        <w:t>14.</w:t>
      </w:r>
      <w:r w:rsidRPr="00D857DD">
        <w:tab/>
        <w:t>El Fondo Social Europeo se sustituyó a partir de abril de 2023 por el Fondo de Prosperidad Compartida del Reino Unido (UKSPF), gestionado a nivel central por el Ministerio de Vivienda, Comunidades y Gobierno Local.</w:t>
      </w:r>
    </w:p>
    <w:p w14:paraId="3DF03358" w14:textId="22ECB56A" w:rsidR="001832BB" w:rsidRPr="00D857DD" w:rsidRDefault="001832BB" w:rsidP="001832BB">
      <w:pPr>
        <w:pStyle w:val="SingleTxtG"/>
      </w:pPr>
      <w:r w:rsidRPr="00D857DD">
        <w:t>15.</w:t>
      </w:r>
      <w:r w:rsidRPr="00D857DD">
        <w:tab/>
        <w:t>Con el objeto de hacer frente a los índices de inactividad económica, en 2023/24 y</w:t>
      </w:r>
      <w:r w:rsidR="00CF748A" w:rsidRPr="00D857DD">
        <w:t> </w:t>
      </w:r>
      <w:r w:rsidRPr="00D857DD">
        <w:t>2024/25 se concedieron a Irlanda del Norte fondos del UKSPF por valor de 57 millones de libras esterlinas para prestar apoyo a 18 proyectos. En el artículo 2 del Marco de Windsor</w:t>
      </w:r>
      <w:r w:rsidRPr="00D857DD">
        <w:rPr>
          <w:sz w:val="18"/>
          <w:szCs w:val="18"/>
          <w:vertAlign w:val="superscript"/>
        </w:rPr>
        <w:footnoteReference w:id="4"/>
      </w:r>
      <w:r w:rsidRPr="00D857DD">
        <w:t xml:space="preserve"> se garantiza que la retirada de la Unión Europea no comportará disminución alguna de los derechos y salvaguardias o la igualdad de oportunidades previstos en el Acuerdo del Viernes Santo, incluida la protección contra la discriminación.</w:t>
      </w:r>
    </w:p>
    <w:p w14:paraId="42EE795B" w14:textId="77777777" w:rsidR="001832BB" w:rsidRPr="00D857DD" w:rsidRDefault="001832BB" w:rsidP="001832BB">
      <w:pPr>
        <w:pStyle w:val="SingleTxtG"/>
      </w:pPr>
      <w:r w:rsidRPr="00D857DD">
        <w:t>16.</w:t>
      </w:r>
      <w:r w:rsidRPr="00D857DD">
        <w:tab/>
        <w:t>Además de la oferta disponible en el mercado de trabajo y de la introducción del UKSPF, el Departamento de Comunidades de Irlanda del Norte introdujo en abril de 2022/23 el Programa de Asociaciones con el Mercado de Trabajo. En 2023/24 este Programa destinó 4,7 millones de libras esterlinas a intervenciones relativas al mercado de trabajo.</w:t>
      </w:r>
    </w:p>
    <w:p w14:paraId="51B26F59" w14:textId="2C366D99" w:rsidR="001832BB" w:rsidRPr="00D857DD" w:rsidRDefault="001832BB" w:rsidP="00B2156B">
      <w:pPr>
        <w:pStyle w:val="H1G"/>
      </w:pPr>
      <w:bookmarkStart w:id="11" w:name="_Toc1131679952"/>
      <w:r w:rsidRPr="00D857DD">
        <w:tab/>
        <w:t>4.</w:t>
      </w:r>
      <w:r w:rsidRPr="00D857DD">
        <w:tab/>
        <w:t>Medidas en materia de asistencia oficial para el desarrollo (AOD)</w:t>
      </w:r>
      <w:bookmarkEnd w:id="11"/>
    </w:p>
    <w:p w14:paraId="45669AA0" w14:textId="2BC33459" w:rsidR="001832BB" w:rsidRPr="00D857DD" w:rsidRDefault="001832BB" w:rsidP="001832BB">
      <w:pPr>
        <w:pStyle w:val="SingleTxtG"/>
      </w:pPr>
      <w:r w:rsidRPr="00D857DD">
        <w:t>17.</w:t>
      </w:r>
      <w:r w:rsidRPr="00D857DD">
        <w:tab/>
        <w:t>La Ley de Desarrollo Internacional (Meta de asistencia oficial para el desarrollo) de</w:t>
      </w:r>
      <w:r w:rsidR="00342397" w:rsidRPr="00D857DD">
        <w:t> </w:t>
      </w:r>
      <w:r w:rsidRPr="00D857DD">
        <w:t>2015 consagra legalmente el compromiso del Reino Unido de destinar cada año natural a la AOD el 0,7 % de su ingreso nacional bruto (INB). En vista de la repercusión de la pandemia de enfermedad por coronavirus (COVID-19) en la economía y las finanzas públicas, en 2021 el gasto en AOD se redujo al 0,5 % del ingreso nacional bruto (INB), y desde entonces se ha mantenido en torno a ese nivel. El Reino Unido está decidido a devolver el gasto en AOD a una proporción del 0,7 % del INB tan pronto como lo permitan las circunstancias fiscales.</w:t>
      </w:r>
    </w:p>
    <w:p w14:paraId="0C46B82E" w14:textId="56E62AA1" w:rsidR="001832BB" w:rsidRPr="00D857DD" w:rsidRDefault="001832BB" w:rsidP="001832BB">
      <w:pPr>
        <w:pStyle w:val="SingleTxtG"/>
      </w:pPr>
      <w:r w:rsidRPr="00D857DD">
        <w:t>18.</w:t>
      </w:r>
      <w:r w:rsidRPr="00D857DD">
        <w:tab/>
        <w:t>La AOD bilateral</w:t>
      </w:r>
      <w:r w:rsidRPr="00D857DD">
        <w:rPr>
          <w:sz w:val="18"/>
          <w:szCs w:val="18"/>
          <w:vertAlign w:val="superscript"/>
        </w:rPr>
        <w:footnoteReference w:id="5"/>
      </w:r>
      <w:r w:rsidRPr="00D857DD">
        <w:t xml:space="preserve"> destinada desde 2016 por el Reino Unido a países menos adelantados específicos es la siguiente.</w:t>
      </w:r>
    </w:p>
    <w:tbl>
      <w:tblPr>
        <w:tblW w:w="7391" w:type="dxa"/>
        <w:tblInd w:w="1134" w:type="dxa"/>
        <w:tblBorders>
          <w:top w:val="single" w:sz="4" w:space="0" w:color="auto"/>
        </w:tblBorders>
        <w:tblCellMar>
          <w:left w:w="0" w:type="dxa"/>
          <w:right w:w="0" w:type="dxa"/>
        </w:tblCellMar>
        <w:tblLook w:val="04A0" w:firstRow="1" w:lastRow="0" w:firstColumn="1" w:lastColumn="0" w:noHBand="0" w:noVBand="1"/>
      </w:tblPr>
      <w:tblGrid>
        <w:gridCol w:w="634"/>
        <w:gridCol w:w="2235"/>
        <w:gridCol w:w="1569"/>
        <w:gridCol w:w="1595"/>
        <w:gridCol w:w="1358"/>
      </w:tblGrid>
      <w:tr w:rsidR="001832BB" w:rsidRPr="00D857DD" w14:paraId="6FA487E3" w14:textId="77777777" w:rsidTr="00AD5D01">
        <w:trPr>
          <w:trHeight w:val="240"/>
          <w:tblHeader/>
        </w:trPr>
        <w:tc>
          <w:tcPr>
            <w:tcW w:w="634" w:type="dxa"/>
            <w:vMerge w:val="restart"/>
            <w:tcBorders>
              <w:top w:val="single" w:sz="4" w:space="0" w:color="auto"/>
              <w:bottom w:val="single" w:sz="12" w:space="0" w:color="auto"/>
            </w:tcBorders>
            <w:shd w:val="clear" w:color="auto" w:fill="auto"/>
            <w:tcMar>
              <w:left w:w="108" w:type="dxa"/>
              <w:right w:w="108" w:type="dxa"/>
            </w:tcMar>
            <w:vAlign w:val="bottom"/>
          </w:tcPr>
          <w:p w14:paraId="10147E34" w14:textId="77777777" w:rsidR="001832BB" w:rsidRPr="00D857DD" w:rsidRDefault="001832BB" w:rsidP="00AD5D01">
            <w:pPr>
              <w:pStyle w:val="SingleTxtG"/>
              <w:tabs>
                <w:tab w:val="clear" w:pos="1701"/>
                <w:tab w:val="clear" w:pos="2268"/>
                <w:tab w:val="clear" w:pos="2835"/>
              </w:tabs>
              <w:spacing w:before="80" w:after="80" w:line="200" w:lineRule="exact"/>
              <w:ind w:left="57" w:right="0"/>
              <w:jc w:val="left"/>
              <w:rPr>
                <w:i/>
                <w:sz w:val="16"/>
              </w:rPr>
            </w:pPr>
            <w:r w:rsidRPr="00D857DD">
              <w:rPr>
                <w:i/>
                <w:iCs/>
                <w:sz w:val="16"/>
              </w:rPr>
              <w:lastRenderedPageBreak/>
              <w:t>Año</w:t>
            </w:r>
          </w:p>
        </w:tc>
        <w:tc>
          <w:tcPr>
            <w:tcW w:w="2235" w:type="dxa"/>
            <w:vMerge w:val="restart"/>
            <w:tcBorders>
              <w:top w:val="single" w:sz="4" w:space="0" w:color="auto"/>
              <w:bottom w:val="single" w:sz="12" w:space="0" w:color="auto"/>
            </w:tcBorders>
            <w:shd w:val="clear" w:color="auto" w:fill="auto"/>
            <w:tcMar>
              <w:left w:w="108" w:type="dxa"/>
              <w:right w:w="108" w:type="dxa"/>
            </w:tcMar>
            <w:vAlign w:val="bottom"/>
          </w:tcPr>
          <w:p w14:paraId="7D3A3AEC" w14:textId="77777777" w:rsidR="001832BB" w:rsidRPr="00D857DD" w:rsidRDefault="001832BB" w:rsidP="00AD5D01">
            <w:pPr>
              <w:pStyle w:val="SingleTxtG"/>
              <w:tabs>
                <w:tab w:val="clear" w:pos="1701"/>
                <w:tab w:val="clear" w:pos="2268"/>
                <w:tab w:val="clear" w:pos="2835"/>
              </w:tabs>
              <w:spacing w:before="80" w:after="80" w:line="200" w:lineRule="exact"/>
              <w:ind w:left="57" w:right="0"/>
              <w:jc w:val="right"/>
              <w:rPr>
                <w:i/>
                <w:sz w:val="16"/>
              </w:rPr>
            </w:pPr>
            <w:r w:rsidRPr="00D857DD">
              <w:rPr>
                <w:i/>
                <w:iCs/>
                <w:sz w:val="16"/>
              </w:rPr>
              <w:t>Volumen de la AOD bilateral aportada a países menos adelantados específicos (millones de libras esterlinas)</w:t>
            </w:r>
          </w:p>
        </w:tc>
        <w:tc>
          <w:tcPr>
            <w:tcW w:w="1569" w:type="dxa"/>
            <w:vMerge w:val="restart"/>
            <w:tcBorders>
              <w:top w:val="single" w:sz="4" w:space="0" w:color="auto"/>
              <w:bottom w:val="single" w:sz="12" w:space="0" w:color="auto"/>
            </w:tcBorders>
            <w:shd w:val="clear" w:color="auto" w:fill="auto"/>
            <w:tcMar>
              <w:left w:w="108" w:type="dxa"/>
              <w:right w:w="108" w:type="dxa"/>
            </w:tcMar>
            <w:vAlign w:val="bottom"/>
          </w:tcPr>
          <w:p w14:paraId="3DF36C1E" w14:textId="77777777" w:rsidR="001832BB" w:rsidRPr="00D857DD" w:rsidRDefault="001832BB" w:rsidP="00AD5D01">
            <w:pPr>
              <w:pStyle w:val="SingleTxtG"/>
              <w:tabs>
                <w:tab w:val="clear" w:pos="1701"/>
                <w:tab w:val="clear" w:pos="2268"/>
                <w:tab w:val="clear" w:pos="2835"/>
              </w:tabs>
              <w:spacing w:before="80" w:after="80" w:line="200" w:lineRule="exact"/>
              <w:ind w:left="57" w:right="0"/>
              <w:jc w:val="right"/>
              <w:rPr>
                <w:i/>
                <w:sz w:val="16"/>
              </w:rPr>
            </w:pPr>
            <w:r w:rsidRPr="00D857DD">
              <w:rPr>
                <w:i/>
                <w:iCs/>
                <w:sz w:val="16"/>
              </w:rPr>
              <w:t>Porcentaje de la AOD bilateral aportada a países menos adelantados específicos (%)</w:t>
            </w:r>
          </w:p>
        </w:tc>
        <w:tc>
          <w:tcPr>
            <w:tcW w:w="2953" w:type="dxa"/>
            <w:gridSpan w:val="2"/>
            <w:tcBorders>
              <w:top w:val="single" w:sz="4" w:space="0" w:color="auto"/>
              <w:bottom w:val="single" w:sz="4" w:space="0" w:color="auto"/>
            </w:tcBorders>
            <w:shd w:val="clear" w:color="auto" w:fill="auto"/>
            <w:tcMar>
              <w:left w:w="108" w:type="dxa"/>
              <w:right w:w="108" w:type="dxa"/>
            </w:tcMar>
            <w:vAlign w:val="bottom"/>
          </w:tcPr>
          <w:p w14:paraId="3E878275" w14:textId="77777777" w:rsidR="001832BB" w:rsidRPr="00D857DD" w:rsidRDefault="001832BB" w:rsidP="00AD5D01">
            <w:pPr>
              <w:pStyle w:val="SingleTxtG"/>
              <w:tabs>
                <w:tab w:val="clear" w:pos="1701"/>
                <w:tab w:val="clear" w:pos="2268"/>
                <w:tab w:val="clear" w:pos="2835"/>
              </w:tabs>
              <w:spacing w:before="80" w:after="80" w:line="200" w:lineRule="exact"/>
              <w:ind w:left="57" w:right="0"/>
              <w:jc w:val="center"/>
              <w:rPr>
                <w:i/>
                <w:sz w:val="16"/>
              </w:rPr>
            </w:pPr>
            <w:r w:rsidRPr="00D857DD">
              <w:rPr>
                <w:i/>
                <w:iCs/>
                <w:sz w:val="16"/>
              </w:rPr>
              <w:t>Variación con respecto al año anterior</w:t>
            </w:r>
          </w:p>
        </w:tc>
      </w:tr>
      <w:tr w:rsidR="001832BB" w:rsidRPr="00D857DD" w14:paraId="7125BA0A" w14:textId="77777777" w:rsidTr="00AD5D01">
        <w:trPr>
          <w:trHeight w:val="240"/>
          <w:tblHeader/>
        </w:trPr>
        <w:tc>
          <w:tcPr>
            <w:tcW w:w="634" w:type="dxa"/>
            <w:vMerge/>
            <w:tcBorders>
              <w:top w:val="single" w:sz="12" w:space="0" w:color="auto"/>
              <w:bottom w:val="single" w:sz="12" w:space="0" w:color="auto"/>
            </w:tcBorders>
            <w:shd w:val="clear" w:color="auto" w:fill="auto"/>
            <w:vAlign w:val="bottom"/>
          </w:tcPr>
          <w:p w14:paraId="15FDF0F3"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left"/>
              <w:rPr>
                <w:sz w:val="18"/>
              </w:rPr>
            </w:pPr>
          </w:p>
        </w:tc>
        <w:tc>
          <w:tcPr>
            <w:tcW w:w="2235" w:type="dxa"/>
            <w:vMerge/>
            <w:tcBorders>
              <w:top w:val="single" w:sz="12" w:space="0" w:color="auto"/>
              <w:bottom w:val="single" w:sz="12" w:space="0" w:color="auto"/>
            </w:tcBorders>
            <w:shd w:val="clear" w:color="auto" w:fill="auto"/>
            <w:vAlign w:val="bottom"/>
          </w:tcPr>
          <w:p w14:paraId="4A1159E4"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p>
        </w:tc>
        <w:tc>
          <w:tcPr>
            <w:tcW w:w="1569" w:type="dxa"/>
            <w:vMerge/>
            <w:tcBorders>
              <w:top w:val="single" w:sz="12" w:space="0" w:color="auto"/>
              <w:bottom w:val="single" w:sz="12" w:space="0" w:color="auto"/>
            </w:tcBorders>
            <w:shd w:val="clear" w:color="auto" w:fill="auto"/>
            <w:vAlign w:val="bottom"/>
          </w:tcPr>
          <w:p w14:paraId="16B261D6"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p>
        </w:tc>
        <w:tc>
          <w:tcPr>
            <w:tcW w:w="1595" w:type="dxa"/>
            <w:tcBorders>
              <w:top w:val="single" w:sz="4" w:space="0" w:color="auto"/>
              <w:bottom w:val="single" w:sz="12" w:space="0" w:color="auto"/>
            </w:tcBorders>
            <w:shd w:val="clear" w:color="auto" w:fill="auto"/>
            <w:tcMar>
              <w:left w:w="108" w:type="dxa"/>
              <w:right w:w="108" w:type="dxa"/>
            </w:tcMar>
            <w:vAlign w:val="bottom"/>
          </w:tcPr>
          <w:p w14:paraId="546018B2" w14:textId="77777777" w:rsidR="001832BB" w:rsidRPr="00D857DD" w:rsidRDefault="001832BB" w:rsidP="00AD5D01">
            <w:pPr>
              <w:pStyle w:val="SingleTxtG"/>
              <w:tabs>
                <w:tab w:val="clear" w:pos="1701"/>
                <w:tab w:val="clear" w:pos="2268"/>
                <w:tab w:val="clear" w:pos="2835"/>
              </w:tabs>
              <w:spacing w:before="80" w:after="80" w:line="200" w:lineRule="exact"/>
              <w:ind w:left="57" w:right="0"/>
              <w:jc w:val="right"/>
              <w:rPr>
                <w:i/>
                <w:iCs/>
                <w:sz w:val="16"/>
              </w:rPr>
            </w:pPr>
            <w:r w:rsidRPr="00D857DD">
              <w:rPr>
                <w:i/>
                <w:iCs/>
                <w:sz w:val="16"/>
              </w:rPr>
              <w:t>Variación en el volumen (millones de libras esterlinas)</w:t>
            </w:r>
          </w:p>
        </w:tc>
        <w:tc>
          <w:tcPr>
            <w:tcW w:w="1358" w:type="dxa"/>
            <w:tcBorders>
              <w:top w:val="single" w:sz="4" w:space="0" w:color="auto"/>
              <w:bottom w:val="single" w:sz="12" w:space="0" w:color="auto"/>
            </w:tcBorders>
            <w:shd w:val="clear" w:color="auto" w:fill="auto"/>
            <w:tcMar>
              <w:left w:w="108" w:type="dxa"/>
              <w:right w:w="108" w:type="dxa"/>
            </w:tcMar>
            <w:vAlign w:val="bottom"/>
          </w:tcPr>
          <w:p w14:paraId="05A04939" w14:textId="77777777" w:rsidR="001832BB" w:rsidRPr="00D857DD" w:rsidRDefault="001832BB" w:rsidP="00AD5D01">
            <w:pPr>
              <w:pStyle w:val="SingleTxtG"/>
              <w:tabs>
                <w:tab w:val="clear" w:pos="1701"/>
                <w:tab w:val="clear" w:pos="2268"/>
                <w:tab w:val="clear" w:pos="2835"/>
              </w:tabs>
              <w:spacing w:before="80" w:after="80" w:line="200" w:lineRule="exact"/>
              <w:ind w:left="57" w:right="0"/>
              <w:jc w:val="right"/>
              <w:rPr>
                <w:i/>
                <w:iCs/>
                <w:sz w:val="16"/>
              </w:rPr>
            </w:pPr>
            <w:r w:rsidRPr="00D857DD">
              <w:rPr>
                <w:i/>
                <w:iCs/>
                <w:sz w:val="16"/>
              </w:rPr>
              <w:t>Variación porcentual (%)</w:t>
            </w:r>
          </w:p>
        </w:tc>
      </w:tr>
      <w:tr w:rsidR="001832BB" w:rsidRPr="00D857DD" w14:paraId="1AA0B4FF" w14:textId="77777777" w:rsidTr="00AD5D01">
        <w:trPr>
          <w:trHeight w:val="240"/>
        </w:trPr>
        <w:tc>
          <w:tcPr>
            <w:tcW w:w="634" w:type="dxa"/>
            <w:tcBorders>
              <w:top w:val="single" w:sz="12" w:space="0" w:color="auto"/>
            </w:tcBorders>
            <w:shd w:val="clear" w:color="auto" w:fill="auto"/>
            <w:tcMar>
              <w:left w:w="108" w:type="dxa"/>
              <w:right w:w="108" w:type="dxa"/>
            </w:tcMar>
            <w:vAlign w:val="bottom"/>
          </w:tcPr>
          <w:p w14:paraId="4F5F0386"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left"/>
              <w:rPr>
                <w:sz w:val="18"/>
              </w:rPr>
            </w:pPr>
            <w:r w:rsidRPr="00D857DD">
              <w:rPr>
                <w:sz w:val="18"/>
              </w:rPr>
              <w:t>2016</w:t>
            </w:r>
          </w:p>
        </w:tc>
        <w:tc>
          <w:tcPr>
            <w:tcW w:w="2235" w:type="dxa"/>
            <w:tcBorders>
              <w:top w:val="single" w:sz="12" w:space="0" w:color="auto"/>
            </w:tcBorders>
            <w:shd w:val="clear" w:color="auto" w:fill="auto"/>
            <w:tcMar>
              <w:left w:w="108" w:type="dxa"/>
              <w:right w:w="108" w:type="dxa"/>
            </w:tcMar>
            <w:vAlign w:val="bottom"/>
          </w:tcPr>
          <w:p w14:paraId="0B17091E" w14:textId="2185FB12"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2 353</w:t>
            </w:r>
          </w:p>
        </w:tc>
        <w:tc>
          <w:tcPr>
            <w:tcW w:w="1569" w:type="dxa"/>
            <w:tcBorders>
              <w:top w:val="single" w:sz="12" w:space="0" w:color="auto"/>
            </w:tcBorders>
            <w:shd w:val="clear" w:color="auto" w:fill="auto"/>
            <w:tcMar>
              <w:left w:w="108" w:type="dxa"/>
              <w:right w:w="108" w:type="dxa"/>
            </w:tcMar>
            <w:vAlign w:val="bottom"/>
          </w:tcPr>
          <w:p w14:paraId="0DC58AC9"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48,6</w:t>
            </w:r>
          </w:p>
        </w:tc>
        <w:tc>
          <w:tcPr>
            <w:tcW w:w="1595" w:type="dxa"/>
            <w:tcBorders>
              <w:top w:val="single" w:sz="12" w:space="0" w:color="auto"/>
            </w:tcBorders>
            <w:shd w:val="clear" w:color="auto" w:fill="auto"/>
            <w:tcMar>
              <w:left w:w="108" w:type="dxa"/>
              <w:right w:w="108" w:type="dxa"/>
            </w:tcMar>
            <w:vAlign w:val="bottom"/>
          </w:tcPr>
          <w:p w14:paraId="6E69EE0D"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w:t>
            </w:r>
          </w:p>
        </w:tc>
        <w:tc>
          <w:tcPr>
            <w:tcW w:w="1358" w:type="dxa"/>
            <w:tcBorders>
              <w:top w:val="single" w:sz="12" w:space="0" w:color="auto"/>
            </w:tcBorders>
            <w:shd w:val="clear" w:color="auto" w:fill="auto"/>
            <w:tcMar>
              <w:left w:w="108" w:type="dxa"/>
              <w:right w:w="108" w:type="dxa"/>
            </w:tcMar>
            <w:vAlign w:val="bottom"/>
          </w:tcPr>
          <w:p w14:paraId="70DE48EE"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w:t>
            </w:r>
          </w:p>
        </w:tc>
      </w:tr>
      <w:tr w:rsidR="001832BB" w:rsidRPr="00D857DD" w14:paraId="3F50C0AA" w14:textId="77777777" w:rsidTr="00AD5D01">
        <w:trPr>
          <w:trHeight w:val="240"/>
        </w:trPr>
        <w:tc>
          <w:tcPr>
            <w:tcW w:w="634" w:type="dxa"/>
            <w:shd w:val="clear" w:color="auto" w:fill="auto"/>
            <w:tcMar>
              <w:left w:w="108" w:type="dxa"/>
              <w:right w:w="108" w:type="dxa"/>
            </w:tcMar>
            <w:vAlign w:val="bottom"/>
          </w:tcPr>
          <w:p w14:paraId="224C48B8"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left"/>
              <w:rPr>
                <w:sz w:val="18"/>
              </w:rPr>
            </w:pPr>
            <w:r w:rsidRPr="00D857DD">
              <w:rPr>
                <w:sz w:val="18"/>
              </w:rPr>
              <w:t>2017</w:t>
            </w:r>
          </w:p>
        </w:tc>
        <w:tc>
          <w:tcPr>
            <w:tcW w:w="2235" w:type="dxa"/>
            <w:shd w:val="clear" w:color="auto" w:fill="auto"/>
            <w:tcMar>
              <w:left w:w="108" w:type="dxa"/>
              <w:right w:w="108" w:type="dxa"/>
            </w:tcMar>
            <w:vAlign w:val="bottom"/>
          </w:tcPr>
          <w:p w14:paraId="638E8984" w14:textId="3C897243"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2 577</w:t>
            </w:r>
          </w:p>
        </w:tc>
        <w:tc>
          <w:tcPr>
            <w:tcW w:w="1569" w:type="dxa"/>
            <w:shd w:val="clear" w:color="auto" w:fill="auto"/>
            <w:tcMar>
              <w:left w:w="108" w:type="dxa"/>
              <w:right w:w="108" w:type="dxa"/>
            </w:tcMar>
            <w:vAlign w:val="bottom"/>
          </w:tcPr>
          <w:p w14:paraId="6E3E8283"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54,1</w:t>
            </w:r>
          </w:p>
        </w:tc>
        <w:tc>
          <w:tcPr>
            <w:tcW w:w="1595" w:type="dxa"/>
            <w:shd w:val="clear" w:color="auto" w:fill="auto"/>
            <w:tcMar>
              <w:left w:w="108" w:type="dxa"/>
              <w:right w:w="108" w:type="dxa"/>
            </w:tcMar>
            <w:vAlign w:val="bottom"/>
          </w:tcPr>
          <w:p w14:paraId="6F21DB91"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+224</w:t>
            </w:r>
          </w:p>
        </w:tc>
        <w:tc>
          <w:tcPr>
            <w:tcW w:w="1358" w:type="dxa"/>
            <w:shd w:val="clear" w:color="auto" w:fill="auto"/>
            <w:tcMar>
              <w:left w:w="108" w:type="dxa"/>
              <w:right w:w="108" w:type="dxa"/>
            </w:tcMar>
            <w:vAlign w:val="bottom"/>
          </w:tcPr>
          <w:p w14:paraId="00F12CCF"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+9,5</w:t>
            </w:r>
          </w:p>
        </w:tc>
      </w:tr>
      <w:tr w:rsidR="001832BB" w:rsidRPr="00D857DD" w14:paraId="0A7B0D63" w14:textId="77777777" w:rsidTr="00AD5D01">
        <w:trPr>
          <w:trHeight w:val="240"/>
        </w:trPr>
        <w:tc>
          <w:tcPr>
            <w:tcW w:w="634" w:type="dxa"/>
            <w:shd w:val="clear" w:color="auto" w:fill="auto"/>
            <w:tcMar>
              <w:left w:w="108" w:type="dxa"/>
              <w:right w:w="108" w:type="dxa"/>
            </w:tcMar>
            <w:vAlign w:val="bottom"/>
          </w:tcPr>
          <w:p w14:paraId="17FC0DD5"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left"/>
              <w:rPr>
                <w:sz w:val="18"/>
              </w:rPr>
            </w:pPr>
            <w:r w:rsidRPr="00D857DD">
              <w:rPr>
                <w:sz w:val="18"/>
              </w:rPr>
              <w:t>2018</w:t>
            </w:r>
          </w:p>
        </w:tc>
        <w:tc>
          <w:tcPr>
            <w:tcW w:w="2235" w:type="dxa"/>
            <w:shd w:val="clear" w:color="auto" w:fill="auto"/>
            <w:tcMar>
              <w:left w:w="108" w:type="dxa"/>
              <w:right w:w="108" w:type="dxa"/>
            </w:tcMar>
            <w:vAlign w:val="bottom"/>
          </w:tcPr>
          <w:p w14:paraId="3BAB5BAD" w14:textId="6476ED3B"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2 389</w:t>
            </w:r>
          </w:p>
        </w:tc>
        <w:tc>
          <w:tcPr>
            <w:tcW w:w="1569" w:type="dxa"/>
            <w:shd w:val="clear" w:color="auto" w:fill="auto"/>
            <w:tcMar>
              <w:left w:w="108" w:type="dxa"/>
              <w:right w:w="108" w:type="dxa"/>
            </w:tcMar>
            <w:vAlign w:val="bottom"/>
          </w:tcPr>
          <w:p w14:paraId="37E8D7A3"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53,1</w:t>
            </w:r>
          </w:p>
        </w:tc>
        <w:tc>
          <w:tcPr>
            <w:tcW w:w="1595" w:type="dxa"/>
            <w:shd w:val="clear" w:color="auto" w:fill="auto"/>
            <w:tcMar>
              <w:left w:w="108" w:type="dxa"/>
              <w:right w:w="108" w:type="dxa"/>
            </w:tcMar>
            <w:vAlign w:val="bottom"/>
          </w:tcPr>
          <w:p w14:paraId="7AA54F3E"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-188</w:t>
            </w:r>
          </w:p>
        </w:tc>
        <w:tc>
          <w:tcPr>
            <w:tcW w:w="1358" w:type="dxa"/>
            <w:shd w:val="clear" w:color="auto" w:fill="auto"/>
            <w:tcMar>
              <w:left w:w="108" w:type="dxa"/>
              <w:right w:w="108" w:type="dxa"/>
            </w:tcMar>
            <w:vAlign w:val="bottom"/>
          </w:tcPr>
          <w:p w14:paraId="32DE0538"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-7,3</w:t>
            </w:r>
          </w:p>
        </w:tc>
      </w:tr>
      <w:tr w:rsidR="001832BB" w:rsidRPr="00D857DD" w14:paraId="7BA6B046" w14:textId="77777777" w:rsidTr="00AD5D01">
        <w:trPr>
          <w:trHeight w:val="240"/>
        </w:trPr>
        <w:tc>
          <w:tcPr>
            <w:tcW w:w="634" w:type="dxa"/>
            <w:shd w:val="clear" w:color="auto" w:fill="auto"/>
            <w:tcMar>
              <w:left w:w="108" w:type="dxa"/>
              <w:right w:w="108" w:type="dxa"/>
            </w:tcMar>
            <w:vAlign w:val="bottom"/>
          </w:tcPr>
          <w:p w14:paraId="2DBD52DA"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left"/>
              <w:rPr>
                <w:sz w:val="18"/>
              </w:rPr>
            </w:pPr>
            <w:r w:rsidRPr="00D857DD">
              <w:rPr>
                <w:sz w:val="18"/>
              </w:rPr>
              <w:t>2019</w:t>
            </w:r>
          </w:p>
        </w:tc>
        <w:tc>
          <w:tcPr>
            <w:tcW w:w="2235" w:type="dxa"/>
            <w:shd w:val="clear" w:color="auto" w:fill="auto"/>
            <w:tcMar>
              <w:left w:w="108" w:type="dxa"/>
              <w:right w:w="108" w:type="dxa"/>
            </w:tcMar>
            <w:vAlign w:val="bottom"/>
          </w:tcPr>
          <w:p w14:paraId="53203E66" w14:textId="2D2A1EFF"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2 711</w:t>
            </w:r>
          </w:p>
        </w:tc>
        <w:tc>
          <w:tcPr>
            <w:tcW w:w="1569" w:type="dxa"/>
            <w:shd w:val="clear" w:color="auto" w:fill="auto"/>
            <w:tcMar>
              <w:left w:w="108" w:type="dxa"/>
              <w:right w:w="108" w:type="dxa"/>
            </w:tcMar>
            <w:vAlign w:val="bottom"/>
          </w:tcPr>
          <w:p w14:paraId="1706BAA8"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54,3</w:t>
            </w:r>
          </w:p>
        </w:tc>
        <w:tc>
          <w:tcPr>
            <w:tcW w:w="1595" w:type="dxa"/>
            <w:shd w:val="clear" w:color="auto" w:fill="auto"/>
            <w:tcMar>
              <w:left w:w="108" w:type="dxa"/>
              <w:right w:w="108" w:type="dxa"/>
            </w:tcMar>
            <w:vAlign w:val="bottom"/>
          </w:tcPr>
          <w:p w14:paraId="78336C36"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+322</w:t>
            </w:r>
          </w:p>
        </w:tc>
        <w:tc>
          <w:tcPr>
            <w:tcW w:w="1358" w:type="dxa"/>
            <w:shd w:val="clear" w:color="auto" w:fill="auto"/>
            <w:tcMar>
              <w:left w:w="108" w:type="dxa"/>
              <w:right w:w="108" w:type="dxa"/>
            </w:tcMar>
            <w:vAlign w:val="bottom"/>
          </w:tcPr>
          <w:p w14:paraId="67CB41C2"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+13,5</w:t>
            </w:r>
          </w:p>
        </w:tc>
      </w:tr>
      <w:tr w:rsidR="001832BB" w:rsidRPr="00D857DD" w14:paraId="01254037" w14:textId="77777777" w:rsidTr="00AD5D01">
        <w:trPr>
          <w:trHeight w:val="240"/>
        </w:trPr>
        <w:tc>
          <w:tcPr>
            <w:tcW w:w="634" w:type="dxa"/>
            <w:shd w:val="clear" w:color="auto" w:fill="auto"/>
            <w:tcMar>
              <w:left w:w="108" w:type="dxa"/>
              <w:right w:w="108" w:type="dxa"/>
            </w:tcMar>
            <w:vAlign w:val="bottom"/>
          </w:tcPr>
          <w:p w14:paraId="44C576D9"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left"/>
              <w:rPr>
                <w:sz w:val="18"/>
              </w:rPr>
            </w:pPr>
            <w:r w:rsidRPr="00D857DD">
              <w:rPr>
                <w:sz w:val="18"/>
              </w:rPr>
              <w:t>2020</w:t>
            </w:r>
          </w:p>
        </w:tc>
        <w:tc>
          <w:tcPr>
            <w:tcW w:w="2235" w:type="dxa"/>
            <w:shd w:val="clear" w:color="auto" w:fill="auto"/>
            <w:tcMar>
              <w:left w:w="108" w:type="dxa"/>
              <w:right w:w="108" w:type="dxa"/>
            </w:tcMar>
            <w:vAlign w:val="bottom"/>
          </w:tcPr>
          <w:p w14:paraId="666D41C4" w14:textId="00F8BB5C"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2 295</w:t>
            </w:r>
          </w:p>
        </w:tc>
        <w:tc>
          <w:tcPr>
            <w:tcW w:w="1569" w:type="dxa"/>
            <w:shd w:val="clear" w:color="auto" w:fill="auto"/>
            <w:tcMar>
              <w:left w:w="108" w:type="dxa"/>
              <w:right w:w="108" w:type="dxa"/>
            </w:tcMar>
            <w:vAlign w:val="bottom"/>
          </w:tcPr>
          <w:p w14:paraId="0880DB5E"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54,2</w:t>
            </w:r>
          </w:p>
        </w:tc>
        <w:tc>
          <w:tcPr>
            <w:tcW w:w="1595" w:type="dxa"/>
            <w:shd w:val="clear" w:color="auto" w:fill="auto"/>
            <w:tcMar>
              <w:left w:w="108" w:type="dxa"/>
              <w:right w:w="108" w:type="dxa"/>
            </w:tcMar>
            <w:vAlign w:val="bottom"/>
          </w:tcPr>
          <w:p w14:paraId="526C4C7C"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-416</w:t>
            </w:r>
          </w:p>
        </w:tc>
        <w:tc>
          <w:tcPr>
            <w:tcW w:w="1358" w:type="dxa"/>
            <w:shd w:val="clear" w:color="auto" w:fill="auto"/>
            <w:tcMar>
              <w:left w:w="108" w:type="dxa"/>
              <w:right w:w="108" w:type="dxa"/>
            </w:tcMar>
            <w:vAlign w:val="bottom"/>
          </w:tcPr>
          <w:p w14:paraId="1FBF18C0"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-15,3</w:t>
            </w:r>
          </w:p>
        </w:tc>
      </w:tr>
      <w:tr w:rsidR="001832BB" w:rsidRPr="00D857DD" w14:paraId="2E0F9CDD" w14:textId="77777777" w:rsidTr="00AD5D01">
        <w:trPr>
          <w:trHeight w:val="240"/>
        </w:trPr>
        <w:tc>
          <w:tcPr>
            <w:tcW w:w="634" w:type="dxa"/>
            <w:shd w:val="clear" w:color="auto" w:fill="auto"/>
            <w:tcMar>
              <w:left w:w="108" w:type="dxa"/>
              <w:right w:w="108" w:type="dxa"/>
            </w:tcMar>
            <w:vAlign w:val="bottom"/>
          </w:tcPr>
          <w:p w14:paraId="0D1D35E1"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left"/>
              <w:rPr>
                <w:sz w:val="18"/>
              </w:rPr>
            </w:pPr>
            <w:r w:rsidRPr="00D857DD">
              <w:rPr>
                <w:sz w:val="18"/>
              </w:rPr>
              <w:t>2021</w:t>
            </w:r>
          </w:p>
        </w:tc>
        <w:tc>
          <w:tcPr>
            <w:tcW w:w="2235" w:type="dxa"/>
            <w:shd w:val="clear" w:color="auto" w:fill="auto"/>
            <w:tcMar>
              <w:left w:w="108" w:type="dxa"/>
              <w:right w:w="108" w:type="dxa"/>
            </w:tcMar>
            <w:vAlign w:val="bottom"/>
          </w:tcPr>
          <w:p w14:paraId="34A8BF8C" w14:textId="4B4E36B6"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1 379</w:t>
            </w:r>
          </w:p>
        </w:tc>
        <w:tc>
          <w:tcPr>
            <w:tcW w:w="1569" w:type="dxa"/>
            <w:shd w:val="clear" w:color="auto" w:fill="auto"/>
            <w:tcMar>
              <w:left w:w="108" w:type="dxa"/>
              <w:right w:w="108" w:type="dxa"/>
            </w:tcMar>
            <w:vAlign w:val="bottom"/>
          </w:tcPr>
          <w:p w14:paraId="48C935CA"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49,2</w:t>
            </w:r>
          </w:p>
        </w:tc>
        <w:tc>
          <w:tcPr>
            <w:tcW w:w="1595" w:type="dxa"/>
            <w:shd w:val="clear" w:color="auto" w:fill="auto"/>
            <w:tcMar>
              <w:left w:w="108" w:type="dxa"/>
              <w:right w:w="108" w:type="dxa"/>
            </w:tcMar>
            <w:vAlign w:val="bottom"/>
          </w:tcPr>
          <w:p w14:paraId="6A2152FF"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-916</w:t>
            </w:r>
          </w:p>
        </w:tc>
        <w:tc>
          <w:tcPr>
            <w:tcW w:w="1358" w:type="dxa"/>
            <w:shd w:val="clear" w:color="auto" w:fill="auto"/>
            <w:tcMar>
              <w:left w:w="108" w:type="dxa"/>
              <w:right w:w="108" w:type="dxa"/>
            </w:tcMar>
            <w:vAlign w:val="bottom"/>
          </w:tcPr>
          <w:p w14:paraId="1B79E33F"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-39,9</w:t>
            </w:r>
          </w:p>
        </w:tc>
      </w:tr>
      <w:tr w:rsidR="001832BB" w:rsidRPr="00D857DD" w14:paraId="4A84C76B" w14:textId="77777777" w:rsidTr="00AD5D01">
        <w:trPr>
          <w:trHeight w:val="240"/>
        </w:trPr>
        <w:tc>
          <w:tcPr>
            <w:tcW w:w="634" w:type="dxa"/>
            <w:tcBorders>
              <w:bottom w:val="single" w:sz="12" w:space="0" w:color="auto"/>
            </w:tcBorders>
            <w:shd w:val="clear" w:color="auto" w:fill="auto"/>
            <w:tcMar>
              <w:left w:w="108" w:type="dxa"/>
              <w:right w:w="108" w:type="dxa"/>
            </w:tcMar>
            <w:vAlign w:val="bottom"/>
          </w:tcPr>
          <w:p w14:paraId="28018DDF"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left"/>
              <w:rPr>
                <w:sz w:val="18"/>
              </w:rPr>
            </w:pPr>
            <w:r w:rsidRPr="00D857DD">
              <w:rPr>
                <w:sz w:val="18"/>
              </w:rPr>
              <w:t>2022</w:t>
            </w:r>
          </w:p>
        </w:tc>
        <w:tc>
          <w:tcPr>
            <w:tcW w:w="2235" w:type="dxa"/>
            <w:tcBorders>
              <w:bottom w:val="single" w:sz="12" w:space="0" w:color="auto"/>
            </w:tcBorders>
            <w:shd w:val="clear" w:color="auto" w:fill="auto"/>
            <w:tcMar>
              <w:left w:w="108" w:type="dxa"/>
              <w:right w:w="108" w:type="dxa"/>
            </w:tcMar>
            <w:vAlign w:val="bottom"/>
          </w:tcPr>
          <w:p w14:paraId="5EAC77B4" w14:textId="1779BC99"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1 197</w:t>
            </w:r>
          </w:p>
        </w:tc>
        <w:tc>
          <w:tcPr>
            <w:tcW w:w="1569" w:type="dxa"/>
            <w:tcBorders>
              <w:bottom w:val="single" w:sz="12" w:space="0" w:color="auto"/>
            </w:tcBorders>
            <w:shd w:val="clear" w:color="auto" w:fill="auto"/>
            <w:tcMar>
              <w:left w:w="108" w:type="dxa"/>
              <w:right w:w="108" w:type="dxa"/>
            </w:tcMar>
            <w:vAlign w:val="bottom"/>
          </w:tcPr>
          <w:p w14:paraId="19793079"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50,6</w:t>
            </w:r>
          </w:p>
        </w:tc>
        <w:tc>
          <w:tcPr>
            <w:tcW w:w="1595" w:type="dxa"/>
            <w:tcBorders>
              <w:bottom w:val="single" w:sz="12" w:space="0" w:color="auto"/>
            </w:tcBorders>
            <w:shd w:val="clear" w:color="auto" w:fill="auto"/>
            <w:tcMar>
              <w:left w:w="108" w:type="dxa"/>
              <w:right w:w="108" w:type="dxa"/>
            </w:tcMar>
            <w:vAlign w:val="bottom"/>
          </w:tcPr>
          <w:p w14:paraId="59456401"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-182</w:t>
            </w:r>
          </w:p>
        </w:tc>
        <w:tc>
          <w:tcPr>
            <w:tcW w:w="1358" w:type="dxa"/>
            <w:tcBorders>
              <w:bottom w:val="single" w:sz="12" w:space="0" w:color="auto"/>
            </w:tcBorders>
            <w:shd w:val="clear" w:color="auto" w:fill="auto"/>
            <w:tcMar>
              <w:left w:w="108" w:type="dxa"/>
              <w:right w:w="108" w:type="dxa"/>
            </w:tcMar>
            <w:vAlign w:val="bottom"/>
          </w:tcPr>
          <w:p w14:paraId="561A503B" w14:textId="77777777" w:rsidR="001832BB" w:rsidRPr="00D857DD" w:rsidRDefault="001832BB" w:rsidP="00AD5D01">
            <w:pPr>
              <w:pStyle w:val="SingleTxtG"/>
              <w:tabs>
                <w:tab w:val="clear" w:pos="1701"/>
                <w:tab w:val="clear" w:pos="2268"/>
                <w:tab w:val="clear" w:pos="2835"/>
              </w:tabs>
              <w:spacing w:before="40" w:after="40" w:line="220" w:lineRule="exact"/>
              <w:ind w:left="57" w:right="0"/>
              <w:jc w:val="right"/>
              <w:rPr>
                <w:sz w:val="18"/>
              </w:rPr>
            </w:pPr>
            <w:r w:rsidRPr="00D857DD">
              <w:rPr>
                <w:sz w:val="18"/>
              </w:rPr>
              <w:t>-13,2</w:t>
            </w:r>
          </w:p>
        </w:tc>
      </w:tr>
    </w:tbl>
    <w:p w14:paraId="62E3217F" w14:textId="77777777" w:rsidR="001832BB" w:rsidRPr="00D857DD" w:rsidRDefault="001832BB" w:rsidP="00AD5D01">
      <w:pPr>
        <w:pStyle w:val="SingleTxtG"/>
        <w:spacing w:before="240"/>
      </w:pPr>
      <w:r w:rsidRPr="00D857DD">
        <w:t>19.</w:t>
      </w:r>
      <w:r w:rsidRPr="00D857DD">
        <w:tab/>
        <w:t>Se destina AOD por valor de 100 millones de libras esterlinas a territorios de ultramar que cumplen los requisitos correspondientes (Islas Pitcairn, Montserrat, Santa Elena y Tristán da Cunha) a fin de prestar apoyo a programas de infraestructura y a la conservación marina y con fines de ayuda financiera. La ayuda financiera en concepto de AOD representa cerca del 65 % del presupuesto ordinario tanto de Montserrat como de Santa Elena.</w:t>
      </w:r>
    </w:p>
    <w:p w14:paraId="3E88E5DF" w14:textId="3657ED75" w:rsidR="001832BB" w:rsidRPr="00D857DD" w:rsidRDefault="00AD5D01" w:rsidP="00B2156B">
      <w:pPr>
        <w:pStyle w:val="H1G"/>
      </w:pPr>
      <w:bookmarkStart w:id="12" w:name="_Toc1505508859"/>
      <w:bookmarkStart w:id="13" w:name="_Hlk164242395"/>
      <w:r w:rsidRPr="00D857DD">
        <w:tab/>
      </w:r>
      <w:r w:rsidR="001832BB" w:rsidRPr="00D857DD">
        <w:t>5.</w:t>
      </w:r>
      <w:r w:rsidR="001832BB" w:rsidRPr="00D857DD">
        <w:tab/>
        <w:t xml:space="preserve">Medidas adoptadas para recopilar datos que permitan valorar </w:t>
      </w:r>
      <w:r w:rsidR="00B2156B" w:rsidRPr="00D857DD">
        <w:br/>
      </w:r>
      <w:r w:rsidR="001832BB" w:rsidRPr="00D857DD">
        <w:t xml:space="preserve">hasta qué punto se ejercen en el Reino Unido los derechos </w:t>
      </w:r>
      <w:r w:rsidR="00B2156B" w:rsidRPr="00D857DD">
        <w:br/>
      </w:r>
      <w:r w:rsidR="001832BB" w:rsidRPr="00D857DD">
        <w:t>reconocidos en el Pacto</w:t>
      </w:r>
      <w:bookmarkEnd w:id="12"/>
    </w:p>
    <w:bookmarkEnd w:id="13"/>
    <w:p w14:paraId="24E76299" w14:textId="77777777" w:rsidR="001832BB" w:rsidRPr="00D857DD" w:rsidRDefault="001832BB" w:rsidP="001832BB">
      <w:pPr>
        <w:pStyle w:val="SingleTxtG"/>
      </w:pPr>
      <w:r w:rsidRPr="00D857DD">
        <w:t>20.</w:t>
      </w:r>
      <w:r w:rsidRPr="00D857DD">
        <w:tab/>
        <w:t>En relación con los párrafos 7 y 8 de las observaciones finales sobre el sexto informe periódico, en el presente documento figura una respuesta integral de todas las jurisdicciones del Estado parte, con inclusión de Irlanda del Norte, las dependencias de la Corona y los territorios de ultramar. Ateniéndose a las orientaciones relativas a la cantidad de palabras, el informe presenta pruebas e información esenciales según procede.</w:t>
      </w:r>
      <w:bookmarkStart w:id="14" w:name="_Hlk164242441"/>
    </w:p>
    <w:p w14:paraId="5BBE3F1A" w14:textId="368709CF" w:rsidR="001832BB" w:rsidRPr="00D857DD" w:rsidRDefault="00AD5D01" w:rsidP="00B2156B">
      <w:pPr>
        <w:pStyle w:val="H1G"/>
      </w:pPr>
      <w:bookmarkStart w:id="15" w:name="_Toc817650183"/>
      <w:r w:rsidRPr="00D857DD">
        <w:tab/>
      </w:r>
      <w:r w:rsidR="001832BB" w:rsidRPr="00D857DD">
        <w:t>6.</w:t>
      </w:r>
      <w:r w:rsidR="001832BB" w:rsidRPr="00D857DD">
        <w:tab/>
        <w:t xml:space="preserve">Plan de acción nacional de 2016 para aplicar los Principios </w:t>
      </w:r>
      <w:r w:rsidR="00B2156B" w:rsidRPr="00D857DD">
        <w:br/>
      </w:r>
      <w:r w:rsidR="001832BB" w:rsidRPr="00D857DD">
        <w:t xml:space="preserve">Rectores sobre las Empresas y los Derechos Humanos de las </w:t>
      </w:r>
      <w:r w:rsidR="00B2156B" w:rsidRPr="00D857DD">
        <w:br/>
      </w:r>
      <w:r w:rsidR="001832BB" w:rsidRPr="00D857DD">
        <w:t>Naciones Unidas</w:t>
      </w:r>
      <w:bookmarkEnd w:id="15"/>
    </w:p>
    <w:bookmarkEnd w:id="14"/>
    <w:p w14:paraId="2C87B924" w14:textId="77777777" w:rsidR="001832BB" w:rsidRPr="00D857DD" w:rsidRDefault="001832BB" w:rsidP="001832BB">
      <w:pPr>
        <w:pStyle w:val="SingleTxtG"/>
      </w:pPr>
      <w:r w:rsidRPr="00D857DD">
        <w:t>21.</w:t>
      </w:r>
      <w:r w:rsidRPr="00D857DD">
        <w:tab/>
        <w:t xml:space="preserve">En respuesta a los Principios Rectores, el Reino Unido fue el primer Estado en preparar un plan de acción nacional, y seguimos desarrollando nuestro enfoque conforme a la Ley de Lucha contra la Esclavitud Contemporánea de 2015. Conforme al artículo 54 de la Ley, las empresas comerciales cuyo volumen de negocios supere los 36 millones de libras esterlinas deberán informar anualmente sobre las medidas que han adoptado para prevenir la esclavitud contemporánea. El Reino Unido se sirve de varios mecanismos internacionales para promover las prácticas empresariales responsables a fin de reducir y prevenir los conflictos y proteger los derechos humanos, entre ellos el apoyo a la Guía de Debida Diligencia de la Organización de Cooperación y Desarrollo Económicos (OCDE) para Cadenas de Suministro de Minerales Responsables y el Proceso de Kimberley para ayudar a detener el flujo de diamantes conflictivos. </w:t>
      </w:r>
    </w:p>
    <w:p w14:paraId="6DD654BF" w14:textId="77777777" w:rsidR="001832BB" w:rsidRPr="00D857DD" w:rsidRDefault="001832BB" w:rsidP="001832BB">
      <w:pPr>
        <w:pStyle w:val="SingleTxtG"/>
      </w:pPr>
      <w:r w:rsidRPr="00D857DD">
        <w:t>22.</w:t>
      </w:r>
      <w:r w:rsidRPr="00D857DD">
        <w:tab/>
        <w:t>El Reino Unido dispone de diversos mecanismos judiciales y extrajudiciales de ámbito estatal para ayudar a promover el acceso a un recurso jurídico en relación con los abusos de derechos humanos cometidos por empresas. El Reino Unido cuenta con un Punto Nacional de Contacto para promover las Líneas Directrices de la OCDE para Empresas Multinacionales sobre Conducta Empresarial Responsable.</w:t>
      </w:r>
    </w:p>
    <w:p w14:paraId="527E05D7" w14:textId="6A2FC8E6" w:rsidR="001832BB" w:rsidRPr="00D857DD" w:rsidRDefault="001832BB" w:rsidP="00AD5D01">
      <w:pPr>
        <w:pStyle w:val="H23G"/>
      </w:pPr>
      <w:bookmarkStart w:id="16" w:name="_Toc45658987"/>
      <w:r w:rsidRPr="00D857DD">
        <w:lastRenderedPageBreak/>
        <w:tab/>
      </w:r>
      <w:r w:rsidR="00AD5D01" w:rsidRPr="00D857DD">
        <w:tab/>
      </w:r>
      <w:r w:rsidRPr="00D857DD">
        <w:t>Otras jurisdicciones</w:t>
      </w:r>
      <w:bookmarkEnd w:id="16"/>
    </w:p>
    <w:p w14:paraId="47B2FD05" w14:textId="77777777" w:rsidR="001832BB" w:rsidRPr="00D857DD" w:rsidRDefault="001832BB" w:rsidP="001832BB">
      <w:pPr>
        <w:pStyle w:val="SingleTxtG"/>
      </w:pPr>
      <w:r w:rsidRPr="00D857DD">
        <w:t>23.</w:t>
      </w:r>
      <w:r w:rsidRPr="00D857DD">
        <w:tab/>
        <w:t>Las medidas adoptadas por el Gobierno de Escocia figuran en la declaración de posición del Gobierno de Escocia sobre el Pacto Internacional de Derechos Económicos, Sociales y Culturales</w:t>
      </w:r>
      <w:r w:rsidRPr="00D857DD">
        <w:rPr>
          <w:sz w:val="18"/>
          <w:szCs w:val="18"/>
          <w:vertAlign w:val="superscript"/>
        </w:rPr>
        <w:footnoteReference w:id="6"/>
      </w:r>
      <w:r w:rsidRPr="00D857DD">
        <w:t>.</w:t>
      </w:r>
    </w:p>
    <w:p w14:paraId="38A18295" w14:textId="463B14F8" w:rsidR="001832BB" w:rsidRPr="00D857DD" w:rsidRDefault="00AD5D01" w:rsidP="00B2156B">
      <w:pPr>
        <w:pStyle w:val="H1G"/>
      </w:pPr>
      <w:bookmarkStart w:id="17" w:name="_Toc768416306"/>
      <w:bookmarkStart w:id="18" w:name="_Hlk164242626"/>
      <w:r w:rsidRPr="00D857DD">
        <w:tab/>
      </w:r>
      <w:r w:rsidR="001832BB" w:rsidRPr="00D857DD">
        <w:t>7.</w:t>
      </w:r>
      <w:r w:rsidR="001832BB" w:rsidRPr="00D857DD">
        <w:tab/>
        <w:t>Mitigación del cambio climático y adaptación a sus efectos</w:t>
      </w:r>
      <w:bookmarkEnd w:id="17"/>
    </w:p>
    <w:p w14:paraId="271B58D6" w14:textId="7B1FD41A" w:rsidR="001832BB" w:rsidRPr="00D857DD" w:rsidRDefault="001832BB" w:rsidP="00AD5D01">
      <w:pPr>
        <w:pStyle w:val="H23G"/>
      </w:pPr>
      <w:bookmarkStart w:id="19" w:name="_Toc583194841"/>
      <w:bookmarkEnd w:id="18"/>
      <w:r w:rsidRPr="00D857DD">
        <w:tab/>
      </w:r>
      <w:r w:rsidR="00AD5D01" w:rsidRPr="00D857DD">
        <w:tab/>
      </w:r>
      <w:r w:rsidRPr="00D857DD">
        <w:t>Mitigación del cambio climático</w:t>
      </w:r>
      <w:bookmarkEnd w:id="19"/>
    </w:p>
    <w:p w14:paraId="5F2BC0E3" w14:textId="77777777" w:rsidR="001832BB" w:rsidRPr="00D857DD" w:rsidRDefault="001832BB" w:rsidP="001832BB">
      <w:pPr>
        <w:pStyle w:val="SingleTxtG"/>
      </w:pPr>
      <w:r w:rsidRPr="00D857DD">
        <w:t>24.</w:t>
      </w:r>
      <w:r w:rsidRPr="00D857DD">
        <w:tab/>
        <w:t xml:space="preserve">En diciembre de 2020 el Reino Unido comunicó su contribución determinada a nivel nacional (CDN) conforme al Acuerdo de París: una reducción mínima de las emisiones de gases de efecto invernadero del 68 % para 2030 con respecto a los niveles de 1990. La CDN del Reino Unido exige la tasa más rápida de reducción de los gases de efecto invernadero de todas las grandes economías entre 1990 y 2030. </w:t>
      </w:r>
    </w:p>
    <w:p w14:paraId="2C93B8AE" w14:textId="77777777" w:rsidR="001832BB" w:rsidRPr="00D857DD" w:rsidRDefault="001832BB" w:rsidP="001832BB">
      <w:pPr>
        <w:pStyle w:val="SingleTxtG"/>
      </w:pPr>
      <w:r w:rsidRPr="00D857DD">
        <w:t>25.</w:t>
      </w:r>
      <w:r w:rsidRPr="00D857DD">
        <w:tab/>
        <w:t xml:space="preserve">En septiembre de 2022 el Reino Unido actualizó su CDN. La ratificación del Acuerdo de París por el Reino Unido también se amplió a la Bailía de Jersey y a Gibraltar en 2022 y a la Isla de Man y a Guernsey en 2023. </w:t>
      </w:r>
    </w:p>
    <w:p w14:paraId="3A20BA7C" w14:textId="72264EA5" w:rsidR="001832BB" w:rsidRPr="00D857DD" w:rsidRDefault="001832BB" w:rsidP="001832BB">
      <w:pPr>
        <w:pStyle w:val="SingleTxtG"/>
      </w:pPr>
      <w:r w:rsidRPr="00D857DD">
        <w:t>26.</w:t>
      </w:r>
      <w:r w:rsidRPr="00D857DD">
        <w:tab/>
        <w:t xml:space="preserve">En virtud de la Ley sobre el Cambio Climático de 2008, el Reino Unido pasó a ser el primer país en establecer una meta jurídicamente vinculante en materia de reducción de las emisiones. Se trataba de una reducción mínima del 80 % para 2050 en relación con los niveles de 1990. En 2019 se modificó la meta para situarla en un mínimo del 100 % (meta de </w:t>
      </w:r>
      <w:r w:rsidR="004C2891" w:rsidRPr="00D857DD">
        <w:t>“</w:t>
      </w:r>
      <w:r w:rsidRPr="00D857DD">
        <w:t>cero emisiones netas</w:t>
      </w:r>
      <w:r w:rsidR="004C2891" w:rsidRPr="00D857DD">
        <w:t>”</w:t>
      </w:r>
      <w:r w:rsidRPr="00D857DD">
        <w:t xml:space="preserve">). </w:t>
      </w:r>
    </w:p>
    <w:p w14:paraId="149F07A2" w14:textId="77777777" w:rsidR="001832BB" w:rsidRPr="00D857DD" w:rsidRDefault="001832BB" w:rsidP="001832BB">
      <w:pPr>
        <w:pStyle w:val="SingleTxtG"/>
      </w:pPr>
      <w:r w:rsidRPr="00D857DD">
        <w:t>27.</w:t>
      </w:r>
      <w:r w:rsidRPr="00D857DD">
        <w:tab/>
        <w:t>En virtud de la Ley de 2008 también se estableció el Comité sobre el Cambio Climático para impartir asesoramiento especializado independiente.</w:t>
      </w:r>
    </w:p>
    <w:p w14:paraId="33F48A80" w14:textId="77777777" w:rsidR="001832BB" w:rsidRPr="00D857DD" w:rsidRDefault="001832BB" w:rsidP="001832BB">
      <w:pPr>
        <w:pStyle w:val="SingleTxtG"/>
      </w:pPr>
      <w:r w:rsidRPr="00D857DD">
        <w:t>28.</w:t>
      </w:r>
      <w:r w:rsidRPr="00D857DD">
        <w:tab/>
        <w:t>El Reino Unido ha establecido seis presupuestos de carbono entre 2008 y 2037. En octubre de 2021 el Gobierno publicó la Estrategia Cero Emisiones Netas, en la que se indica la manera en que el Reino Unido dará cumplimiento a sus presupuestos de carbono, la CDN y las metas en materia de cero emisiones netas. En ella figuran políticas y propuestas dirigidas a reducir las emisiones en cada sector de la economía, así como medidas transversales. Estas políticas se actualizaron en marzo de 2023 con una serie de publicaciones dimanantes del documento normativo La energía en el Reino Unido, entre ellas La energía en el Reino Unido: Plan de crecimiento nulo neto y el Plan de ejecución del presupuesto de carbono. Cabe mencionar otros documentos normativos como:</w:t>
      </w:r>
    </w:p>
    <w:p w14:paraId="47721044" w14:textId="7C44AACD" w:rsidR="001832BB" w:rsidRPr="00D857DD" w:rsidRDefault="001832BB" w:rsidP="00AD5D01">
      <w:pPr>
        <w:pStyle w:val="Bullet1G"/>
      </w:pPr>
      <w:r w:rsidRPr="00D857DD">
        <w:t>El libro blanco sobre la energía</w:t>
      </w:r>
      <w:r w:rsidR="00AD5D01" w:rsidRPr="00D857DD">
        <w:t>.</w:t>
      </w:r>
    </w:p>
    <w:p w14:paraId="7DE6CA47" w14:textId="0D9C5503" w:rsidR="001832BB" w:rsidRPr="00D857DD" w:rsidRDefault="001832BB" w:rsidP="00AD5D01">
      <w:pPr>
        <w:pStyle w:val="Bullet1G"/>
      </w:pPr>
      <w:r w:rsidRPr="00D857DD">
        <w:t>El Pacto para la Transición en el Mar del Norte</w:t>
      </w:r>
      <w:r w:rsidR="00AD5D01" w:rsidRPr="00D857DD">
        <w:t>.</w:t>
      </w:r>
    </w:p>
    <w:p w14:paraId="19EB143C" w14:textId="6B2673A7" w:rsidR="001832BB" w:rsidRPr="00D857DD" w:rsidRDefault="001832BB" w:rsidP="00AD5D01">
      <w:pPr>
        <w:pStyle w:val="Bullet1G"/>
      </w:pPr>
      <w:r w:rsidRPr="00D857DD">
        <w:t>La Estrategia de descarbonización industrial</w:t>
      </w:r>
      <w:r w:rsidR="00AD5D01" w:rsidRPr="00D857DD">
        <w:t>.</w:t>
      </w:r>
    </w:p>
    <w:p w14:paraId="6A7400CF" w14:textId="6A2E2178" w:rsidR="001832BB" w:rsidRPr="00D857DD" w:rsidRDefault="001832BB" w:rsidP="00AD5D01">
      <w:pPr>
        <w:pStyle w:val="Bullet1G"/>
      </w:pPr>
      <w:r w:rsidRPr="00D857DD">
        <w:t>El Plan de descarbonización del transporte</w:t>
      </w:r>
      <w:r w:rsidR="00AD5D01" w:rsidRPr="00D857DD">
        <w:t>.</w:t>
      </w:r>
    </w:p>
    <w:p w14:paraId="7F4FFC2F" w14:textId="1743FE50" w:rsidR="001832BB" w:rsidRPr="00D857DD" w:rsidRDefault="001832BB" w:rsidP="00AD5D01">
      <w:pPr>
        <w:pStyle w:val="Bullet1G"/>
      </w:pPr>
      <w:r w:rsidRPr="00D857DD">
        <w:t>La Estrategia en materia de hidrógeno</w:t>
      </w:r>
      <w:r w:rsidR="00AD5D01" w:rsidRPr="00D857DD">
        <w:t>.</w:t>
      </w:r>
    </w:p>
    <w:p w14:paraId="3A8A81FF" w14:textId="19FBD173" w:rsidR="001832BB" w:rsidRPr="00D857DD" w:rsidRDefault="001832BB" w:rsidP="00AD5D01">
      <w:pPr>
        <w:pStyle w:val="Bullet1G"/>
      </w:pPr>
      <w:r w:rsidRPr="00D857DD">
        <w:t>La Estrategia en materia de calefacción y edificios</w:t>
      </w:r>
      <w:r w:rsidR="00AD5D01" w:rsidRPr="00D857DD">
        <w:t>.</w:t>
      </w:r>
    </w:p>
    <w:p w14:paraId="6EA9F544" w14:textId="77777777" w:rsidR="001832BB" w:rsidRPr="00D857DD" w:rsidRDefault="001832BB" w:rsidP="00AD5D01">
      <w:pPr>
        <w:pStyle w:val="Bullet1G"/>
      </w:pPr>
      <w:r w:rsidRPr="00D857DD">
        <w:t>La Estrategia de seguridad energética en el Reino Unido.</w:t>
      </w:r>
    </w:p>
    <w:p w14:paraId="0933258C" w14:textId="61CBE6CA" w:rsidR="001832BB" w:rsidRPr="00D857DD" w:rsidRDefault="001832BB" w:rsidP="001832BB">
      <w:pPr>
        <w:pStyle w:val="SingleTxtG"/>
      </w:pPr>
      <w:r w:rsidRPr="00D857DD">
        <w:t>29.</w:t>
      </w:r>
      <w:r w:rsidRPr="00D857DD">
        <w:tab/>
        <w:t>Los resultados obtenidos por el Reino Unido superaron lo previsto en relación con los presupuestos de carbono primero (2008-</w:t>
      </w:r>
      <w:r w:rsidR="00CF748A" w:rsidRPr="00D857DD">
        <w:t>20</w:t>
      </w:r>
      <w:r w:rsidRPr="00D857DD">
        <w:t>12), segundo (2013-</w:t>
      </w:r>
      <w:r w:rsidR="00CF748A" w:rsidRPr="00D857DD">
        <w:t>20</w:t>
      </w:r>
      <w:r w:rsidRPr="00D857DD">
        <w:t>17) y tercero (2018</w:t>
      </w:r>
      <w:r w:rsidR="00CF748A" w:rsidRPr="00D857DD">
        <w:t>-20</w:t>
      </w:r>
      <w:r w:rsidRPr="00D857DD">
        <w:t xml:space="preserve">22). </w:t>
      </w:r>
    </w:p>
    <w:p w14:paraId="0A341872" w14:textId="00485D20" w:rsidR="001832BB" w:rsidRPr="00D857DD" w:rsidRDefault="001832BB" w:rsidP="001832BB">
      <w:pPr>
        <w:pStyle w:val="SingleTxtG"/>
      </w:pPr>
      <w:r w:rsidRPr="00D857DD">
        <w:t>30.</w:t>
      </w:r>
      <w:r w:rsidRPr="00D857DD">
        <w:tab/>
        <w:t>En conjunto, las políticas y propuestas que figuran en la Estrategia Cero Emisiones Netas (actualizada en el Plan de ejecución del presupuesto de carbono) para cada sector de la economía del Reino Unido indican la manera en que el Reino Unido se propone cumplir los presupuestos de carbono cuarto (2023-</w:t>
      </w:r>
      <w:r w:rsidR="00CF748A" w:rsidRPr="00D857DD">
        <w:t>20</w:t>
      </w:r>
      <w:r w:rsidRPr="00D857DD">
        <w:t>27), quinto (2028-</w:t>
      </w:r>
      <w:r w:rsidR="00CF748A" w:rsidRPr="00D857DD">
        <w:t>20</w:t>
      </w:r>
      <w:r w:rsidRPr="00D857DD">
        <w:t>32) y sexto (2033-</w:t>
      </w:r>
      <w:r w:rsidR="00CF748A" w:rsidRPr="00D857DD">
        <w:t>20</w:t>
      </w:r>
      <w:r w:rsidRPr="00D857DD">
        <w:t xml:space="preserve">37), nuestra contribución determinada a nivel nacional para 2030 y, en última instancia, la meta de emisiones nulas netas para 2050. </w:t>
      </w:r>
    </w:p>
    <w:p w14:paraId="0B9A83D1" w14:textId="77777777" w:rsidR="001832BB" w:rsidRPr="00D857DD" w:rsidRDefault="001832BB" w:rsidP="001832BB">
      <w:pPr>
        <w:pStyle w:val="SingleTxtG"/>
      </w:pPr>
      <w:r w:rsidRPr="00D857DD">
        <w:lastRenderedPageBreak/>
        <w:t>31.</w:t>
      </w:r>
      <w:r w:rsidRPr="00D857DD">
        <w:tab/>
        <w:t>El Reino Unido ha reducido a la mitad sus emisiones antes que cualquier otra gran economía, y nuestra meta en materia de descarbonización se encuentra entre las más ambiciosas del planeta. Nuestra economía ha crecido casi un 80 % desde 1990.</w:t>
      </w:r>
    </w:p>
    <w:p w14:paraId="41BF9775" w14:textId="6C9EE1B8" w:rsidR="001832BB" w:rsidRPr="00D857DD" w:rsidRDefault="00AD5D01" w:rsidP="00AD5D01">
      <w:pPr>
        <w:pStyle w:val="H23G"/>
      </w:pPr>
      <w:bookmarkStart w:id="20" w:name="_Toc196809705"/>
      <w:r w:rsidRPr="00D857DD">
        <w:tab/>
      </w:r>
      <w:r w:rsidR="001832BB" w:rsidRPr="00D857DD">
        <w:tab/>
        <w:t>Adaptación al cambio climático</w:t>
      </w:r>
      <w:bookmarkEnd w:id="20"/>
    </w:p>
    <w:p w14:paraId="6E22359F" w14:textId="77777777" w:rsidR="001832BB" w:rsidRPr="00D857DD" w:rsidRDefault="001832BB" w:rsidP="001832BB">
      <w:pPr>
        <w:pStyle w:val="SingleTxtG"/>
      </w:pPr>
      <w:r w:rsidRPr="00D857DD">
        <w:t>32.</w:t>
      </w:r>
      <w:r w:rsidRPr="00D857DD">
        <w:tab/>
        <w:t>La Ley sobre el Cambio Climático de 2008 obliga al gobierno a realizar cada cinco años una evaluación de los riesgos de cambio climático seguida de un Programa nacional de adaptación en el que se indique cómo abordará el gobierno los riesgos determinados en la evaluación.</w:t>
      </w:r>
    </w:p>
    <w:p w14:paraId="317017F6" w14:textId="77777777" w:rsidR="001832BB" w:rsidRPr="00D857DD" w:rsidRDefault="001832BB" w:rsidP="001832BB">
      <w:pPr>
        <w:pStyle w:val="SingleTxtG"/>
      </w:pPr>
      <w:r w:rsidRPr="00D857DD">
        <w:t>33.</w:t>
      </w:r>
      <w:r w:rsidRPr="00D857DD">
        <w:tab/>
        <w:t>El Gobierno publicó en enero de 2022 su tercera evaluación de los riesgos de cambio climático a partir de una evaluación independiente llevada a cabo por el Comité sobre el Cambio Climático. En el informe técnico correspondiente a la evaluación independiente se indicaban 61 riesgos y oportunidades climáticos que repercutían en diversos sectores de la sociedad, en particular riesgos para las empresas, la salud y los medios de vida, los edificios y las comunidades, la infraestructura y el entorno natural.</w:t>
      </w:r>
    </w:p>
    <w:p w14:paraId="3454144E" w14:textId="77777777" w:rsidR="001832BB" w:rsidRPr="00D857DD" w:rsidRDefault="001832BB" w:rsidP="001832BB">
      <w:pPr>
        <w:pStyle w:val="SingleTxtG"/>
      </w:pPr>
      <w:r w:rsidRPr="00D857DD">
        <w:t>34.</w:t>
      </w:r>
      <w:r w:rsidRPr="00D857DD">
        <w:tab/>
        <w:t>El tercer Programa nacional de adaptación, publicado en julio de 2023, abarca ámbitos que entran dentro de las responsabilidades del Gobierno del Reino Unido en relación con Inglaterra y sus funciones no transferidas con respecto al resto del Reino Unido. Este tercer Programa aborda los 61 riesgos y oportunidades del cambio climático a los que hace frente el Reino Unido</w:t>
      </w:r>
      <w:r w:rsidRPr="00D857DD">
        <w:rPr>
          <w:sz w:val="18"/>
          <w:szCs w:val="18"/>
          <w:vertAlign w:val="superscript"/>
        </w:rPr>
        <w:footnoteReference w:id="7"/>
      </w:r>
      <w:r w:rsidRPr="00D857DD">
        <w:t>.</w:t>
      </w:r>
    </w:p>
    <w:p w14:paraId="189BC94F" w14:textId="77777777" w:rsidR="001832BB" w:rsidRPr="00D857DD" w:rsidRDefault="001832BB" w:rsidP="001832BB">
      <w:pPr>
        <w:pStyle w:val="SingleTxtG"/>
      </w:pPr>
      <w:r w:rsidRPr="00D857DD">
        <w:t>35.</w:t>
      </w:r>
      <w:r w:rsidRPr="00D857DD">
        <w:tab/>
        <w:t xml:space="preserve">Un capítulo del tercer Programa nacional de adaptación está dedicado al papel que cumplen distintas instituciones en la adaptación al cambio climático en el Reino Unido. </w:t>
      </w:r>
    </w:p>
    <w:p w14:paraId="2B868E6D" w14:textId="7E9F7204" w:rsidR="001832BB" w:rsidRPr="00D857DD" w:rsidRDefault="001832BB" w:rsidP="001832BB">
      <w:pPr>
        <w:pStyle w:val="SingleTxtG"/>
      </w:pPr>
      <w:r w:rsidRPr="00D857DD">
        <w:t>36.</w:t>
      </w:r>
      <w:r w:rsidRPr="00D857DD">
        <w:tab/>
        <w:t xml:space="preserve">En la Ley sobre el Cambio Climático de 2008 también se establecen facultades para exigir la presentación de informes en materia de adaptación, en virtud de las cuales el Gobierno puede exigir (o solicitar) a los proveedores de infraestructura y los órganos que ejercen funciones </w:t>
      </w:r>
      <w:r w:rsidR="004C2891" w:rsidRPr="00D857DD">
        <w:t>“</w:t>
      </w:r>
      <w:r w:rsidRPr="00D857DD">
        <w:t>de carácter público</w:t>
      </w:r>
      <w:r w:rsidR="004C2891" w:rsidRPr="00D857DD">
        <w:t>”</w:t>
      </w:r>
      <w:r w:rsidRPr="00D857DD">
        <w:t xml:space="preserve"> informes sobre su gestión del riesgo climático. En el tercer Programa nacional de adaptación figura la estrategia de la cuarta ronda de informes sobre la adaptación climática en el marco de dichas facultades. Se pidió a organizaciones de los sectores de la energía, el transporte, el agua, el medio ambiente, las tierras, la alimentación, las finanzas, el patrimonio y la salud que informaran sobre la manera en que el cambio climático repercutiría en sus organizaciones y su labor, las medidas que estaban tomando para adaptarse y los progresos al respecto. </w:t>
      </w:r>
    </w:p>
    <w:p w14:paraId="6412C450" w14:textId="140BE035" w:rsidR="001832BB" w:rsidRPr="00D857DD" w:rsidRDefault="00B2156B" w:rsidP="00B2156B">
      <w:pPr>
        <w:pStyle w:val="HChG"/>
      </w:pPr>
      <w:bookmarkStart w:id="21" w:name="_Toc220955868"/>
      <w:bookmarkStart w:id="22" w:name="_Hlk164242673"/>
      <w:r w:rsidRPr="00D857DD">
        <w:tab/>
      </w:r>
      <w:r w:rsidR="001832BB" w:rsidRPr="00D857DD">
        <w:t>B.</w:t>
      </w:r>
      <w:r w:rsidR="001832BB" w:rsidRPr="00D857DD">
        <w:tab/>
        <w:t xml:space="preserve">Cuestiones relativas a las disposiciones generales </w:t>
      </w:r>
      <w:r w:rsidRPr="00D857DD">
        <w:br/>
      </w:r>
      <w:r w:rsidR="001832BB" w:rsidRPr="00D857DD">
        <w:t>del Pacto (arts. 1 a 5)</w:t>
      </w:r>
      <w:bookmarkEnd w:id="21"/>
    </w:p>
    <w:p w14:paraId="3F020D4D" w14:textId="7FF0FFDC" w:rsidR="001832BB" w:rsidRPr="00D857DD" w:rsidRDefault="00B2156B" w:rsidP="00B2156B">
      <w:pPr>
        <w:pStyle w:val="HChG"/>
      </w:pPr>
      <w:bookmarkStart w:id="23" w:name="_Toc1363134157"/>
      <w:bookmarkStart w:id="24" w:name="_Hlk164242679"/>
      <w:bookmarkEnd w:id="22"/>
      <w:r w:rsidRPr="00D857DD">
        <w:tab/>
      </w:r>
      <w:r w:rsidR="001832BB" w:rsidRPr="00D857DD">
        <w:tab/>
        <w:t>Máximo de los recursos disponibles (art. 2, párr. 1)</w:t>
      </w:r>
      <w:bookmarkEnd w:id="23"/>
    </w:p>
    <w:p w14:paraId="4CC50D73" w14:textId="5C3EF607" w:rsidR="001832BB" w:rsidRPr="00D857DD" w:rsidRDefault="00B2156B" w:rsidP="00B2156B">
      <w:pPr>
        <w:pStyle w:val="H1G"/>
      </w:pPr>
      <w:bookmarkStart w:id="25" w:name="_Toc1275889894"/>
      <w:bookmarkStart w:id="26" w:name="_Hlk164242731"/>
      <w:bookmarkEnd w:id="24"/>
      <w:r w:rsidRPr="00D857DD">
        <w:tab/>
      </w:r>
      <w:r w:rsidR="001832BB" w:rsidRPr="00D857DD">
        <w:t>8.</w:t>
      </w:r>
      <w:r w:rsidR="001832BB" w:rsidRPr="00D857DD">
        <w:tab/>
        <w:t>Información sobre la evolución de lo siguiente</w:t>
      </w:r>
      <w:bookmarkEnd w:id="25"/>
    </w:p>
    <w:p w14:paraId="3EA1E3BF" w14:textId="1B09A656" w:rsidR="001832BB" w:rsidRPr="00D857DD" w:rsidRDefault="00B2156B" w:rsidP="00B2156B">
      <w:pPr>
        <w:pStyle w:val="H23G"/>
      </w:pPr>
      <w:bookmarkStart w:id="27" w:name="_Toc916869308"/>
      <w:bookmarkEnd w:id="26"/>
      <w:r w:rsidRPr="00D857DD">
        <w:tab/>
      </w:r>
      <w:r w:rsidR="001832BB" w:rsidRPr="00D857DD">
        <w:tab/>
        <w:t xml:space="preserve">Proporción de la población que vive por debajo del umbral de pobreza </w:t>
      </w:r>
      <w:r w:rsidRPr="00D857DD">
        <w:br/>
      </w:r>
      <w:r w:rsidR="001832BB" w:rsidRPr="00D857DD">
        <w:t>definido a nivel nacional</w:t>
      </w:r>
      <w:bookmarkEnd w:id="27"/>
    </w:p>
    <w:p w14:paraId="63AAF099" w14:textId="77777777" w:rsidR="001832BB" w:rsidRPr="00D857DD" w:rsidRDefault="001832BB" w:rsidP="001832BB">
      <w:pPr>
        <w:pStyle w:val="SingleTxtG"/>
      </w:pPr>
      <w:r w:rsidRPr="00D857DD">
        <w:t>37.</w:t>
      </w:r>
      <w:r w:rsidRPr="00D857DD">
        <w:tab/>
        <w:t>Según los últimos datos disponibles sobre los hogares cuyos ingresos son inferiores al promedio en 2022/23, el 21 % de las personas padecían pobreza relativa (descontados los gastos de vivienda; véase al anexo 8a).</w:t>
      </w:r>
    </w:p>
    <w:p w14:paraId="2FDD1219" w14:textId="767151A4" w:rsidR="001832BB" w:rsidRPr="00D857DD" w:rsidRDefault="00B2156B" w:rsidP="00B2156B">
      <w:pPr>
        <w:pStyle w:val="H23G"/>
      </w:pPr>
      <w:bookmarkStart w:id="28" w:name="_Toc738173577"/>
      <w:r w:rsidRPr="00D857DD">
        <w:lastRenderedPageBreak/>
        <w:tab/>
      </w:r>
      <w:r w:rsidR="001832BB" w:rsidRPr="00D857DD">
        <w:tab/>
        <w:t>Impuestos</w:t>
      </w:r>
      <w:bookmarkEnd w:id="28"/>
    </w:p>
    <w:p w14:paraId="4F0C0DDE" w14:textId="65DED43A" w:rsidR="001832BB" w:rsidRPr="00D857DD" w:rsidRDefault="001832BB" w:rsidP="00B2156B">
      <w:pPr>
        <w:pStyle w:val="SingleTxtG"/>
        <w:keepNext/>
      </w:pPr>
      <w:r w:rsidRPr="00D857DD">
        <w:t>38.</w:t>
      </w:r>
      <w:r w:rsidRPr="00D857DD">
        <w:tab/>
        <w:t>En 2013</w:t>
      </w:r>
      <w:r w:rsidR="00CF748A" w:rsidRPr="00D857DD">
        <w:t>/</w:t>
      </w:r>
      <w:r w:rsidRPr="00D857DD">
        <w:t>14:</w:t>
      </w:r>
    </w:p>
    <w:p w14:paraId="1C7CCDC0" w14:textId="31721B6C" w:rsidR="001832BB" w:rsidRPr="00D857DD" w:rsidRDefault="001832BB" w:rsidP="00B2156B">
      <w:pPr>
        <w:pStyle w:val="Bullet1G"/>
      </w:pPr>
      <w:r w:rsidRPr="00D857DD">
        <w:t>La proporción media de entradas de efectivo del sector público correspondiente a impuestos procedentes de cuentas nacionales fue del 89,5 %, lo cual supone en promedio un 33,8 % del producto interno bruto (PIB)</w:t>
      </w:r>
      <w:r w:rsidR="00B2156B" w:rsidRPr="00D857DD">
        <w:t>.</w:t>
      </w:r>
    </w:p>
    <w:p w14:paraId="7AEDF8E4" w14:textId="77777777" w:rsidR="001832BB" w:rsidRPr="00D857DD" w:rsidRDefault="001832BB" w:rsidP="00B2156B">
      <w:pPr>
        <w:pStyle w:val="Bullet1G"/>
      </w:pPr>
      <w:r w:rsidRPr="00D857DD">
        <w:t>Correspondió a los impuestos directos una media del 69,3 %, mientras que los impuestos indirectos constituían el 30,7 % del total de las entradas.</w:t>
      </w:r>
    </w:p>
    <w:p w14:paraId="1672413C" w14:textId="72F1F337" w:rsidR="001832BB" w:rsidRPr="00D857DD" w:rsidRDefault="001832BB" w:rsidP="001832BB">
      <w:pPr>
        <w:pStyle w:val="SingleTxtG"/>
      </w:pPr>
      <w:r w:rsidRPr="00D857DD">
        <w:t>39.</w:t>
      </w:r>
      <w:r w:rsidRPr="00D857DD">
        <w:tab/>
        <w:t>Entre 2013</w:t>
      </w:r>
      <w:r w:rsidR="00CF748A" w:rsidRPr="00D857DD">
        <w:t>/</w:t>
      </w:r>
      <w:r w:rsidRPr="00D857DD">
        <w:t>14 y 2022</w:t>
      </w:r>
      <w:r w:rsidR="00CF748A" w:rsidRPr="00D857DD">
        <w:t>/</w:t>
      </w:r>
      <w:r w:rsidRPr="00D857DD">
        <w:t xml:space="preserve">23, los impuestos sobre las sociedades territoriales y extraterritoriales generaron entradas por valor de 553.900 millones de libras esterlinas. </w:t>
      </w:r>
    </w:p>
    <w:p w14:paraId="383D5EC2" w14:textId="77777777" w:rsidR="001832BB" w:rsidRPr="00D857DD" w:rsidDel="00C848EA" w:rsidRDefault="001832BB" w:rsidP="001832BB">
      <w:pPr>
        <w:pStyle w:val="SingleTxtG"/>
      </w:pPr>
      <w:r w:rsidRPr="00D857DD">
        <w:t>40.</w:t>
      </w:r>
      <w:r w:rsidRPr="00D857DD">
        <w:tab/>
        <w:t xml:space="preserve">Al 1 de abril de 2023, la tasa general de los impuestos sobre las sociedades suponía un 25 %, con la introducción de una pequeña tasa de beneficio del 19 % para las empresas cuyos beneficios fueran inferiores a 50.000 libras. </w:t>
      </w:r>
    </w:p>
    <w:p w14:paraId="256908A7" w14:textId="7C7AA112" w:rsidR="001832BB" w:rsidRPr="00D857DD" w:rsidRDefault="00B2156B" w:rsidP="00B2156B">
      <w:pPr>
        <w:pStyle w:val="H23G"/>
      </w:pPr>
      <w:bookmarkStart w:id="29" w:name="_Toc692732319"/>
      <w:r w:rsidRPr="00D857DD">
        <w:tab/>
      </w:r>
      <w:r w:rsidR="001832BB" w:rsidRPr="00D857DD">
        <w:tab/>
        <w:t>Gasto público como porcentaje del PIB</w:t>
      </w:r>
      <w:bookmarkEnd w:id="29"/>
    </w:p>
    <w:p w14:paraId="497DAFC8" w14:textId="470C729A" w:rsidR="001832BB" w:rsidRPr="00D857DD" w:rsidRDefault="001832BB" w:rsidP="001832BB">
      <w:pPr>
        <w:pStyle w:val="SingleTxtG"/>
      </w:pPr>
      <w:r w:rsidRPr="00D857DD">
        <w:t>41.</w:t>
      </w:r>
      <w:r w:rsidRPr="00D857DD">
        <w:tab/>
        <w:t>En 2022/23 el gasto gestionado total (gasto público) representó el 45,6</w:t>
      </w:r>
      <w:r w:rsidR="00CF748A" w:rsidRPr="00D857DD">
        <w:t> </w:t>
      </w:r>
      <w:r w:rsidRPr="00D857DD">
        <w:t>% del PIB. Dentro de este total:</w:t>
      </w:r>
    </w:p>
    <w:p w14:paraId="75CD5F93" w14:textId="6D3E614B" w:rsidR="001832BB" w:rsidRPr="00D857DD" w:rsidRDefault="001832BB" w:rsidP="00B2156B">
      <w:pPr>
        <w:pStyle w:val="Bullet1G"/>
      </w:pPr>
      <w:r w:rsidRPr="00D857DD">
        <w:t>El gasto en protección social supuso el 12,6 % del PIB</w:t>
      </w:r>
      <w:r w:rsidR="00B2156B" w:rsidRPr="00D857DD">
        <w:t>.</w:t>
      </w:r>
    </w:p>
    <w:p w14:paraId="62D87506" w14:textId="3ECADCF0" w:rsidR="001832BB" w:rsidRPr="00D857DD" w:rsidRDefault="001832BB" w:rsidP="00B2156B">
      <w:pPr>
        <w:pStyle w:val="Bullet1G"/>
      </w:pPr>
      <w:r w:rsidRPr="00D857DD">
        <w:t>El gasto en salud supuso el 8,4 % del PIB</w:t>
      </w:r>
      <w:r w:rsidR="00B2156B" w:rsidRPr="00D857DD">
        <w:t>.</w:t>
      </w:r>
    </w:p>
    <w:p w14:paraId="250E534E" w14:textId="70A225CA" w:rsidR="001832BB" w:rsidRPr="00D857DD" w:rsidRDefault="001832BB" w:rsidP="00B2156B">
      <w:pPr>
        <w:pStyle w:val="Bullet1G"/>
      </w:pPr>
      <w:r w:rsidRPr="00D857DD">
        <w:t>El gasto en educación supuso el 4,2 % del PIB</w:t>
      </w:r>
      <w:r w:rsidR="00B2156B" w:rsidRPr="00D857DD">
        <w:t>.</w:t>
      </w:r>
    </w:p>
    <w:p w14:paraId="319E8EEF" w14:textId="249CD6F8" w:rsidR="001832BB" w:rsidRPr="00D857DD" w:rsidRDefault="001832BB" w:rsidP="00B2156B">
      <w:pPr>
        <w:pStyle w:val="Bullet1G"/>
      </w:pPr>
      <w:r w:rsidRPr="00D857DD">
        <w:t>El gasto en vivienda y servicios comunitarios supuso el 0,7 % del PIB</w:t>
      </w:r>
      <w:r w:rsidR="00B2156B" w:rsidRPr="00D857DD">
        <w:t>.</w:t>
      </w:r>
    </w:p>
    <w:p w14:paraId="2ADE381F" w14:textId="77777777" w:rsidR="001832BB" w:rsidRPr="00D857DD" w:rsidRDefault="001832BB" w:rsidP="00B2156B">
      <w:pPr>
        <w:pStyle w:val="Bullet1G"/>
      </w:pPr>
      <w:r w:rsidRPr="00D857DD">
        <w:t>El gasto en agricultura, pesca y silvicultura supuso el 0,3 % del PIB.</w:t>
      </w:r>
    </w:p>
    <w:p w14:paraId="2A1BDA2D" w14:textId="6FC4E884" w:rsidR="001832BB" w:rsidRPr="00D857DD" w:rsidRDefault="001832BB" w:rsidP="00B2156B">
      <w:pPr>
        <w:pStyle w:val="H23G"/>
      </w:pPr>
      <w:bookmarkStart w:id="30" w:name="_Toc945767186"/>
      <w:r w:rsidRPr="00D857DD">
        <w:tab/>
      </w:r>
      <w:r w:rsidR="00B2156B" w:rsidRPr="00D857DD">
        <w:tab/>
      </w:r>
      <w:r w:rsidRPr="00D857DD">
        <w:t>Gasto militar en porcentaje del PIB y del presupuesto público</w:t>
      </w:r>
      <w:bookmarkEnd w:id="30"/>
    </w:p>
    <w:p w14:paraId="098DACD2" w14:textId="77777777" w:rsidR="001832BB" w:rsidRPr="00D857DD" w:rsidRDefault="001832BB" w:rsidP="001832BB">
      <w:pPr>
        <w:pStyle w:val="SingleTxtG"/>
      </w:pPr>
      <w:r w:rsidRPr="00D857DD">
        <w:t>42.</w:t>
      </w:r>
      <w:r w:rsidRPr="00D857DD">
        <w:tab/>
        <w:t>El porcentaje del PIB que el Reino Unido destina a defensa en 2023/24 se estima en un 2,28 %</w:t>
      </w:r>
      <w:r w:rsidRPr="00D857DD">
        <w:rPr>
          <w:sz w:val="18"/>
          <w:szCs w:val="18"/>
          <w:vertAlign w:val="superscript"/>
        </w:rPr>
        <w:footnoteReference w:id="8"/>
      </w:r>
      <w:r w:rsidRPr="00D857DD">
        <w:t>.</w:t>
      </w:r>
    </w:p>
    <w:p w14:paraId="1B2B97CF" w14:textId="26E10994" w:rsidR="001832BB" w:rsidRPr="00D857DD" w:rsidRDefault="00B2156B" w:rsidP="00B2156B">
      <w:pPr>
        <w:pStyle w:val="H23G"/>
      </w:pPr>
      <w:bookmarkStart w:id="31" w:name="_Toc216977038"/>
      <w:r w:rsidRPr="00D857DD">
        <w:tab/>
      </w:r>
      <w:r w:rsidR="001832BB" w:rsidRPr="00D857DD">
        <w:tab/>
        <w:t xml:space="preserve">Políticas fiscales que se hayan adoptado para hacer frente a la pandemia </w:t>
      </w:r>
      <w:r w:rsidRPr="00D857DD">
        <w:br/>
      </w:r>
      <w:r w:rsidR="001832BB" w:rsidRPr="00D857DD">
        <w:t>del coronavirus</w:t>
      </w:r>
      <w:bookmarkEnd w:id="31"/>
    </w:p>
    <w:p w14:paraId="726B976B" w14:textId="6724545C" w:rsidR="001832BB" w:rsidRPr="00D857DD" w:rsidRDefault="001832BB" w:rsidP="001832BB">
      <w:pPr>
        <w:pStyle w:val="SingleTxtG"/>
      </w:pPr>
      <w:r w:rsidRPr="00D857DD">
        <w:t>43.</w:t>
      </w:r>
      <w:r w:rsidRPr="00D857DD">
        <w:tab/>
        <w:t>La Oficina de Responsabilidad Presupuestaria estima que el gasto total rondaba los</w:t>
      </w:r>
      <w:r w:rsidR="00B2156B" w:rsidRPr="00D857DD">
        <w:t> </w:t>
      </w:r>
      <w:r w:rsidRPr="00D857DD">
        <w:t>100.000 millones de libras esterlinas.</w:t>
      </w:r>
    </w:p>
    <w:p w14:paraId="249CDF0E" w14:textId="22392798" w:rsidR="001832BB" w:rsidRPr="00D857DD" w:rsidRDefault="00B2156B" w:rsidP="00B2156B">
      <w:pPr>
        <w:pStyle w:val="H4G"/>
      </w:pPr>
      <w:r w:rsidRPr="00D857DD">
        <w:tab/>
      </w:r>
      <w:r w:rsidR="001832BB" w:rsidRPr="00D857DD">
        <w:tab/>
      </w:r>
      <w:r w:rsidR="001832BB" w:rsidRPr="00D857DD">
        <w:rPr>
          <w:iCs/>
        </w:rPr>
        <w:t>Suplemento de 20 libras</w:t>
      </w:r>
    </w:p>
    <w:p w14:paraId="3125E73E" w14:textId="77777777" w:rsidR="001832BB" w:rsidRPr="00D857DD" w:rsidRDefault="001832BB" w:rsidP="001832BB">
      <w:pPr>
        <w:pStyle w:val="SingleTxtG"/>
      </w:pPr>
      <w:r w:rsidRPr="00D857DD">
        <w:t>44.</w:t>
      </w:r>
      <w:r w:rsidRPr="00D857DD">
        <w:tab/>
        <w:t>El Crédito Universal ofreció una red de seguridad a 6 millones de personas durante la pandemia. En el marco del paquete de medidas de apoyo frente a la COVID-19, se aplicó al Crédito Universal un suplemento temporal de 20 libras por semana cuyo valor ascendió a 407.000 millones de libras en 2020/21 y 2021/22.</w:t>
      </w:r>
    </w:p>
    <w:p w14:paraId="1624F01F" w14:textId="05B0A7DF" w:rsidR="001832BB" w:rsidRPr="00D857DD" w:rsidRDefault="00B2156B" w:rsidP="00B2156B">
      <w:pPr>
        <w:pStyle w:val="H4G"/>
      </w:pPr>
      <w:r w:rsidRPr="00D857DD">
        <w:tab/>
      </w:r>
      <w:r w:rsidR="001832BB" w:rsidRPr="00D857DD">
        <w:tab/>
      </w:r>
      <w:r w:rsidR="001832BB" w:rsidRPr="00D857DD">
        <w:rPr>
          <w:iCs/>
        </w:rPr>
        <w:t>Subsidio de alojamiento local</w:t>
      </w:r>
    </w:p>
    <w:p w14:paraId="221C8A63" w14:textId="77777777" w:rsidR="001832BB" w:rsidRPr="00D857DD" w:rsidRDefault="001832BB" w:rsidP="001832BB">
      <w:pPr>
        <w:pStyle w:val="SingleTxtG"/>
      </w:pPr>
      <w:r w:rsidRPr="00D857DD">
        <w:t>45.</w:t>
      </w:r>
      <w:r w:rsidRPr="00D857DD">
        <w:tab/>
        <w:t>Desde abril de 2020, para hacer frente a la pandemia de COVID-19 se aumentaron las tasas del</w:t>
      </w:r>
      <w:r w:rsidRPr="00D857DD">
        <w:rPr>
          <w:i/>
          <w:iCs/>
        </w:rPr>
        <w:t xml:space="preserve"> </w:t>
      </w:r>
      <w:r w:rsidRPr="00D857DD">
        <w:t xml:space="preserve">subsidio de alojamiento local al 30º percentil de las tasas de mercado locales, con lo cual 1,5 millones de personas que percibían prestaciones por vivienda y el Crédito Universal recibieron una suma adicional de unas 600 libras en 2020/21. </w:t>
      </w:r>
    </w:p>
    <w:p w14:paraId="3BF5C97D" w14:textId="4D1CD595" w:rsidR="001832BB" w:rsidRPr="00D857DD" w:rsidRDefault="00B2156B" w:rsidP="00B2156B">
      <w:pPr>
        <w:pStyle w:val="H4G"/>
      </w:pPr>
      <w:r w:rsidRPr="00D857DD">
        <w:lastRenderedPageBreak/>
        <w:tab/>
      </w:r>
      <w:r w:rsidR="001832BB" w:rsidRPr="00D857DD">
        <w:tab/>
        <w:t xml:space="preserve">Plan de Subvenciones de Invierno relativo a la COVID-19 y Subvención de Apoyo </w:t>
      </w:r>
      <w:r w:rsidRPr="00D857DD">
        <w:br/>
      </w:r>
      <w:r w:rsidR="001832BB" w:rsidRPr="00D857DD">
        <w:t xml:space="preserve">Local relativa a la COVID-19 </w:t>
      </w:r>
    </w:p>
    <w:p w14:paraId="5F3F8BDD" w14:textId="77777777" w:rsidR="001832BB" w:rsidRPr="00D857DD" w:rsidRDefault="001832BB" w:rsidP="001832BB">
      <w:pPr>
        <w:pStyle w:val="SingleTxtG"/>
      </w:pPr>
      <w:r w:rsidRPr="00D857DD">
        <w:t>46.</w:t>
      </w:r>
      <w:r w:rsidRPr="00D857DD">
        <w:tab/>
        <w:t>El Plan de Subvenciones de Invierno relativo a la COVID-19 se anunció el 9 de noviembre de 2020. Tras una ampliación, acabó siendo sustituido por diversas versiones de la Subvención de Apoyo Local relativa a la COVID-19.</w:t>
      </w:r>
    </w:p>
    <w:p w14:paraId="23E573C1" w14:textId="77777777" w:rsidR="001832BB" w:rsidRPr="00D857DD" w:rsidRDefault="001832BB" w:rsidP="001832BB">
      <w:pPr>
        <w:pStyle w:val="SingleTxtG"/>
      </w:pPr>
      <w:r w:rsidRPr="00D857DD">
        <w:t>47.</w:t>
      </w:r>
      <w:r w:rsidRPr="00D857DD">
        <w:tab/>
        <w:t>Estos planes aportaron a las autoridades locales 429,1 millones de libras para prestar apoyo a los hogares vulnerables durante la pandemia. Un mínimo del 80 % de estos fondos debían destinarse a hogares con niños, y un mínimo del 80 % debía destinarse a la prestación de apoyo para sufragar costos de alimentación, energía y agua.</w:t>
      </w:r>
    </w:p>
    <w:p w14:paraId="34967E1E" w14:textId="77C54DD9" w:rsidR="001832BB" w:rsidRPr="00D857DD" w:rsidRDefault="00B2156B" w:rsidP="00B2156B">
      <w:pPr>
        <w:pStyle w:val="H4G"/>
      </w:pPr>
      <w:r w:rsidRPr="00D857DD">
        <w:tab/>
      </w:r>
      <w:r w:rsidR="001832BB" w:rsidRPr="00D857DD">
        <w:tab/>
        <w:t>Cobro de deudas</w:t>
      </w:r>
    </w:p>
    <w:p w14:paraId="0C7117EC" w14:textId="77777777" w:rsidR="001832BB" w:rsidRPr="00D857DD" w:rsidRDefault="001832BB" w:rsidP="001832BB">
      <w:pPr>
        <w:pStyle w:val="SingleTxtG"/>
      </w:pPr>
      <w:r w:rsidRPr="00D857DD">
        <w:t>48.</w:t>
      </w:r>
      <w:r w:rsidRPr="00D857DD">
        <w:tab/>
        <w:t>El Gobierno del Reino Unido suspendió temporalmente el cobro de sobrepagos en concepto de prestaciones, préstamos con cargo a fondos sociales y deudas en concepto de deducciones fiscales. Con ello aumentó la cuantía de las sumas percibidas individualmente en concepto de prestaciones durante el brote epidémico.</w:t>
      </w:r>
    </w:p>
    <w:p w14:paraId="69AF7619" w14:textId="2DBFA331" w:rsidR="001832BB" w:rsidRPr="00D857DD" w:rsidRDefault="001832BB" w:rsidP="00B2156B">
      <w:pPr>
        <w:pStyle w:val="H23G"/>
      </w:pPr>
      <w:bookmarkStart w:id="32" w:name="_Toc182312629"/>
      <w:bookmarkStart w:id="33" w:name="_Hlk164289575"/>
      <w:r w:rsidRPr="00D857DD">
        <w:tab/>
      </w:r>
      <w:r w:rsidR="00B2156B" w:rsidRPr="00D857DD">
        <w:tab/>
      </w:r>
      <w:r w:rsidRPr="00D857DD">
        <w:t>Elusión de impuestos y flujos financieros ilícitos</w:t>
      </w:r>
      <w:bookmarkEnd w:id="32"/>
    </w:p>
    <w:bookmarkEnd w:id="33"/>
    <w:p w14:paraId="0B529439" w14:textId="77777777" w:rsidR="001832BB" w:rsidRPr="00D857DD" w:rsidRDefault="001832BB" w:rsidP="001832BB">
      <w:pPr>
        <w:pStyle w:val="SingleTxtG"/>
      </w:pPr>
      <w:r w:rsidRPr="00D857DD">
        <w:t>49.</w:t>
      </w:r>
      <w:r w:rsidRPr="00D857DD">
        <w:tab/>
        <w:t>En la Ley de la Agencia de Recaudación Tributaria de Escocia y Facultades Fiscales de 2014</w:t>
      </w:r>
      <w:r w:rsidRPr="00D857DD">
        <w:rPr>
          <w:sz w:val="18"/>
          <w:szCs w:val="18"/>
          <w:vertAlign w:val="superscript"/>
        </w:rPr>
        <w:footnoteReference w:id="9"/>
      </w:r>
      <w:r w:rsidRPr="00D857DD">
        <w:t>, aplicable a los impuestos plenamente transferidos a Escocia, figura una norma general contra la elusión que permite a la Agencia de Escocia combatir los mecanismos de elusión de impuestos considerados artificiales, aunque cumplan por lo demás la letra de la ley. En la legislación correspondiente a cada uno de los impuestos transferidos también figuran varias normas selectivas de elusión de impuestos que se combinan con la norma general contra la elusión para reducir el alcance de las actividades de elusión.</w:t>
      </w:r>
    </w:p>
    <w:p w14:paraId="7A0CFAD6" w14:textId="77777777" w:rsidR="001832BB" w:rsidRPr="00D857DD" w:rsidDel="005D064C" w:rsidRDefault="001832BB" w:rsidP="001832BB">
      <w:pPr>
        <w:pStyle w:val="SingleTxtG"/>
      </w:pPr>
      <w:r w:rsidRPr="00D857DD">
        <w:t>50.</w:t>
      </w:r>
      <w:r w:rsidRPr="00D857DD">
        <w:tab/>
        <w:t>Guernsey, Jersey y la Isla de Man toman parte activa en la labor del Foro Mundial de la OCDE, que ayuda a sus miembros a hacer frente a la evasión de impuestos procurando garantizar la aplicación efectiva de normas de transparencia e intercambio de información. Las islas también forman parte del Marco inclusivo de la OCDE sobre erosión de la base imponible y traslado de beneficios, dedicado a hacer frente a la elusión de impuestos y garantizar un entorno fiscal más transparente. Cabe destacar que las islas han publicado conjuntamente un compromiso a efectos de aumentar la transparencia y la accesibilidad a la información que obra en sus registros de titularidad efectiva.</w:t>
      </w:r>
    </w:p>
    <w:p w14:paraId="5EFFE36B" w14:textId="45E3522A" w:rsidR="001832BB" w:rsidRPr="00D857DD" w:rsidRDefault="00B2156B" w:rsidP="00B2156B">
      <w:pPr>
        <w:pStyle w:val="H23G"/>
      </w:pPr>
      <w:bookmarkStart w:id="34" w:name="_Toc648670875"/>
      <w:r w:rsidRPr="00D857DD">
        <w:tab/>
      </w:r>
      <w:r w:rsidR="001832BB" w:rsidRPr="00D857DD">
        <w:tab/>
        <w:t xml:space="preserve">Financiación de programas de desarrollo en el extranjero en los últimos </w:t>
      </w:r>
      <w:r w:rsidRPr="00D857DD">
        <w:br/>
      </w:r>
      <w:r w:rsidR="001832BB" w:rsidRPr="00D857DD">
        <w:t>diez años y condicionalidad o requisitos para los países receptores</w:t>
      </w:r>
      <w:bookmarkEnd w:id="34"/>
    </w:p>
    <w:p w14:paraId="19C46D7E" w14:textId="77777777" w:rsidR="001832BB" w:rsidRPr="00D857DD" w:rsidRDefault="001832BB" w:rsidP="001832BB">
      <w:pPr>
        <w:pStyle w:val="SingleTxtG"/>
      </w:pPr>
      <w:r w:rsidRPr="00D857DD">
        <w:t>51.</w:t>
      </w:r>
      <w:r w:rsidRPr="00D857DD">
        <w:tab/>
        <w:t>El gasto del Reino Unido en AOD en los últimos diez años aparece indicado en la página 3 del anexo.</w:t>
      </w:r>
    </w:p>
    <w:p w14:paraId="1FA94AA6" w14:textId="77777777" w:rsidR="001832BB" w:rsidRPr="00D857DD" w:rsidRDefault="001832BB" w:rsidP="001832BB">
      <w:pPr>
        <w:pStyle w:val="SingleTxtG"/>
      </w:pPr>
      <w:r w:rsidRPr="00D857DD">
        <w:t>52.</w:t>
      </w:r>
      <w:r w:rsidRPr="00D857DD">
        <w:tab/>
        <w:t>El Ministerio de Relaciones Exteriores, del Commonwealth y de Desarrollo impone condiciones a toda la ayuda prestada, y se practica un seguimiento y una evaluación minuciosos para que se cumplan los objetivos enunciados. Por ejemplo, en todos los acuerdos se indican condiciones a efectos de garantizar la gestión efectiva de los fondos, la salvaguardia de las personas y el seguimiento y notificación de las entregas. Algunos mecanismos de financiación en concepto de AOD del Ministerio persiguen objetivos de políticas o de reforma vinculados con el objetivo de la financiación.</w:t>
      </w:r>
    </w:p>
    <w:p w14:paraId="3CA18DE8" w14:textId="77777777" w:rsidR="001832BB" w:rsidRPr="00D857DD" w:rsidRDefault="001832BB" w:rsidP="001832BB">
      <w:pPr>
        <w:pStyle w:val="SingleTxtG"/>
      </w:pPr>
      <w:r w:rsidRPr="00D857DD">
        <w:t>53.</w:t>
      </w:r>
      <w:r w:rsidRPr="00D857DD">
        <w:tab/>
        <w:t xml:space="preserve">Las condiciones pueden utilizarse para promover y subrayar los valores del Reino Unido, como la actuación frente a la explotación y los abusos sexuales y el acoso sexual; también pueden implantarse salvaguardias financieras y fiduciarias para velar por que se gaste debidamente el efectivo del Reino Unido. </w:t>
      </w:r>
    </w:p>
    <w:p w14:paraId="1CCDE1B0" w14:textId="3CD3F3F8" w:rsidR="001832BB" w:rsidRPr="00D857DD" w:rsidRDefault="00B2156B" w:rsidP="00B2156B">
      <w:pPr>
        <w:pStyle w:val="HChG"/>
      </w:pPr>
      <w:bookmarkStart w:id="35" w:name="_Toc1840931851"/>
      <w:bookmarkStart w:id="36" w:name="_Hlk164242763"/>
      <w:r w:rsidRPr="00D857DD">
        <w:lastRenderedPageBreak/>
        <w:tab/>
      </w:r>
      <w:r w:rsidR="001832BB" w:rsidRPr="00D857DD">
        <w:tab/>
        <w:t>No discriminación (art. 2, párr. 2)</w:t>
      </w:r>
      <w:bookmarkEnd w:id="35"/>
    </w:p>
    <w:p w14:paraId="2157DFB3" w14:textId="515F8263" w:rsidR="001832BB" w:rsidRPr="00D857DD" w:rsidRDefault="00B2156B" w:rsidP="00B2156B">
      <w:pPr>
        <w:pStyle w:val="H1G"/>
      </w:pPr>
      <w:bookmarkStart w:id="37" w:name="_Toc337015211"/>
      <w:bookmarkEnd w:id="36"/>
      <w:r w:rsidRPr="00D857DD">
        <w:tab/>
      </w:r>
      <w:r w:rsidR="001832BB" w:rsidRPr="00D857DD">
        <w:t>9.</w:t>
      </w:r>
      <w:r w:rsidR="001832BB" w:rsidRPr="00D857DD">
        <w:tab/>
        <w:t xml:space="preserve">Medidas adoptadas para aprobar una ley integral de lucha </w:t>
      </w:r>
      <w:r w:rsidRPr="00D857DD">
        <w:br/>
      </w:r>
      <w:r w:rsidR="001832BB" w:rsidRPr="00D857DD">
        <w:t>contra la discriminación</w:t>
      </w:r>
      <w:bookmarkEnd w:id="37"/>
    </w:p>
    <w:p w14:paraId="432DA9CC" w14:textId="77777777" w:rsidR="001832BB" w:rsidRPr="00D857DD" w:rsidRDefault="001832BB" w:rsidP="001832BB">
      <w:pPr>
        <w:pStyle w:val="SingleTxtG"/>
      </w:pPr>
      <w:r w:rsidRPr="00D857DD">
        <w:t>54.</w:t>
      </w:r>
      <w:r w:rsidRPr="00D857DD">
        <w:tab/>
        <w:t>Conforme a la Ley de Igualdad de 2010, sigue aplicándose la protección contra la discriminación directa e indirecta en relación con nueve características protegidas (edad, sexo, discapacidad, raza, orientación sexual, reasignación de sexo, matrimonio y uniones civiles, embarazo y maternidad y religión o creencias).</w:t>
      </w:r>
    </w:p>
    <w:p w14:paraId="49D7D3CC" w14:textId="77777777" w:rsidR="001832BB" w:rsidRPr="00D857DD" w:rsidRDefault="001832BB" w:rsidP="001832BB">
      <w:pPr>
        <w:pStyle w:val="SingleTxtG"/>
      </w:pPr>
      <w:r w:rsidRPr="00D857DD">
        <w:t>55.</w:t>
      </w:r>
      <w:r w:rsidRPr="00D857DD">
        <w:tab/>
        <w:t xml:space="preserve">El Gobierno del Reino Unido promulgará la obligación socioeconómica en Inglaterra. La disposición de la Ley sobre doble discriminación no ha empezado a aplicarse. El Gobierno del Reino Unido fortalecerá la protección contra la doble discriminación. </w:t>
      </w:r>
    </w:p>
    <w:p w14:paraId="77E50708" w14:textId="49B7AECB" w:rsidR="001832BB" w:rsidRPr="00D857DD" w:rsidRDefault="00B2156B" w:rsidP="00B2156B">
      <w:pPr>
        <w:pStyle w:val="H23G"/>
      </w:pPr>
      <w:bookmarkStart w:id="38" w:name="_Toc1696046442"/>
      <w:r w:rsidRPr="00D857DD">
        <w:tab/>
      </w:r>
      <w:r w:rsidR="001832BB" w:rsidRPr="00D857DD">
        <w:tab/>
        <w:t xml:space="preserve">Otras jurisdicciones </w:t>
      </w:r>
      <w:bookmarkEnd w:id="38"/>
    </w:p>
    <w:p w14:paraId="284BBA84" w14:textId="77777777" w:rsidR="001832BB" w:rsidRPr="00D857DD" w:rsidRDefault="001832BB" w:rsidP="001832BB">
      <w:pPr>
        <w:pStyle w:val="SingleTxtG"/>
      </w:pPr>
      <w:r w:rsidRPr="00D857DD">
        <w:t>56.</w:t>
      </w:r>
      <w:r w:rsidRPr="00D857DD">
        <w:tab/>
        <w:t>El Gobierno de Escocia propone un proyecto de ley sobre derechos humanos que se incorporará en el derecho escocés dentro de los límites de las competencias transferidas, el Pacto Internacional de Derechos Económicos, Sociales y Culturales y otros tres tratados de las Naciones Unidas:</w:t>
      </w:r>
    </w:p>
    <w:p w14:paraId="7C3F101F" w14:textId="56409EE7" w:rsidR="001832BB" w:rsidRPr="00D857DD" w:rsidRDefault="001832BB" w:rsidP="00B2156B">
      <w:pPr>
        <w:pStyle w:val="Bullet1G"/>
      </w:pPr>
      <w:r w:rsidRPr="00D857DD">
        <w:t>La Convención sobre la Eliminación de Todas las Formas de Discriminación contra la Mujer</w:t>
      </w:r>
      <w:r w:rsidR="00B2156B" w:rsidRPr="00D857DD">
        <w:t>.</w:t>
      </w:r>
    </w:p>
    <w:p w14:paraId="1A5A81FB" w14:textId="59DB25F6" w:rsidR="001832BB" w:rsidRPr="00D857DD" w:rsidRDefault="001832BB" w:rsidP="00B2156B">
      <w:pPr>
        <w:pStyle w:val="Bullet1G"/>
      </w:pPr>
      <w:r w:rsidRPr="00D857DD">
        <w:t>La Convención Internacional sobre la Eliminación de Todas las Formas de Discriminación Racial</w:t>
      </w:r>
      <w:r w:rsidR="00B2156B" w:rsidRPr="00D857DD">
        <w:t>.</w:t>
      </w:r>
    </w:p>
    <w:p w14:paraId="1D393275" w14:textId="77777777" w:rsidR="001832BB" w:rsidRPr="00D857DD" w:rsidRDefault="001832BB" w:rsidP="00B2156B">
      <w:pPr>
        <w:pStyle w:val="Bullet1G"/>
      </w:pPr>
      <w:r w:rsidRPr="00D857DD">
        <w:t>La Convención sobre los Derechos de las Personas con Discapacidad.</w:t>
      </w:r>
    </w:p>
    <w:p w14:paraId="365175CA" w14:textId="77777777" w:rsidR="001832BB" w:rsidRPr="00D857DD" w:rsidRDefault="001832BB" w:rsidP="001832BB">
      <w:pPr>
        <w:pStyle w:val="SingleTxtG"/>
      </w:pPr>
      <w:r w:rsidRPr="00D857DD">
        <w:t>57.</w:t>
      </w:r>
      <w:r w:rsidRPr="00D857DD">
        <w:tab/>
        <w:t>El derecho de Irlanda del Norte prevé una serie de protecciones jurídicas contra la discriminación. En el artículo 2 del Marco de Windsor se establece el compromiso del Gobierno del Reino Unido de que no disminuyan los derechos y salvaguardias en Irlanda del Norte como consecuencia de la retirada de la Unión Europea.</w:t>
      </w:r>
      <w:bookmarkStart w:id="39" w:name="_Hlk164242781"/>
    </w:p>
    <w:p w14:paraId="6E20A491" w14:textId="05B54907" w:rsidR="001832BB" w:rsidRPr="00D857DD" w:rsidRDefault="00B2156B" w:rsidP="00B2156B">
      <w:pPr>
        <w:pStyle w:val="H4G"/>
      </w:pPr>
      <w:r w:rsidRPr="00D857DD">
        <w:tab/>
      </w:r>
      <w:r w:rsidR="001832BB" w:rsidRPr="00D857DD">
        <w:tab/>
        <w:t>Guernsey</w:t>
      </w:r>
    </w:p>
    <w:p w14:paraId="755634E0" w14:textId="77777777" w:rsidR="001832BB" w:rsidRPr="00D857DD" w:rsidRDefault="001832BB" w:rsidP="001832BB">
      <w:pPr>
        <w:pStyle w:val="SingleTxtG"/>
      </w:pPr>
      <w:r w:rsidRPr="00D857DD">
        <w:t>58.</w:t>
      </w:r>
      <w:r w:rsidRPr="00D857DD">
        <w:tab/>
        <w:t>La Ordenanza de 2022 sobre Prevención de la Discriminación (Guernsey) entró en vigor el 1 de octubre de 2023. Conforme a la Ordenanza, son ilegales diversas formas de discriminación en los ámbitos del empleo, el suministro de bienes y servicios, el alojamiento y la pertenencia a clubes y asociaciones por motivos de raza, discapacidad, condición de cuidador, religión o creencias y orientación sexual.</w:t>
      </w:r>
    </w:p>
    <w:p w14:paraId="07376C4A" w14:textId="77777777" w:rsidR="001832BB" w:rsidRPr="00D857DD" w:rsidRDefault="001832BB" w:rsidP="001832BB">
      <w:pPr>
        <w:pStyle w:val="SingleTxtG"/>
      </w:pPr>
      <w:r w:rsidRPr="00D857DD">
        <w:t>59.</w:t>
      </w:r>
      <w:r w:rsidRPr="00D857DD">
        <w:tab/>
        <w:t>Con sujeción a la aprobación por el Parlamento de Guernsey, actualmente está prevista una segunda fase de la legislación que añada protección adicional.</w:t>
      </w:r>
    </w:p>
    <w:p w14:paraId="7442108C" w14:textId="16BF4805" w:rsidR="001832BB" w:rsidRPr="00D857DD" w:rsidRDefault="001832BB" w:rsidP="00B2156B">
      <w:pPr>
        <w:pStyle w:val="H4G"/>
      </w:pPr>
      <w:r w:rsidRPr="00D857DD">
        <w:tab/>
      </w:r>
      <w:r w:rsidR="00B2156B" w:rsidRPr="00D857DD">
        <w:tab/>
      </w:r>
      <w:r w:rsidRPr="00D857DD">
        <w:t>Jersey</w:t>
      </w:r>
    </w:p>
    <w:p w14:paraId="2581B782" w14:textId="77777777" w:rsidR="001832BB" w:rsidRPr="00D857DD" w:rsidRDefault="001832BB" w:rsidP="001832BB">
      <w:pPr>
        <w:pStyle w:val="SingleTxtG"/>
      </w:pPr>
      <w:r w:rsidRPr="00D857DD">
        <w:t>60.</w:t>
      </w:r>
      <w:r w:rsidRPr="00D857DD">
        <w:tab/>
        <w:t>En Jersey persiste la obligación derivada de instrumentos internacionales en materia de no discriminación, en concreto la Convención sobre la Eliminación de Todas las Formas de Discriminación contra la Mujer y la Convención Internacional sobre la Eliminación de Todas las Formas de Discriminación Racial.</w:t>
      </w:r>
    </w:p>
    <w:p w14:paraId="7C69B863" w14:textId="29B670C1" w:rsidR="001832BB" w:rsidRPr="00D857DD" w:rsidRDefault="00B2156B" w:rsidP="00B2156B">
      <w:pPr>
        <w:pStyle w:val="H1G"/>
      </w:pPr>
      <w:bookmarkStart w:id="40" w:name="_Toc943177777"/>
      <w:r w:rsidRPr="00D857DD">
        <w:tab/>
      </w:r>
      <w:r w:rsidR="001832BB" w:rsidRPr="00D857DD">
        <w:t>10.</w:t>
      </w:r>
      <w:r w:rsidR="001832BB" w:rsidRPr="00D857DD">
        <w:tab/>
        <w:t>Refugiados y solicitantes de asilo</w:t>
      </w:r>
      <w:bookmarkEnd w:id="40"/>
    </w:p>
    <w:p w14:paraId="7ED396B6" w14:textId="6A4C01D3" w:rsidR="001832BB" w:rsidRPr="00D857DD" w:rsidRDefault="00B2156B" w:rsidP="00B2156B">
      <w:pPr>
        <w:pStyle w:val="H23G"/>
      </w:pPr>
      <w:bookmarkStart w:id="41" w:name="_Toc453100398"/>
      <w:bookmarkEnd w:id="39"/>
      <w:r w:rsidRPr="00D857DD">
        <w:tab/>
      </w:r>
      <w:r w:rsidR="001832BB" w:rsidRPr="00D857DD">
        <w:tab/>
        <w:t>Ley de Nacionalidad y Fronteras de 2022</w:t>
      </w:r>
      <w:bookmarkEnd w:id="41"/>
    </w:p>
    <w:p w14:paraId="1649C1ED" w14:textId="77777777" w:rsidR="001832BB" w:rsidRPr="00D857DD" w:rsidRDefault="001832BB" w:rsidP="001832BB">
      <w:pPr>
        <w:pStyle w:val="SingleTxtG"/>
      </w:pPr>
      <w:r w:rsidRPr="00D857DD">
        <w:t>61.</w:t>
      </w:r>
      <w:r w:rsidRPr="00D857DD">
        <w:tab/>
        <w:t>Las personas a las que se concede el estatuto de refugiado y de protección humanitaria reúnen los requisitos para acceder a prestaciones y servicios de forma equivalente a los nacionales del Reino Unido.</w:t>
      </w:r>
    </w:p>
    <w:p w14:paraId="26A153AD" w14:textId="4B881818" w:rsidR="001832BB" w:rsidRPr="00D857DD" w:rsidRDefault="001832BB" w:rsidP="001832BB">
      <w:pPr>
        <w:pStyle w:val="SingleTxtG"/>
      </w:pPr>
      <w:r w:rsidRPr="00D857DD">
        <w:t>62.</w:t>
      </w:r>
      <w:r w:rsidRPr="00D857DD">
        <w:tab/>
        <w:t xml:space="preserve">El Gobierno del Reino Unido está decidido a supervisar y evaluar la aplicación y la repercusión de las políticas que figuran en la Ley de Nacionalidad y Fronteras de 2022. </w:t>
      </w:r>
      <w:r w:rsidRPr="00D857DD">
        <w:lastRenderedPageBreak/>
        <w:t>El</w:t>
      </w:r>
      <w:r w:rsidR="00052880" w:rsidRPr="00D857DD">
        <w:t> </w:t>
      </w:r>
      <w:r w:rsidRPr="00D857DD">
        <w:t>Ministerio del Interior tiene abierto con las partes interesadas un diálogo en el marco del cual pueden señalarse problemas a su atención.</w:t>
      </w:r>
    </w:p>
    <w:p w14:paraId="1613DEA1" w14:textId="77777777" w:rsidR="001832BB" w:rsidRPr="00D857DD" w:rsidRDefault="001832BB" w:rsidP="001832BB">
      <w:pPr>
        <w:pStyle w:val="SingleTxtG"/>
      </w:pPr>
      <w:r w:rsidRPr="00D857DD">
        <w:t>63.</w:t>
      </w:r>
      <w:r w:rsidRPr="00D857DD">
        <w:tab/>
        <w:t>En el marco de la aplicación de la Ley de 2022, el Ministerio del Interior:</w:t>
      </w:r>
    </w:p>
    <w:p w14:paraId="1350849B" w14:textId="620E2D0C" w:rsidR="001832BB" w:rsidRPr="00D857DD" w:rsidRDefault="001832BB" w:rsidP="00B2156B">
      <w:pPr>
        <w:pStyle w:val="Bullet1G"/>
      </w:pPr>
      <w:r w:rsidRPr="00D857DD">
        <w:t>Colaboró con partes interesadas en la creación y actualización de orientación sobre políticas</w:t>
      </w:r>
      <w:r w:rsidR="00B2156B" w:rsidRPr="00D857DD">
        <w:t>.</w:t>
      </w:r>
    </w:p>
    <w:p w14:paraId="12FBF80B" w14:textId="24568E56" w:rsidR="001832BB" w:rsidRPr="00D857DD" w:rsidRDefault="001832BB" w:rsidP="00B2156B">
      <w:pPr>
        <w:pStyle w:val="Bullet1G"/>
      </w:pPr>
      <w:r w:rsidRPr="00D857DD">
        <w:t>Impartió capacitación a equipos pertinentes, en particular sobre cuestiones relativas a las salvaguardias, las vulnerabilidades y la igualdad</w:t>
      </w:r>
      <w:r w:rsidR="00B2156B" w:rsidRPr="00D857DD">
        <w:t>.</w:t>
      </w:r>
    </w:p>
    <w:p w14:paraId="67676748" w14:textId="77777777" w:rsidR="001832BB" w:rsidRPr="00D857DD" w:rsidRDefault="001832BB" w:rsidP="00B2156B">
      <w:pPr>
        <w:pStyle w:val="Bullet1G"/>
      </w:pPr>
      <w:r w:rsidRPr="00D857DD">
        <w:t>Examinó todos los requisitos en materia de salvaguardias y garantías para que pueda protegerse mediante estas a la población vulnerable, detectar problemas (incluidas consecuencias imprevistas) y abordarlos cuando sea apropiado.</w:t>
      </w:r>
    </w:p>
    <w:p w14:paraId="04F21239" w14:textId="66046885" w:rsidR="001832BB" w:rsidRPr="00D857DD" w:rsidRDefault="001832BB" w:rsidP="00052880">
      <w:pPr>
        <w:pStyle w:val="H23G"/>
      </w:pPr>
      <w:bookmarkStart w:id="42" w:name="_Toc1743870760"/>
      <w:bookmarkStart w:id="43" w:name="_Hlk164289702"/>
      <w:r w:rsidRPr="00D857DD">
        <w:tab/>
      </w:r>
      <w:r w:rsidR="00052880" w:rsidRPr="00D857DD">
        <w:tab/>
      </w:r>
      <w:r w:rsidRPr="00D857DD">
        <w:t>Derechos económicos, sociales y culturales</w:t>
      </w:r>
      <w:bookmarkEnd w:id="42"/>
    </w:p>
    <w:bookmarkEnd w:id="43"/>
    <w:p w14:paraId="55B1B8BF" w14:textId="77777777" w:rsidR="001832BB" w:rsidRPr="00D857DD" w:rsidRDefault="001832BB" w:rsidP="001832BB">
      <w:pPr>
        <w:pStyle w:val="SingleTxtG"/>
      </w:pPr>
      <w:r w:rsidRPr="00D857DD">
        <w:t>64.</w:t>
      </w:r>
      <w:r w:rsidRPr="00D857DD">
        <w:tab/>
        <w:t>En 2022 el Ministerio de Trabajo y Pensiones destinó 163,6 millones de libras esterlinas a prestaciones de seguridad social destinadas a afganos y ucranianos que habían llegado al Reino Unido el año anterior en el marco de planes específicos de reasentamiento humanitario. Conforme a la orientación de la OCDE, esta suma se clasifica como AOD.</w:t>
      </w:r>
    </w:p>
    <w:p w14:paraId="1E095F64" w14:textId="77777777" w:rsidR="001832BB" w:rsidRPr="00D857DD" w:rsidRDefault="001832BB" w:rsidP="001832BB">
      <w:pPr>
        <w:pStyle w:val="SingleTxtG"/>
      </w:pPr>
      <w:r w:rsidRPr="00D857DD">
        <w:t>65.</w:t>
      </w:r>
      <w:r w:rsidRPr="00D857DD">
        <w:tab/>
        <w:t>De conformidad con el artículo 95 de la Ley de Inmigración y Asilo de 1999, el Ministerio del Interior tiene la obligación legal de prestar apoyo a los solicitantes de asilo si parecen indigentes o es probable que pasen a serlo.</w:t>
      </w:r>
    </w:p>
    <w:p w14:paraId="689D374C" w14:textId="77777777" w:rsidR="001832BB" w:rsidRPr="00D857DD" w:rsidRDefault="001832BB" w:rsidP="001832BB">
      <w:pPr>
        <w:pStyle w:val="SingleTxtG"/>
      </w:pPr>
      <w:r w:rsidRPr="00D857DD">
        <w:t>66.</w:t>
      </w:r>
      <w:r w:rsidRPr="00D857DD">
        <w:tab/>
        <w:t>El apoyo prestado en el marco del artículo 95 suele adoptar la forma de alojamiento amueblado gratuito (sin pago de facturas de servicios públicos o del impuesto sobre la vivienda) y de un subsidio semanal en efectivo para atender las necesidades de vida esenciales. También se facilita acceso gratuito a atención sanitaria y escolarización, además de comidas escolares gratuitas.</w:t>
      </w:r>
    </w:p>
    <w:p w14:paraId="725F52BF" w14:textId="359FC99F" w:rsidR="001832BB" w:rsidRPr="00D857DD" w:rsidRDefault="00B2156B" w:rsidP="00B2156B">
      <w:pPr>
        <w:pStyle w:val="H23G"/>
      </w:pPr>
      <w:bookmarkStart w:id="44" w:name="_Toc2074849614"/>
      <w:bookmarkStart w:id="45" w:name="_Hlk164242843"/>
      <w:r w:rsidRPr="00D857DD">
        <w:tab/>
      </w:r>
      <w:r w:rsidR="001832BB" w:rsidRPr="00D857DD">
        <w:tab/>
        <w:t xml:space="preserve">Acceso a procedimientos de asilo justos y eficientes, protección contra </w:t>
      </w:r>
      <w:r w:rsidRPr="00D857DD">
        <w:br/>
      </w:r>
      <w:r w:rsidR="001832BB" w:rsidRPr="00D857DD">
        <w:t>la devolución y acceso a mecanismos independientes de apelación</w:t>
      </w:r>
      <w:bookmarkEnd w:id="44"/>
    </w:p>
    <w:p w14:paraId="4DF6580E" w14:textId="4E069D2C" w:rsidR="001832BB" w:rsidRPr="00D857DD" w:rsidRDefault="00B2156B" w:rsidP="00B2156B">
      <w:pPr>
        <w:pStyle w:val="H4G"/>
      </w:pPr>
      <w:r w:rsidRPr="00D857DD">
        <w:tab/>
      </w:r>
      <w:r w:rsidR="001832BB" w:rsidRPr="00D857DD">
        <w:tab/>
        <w:t>Devolución</w:t>
      </w:r>
    </w:p>
    <w:bookmarkEnd w:id="45"/>
    <w:p w14:paraId="7E9CF5DC" w14:textId="77777777" w:rsidR="001832BB" w:rsidRPr="00D857DD" w:rsidRDefault="001832BB" w:rsidP="001832BB">
      <w:pPr>
        <w:pStyle w:val="SingleTxtG"/>
      </w:pPr>
      <w:r w:rsidRPr="00D857DD">
        <w:t>67.</w:t>
      </w:r>
      <w:r w:rsidRPr="00D857DD">
        <w:tab/>
        <w:t>El Reino Unido no expulsará a las personas cuando corran riesgo de persecución o cuando su expulsión incumpla las obligaciones del Reino Unido dimanantes del artículo 3 del Convenio Europeo de Derechos Humanos, lo cual es consonante con nuestra obligación de velar por que las personas no sean objeto de devolución a terceros países y por que no aumenten las probabilidades de devolución de la persona.</w:t>
      </w:r>
    </w:p>
    <w:p w14:paraId="669104E3" w14:textId="11EBFEBC" w:rsidR="001832BB" w:rsidRPr="00D857DD" w:rsidRDefault="00B2156B" w:rsidP="00B2156B">
      <w:pPr>
        <w:pStyle w:val="H4G"/>
      </w:pPr>
      <w:bookmarkStart w:id="46" w:name="_Hlk164242859"/>
      <w:r w:rsidRPr="00D857DD">
        <w:tab/>
      </w:r>
      <w:r w:rsidR="001832BB" w:rsidRPr="00D857DD">
        <w:tab/>
        <w:t>Marco legal de las solicitudes</w:t>
      </w:r>
    </w:p>
    <w:bookmarkEnd w:id="46"/>
    <w:p w14:paraId="64755DFE" w14:textId="77777777" w:rsidR="001832BB" w:rsidRPr="00D857DD" w:rsidRDefault="001832BB" w:rsidP="001832BB">
      <w:pPr>
        <w:pStyle w:val="SingleTxtG"/>
      </w:pPr>
      <w:r w:rsidRPr="00D857DD">
        <w:t>68.</w:t>
      </w:r>
      <w:r w:rsidRPr="00D857DD">
        <w:tab/>
        <w:t>En la parte 11 de las Normas de inmigración</w:t>
      </w:r>
      <w:r w:rsidRPr="00D857DD">
        <w:rPr>
          <w:sz w:val="18"/>
          <w:szCs w:val="18"/>
          <w:vertAlign w:val="superscript"/>
        </w:rPr>
        <w:footnoteReference w:id="10"/>
      </w:r>
      <w:r w:rsidRPr="00D857DD">
        <w:t xml:space="preserve"> figuran disposiciones relativas al examen de las solicitudes de asilo y se establecen las obligaciones del Reino Unido dimanantes de la Convención sobre el Estatuto de los Refugiados.</w:t>
      </w:r>
    </w:p>
    <w:p w14:paraId="05A3B7D6" w14:textId="77777777" w:rsidR="001832BB" w:rsidRPr="00D857DD" w:rsidRDefault="001832BB" w:rsidP="001832BB">
      <w:pPr>
        <w:pStyle w:val="SingleTxtG"/>
      </w:pPr>
      <w:r w:rsidRPr="00D857DD">
        <w:t>69.</w:t>
      </w:r>
      <w:r w:rsidRPr="00D857DD">
        <w:tab/>
        <w:t>Normalmente se concede la protección cuando el solicitante tiene temores fundados de ser perseguido conforme a lo dispuesto en la Convención sobre el Estatuto de los Refugiados o corre un riesgo real de sufrir daños graves. Normalmente, se concede a quienes cumplen los requisitos correspondientes un permiso limitado de cinco años y la posibilidad de acceder al mercado de trabajo y a apoyo de asistencia social.</w:t>
      </w:r>
    </w:p>
    <w:p w14:paraId="74D0490E" w14:textId="77777777" w:rsidR="001832BB" w:rsidRPr="00D857DD" w:rsidRDefault="001832BB" w:rsidP="001832BB">
      <w:pPr>
        <w:pStyle w:val="SingleTxtG"/>
      </w:pPr>
      <w:r w:rsidRPr="00D857DD">
        <w:t>70.</w:t>
      </w:r>
      <w:r w:rsidRPr="00D857DD">
        <w:tab/>
        <w:t>Se rechaza la solicitud cuando se determina que la persona no necesita protección. Una vez se agotan los derechos de apelación, en caso de haberse ejercido, se prevé que las personas cuyas solicitudes no hayan prosperado abandonen el Reino Unido.</w:t>
      </w:r>
    </w:p>
    <w:p w14:paraId="758FA6C1" w14:textId="47648F22" w:rsidR="001832BB" w:rsidRPr="00D857DD" w:rsidRDefault="001832BB" w:rsidP="001832BB">
      <w:pPr>
        <w:pStyle w:val="SingleTxtG"/>
      </w:pPr>
      <w:r w:rsidRPr="00D857DD">
        <w:t>71.</w:t>
      </w:r>
      <w:r w:rsidRPr="00D857DD">
        <w:tab/>
        <w:t xml:space="preserve">En la Ley de 2022 se define qué significa para un solicitante tener temores fundados de ser perseguido y se crea un nuevo marco legal que debe seguir el Ministerio del Interior </w:t>
      </w:r>
      <w:r w:rsidRPr="00D857DD">
        <w:lastRenderedPageBreak/>
        <w:t>al evaluar si un solicitante tiene dichos temores de conformidad con el artículo 1 A, párrafo</w:t>
      </w:r>
      <w:r w:rsidR="00052880" w:rsidRPr="00D857DD">
        <w:t> </w:t>
      </w:r>
      <w:r w:rsidRPr="00D857DD">
        <w:t>2, de la Convención sobre el Estatuto de los Refugiados.</w:t>
      </w:r>
    </w:p>
    <w:p w14:paraId="22FD1FF1" w14:textId="72C9F6BA" w:rsidR="001832BB" w:rsidRPr="00D857DD" w:rsidRDefault="00B2156B" w:rsidP="00B2156B">
      <w:pPr>
        <w:pStyle w:val="H4G"/>
      </w:pPr>
      <w:bookmarkStart w:id="47" w:name="_Hlk164242904"/>
      <w:r w:rsidRPr="00D857DD">
        <w:tab/>
      </w:r>
      <w:r w:rsidR="001832BB" w:rsidRPr="00D857DD">
        <w:tab/>
      </w:r>
      <w:r w:rsidR="001832BB" w:rsidRPr="00D857DD">
        <w:rPr>
          <w:iCs/>
        </w:rPr>
        <w:t>Apelación</w:t>
      </w:r>
      <w:bookmarkEnd w:id="47"/>
    </w:p>
    <w:p w14:paraId="63BF34B2" w14:textId="77777777" w:rsidR="001832BB" w:rsidRPr="00D857DD" w:rsidRDefault="001832BB" w:rsidP="001832BB">
      <w:pPr>
        <w:pStyle w:val="SingleTxtG"/>
      </w:pPr>
      <w:r w:rsidRPr="00D857DD">
        <w:t>72.</w:t>
      </w:r>
      <w:r w:rsidRPr="00D857DD">
        <w:tab/>
        <w:t xml:space="preserve">El artículo 82 de la Ley de 2002 prevé el derecho de apelación contra toda decisión de denegar una solicitud por motivo de derechos humanos (en concreto, los derechos previstos en el Convenio Europeo de Derechos Humanos según aparecen reflejados en la Ley de Derechos Humanos), de denegar una solicitud de protección o de revocar un estatuto de protección. </w:t>
      </w:r>
    </w:p>
    <w:p w14:paraId="395569D4" w14:textId="490B3E99" w:rsidR="001832BB" w:rsidRPr="00D857DD" w:rsidRDefault="00B2156B" w:rsidP="00B2156B">
      <w:pPr>
        <w:pStyle w:val="H4G"/>
      </w:pPr>
      <w:r w:rsidRPr="00D857DD">
        <w:tab/>
      </w:r>
      <w:r w:rsidR="001832BB" w:rsidRPr="00D857DD">
        <w:tab/>
      </w:r>
      <w:r w:rsidR="001832BB" w:rsidRPr="00D857DD">
        <w:rPr>
          <w:iCs/>
        </w:rPr>
        <w:t>Asistencia jurídica</w:t>
      </w:r>
      <w:r w:rsidR="001832BB" w:rsidRPr="00D857DD">
        <w:t xml:space="preserve"> </w:t>
      </w:r>
    </w:p>
    <w:p w14:paraId="1CC9C9B4" w14:textId="77777777" w:rsidR="001832BB" w:rsidRPr="00D857DD" w:rsidRDefault="001832BB" w:rsidP="001832BB">
      <w:pPr>
        <w:pStyle w:val="SingleTxtG"/>
      </w:pPr>
      <w:r w:rsidRPr="00D857DD">
        <w:t>73.</w:t>
      </w:r>
      <w:r w:rsidRPr="00D857DD">
        <w:tab/>
        <w:t>Es posible disponer de asistencia jurídica para los casos de asilo, para las víctimas de maltrato en el hogar y de formas contemporáneas de esclavitud, para los niños inmigrantes separados y para los casos de inmigración en los que alguien impugna una decisión de detención.</w:t>
      </w:r>
    </w:p>
    <w:p w14:paraId="044BB026" w14:textId="77777777" w:rsidR="001832BB" w:rsidRPr="00D857DD" w:rsidRDefault="001832BB" w:rsidP="001832BB">
      <w:pPr>
        <w:pStyle w:val="SingleTxtG"/>
      </w:pPr>
      <w:r w:rsidRPr="00D857DD">
        <w:t>74.</w:t>
      </w:r>
      <w:r w:rsidRPr="00D857DD">
        <w:tab/>
        <w:t>Cuando una cuestión escape a estas consideraciones, tal vez se disponga de fondos a través del régimen de financiación en casos excepcionales siempre que exista el riesgo de que no facilitando asistencia jurídica se infrinjan los derechos humanos o la legislación conservada de la Unión Europea que sea aplicable.</w:t>
      </w:r>
    </w:p>
    <w:p w14:paraId="66B1464B" w14:textId="4F6D4554" w:rsidR="001832BB" w:rsidRPr="00D857DD" w:rsidRDefault="00B2156B" w:rsidP="00B2156B">
      <w:pPr>
        <w:pStyle w:val="H4G"/>
      </w:pPr>
      <w:bookmarkStart w:id="48" w:name="_Hlk164242990"/>
      <w:r w:rsidRPr="00D857DD">
        <w:tab/>
      </w:r>
      <w:r w:rsidR="001832BB" w:rsidRPr="00D857DD">
        <w:tab/>
      </w:r>
      <w:r w:rsidR="001832BB" w:rsidRPr="00D857DD">
        <w:rPr>
          <w:iCs/>
        </w:rPr>
        <w:t>Información estadística</w:t>
      </w:r>
    </w:p>
    <w:bookmarkEnd w:id="48"/>
    <w:p w14:paraId="39E296B2" w14:textId="77777777" w:rsidR="001832BB" w:rsidRPr="00D857DD" w:rsidRDefault="001832BB" w:rsidP="001832BB">
      <w:pPr>
        <w:pStyle w:val="SingleTxtG"/>
      </w:pPr>
      <w:r w:rsidRPr="00D857DD">
        <w:t>75.</w:t>
      </w:r>
      <w:r w:rsidRPr="00D857DD">
        <w:tab/>
        <w:t xml:space="preserve">El Ministerio del Interior publica datos sobre las solicitudes de asilo en el </w:t>
      </w:r>
      <w:r w:rsidRPr="00D857DD">
        <w:rPr>
          <w:i/>
        </w:rPr>
        <w:t>Boletín trimestral de estadísticas sobre el sistema de inmigración</w:t>
      </w:r>
      <w:r w:rsidRPr="00D857DD">
        <w:rPr>
          <w:sz w:val="18"/>
          <w:szCs w:val="18"/>
          <w:vertAlign w:val="superscript"/>
        </w:rPr>
        <w:footnoteReference w:id="11"/>
      </w:r>
      <w:r w:rsidRPr="00D857DD">
        <w:t>.</w:t>
      </w:r>
    </w:p>
    <w:p w14:paraId="44BBF046" w14:textId="0606681E" w:rsidR="001832BB" w:rsidRPr="00D857DD" w:rsidRDefault="00B2156B" w:rsidP="00B2156B">
      <w:pPr>
        <w:pStyle w:val="HChG"/>
      </w:pPr>
      <w:bookmarkStart w:id="49" w:name="_Toc514094099"/>
      <w:bookmarkStart w:id="50" w:name="_Hlk164243086"/>
      <w:bookmarkStart w:id="51" w:name="_Hlk164289837"/>
      <w:r w:rsidRPr="00D857DD">
        <w:tab/>
      </w:r>
      <w:r w:rsidR="001832BB" w:rsidRPr="00D857DD">
        <w:tab/>
        <w:t>Igualdad de derechos entre hombres y mujeres (art. 3)</w:t>
      </w:r>
      <w:bookmarkEnd w:id="49"/>
    </w:p>
    <w:p w14:paraId="78FD7D73" w14:textId="560D5C6A" w:rsidR="001832BB" w:rsidRPr="00D857DD" w:rsidRDefault="00B2156B" w:rsidP="00B2156B">
      <w:pPr>
        <w:pStyle w:val="H1G"/>
      </w:pPr>
      <w:bookmarkStart w:id="52" w:name="_Hlk164243100"/>
      <w:bookmarkStart w:id="53" w:name="_Toc1016000053"/>
      <w:bookmarkEnd w:id="50"/>
      <w:r w:rsidRPr="00D857DD">
        <w:tab/>
      </w:r>
      <w:r w:rsidR="001832BB" w:rsidRPr="00D857DD">
        <w:t>11.</w:t>
      </w:r>
      <w:r w:rsidR="001832BB" w:rsidRPr="00D857DD">
        <w:tab/>
        <w:t>Información sobre los asuntos siguientes</w:t>
      </w:r>
      <w:bookmarkEnd w:id="51"/>
      <w:bookmarkEnd w:id="52"/>
      <w:bookmarkEnd w:id="53"/>
    </w:p>
    <w:p w14:paraId="2FC2A4AE" w14:textId="16ADE1E9" w:rsidR="001832BB" w:rsidRPr="00D857DD" w:rsidRDefault="00B2156B" w:rsidP="00B2156B">
      <w:pPr>
        <w:pStyle w:val="H23G"/>
      </w:pPr>
      <w:bookmarkStart w:id="54" w:name="_Toc1623075525"/>
      <w:r w:rsidRPr="00D857DD">
        <w:tab/>
      </w:r>
      <w:r w:rsidR="001832BB" w:rsidRPr="00D857DD">
        <w:tab/>
        <w:t xml:space="preserve">Resultados y repercusiones de las iniciativas mencionadas en los párrafos 46 a 51 </w:t>
      </w:r>
      <w:r w:rsidRPr="00D857DD">
        <w:br/>
      </w:r>
      <w:r w:rsidR="001832BB" w:rsidRPr="00D857DD">
        <w:t>del informe del Estado parte sobre la igualdad entre mujeres y hombres</w:t>
      </w:r>
      <w:bookmarkEnd w:id="54"/>
    </w:p>
    <w:p w14:paraId="59348372" w14:textId="27C06A7B" w:rsidR="001832BB" w:rsidRPr="00D857DD" w:rsidRDefault="00B2156B" w:rsidP="00B2156B">
      <w:pPr>
        <w:pStyle w:val="H23G"/>
      </w:pPr>
      <w:bookmarkStart w:id="55" w:name="_Toc1065845245"/>
      <w:bookmarkStart w:id="56" w:name="_Hlk164243114"/>
      <w:r w:rsidRPr="00D857DD">
        <w:tab/>
      </w:r>
      <w:r w:rsidR="001832BB" w:rsidRPr="00D857DD">
        <w:tab/>
        <w:t>Estadísticas sobre la representación de mujeres</w:t>
      </w:r>
      <w:bookmarkEnd w:id="55"/>
    </w:p>
    <w:bookmarkEnd w:id="56"/>
    <w:p w14:paraId="4EA39D41" w14:textId="77777777" w:rsidR="001832BB" w:rsidRPr="00D857DD" w:rsidRDefault="001832BB" w:rsidP="001832BB">
      <w:pPr>
        <w:pStyle w:val="SingleTxtG"/>
      </w:pPr>
      <w:r w:rsidRPr="00D857DD">
        <w:t>76.</w:t>
      </w:r>
      <w:r w:rsidRPr="00D857DD">
        <w:tab/>
        <w:t>La Oficina Nacional de Estadística publica periódicamente datos sobre empleo desglosados por sexo:</w:t>
      </w:r>
    </w:p>
    <w:p w14:paraId="75D4B594" w14:textId="14ED2BA0" w:rsidR="001832BB" w:rsidRPr="00D857DD" w:rsidRDefault="00C427BE" w:rsidP="009669FE">
      <w:pPr>
        <w:pStyle w:val="SingleTxtG"/>
        <w:ind w:left="1701"/>
      </w:pPr>
      <w:hyperlink r:id="rId8" w:history="1">
        <w:r w:rsidR="001832BB" w:rsidRPr="00D857DD">
          <w:rPr>
            <w:rStyle w:val="Hipervnculo"/>
          </w:rPr>
          <w:t>https://www.ons.gov.uk/employmentandlabourmarket/peopleinwork/employmentandemployeetypes</w:t>
        </w:r>
      </w:hyperlink>
      <w:r w:rsidR="001832BB" w:rsidRPr="00D857DD">
        <w:t xml:space="preserve">. </w:t>
      </w:r>
    </w:p>
    <w:p w14:paraId="7C46EF57" w14:textId="77777777" w:rsidR="001832BB" w:rsidRPr="00D857DD" w:rsidRDefault="001832BB" w:rsidP="001832BB">
      <w:pPr>
        <w:pStyle w:val="SingleTxtG"/>
      </w:pPr>
      <w:r w:rsidRPr="00D857DD">
        <w:t>77.</w:t>
      </w:r>
      <w:r w:rsidRPr="00D857DD">
        <w:tab/>
        <w:t>En Escocia se han venido observando en años recientes aumentos positivos de la representación de las mujeres, en particular respecto de los nombramientos públicos , muchos de ellos sujetos a la Ley de Representación de los Géneros en las Juntas de Organismos Públicos (Escocia) de 2018.</w:t>
      </w:r>
    </w:p>
    <w:p w14:paraId="4858D11E" w14:textId="46388663" w:rsidR="001832BB" w:rsidRPr="00D857DD" w:rsidRDefault="001832BB" w:rsidP="001832BB">
      <w:pPr>
        <w:pStyle w:val="SingleTxtG"/>
      </w:pPr>
      <w:r w:rsidRPr="00D857DD">
        <w:t>78.</w:t>
      </w:r>
      <w:r w:rsidRPr="00D857DD">
        <w:tab/>
        <w:t>El porcentaje de mujeres que solicitaron nombramientos públicos en Irlanda del Norte fue aproximadamente del 35 % al 39 % entre 2019 y 2022, mientras que el porcentaje de nombramientos de mujeres fue aproximadamente del 34 % al 46 % durante ese mismo período. (</w:t>
      </w:r>
      <w:r w:rsidRPr="00D857DD">
        <w:rPr>
          <w:i/>
        </w:rPr>
        <w:t>Fuente:</w:t>
      </w:r>
      <w:r w:rsidRPr="00D857DD">
        <w:t xml:space="preserve"> Informe sobre los nombramientos públicos en Irlanda del Norte 2019</w:t>
      </w:r>
      <w:r w:rsidR="00B2156B" w:rsidRPr="00D857DD">
        <w:noBreakHyphen/>
      </w:r>
      <w:r w:rsidRPr="00D857DD">
        <w:t xml:space="preserve">2022). </w:t>
      </w:r>
    </w:p>
    <w:p w14:paraId="125B5720" w14:textId="0188521F" w:rsidR="001832BB" w:rsidRPr="00D857DD" w:rsidRDefault="00B2156B" w:rsidP="00B2156B">
      <w:pPr>
        <w:pStyle w:val="H23G"/>
      </w:pPr>
      <w:bookmarkStart w:id="57" w:name="_Toc935828822"/>
      <w:r w:rsidRPr="00D857DD">
        <w:tab/>
      </w:r>
      <w:r w:rsidR="001832BB" w:rsidRPr="00D857DD">
        <w:tab/>
        <w:t>Medidas adoptadas para combatir y vigilar la segregación ocupacional</w:t>
      </w:r>
      <w:bookmarkEnd w:id="57"/>
    </w:p>
    <w:p w14:paraId="552A1754" w14:textId="77777777" w:rsidR="001832BB" w:rsidRPr="00D857DD" w:rsidRDefault="001832BB" w:rsidP="001832BB">
      <w:pPr>
        <w:pStyle w:val="SingleTxtG"/>
      </w:pPr>
      <w:r w:rsidRPr="00D857DD">
        <w:t>79.</w:t>
      </w:r>
      <w:r w:rsidRPr="00D857DD">
        <w:tab/>
        <w:t xml:space="preserve">En el Plan de acción renovado sobre el trabajo justo se exponen el enfoque interseccional del Gobierno de Escocia dirigido a crear para 2025 una nación en la que impere el trabajo justo (con inclusión de compromisos dirigidos a derribar las barreras estructurales que encuentran en el mercado de trabajo las personas con discapacidad, las minorías </w:t>
      </w:r>
      <w:r w:rsidRPr="00D857DD">
        <w:lastRenderedPageBreak/>
        <w:t xml:space="preserve">racializadas y las mujeres) y las medidas encaminadas a combatir y vigilar la segregación ocupacional y las brechas salariales. El Plan de acción parte de los progresos realizados a través de nuestro Plan de Acción original contra la brecha salarial de género para una Escocia más justa, de 2019. </w:t>
      </w:r>
    </w:p>
    <w:p w14:paraId="4ACDCDE7" w14:textId="3C8614B7" w:rsidR="001832BB" w:rsidRPr="00D857DD" w:rsidRDefault="00B2156B" w:rsidP="00B2156B">
      <w:pPr>
        <w:pStyle w:val="H23G"/>
      </w:pPr>
      <w:bookmarkStart w:id="58" w:name="_Toc1536122098"/>
      <w:r w:rsidRPr="00D857DD">
        <w:tab/>
      </w:r>
      <w:r w:rsidR="001832BB" w:rsidRPr="00D857DD">
        <w:tab/>
        <w:t>Estadísticas sobre la evolución de la brecha salarial de género</w:t>
      </w:r>
      <w:bookmarkEnd w:id="58"/>
    </w:p>
    <w:p w14:paraId="5460EF55" w14:textId="4078782E" w:rsidR="001832BB" w:rsidRPr="00D857DD" w:rsidRDefault="001832BB" w:rsidP="001832BB">
      <w:pPr>
        <w:pStyle w:val="SingleTxtG"/>
      </w:pPr>
      <w:r w:rsidRPr="00D857DD">
        <w:t>80.</w:t>
      </w:r>
      <w:r w:rsidRPr="00D857DD">
        <w:tab/>
        <w:t xml:space="preserve">La Oficina Nacional de Estadística recopila y publica anualmente datos sobre la brecha salarial de género en el Reino Unido desglosados por edad, sector de empleo y región. Los que aparecieron en 2023 demostraban que la brecha entre todos los empleados había disminuido cerca de la cuarta parte en relación con el anterior decenio: </w:t>
      </w:r>
      <w:hyperlink r:id="rId9" w:history="1">
        <w:r w:rsidRPr="00D857DD">
          <w:rPr>
            <w:rStyle w:val="Hipervnculo"/>
          </w:rPr>
          <w:t>https://www.ons.gov.uk/employmentandlabourmarket/peopleinwork/earningsandworkinghours/bulletins/genderpaygapintheuk/2023</w:t>
        </w:r>
      </w:hyperlink>
      <w:r w:rsidRPr="00D857DD">
        <w:t xml:space="preserve">. </w:t>
      </w:r>
    </w:p>
    <w:p w14:paraId="25CA769C" w14:textId="77777777" w:rsidR="001832BB" w:rsidRPr="00D857DD" w:rsidRDefault="001832BB" w:rsidP="001832BB">
      <w:pPr>
        <w:pStyle w:val="SingleTxtG"/>
      </w:pPr>
      <w:r w:rsidRPr="00D857DD">
        <w:t>81.</w:t>
      </w:r>
      <w:r w:rsidRPr="00D857DD">
        <w:tab/>
        <w:t>Incumbe a la Comisión para la Igualdad y los Derechos Humanos la aplicación de los reglamentos introducidos en 2017 respecto de la presentación de informes sobre la brecha salarial de género. En su política en materia de litigios y aplicación de la ley se indica la manera de decidir las medidas que deben adoptarse contra las organizaciones que incumplan los reglamentos.</w:t>
      </w:r>
    </w:p>
    <w:p w14:paraId="6334F345" w14:textId="77777777" w:rsidR="001832BB" w:rsidRPr="00D857DD" w:rsidRDefault="001832BB" w:rsidP="001832BB">
      <w:pPr>
        <w:pStyle w:val="SingleTxtG"/>
      </w:pPr>
      <w:r w:rsidRPr="00D857DD">
        <w:t>82.</w:t>
      </w:r>
      <w:r w:rsidRPr="00D857DD">
        <w:tab/>
        <w:t>El Gobierno de la Isla de Man tiene facultades semejantes a las del Reino Unido a efectos de implantar normas de presentación de informes sobre la brecha salarial de género, pero todavía no las ha ejercido. Jersey sigue publicando datos sobre la brecha salarial de género en el sector público y mantiene en examen la cuestión de la presentación de informes en el sector privado.</w:t>
      </w:r>
    </w:p>
    <w:p w14:paraId="01658B8A" w14:textId="64DA1A28" w:rsidR="001832BB" w:rsidRPr="00D857DD" w:rsidRDefault="00B2156B" w:rsidP="00B2156B">
      <w:pPr>
        <w:pStyle w:val="HChG"/>
      </w:pPr>
      <w:bookmarkStart w:id="59" w:name="_Toc1327501666"/>
      <w:r w:rsidRPr="00D857DD">
        <w:tab/>
      </w:r>
      <w:r w:rsidR="001832BB" w:rsidRPr="00D857DD">
        <w:tab/>
        <w:t>Cuestiones relativas a disposiciones específicas del Pacto (arts. 6 a 15)</w:t>
      </w:r>
      <w:bookmarkEnd w:id="59"/>
    </w:p>
    <w:p w14:paraId="2FA6EF12" w14:textId="1E2A5490" w:rsidR="001832BB" w:rsidRPr="00D857DD" w:rsidRDefault="00B2156B" w:rsidP="00B2156B">
      <w:pPr>
        <w:pStyle w:val="HChG"/>
      </w:pPr>
      <w:bookmarkStart w:id="60" w:name="_Toc1081150938"/>
      <w:bookmarkStart w:id="61" w:name="_Hlk164243187"/>
      <w:r w:rsidRPr="00D857DD">
        <w:tab/>
      </w:r>
      <w:r w:rsidR="001832BB" w:rsidRPr="00D857DD">
        <w:tab/>
        <w:t>Derecho a trabajar (art. 6)</w:t>
      </w:r>
      <w:bookmarkEnd w:id="60"/>
    </w:p>
    <w:p w14:paraId="322E5963" w14:textId="73AF6890" w:rsidR="001832BB" w:rsidRPr="00D857DD" w:rsidRDefault="00B2156B" w:rsidP="00B2156B">
      <w:pPr>
        <w:pStyle w:val="H1G"/>
      </w:pPr>
      <w:bookmarkStart w:id="62" w:name="_Toc621703456"/>
      <w:bookmarkStart w:id="63" w:name="_Hlk164243199"/>
      <w:bookmarkEnd w:id="61"/>
      <w:r w:rsidRPr="00D857DD">
        <w:rPr>
          <w:bCs/>
        </w:rPr>
        <w:tab/>
      </w:r>
      <w:r w:rsidR="001832BB" w:rsidRPr="00D857DD">
        <w:rPr>
          <w:bCs/>
        </w:rPr>
        <w:t>12.</w:t>
      </w:r>
      <w:r w:rsidR="001832BB" w:rsidRPr="00D857DD">
        <w:tab/>
        <w:t>Información sobre los asuntos siguientes</w:t>
      </w:r>
      <w:bookmarkEnd w:id="62"/>
    </w:p>
    <w:p w14:paraId="3727F3C2" w14:textId="3498CB48" w:rsidR="001832BB" w:rsidRPr="00D857DD" w:rsidRDefault="001832BB" w:rsidP="00B2156B">
      <w:pPr>
        <w:pStyle w:val="H23G"/>
      </w:pPr>
      <w:bookmarkStart w:id="64" w:name="_Toc1579925213"/>
      <w:bookmarkStart w:id="65" w:name="_Hlk164243209"/>
      <w:bookmarkEnd w:id="63"/>
      <w:r w:rsidRPr="00D857DD">
        <w:tab/>
      </w:r>
      <w:r w:rsidR="00B2156B" w:rsidRPr="00D857DD">
        <w:tab/>
      </w:r>
      <w:r w:rsidRPr="00D857DD">
        <w:t>Pandemia de COVID-19</w:t>
      </w:r>
      <w:bookmarkEnd w:id="64"/>
    </w:p>
    <w:bookmarkEnd w:id="65"/>
    <w:p w14:paraId="12BF31EF" w14:textId="77777777" w:rsidR="001832BB" w:rsidRPr="00D857DD" w:rsidRDefault="001832BB" w:rsidP="001832BB">
      <w:pPr>
        <w:pStyle w:val="SingleTxtG"/>
      </w:pPr>
      <w:r w:rsidRPr="00D857DD">
        <w:t>83.</w:t>
      </w:r>
      <w:r w:rsidRPr="00D857DD">
        <w:tab/>
        <w:t xml:space="preserve">El Gobierno del Reino Unido implantó dos planes de apoyo al empleo dirigidos al mercado de trabajo en respuesta a la pandemia de COVID-19: el Plan de mantenimiento del empleo en el contexto del coronavirus y el Plan de apoyo a los ingresos en el marco del empleo por cuenta propia. El primero permitió a los empleadores conceder permisos a empleados y solicitar una subvención para cubrir hasta el 80 % de su sueldo. De ese modo, los empleados pudieron mantener su trabajo y la mayor parte de su sueldo. En total, se acogieron a este Plan 1,3 millones de empleadores y 11,7 millones de empleados en el marco de solicitudes que ascendieron en total a 70.000 millones de libras esterlinas. </w:t>
      </w:r>
    </w:p>
    <w:p w14:paraId="4BEB4E87" w14:textId="77777777" w:rsidR="001832BB" w:rsidRPr="00D857DD" w:rsidRDefault="001832BB" w:rsidP="001832BB">
      <w:pPr>
        <w:pStyle w:val="SingleTxtG"/>
      </w:pPr>
      <w:r w:rsidRPr="00D857DD">
        <w:t>84.</w:t>
      </w:r>
      <w:r w:rsidRPr="00D857DD">
        <w:tab/>
        <w:t>El Plan de apoyo a los ingresos en el marco del empleo por cuenta propia prestó apoyo a los trabajadores por cuenta propia cuyas empresas se habían visto afectadas por restricciones derivadas de la COVID-19, lo cual les permitió permanecer empleados. En total, 2,9 millones de trabajadores por cuenta propia que cumplían los requisitos solicitaron subvenciones en el marco de este Programa por un valor total de 28.100 millones de libras.</w:t>
      </w:r>
    </w:p>
    <w:p w14:paraId="1D306D6F" w14:textId="77777777" w:rsidR="001832BB" w:rsidRPr="00D857DD" w:rsidRDefault="001832BB" w:rsidP="001832BB">
      <w:pPr>
        <w:pStyle w:val="SingleTxtG"/>
      </w:pPr>
      <w:r w:rsidRPr="00D857DD">
        <w:t>85.</w:t>
      </w:r>
      <w:r w:rsidRPr="00D857DD">
        <w:tab/>
        <w:t>El Gobierno del Reino Unido ha publicado evaluaciones exhaustivas de ambos planes para evaluar su ejecución, su repercusión y su rentabilidad. Los planes:</w:t>
      </w:r>
    </w:p>
    <w:p w14:paraId="65E2ED60" w14:textId="4C9A73FB" w:rsidR="001832BB" w:rsidRPr="00D857DD" w:rsidRDefault="001832BB" w:rsidP="00B2156B">
      <w:pPr>
        <w:pStyle w:val="Bullet1G"/>
      </w:pPr>
      <w:r w:rsidRPr="00D857DD">
        <w:t>Prestaron apoyo a 14,6 millones de puestos de trabajo e impidieron que cerraran 250.000 empresas</w:t>
      </w:r>
      <w:r w:rsidR="00B2156B" w:rsidRPr="00D857DD">
        <w:t>.</w:t>
      </w:r>
    </w:p>
    <w:p w14:paraId="4DB9629A" w14:textId="73D096FF" w:rsidR="001832BB" w:rsidRPr="00D857DD" w:rsidRDefault="001832BB" w:rsidP="00B2156B">
      <w:pPr>
        <w:pStyle w:val="Bullet1G"/>
      </w:pPr>
      <w:r w:rsidRPr="00D857DD">
        <w:t>Mantuvieron bajo el desempleo, que alcanzó un máximo del 5,2 % en lugar de llegar a casi el 12 %, como había previsto la Oficina de Responsabilidad Presupuestaria</w:t>
      </w:r>
      <w:r w:rsidR="00B2156B" w:rsidRPr="00D857DD">
        <w:t>.</w:t>
      </w:r>
    </w:p>
    <w:p w14:paraId="5C0888E8" w14:textId="77C70459" w:rsidR="001832BB" w:rsidRPr="00D857DD" w:rsidRDefault="001832BB" w:rsidP="00B2156B">
      <w:pPr>
        <w:pStyle w:val="Bullet1G"/>
      </w:pPr>
      <w:r w:rsidRPr="00D857DD">
        <w:t xml:space="preserve">Ayudaron a acelerar la recuperación del Reino Unido después de la pandemia impidiendo las secuelas económicas a largo plazo, con una producción en 2021 </w:t>
      </w:r>
      <w:r w:rsidRPr="00D857DD">
        <w:lastRenderedPageBreak/>
        <w:t>un</w:t>
      </w:r>
      <w:r w:rsidR="009669FE" w:rsidRPr="00D857DD">
        <w:t> </w:t>
      </w:r>
      <w:r w:rsidRPr="00D857DD">
        <w:t>1,8 % más alta de lo que habría sido sin los planes y un final gradual para ayudar a prevenir un repunte del desempleo.</w:t>
      </w:r>
    </w:p>
    <w:p w14:paraId="4E7919C0" w14:textId="77777777" w:rsidR="001832BB" w:rsidRPr="00D857DD" w:rsidRDefault="001832BB" w:rsidP="00B2156B">
      <w:pPr>
        <w:pStyle w:val="Bullet1G"/>
      </w:pPr>
      <w:r w:rsidRPr="00D857DD">
        <w:t>Equilibró la necesidad de prestar apoyo rápido con la reducción del fraude al mínimo y garantías de rentabilidad para los contribuyentes.</w:t>
      </w:r>
    </w:p>
    <w:p w14:paraId="16DDC30E" w14:textId="243D99CB" w:rsidR="001832BB" w:rsidRPr="00D857DD" w:rsidRDefault="00B2156B" w:rsidP="00B2156B">
      <w:pPr>
        <w:pStyle w:val="H23G"/>
      </w:pPr>
      <w:bookmarkStart w:id="66" w:name="_Toc1388681832"/>
      <w:r w:rsidRPr="00D857DD">
        <w:tab/>
      </w:r>
      <w:r w:rsidR="001832BB" w:rsidRPr="00D857DD">
        <w:tab/>
        <w:t>Plan en materia de trabajos</w:t>
      </w:r>
      <w:bookmarkEnd w:id="66"/>
    </w:p>
    <w:p w14:paraId="54909D91" w14:textId="77777777" w:rsidR="001832BB" w:rsidRPr="00D857DD" w:rsidRDefault="001832BB" w:rsidP="001832BB">
      <w:pPr>
        <w:pStyle w:val="SingleTxtG"/>
      </w:pPr>
      <w:r w:rsidRPr="00D857DD">
        <w:t>86.</w:t>
      </w:r>
      <w:r w:rsidRPr="00D857DD">
        <w:tab/>
        <w:t>A lo largo de la pandemia, el Gobierno del Reino Unido prestó a la economía niveles de apoyo sin precedentes. El Plan en materia de trabajos incluía también destacados programas del Ministerio de Trabajo y Pensiones, como Restart y Kickstart (Reinicio y Arranque), junto con otras medidas dirigidas a impulsar las búsquedas de trabajo, las aptitudes y los aprendizajes.</w:t>
      </w:r>
    </w:p>
    <w:p w14:paraId="4AF9A754" w14:textId="672C8601" w:rsidR="001832BB" w:rsidRPr="00D857DD" w:rsidRDefault="00B2156B" w:rsidP="00B2156B">
      <w:pPr>
        <w:pStyle w:val="H23G"/>
      </w:pPr>
      <w:bookmarkStart w:id="67" w:name="_Toc1784560344"/>
      <w:r w:rsidRPr="00D857DD">
        <w:tab/>
      </w:r>
      <w:r w:rsidR="001832BB" w:rsidRPr="00D857DD">
        <w:tab/>
        <w:t>Refugiados y solicitantes de asilo</w:t>
      </w:r>
      <w:bookmarkEnd w:id="67"/>
    </w:p>
    <w:p w14:paraId="669531AE" w14:textId="77777777" w:rsidR="001832BB" w:rsidRPr="00D857DD" w:rsidRDefault="001832BB" w:rsidP="001832BB">
      <w:pPr>
        <w:pStyle w:val="SingleTxtG"/>
      </w:pPr>
      <w:r w:rsidRPr="00D857DD">
        <w:t>87.</w:t>
      </w:r>
      <w:r w:rsidRPr="00D857DD">
        <w:tab/>
        <w:t>El Ministerio de Trabajo y Pensiones presta apoyo a los refugiados para ayudarlos a acceder a prestaciones, encontrar trabajo e integrarse en la sociedad, en particular mediante lo siguiente:</w:t>
      </w:r>
    </w:p>
    <w:p w14:paraId="049FDD32" w14:textId="5DD73DBC" w:rsidR="001832BB" w:rsidRPr="00D857DD" w:rsidRDefault="001832BB" w:rsidP="00B2156B">
      <w:pPr>
        <w:pStyle w:val="Bullet1G"/>
      </w:pPr>
      <w:r w:rsidRPr="00D857DD">
        <w:t>Una exención de las pruebas del Ministerio de residencia habitual, en virtud de lo cual las personas pueden solicitar de inmediato prestaciones sobre la base de sus ingresos, por discapacidad y por su condición de cuidadores desde el momento en que su solicitud de asilo ha sido objeto de decisión positiva</w:t>
      </w:r>
      <w:r w:rsidR="00B2156B" w:rsidRPr="00D857DD">
        <w:t>.</w:t>
      </w:r>
    </w:p>
    <w:p w14:paraId="03F579BF" w14:textId="2AF04BDA" w:rsidR="001832BB" w:rsidRPr="00D857DD" w:rsidRDefault="001832BB" w:rsidP="00B2156B">
      <w:pPr>
        <w:pStyle w:val="Bullet1G"/>
      </w:pPr>
      <w:r w:rsidRPr="00D857DD">
        <w:t>El acceso a servicios de las oficinas regulares de empleo, con inclusión de prestaciones adaptadas individualmente y apoyo al empleo</w:t>
      </w:r>
      <w:r w:rsidR="00B2156B" w:rsidRPr="00D857DD">
        <w:t>.</w:t>
      </w:r>
    </w:p>
    <w:p w14:paraId="7B4C38CC" w14:textId="66EADD61" w:rsidR="001832BB" w:rsidRPr="00D857DD" w:rsidRDefault="001832BB" w:rsidP="00B2156B">
      <w:pPr>
        <w:pStyle w:val="Bullet1G"/>
      </w:pPr>
      <w:r w:rsidRPr="00D857DD">
        <w:t>El acceso a programas de empleo del Ministerio, como Reinicio, academias de trabajo de ámbito sectorial y un acceso temprano al Programa de Trabajo y Salud</w:t>
      </w:r>
      <w:r w:rsidR="00B2156B" w:rsidRPr="00D857DD">
        <w:t>.</w:t>
      </w:r>
      <w:r w:rsidRPr="00D857DD">
        <w:t xml:space="preserve"> Equipos nacionales de empleadores y asociaciones (NEPT) trabajan con unos 500 empleadores, sindicatos y asociados nacionales en diversos sectores del mercado de trabajo para ayudar a los refugiados a incorporarse en el mundo laboral</w:t>
      </w:r>
      <w:r w:rsidR="00B2156B" w:rsidRPr="00D857DD">
        <w:t>.</w:t>
      </w:r>
    </w:p>
    <w:p w14:paraId="362BF4F4" w14:textId="77777777" w:rsidR="001832BB" w:rsidRPr="00D857DD" w:rsidRDefault="001832BB" w:rsidP="00B2156B">
      <w:pPr>
        <w:pStyle w:val="Bullet1G"/>
      </w:pPr>
      <w:r w:rsidRPr="00D857DD">
        <w:t>Los NEPT transmiten vacantes a la Red de empleo para refugiados, organización benéfica que opera en todo el Reino Unido y está integrada por más de 200 organizaciones de empleo para refugiados.</w:t>
      </w:r>
    </w:p>
    <w:p w14:paraId="4F60FE72" w14:textId="5B3BAEC6" w:rsidR="001832BB" w:rsidRPr="00D857DD" w:rsidRDefault="00B2156B" w:rsidP="00B2156B">
      <w:pPr>
        <w:pStyle w:val="H1G"/>
      </w:pPr>
      <w:bookmarkStart w:id="68" w:name="_Toc1099631878"/>
      <w:bookmarkStart w:id="69" w:name="_Hlk164289980"/>
      <w:r w:rsidRPr="00D857DD">
        <w:rPr>
          <w:bCs/>
        </w:rPr>
        <w:tab/>
      </w:r>
      <w:r w:rsidR="001832BB" w:rsidRPr="00D857DD">
        <w:rPr>
          <w:bCs/>
        </w:rPr>
        <w:t>13.</w:t>
      </w:r>
      <w:r w:rsidR="001832BB" w:rsidRPr="00D857DD">
        <w:tab/>
        <w:t>Información sobre los asuntos siguientes</w:t>
      </w:r>
      <w:bookmarkEnd w:id="68"/>
    </w:p>
    <w:p w14:paraId="570E3208" w14:textId="62D4CE27" w:rsidR="001832BB" w:rsidRPr="00D857DD" w:rsidRDefault="00B2156B" w:rsidP="00B2156B">
      <w:pPr>
        <w:pStyle w:val="H23G"/>
      </w:pPr>
      <w:bookmarkStart w:id="70" w:name="_Toc378216501"/>
      <w:r w:rsidRPr="00D857DD">
        <w:tab/>
      </w:r>
      <w:r w:rsidR="001832BB" w:rsidRPr="00D857DD">
        <w:tab/>
        <w:t>Empleo de jóvenes</w:t>
      </w:r>
      <w:bookmarkEnd w:id="70"/>
    </w:p>
    <w:bookmarkEnd w:id="69"/>
    <w:p w14:paraId="56A235D8" w14:textId="77777777" w:rsidR="001832BB" w:rsidRPr="00D857DD" w:rsidRDefault="001832BB" w:rsidP="001832BB">
      <w:pPr>
        <w:pStyle w:val="SingleTxtG"/>
      </w:pPr>
      <w:r w:rsidRPr="00D857DD">
        <w:t>88.</w:t>
      </w:r>
      <w:r w:rsidRPr="00D857DD">
        <w:tab/>
        <w:t>El Reino Unido está decidido a cumplir el objetivo de Antalya del G20 de 2015, consistente en reducir para 2025 en un 15 % la proporción de jóvenes que ni trabajan ni estudian ni reciben formación.</w:t>
      </w:r>
    </w:p>
    <w:p w14:paraId="27F8909D" w14:textId="77777777" w:rsidR="001832BB" w:rsidRPr="00D857DD" w:rsidRDefault="001832BB" w:rsidP="001832BB">
      <w:pPr>
        <w:pStyle w:val="SingleTxtG"/>
      </w:pPr>
      <w:r w:rsidRPr="00D857DD">
        <w:t>89.</w:t>
      </w:r>
      <w:r w:rsidRPr="00D857DD">
        <w:tab/>
        <w:t>La iniciativa Arranque proporcionó trabajos financiados mediante subvenciones por un período de seis meses ofrecidos por los empleadores participantes a jóvenes de 16 a 24 años que percibían el Crédito Universal y corrían riesgo de desempleo de larga duración. Se facilitaron fondos para trabajos que duraron desde septiembre de 2020 hasta fines de marzo de 2022. Desde la puesta en marcha de la iniciativa, empezaron a trabajar jóvenes que ocuparon más de 163.000 puestos.</w:t>
      </w:r>
    </w:p>
    <w:p w14:paraId="05D09528" w14:textId="77777777" w:rsidR="001832BB" w:rsidRPr="00D857DD" w:rsidRDefault="001832BB" w:rsidP="001832BB">
      <w:pPr>
        <w:pStyle w:val="SingleTxtG"/>
      </w:pPr>
      <w:r w:rsidRPr="00D857DD">
        <w:t>90.</w:t>
      </w:r>
      <w:r w:rsidRPr="00D857DD">
        <w:tab/>
        <w:t>El objeto de la iniciativa Arranque era financiar la creación directa de nuevos trabajos para jóvenes que corrían riesgo de desempleo de larga duración dándoles la oportunidad de cobrar confianza y aptitudes en el lugar de trabajo y de obtener experiencia que mejorara sus oportunidades de avanzar en la búsqueda de un trabajo sostenible de larga duración.</w:t>
      </w:r>
    </w:p>
    <w:p w14:paraId="2DF6C2E6" w14:textId="77777777" w:rsidR="001832BB" w:rsidRPr="00D857DD" w:rsidRDefault="001832BB" w:rsidP="001832BB">
      <w:pPr>
        <w:pStyle w:val="SingleTxtG"/>
      </w:pPr>
      <w:r w:rsidRPr="00D857DD">
        <w:t>91.</w:t>
      </w:r>
      <w:r w:rsidRPr="00D857DD">
        <w:tab/>
        <w:t>La evaluación de la iniciativa Arranque se publicó en julio de 2023.</w:t>
      </w:r>
    </w:p>
    <w:p w14:paraId="6E9FC133" w14:textId="77777777" w:rsidR="001832BB" w:rsidRPr="00D857DD" w:rsidRDefault="001832BB" w:rsidP="001832BB">
      <w:pPr>
        <w:pStyle w:val="SingleTxtG"/>
      </w:pPr>
      <w:r w:rsidRPr="00D857DD">
        <w:t>92.</w:t>
      </w:r>
      <w:r w:rsidRPr="00D857DD">
        <w:tab/>
        <w:t xml:space="preserve">La Oferta para los jóvenes del Ministerio de Trabajo y Pensiones, inaugurada el 20 de septiembre de 2020, presta a los jóvenes que reciben el Crédito Universal apoyo especializado para ayudarlos a encontrar trabajo. El proceso se está sometiendo a una </w:t>
      </w:r>
      <w:r w:rsidRPr="00D857DD">
        <w:lastRenderedPageBreak/>
        <w:t>evaluación que finalizó en la primavera de 2024. Nos proponemos publicar los resultados en su debido momento.</w:t>
      </w:r>
    </w:p>
    <w:p w14:paraId="01C3C4F5" w14:textId="77777777" w:rsidR="001832BB" w:rsidRPr="00D857DD" w:rsidRDefault="001832BB" w:rsidP="001832BB">
      <w:pPr>
        <w:pStyle w:val="SingleTxtG"/>
      </w:pPr>
      <w:r w:rsidRPr="00D857DD">
        <w:t>93.</w:t>
      </w:r>
      <w:r w:rsidRPr="00D857DD">
        <w:tab/>
        <w:t>El Plan de acción sobre el trabajo justo del Gobierno de Escocia tiene como objetivos centrales el empleo juvenil y la transición a la búsqueda y la obtención de empleo. Por ejemplo, Skills Development Scotland (Desarrollo de las Aptitudes en Escocia)</w:t>
      </w:r>
      <w:r w:rsidRPr="00D857DD">
        <w:rPr>
          <w:sz w:val="18"/>
          <w:szCs w:val="18"/>
          <w:vertAlign w:val="superscript"/>
        </w:rPr>
        <w:footnoteReference w:id="12"/>
      </w:r>
      <w:r w:rsidRPr="00D857DD">
        <w:t xml:space="preserve"> se ocupa de mejorar el asesoramiento, el apoyo y la orientación en el ámbito de las trayectorias profesionales. No One Left Behind (No dejar a nadie atrás)</w:t>
      </w:r>
      <w:r w:rsidRPr="00D857DD">
        <w:rPr>
          <w:sz w:val="18"/>
          <w:szCs w:val="18"/>
          <w:vertAlign w:val="superscript"/>
        </w:rPr>
        <w:footnoteReference w:id="13"/>
      </w:r>
      <w:r w:rsidRPr="00D857DD">
        <w:t xml:space="preserve"> es un programa de apoyo para todas las edades centrado en los jóvenes, en particular en los que tienen discapacidad, los que reciben cuidados y otros que corren algún riesgo de quedar separados del acceso al mercado de trabajo. Véanse los cuadros 1 y 2 del anexo I.</w:t>
      </w:r>
    </w:p>
    <w:p w14:paraId="4E678F32" w14:textId="77777777" w:rsidR="001832BB" w:rsidRPr="00D857DD" w:rsidRDefault="001832BB" w:rsidP="001832BB">
      <w:pPr>
        <w:pStyle w:val="SingleTxtG"/>
      </w:pPr>
      <w:r w:rsidRPr="00D857DD">
        <w:t>94.</w:t>
      </w:r>
      <w:r w:rsidRPr="00D857DD">
        <w:tab/>
        <w:t xml:space="preserve">Skills for Life and Work (Aptitudes para la vida y el trabajo) es un programa de capacitación de Irlanda del Norte orientado al nivel inicial y el primer nivel que permite a los participantes obtener cualificaciones profesionales y técnicas junto con aptitudes esenciales, empleabilidad y desarrollo personal. Está disponible para los jóvenes de 16 y 17 años, y la edad a la que se puede acceder a él se amplía en el caso de los jóvenes con discapacidad (hasta los 22 años) o los que necesitan cuidados (hasta los 24 años). </w:t>
      </w:r>
    </w:p>
    <w:p w14:paraId="75ED40BD" w14:textId="70D6FFFC" w:rsidR="001832BB" w:rsidRPr="00D857DD" w:rsidRDefault="00B2156B" w:rsidP="00B2156B">
      <w:pPr>
        <w:pStyle w:val="H23G"/>
      </w:pPr>
      <w:bookmarkStart w:id="71" w:name="_Toc1508502997"/>
      <w:bookmarkStart w:id="72" w:name="_Hlk164290041"/>
      <w:r w:rsidRPr="00D857DD">
        <w:tab/>
      </w:r>
      <w:r w:rsidR="001832BB" w:rsidRPr="00D857DD">
        <w:tab/>
        <w:t>Inserción y retención de las personas con discapacidad en el mercado laboral</w:t>
      </w:r>
      <w:bookmarkEnd w:id="71"/>
    </w:p>
    <w:p w14:paraId="29D97FC2" w14:textId="77777777" w:rsidR="001832BB" w:rsidRPr="00D857DD" w:rsidRDefault="001832BB" w:rsidP="001832BB">
      <w:pPr>
        <w:pStyle w:val="SingleTxtG"/>
      </w:pPr>
      <w:bookmarkStart w:id="73" w:name="_Hlk166763441"/>
      <w:bookmarkStart w:id="74" w:name="_Hlk164290156"/>
      <w:bookmarkEnd w:id="72"/>
      <w:r w:rsidRPr="00D857DD">
        <w:t>95.</w:t>
      </w:r>
      <w:r w:rsidRPr="00D857DD">
        <w:tab/>
        <w:t>El Gobierno del Reino Unido ofrece diversos tipos de apoyo para que las personas puedan permanecer empleadas y reincorporarse en el trabajo, incluidas las que se suman a sistemas de empleo y de salud.</w:t>
      </w:r>
    </w:p>
    <w:p w14:paraId="1806FAF0" w14:textId="77777777" w:rsidR="001832BB" w:rsidRPr="00D857DD" w:rsidRDefault="001832BB" w:rsidP="001832BB">
      <w:pPr>
        <w:pStyle w:val="SingleTxtG"/>
      </w:pPr>
      <w:r w:rsidRPr="00D857DD">
        <w:t>96.</w:t>
      </w:r>
      <w:r w:rsidRPr="00D857DD">
        <w:tab/>
        <w:t>Se trata, entre otras cosas, de lo siguiente:</w:t>
      </w:r>
    </w:p>
    <w:p w14:paraId="5ED58B46" w14:textId="77777777" w:rsidR="001832BB" w:rsidRPr="00D857DD" w:rsidRDefault="001832BB" w:rsidP="00B2156B">
      <w:pPr>
        <w:pStyle w:val="Bullet1G"/>
      </w:pPr>
      <w:r w:rsidRPr="00D857DD">
        <w:t>El Programa de trabajo y salud, que presta apoyo adaptado y personalizado a las personas con discapacidad:</w:t>
      </w:r>
    </w:p>
    <w:p w14:paraId="414CDE36" w14:textId="1683C005" w:rsidR="001832BB" w:rsidRPr="00D857DD" w:rsidRDefault="001832BB" w:rsidP="00B2156B">
      <w:pPr>
        <w:pStyle w:val="Bullet2G"/>
      </w:pPr>
      <w:r w:rsidRPr="00D857DD">
        <w:t>El número total de incorporaciones iniciales en este Programa hasta fines de febrero de 2024 asciende a 320.000, con 130.000 participantes que percibieron sus primeros ingresos por el trabajo realizado y 85.000 participantes que han alcanzado el umbral de ingresos derivados de una actividad laboral o llevaban seis meses empleados por cuenta propia</w:t>
      </w:r>
      <w:r w:rsidR="00E5596F" w:rsidRPr="00D857DD">
        <w:t>.</w:t>
      </w:r>
    </w:p>
    <w:p w14:paraId="3CF59908" w14:textId="77777777" w:rsidR="001832BB" w:rsidRPr="00D857DD" w:rsidRDefault="001832BB" w:rsidP="00B2156B">
      <w:pPr>
        <w:pStyle w:val="Bullet1G"/>
      </w:pPr>
      <w:r w:rsidRPr="00D857DD">
        <w:t>Las subvenciones para el acceso al trabajo, que ayudan a sufragar los costos adicionales derivados del acceso al trabajo más allá de los ajustes razonables normalizados:</w:t>
      </w:r>
    </w:p>
    <w:p w14:paraId="34FC9276" w14:textId="52F0FB15" w:rsidR="001832BB" w:rsidRPr="00D857DD" w:rsidRDefault="001832BB" w:rsidP="00B2156B">
      <w:pPr>
        <w:pStyle w:val="Bullet2G"/>
      </w:pPr>
      <w:r w:rsidRPr="00D857DD">
        <w:t>En 2022/23 se aprobó una provisión en concepto de acceso al trabajo para</w:t>
      </w:r>
      <w:r w:rsidR="00B2156B" w:rsidRPr="00D857DD">
        <w:t> </w:t>
      </w:r>
      <w:r w:rsidRPr="00D857DD">
        <w:t>49.820 personas; 47.230 personas percibieron pagos en este concepto y el gasto nominal total al respecto ascendió a 182,9 millones de libras esterlinas</w:t>
      </w:r>
      <w:r w:rsidR="00E5596F" w:rsidRPr="00D857DD">
        <w:t>.</w:t>
      </w:r>
    </w:p>
    <w:p w14:paraId="588B8871" w14:textId="77777777" w:rsidR="001832BB" w:rsidRPr="00D857DD" w:rsidRDefault="001832BB" w:rsidP="00E5596F">
      <w:pPr>
        <w:pStyle w:val="Bullet1G"/>
      </w:pPr>
      <w:r w:rsidRPr="00D857DD">
        <w:t>El Programa de Apoyo Intensivo y Personalizado al Empleo es un programa voluntario dirigido a las personas con discapacidad desempleadas y que no están en activo y hacen frente a barreras complejas para acceder al empleo y tienen motivación para trabajar, pero llevan más de 12 meses alejadas del mercado de trabajo sin recibir apoyo intensivo. Este programa, que se encuentra en fase de prueba, aceptó las últimas remisiones el 1 de diciembre de 2023. Los últimos participantes terminarán el programa el 21 de septiembre de 2025;</w:t>
      </w:r>
    </w:p>
    <w:p w14:paraId="7BFE2D24" w14:textId="34A9C776" w:rsidR="001832BB" w:rsidRPr="00D857DD" w:rsidRDefault="001832BB" w:rsidP="00E5596F">
      <w:pPr>
        <w:pStyle w:val="Bullet2G"/>
      </w:pPr>
      <w:r w:rsidRPr="00D857DD">
        <w:t>Entre diciembre de 2019 y enero de 2023 se habían incorporado inicialmente en el programa 8.815 personas.</w:t>
      </w:r>
    </w:p>
    <w:p w14:paraId="6116B2F7" w14:textId="0FF2E613" w:rsidR="001832BB" w:rsidRPr="00D857DD" w:rsidRDefault="001832BB" w:rsidP="001832BB">
      <w:pPr>
        <w:pStyle w:val="SingleTxtG"/>
      </w:pPr>
      <w:r w:rsidRPr="00D857DD">
        <w:t>97.</w:t>
      </w:r>
      <w:r w:rsidRPr="00D857DD">
        <w:tab/>
        <w:t>En 2021/22 las tasas de empleo de personas con discapacidad eran del 29,9 % en el caso de quienes notificaban autismo como trastorno principal o secundario y del 28,0 % en el caso de quienes notificaban dificultades de aprendizaje graves o específicas como trastorno principal o secundario. Según la encuesta poblacional anual, en 2022/23 estaba empleado el</w:t>
      </w:r>
      <w:r w:rsidR="00E5596F" w:rsidRPr="00D857DD">
        <w:t> </w:t>
      </w:r>
      <w:r w:rsidRPr="00D857DD">
        <w:t xml:space="preserve">30,8 % de las personas con discapacidad que notificaban dificultades de aprendizaje graves </w:t>
      </w:r>
      <w:r w:rsidRPr="00D857DD">
        <w:lastRenderedPageBreak/>
        <w:t>o específicas como trastorno principal o secundario, frente al 19,0 % de las que las notificaba en 2013/14.</w:t>
      </w:r>
    </w:p>
    <w:p w14:paraId="3EDC955B" w14:textId="77777777" w:rsidR="001832BB" w:rsidRPr="00D857DD" w:rsidRDefault="001832BB" w:rsidP="001832BB">
      <w:pPr>
        <w:pStyle w:val="SingleTxtG"/>
      </w:pPr>
      <w:r w:rsidRPr="00D857DD">
        <w:t>98.</w:t>
      </w:r>
      <w:r w:rsidRPr="00D857DD">
        <w:tab/>
        <w:t xml:space="preserve">El Programa local de empleo con apoyo ayuda a las personas con dificultades de aprendizaje o autismo a encontrar trabajo y mantenerlo mediante apoyo individualizado intensivo conforme a un enfoque empírico en materia de empleo con apoyo. Entre noviembre de 2022 y mayo de 2026 ejecutarán en total este Programa 28 autoridades locales de Inglaterra y Gales para ayudar a unas 3.500 personas a incorporarse al trabajo. </w:t>
      </w:r>
      <w:bookmarkEnd w:id="73"/>
    </w:p>
    <w:p w14:paraId="2F5AA5EB" w14:textId="46A2C893" w:rsidR="001832BB" w:rsidRPr="00D857DD" w:rsidRDefault="001832BB" w:rsidP="00E5596F">
      <w:pPr>
        <w:pStyle w:val="H23G"/>
      </w:pPr>
      <w:bookmarkStart w:id="75" w:name="_Toc281092139"/>
      <w:r w:rsidRPr="00D857DD">
        <w:tab/>
      </w:r>
      <w:r w:rsidR="00E5596F" w:rsidRPr="00D857DD">
        <w:tab/>
      </w:r>
      <w:r w:rsidRPr="00D857DD">
        <w:t>Minorías étnicas</w:t>
      </w:r>
      <w:bookmarkEnd w:id="75"/>
    </w:p>
    <w:bookmarkEnd w:id="74"/>
    <w:p w14:paraId="439BE464" w14:textId="77777777" w:rsidR="001832BB" w:rsidRPr="00D857DD" w:rsidRDefault="001832BB" w:rsidP="001832BB">
      <w:pPr>
        <w:pStyle w:val="SingleTxtG"/>
      </w:pPr>
      <w:r w:rsidRPr="00D857DD">
        <w:t>99.</w:t>
      </w:r>
      <w:r w:rsidRPr="00D857DD">
        <w:tab/>
        <w:t>Aparte de la oferta nacional de empleo, el Gobierno del Reino Unido ha adoptado medidas en 20 zonas regidas por autoridades locales donde es alta la presencia de minorías étnicas, así como la correspondiente brecha de empleo, que representa más de la mitad de la brecha de empleo nacional que afecta a estas minorías. Las oficinas de empleo de estas zonas han adoptado un triple enfoque encaminado a aumentar el empleo entre las minorías étnicas:</w:t>
      </w:r>
    </w:p>
    <w:p w14:paraId="4E9596C3" w14:textId="001363D8" w:rsidR="001832BB" w:rsidRPr="00D857DD" w:rsidRDefault="001832BB" w:rsidP="00E5596F">
      <w:pPr>
        <w:pStyle w:val="Bullet1G"/>
      </w:pPr>
      <w:r w:rsidRPr="00D857DD">
        <w:t>Velar por que el personal de estas oficinas esté provisto de aptitudes y apoyo por medio de material de capacitación y orientación</w:t>
      </w:r>
      <w:r w:rsidR="00E5596F" w:rsidRPr="00D857DD">
        <w:t>.</w:t>
      </w:r>
      <w:r w:rsidRPr="00D857DD">
        <w:t xml:space="preserve"> </w:t>
      </w:r>
    </w:p>
    <w:p w14:paraId="5BC586C9" w14:textId="693D6860" w:rsidR="001832BB" w:rsidRPr="00D857DD" w:rsidRDefault="001832BB" w:rsidP="00E5596F">
      <w:pPr>
        <w:pStyle w:val="Bullet1G"/>
      </w:pPr>
      <w:r w:rsidRPr="00D857DD">
        <w:t>Influir en el comportamiento de los miembros de minorías étnicas que buscan trabajo sumando fuerzas con el Ministerio de Educación para aumentar las oportunidades de aprendizaje y las pasantías y colaborando con los empleadores</w:t>
      </w:r>
      <w:r w:rsidR="00E5596F" w:rsidRPr="00D857DD">
        <w:t>.</w:t>
      </w:r>
      <w:r w:rsidRPr="00D857DD">
        <w:t xml:space="preserve"> </w:t>
      </w:r>
    </w:p>
    <w:p w14:paraId="43D0C5F4" w14:textId="77777777" w:rsidR="001832BB" w:rsidRPr="00D857DD" w:rsidRDefault="001832BB" w:rsidP="00E5596F">
      <w:pPr>
        <w:pStyle w:val="Bullet1G"/>
      </w:pPr>
      <w:r w:rsidRPr="00D857DD">
        <w:t xml:space="preserve">Influir en el comportamiento de los empleadores mediante intervenciones selectivas a través del equipo de relaciones estratégicas, promover la orientación elaborada por la Dependencia sobre Disparidad Racial, en particular en cuanto a la notificación de las diferencias de remuneración por motivos de adscripción a un grupo étnico y la adopción de medidas positivas en el lugar de trabajo, y colaborar con organizaciones externas como la Youth Futures Foundation (Fundación Futuros para la Juventud). </w:t>
      </w:r>
    </w:p>
    <w:p w14:paraId="3B4701ED" w14:textId="77777777" w:rsidR="001832BB" w:rsidRPr="00D857DD" w:rsidRDefault="001832BB" w:rsidP="001832BB">
      <w:pPr>
        <w:pStyle w:val="SingleTxtG"/>
      </w:pPr>
      <w:r w:rsidRPr="00D857DD">
        <w:t>100.</w:t>
      </w:r>
      <w:r w:rsidRPr="00D857DD">
        <w:tab/>
        <w:t xml:space="preserve">Además, el Gobierno ofreció apoyo a quienes no se encontraban en activo a través de su labor en las comunidades y de la inversión del Fondo de Prosperidad Compartida del Reino Unido en medidas encaminadas a que los adultos pudieran incorporarse al mercado de trabajo y avanzar en él. </w:t>
      </w:r>
    </w:p>
    <w:p w14:paraId="2E21A43C" w14:textId="77777777" w:rsidR="001832BB" w:rsidRPr="00D857DD" w:rsidRDefault="001832BB" w:rsidP="001832BB">
      <w:pPr>
        <w:pStyle w:val="SingleTxtG"/>
      </w:pPr>
      <w:r w:rsidRPr="00D857DD">
        <w:t>101.</w:t>
      </w:r>
      <w:r w:rsidRPr="00D857DD">
        <w:tab/>
        <w:t>En el año finalizado en diciembre de 2023 la tasa de empleo de minorías étnicas fue del 69 %, frente al 63 % en 2015 y el 59 % en 2010.</w:t>
      </w:r>
    </w:p>
    <w:p w14:paraId="5BA6620B" w14:textId="77777777" w:rsidR="001832BB" w:rsidRPr="00D857DD" w:rsidRDefault="001832BB" w:rsidP="001832BB">
      <w:pPr>
        <w:pStyle w:val="SingleTxtG"/>
      </w:pPr>
      <w:r w:rsidRPr="00D857DD">
        <w:t>102.</w:t>
      </w:r>
      <w:r w:rsidRPr="00D857DD">
        <w:tab/>
        <w:t>Tras las elecciones generales de julio de 2024, el Gobierno del Reino Unido todavía no ha determinado la futura orientación de esta esfera normativa. El Reino Unido espera poder presentar información actualizada al Comité durante el diálogo interactivo.</w:t>
      </w:r>
    </w:p>
    <w:p w14:paraId="190C2E71" w14:textId="3C54A2C0" w:rsidR="001832BB" w:rsidRPr="00D857DD" w:rsidRDefault="001832BB" w:rsidP="00E5596F">
      <w:pPr>
        <w:pStyle w:val="H23G"/>
      </w:pPr>
      <w:bookmarkStart w:id="76" w:name="_Toc124075857"/>
      <w:r w:rsidRPr="00D857DD">
        <w:tab/>
      </w:r>
      <w:r w:rsidR="00E5596F" w:rsidRPr="00D857DD">
        <w:tab/>
      </w:r>
      <w:r w:rsidRPr="00D857DD">
        <w:t>Oportunidades de empleo para percibir ingresos medios</w:t>
      </w:r>
      <w:bookmarkEnd w:id="76"/>
    </w:p>
    <w:p w14:paraId="035E74DA" w14:textId="77777777" w:rsidR="001832BB" w:rsidRPr="00D857DD" w:rsidRDefault="001832BB" w:rsidP="001832BB">
      <w:pPr>
        <w:pStyle w:val="SingleTxtG"/>
      </w:pPr>
      <w:r w:rsidRPr="00D857DD">
        <w:t>103.</w:t>
      </w:r>
      <w:r w:rsidRPr="00D857DD">
        <w:tab/>
        <w:t>En abril de 2022 se emitió una oferta voluntaria de progresión en el empleo, y desde marzo de 2023 todos los solicitantes de Crédito Universal de los grupos Light Touch (Condiciones ligeras) o Working Enough (Trabajo suficiente) han optado a la oferta voluntaria de apoyo para ayudar a progresar a todos los solicitantes laboralmente activos prestándoles apoyo individual y personalizado con fines de progresión.</w:t>
      </w:r>
    </w:p>
    <w:p w14:paraId="59B593D4" w14:textId="77777777" w:rsidR="001832BB" w:rsidRPr="00D857DD" w:rsidRDefault="001832BB" w:rsidP="001832BB">
      <w:pPr>
        <w:pStyle w:val="SingleTxtG"/>
      </w:pPr>
      <w:r w:rsidRPr="00D857DD">
        <w:t>104.</w:t>
      </w:r>
      <w:r w:rsidRPr="00D857DD">
        <w:tab/>
        <w:t xml:space="preserve">Con el Crédito Universal se pretende mejorar las condiciones de los solicitantes ofreciéndoles más horas de trabajo y más dinero, con lo cual se los ayuda a obtener la independencia financiera. </w:t>
      </w:r>
    </w:p>
    <w:p w14:paraId="25F5148B" w14:textId="51DCFB6C" w:rsidR="001832BB" w:rsidRPr="00D857DD" w:rsidRDefault="001832BB" w:rsidP="001832BB">
      <w:pPr>
        <w:pStyle w:val="SingleTxtG"/>
      </w:pPr>
      <w:r w:rsidRPr="00D857DD">
        <w:t>105.</w:t>
      </w:r>
      <w:r w:rsidRPr="00D857DD">
        <w:tab/>
        <w:t>Mediante el ensayo controlado aleatorizado sobre la progresión en el empleo en 2015</w:t>
      </w:r>
      <w:r w:rsidR="00296BD5" w:rsidRPr="00D857DD">
        <w:noBreakHyphen/>
      </w:r>
      <w:r w:rsidRPr="00D857DD">
        <w:t>2018 se evaluó si el uso de requisitos de condicionalidad era eficaz para ayudar a los solicitantes del Crédito Universal laboralmente en activo a percibir más ingresos. Según datos de la evaluación, el apoyo a la progresión prestado por preparadores laborales de los centros de empleo había ayudado a los solicitantes a percibir más ingresos.</w:t>
      </w:r>
    </w:p>
    <w:p w14:paraId="4621DAE2" w14:textId="15F47F23" w:rsidR="001832BB" w:rsidRPr="00D857DD" w:rsidRDefault="00E5596F" w:rsidP="00E5596F">
      <w:pPr>
        <w:pStyle w:val="H1G"/>
      </w:pPr>
      <w:bookmarkStart w:id="77" w:name="_Toc737685066"/>
      <w:r w:rsidRPr="00D857DD">
        <w:rPr>
          <w:bCs/>
        </w:rPr>
        <w:lastRenderedPageBreak/>
        <w:tab/>
      </w:r>
      <w:r w:rsidR="001832BB" w:rsidRPr="00D857DD">
        <w:rPr>
          <w:bCs/>
        </w:rPr>
        <w:t>14.</w:t>
      </w:r>
      <w:r w:rsidR="001832BB" w:rsidRPr="00D857DD">
        <w:tab/>
        <w:t>Información sobre los asuntos siguientes</w:t>
      </w:r>
      <w:bookmarkEnd w:id="77"/>
    </w:p>
    <w:p w14:paraId="1BD6E765" w14:textId="660A03D6" w:rsidR="001832BB" w:rsidRPr="00D857DD" w:rsidRDefault="00E5596F" w:rsidP="00E5596F">
      <w:pPr>
        <w:pStyle w:val="H23G"/>
      </w:pPr>
      <w:bookmarkStart w:id="78" w:name="_Toc1830483291"/>
      <w:r w:rsidRPr="00D857DD">
        <w:tab/>
      </w:r>
      <w:r w:rsidR="001832BB" w:rsidRPr="00D857DD">
        <w:tab/>
        <w:t xml:space="preserve">Prácticas en materia de contratación, permanencia, ascenso, remuneración </w:t>
      </w:r>
      <w:r w:rsidRPr="00D857DD">
        <w:br/>
      </w:r>
      <w:r w:rsidR="001832BB" w:rsidRPr="00D857DD">
        <w:t>y otras condiciones de empleo</w:t>
      </w:r>
      <w:bookmarkEnd w:id="78"/>
    </w:p>
    <w:p w14:paraId="1E77D89F" w14:textId="5218D583" w:rsidR="001832BB" w:rsidRPr="00D857DD" w:rsidRDefault="001832BB" w:rsidP="001832BB">
      <w:pPr>
        <w:pStyle w:val="SingleTxtG"/>
      </w:pPr>
      <w:r w:rsidRPr="00D857DD">
        <w:t>106.</w:t>
      </w:r>
      <w:r w:rsidRPr="00D857DD">
        <w:tab/>
        <w:t>Fair Work First (Primero, trabajo con equidad) es la principal herramienta con la que cuenta el Gobierno de Escocia, a falta de competencias legislativas en materia de empleo, para promover en Escocia prácticas de trabajo justo</w:t>
      </w:r>
      <w:r w:rsidRPr="00D857DD">
        <w:rPr>
          <w:sz w:val="18"/>
          <w:szCs w:val="18"/>
          <w:vertAlign w:val="superscript"/>
        </w:rPr>
        <w:footnoteReference w:id="14"/>
      </w:r>
      <w:r w:rsidRPr="00D857DD">
        <w:t xml:space="preserve">. Este enfoque promueve el cambio aplicando criterios al gasto del sector público, en particular pidiendo a los empleadores que </w:t>
      </w:r>
      <w:r w:rsidR="004C2891" w:rsidRPr="00D857DD">
        <w:t>“</w:t>
      </w:r>
      <w:r w:rsidRPr="00D857DD">
        <w:t>hagan frente a la brecha salarial de género</w:t>
      </w:r>
      <w:r w:rsidR="004C2891" w:rsidRPr="00D857DD">
        <w:t>”</w:t>
      </w:r>
      <w:r w:rsidRPr="00D857DD">
        <w:t xml:space="preserve"> y, desde octubre de 2021, que </w:t>
      </w:r>
      <w:r w:rsidR="004C2891" w:rsidRPr="00D857DD">
        <w:t>“</w:t>
      </w:r>
      <w:r w:rsidRPr="00D857DD">
        <w:t>ofrezcan modalidades de trabajo flexibles desde el primer día de empleo</w:t>
      </w:r>
      <w:r w:rsidR="004C2891" w:rsidRPr="00D857DD">
        <w:t>”</w:t>
      </w:r>
      <w:r w:rsidRPr="00D857DD">
        <w:t xml:space="preserve">. </w:t>
      </w:r>
    </w:p>
    <w:p w14:paraId="76BE17D0" w14:textId="77777777" w:rsidR="001832BB" w:rsidRPr="00D857DD" w:rsidRDefault="001832BB" w:rsidP="001832BB">
      <w:pPr>
        <w:pStyle w:val="SingleTxtG"/>
      </w:pPr>
      <w:r w:rsidRPr="00D857DD">
        <w:t>107.</w:t>
      </w:r>
      <w:r w:rsidRPr="00D857DD">
        <w:tab/>
        <w:t>La Estrategia de empleo antirracista del Gobierno de Escocia</w:t>
      </w:r>
      <w:r w:rsidRPr="00D857DD">
        <w:rPr>
          <w:sz w:val="18"/>
          <w:szCs w:val="18"/>
          <w:vertAlign w:val="superscript"/>
        </w:rPr>
        <w:footnoteReference w:id="15"/>
      </w:r>
      <w:r w:rsidRPr="00D857DD">
        <w:t xml:space="preserve"> respalda y alienta a los empleadores ofreciéndoles orientación, estudios de casos y asesoramiento para hacer frente a la desigualdad racial y el racismo en el lugar de trabajo, con inclusión de la segregación ocupacional y la representación insuficiente de las minorías étnicas en cargos superiores.</w:t>
      </w:r>
    </w:p>
    <w:p w14:paraId="75A46E69" w14:textId="6EA67E0D" w:rsidR="001832BB" w:rsidRPr="00D857DD" w:rsidRDefault="001832BB" w:rsidP="00E5596F">
      <w:pPr>
        <w:pStyle w:val="HChG"/>
      </w:pPr>
      <w:bookmarkStart w:id="79" w:name="_Toc1552186564"/>
      <w:bookmarkStart w:id="80" w:name="_Hlk164290199"/>
      <w:r w:rsidRPr="00D857DD">
        <w:tab/>
      </w:r>
      <w:r w:rsidR="00E5596F" w:rsidRPr="00D857DD">
        <w:tab/>
      </w:r>
      <w:r w:rsidRPr="00D857DD">
        <w:t xml:space="preserve">Derecho a condiciones de trabajo equitativas y </w:t>
      </w:r>
      <w:r w:rsidR="00E5596F" w:rsidRPr="00D857DD">
        <w:br/>
      </w:r>
      <w:r w:rsidRPr="00D857DD">
        <w:t>satisfactorias (art. 7)</w:t>
      </w:r>
      <w:bookmarkEnd w:id="79"/>
    </w:p>
    <w:p w14:paraId="402CA90E" w14:textId="043EB9FA" w:rsidR="001832BB" w:rsidRPr="00D857DD" w:rsidRDefault="00E5596F" w:rsidP="00E5596F">
      <w:pPr>
        <w:pStyle w:val="H1G"/>
      </w:pPr>
      <w:bookmarkStart w:id="81" w:name="_Toc1321745877"/>
      <w:bookmarkStart w:id="82" w:name="_Hlk164290208"/>
      <w:bookmarkEnd w:id="80"/>
      <w:r w:rsidRPr="00D857DD">
        <w:tab/>
      </w:r>
      <w:r w:rsidR="001832BB" w:rsidRPr="00D857DD">
        <w:t>15.</w:t>
      </w:r>
      <w:r w:rsidR="001832BB" w:rsidRPr="00D857DD">
        <w:tab/>
        <w:t>Salario mínimo nacional</w:t>
      </w:r>
      <w:bookmarkEnd w:id="81"/>
    </w:p>
    <w:bookmarkEnd w:id="82"/>
    <w:p w14:paraId="0C5E621E" w14:textId="77777777" w:rsidR="001832BB" w:rsidRPr="00D857DD" w:rsidRDefault="001832BB" w:rsidP="001832BB">
      <w:pPr>
        <w:pStyle w:val="SingleTxtG"/>
      </w:pPr>
      <w:r w:rsidRPr="00D857DD">
        <w:t>108.</w:t>
      </w:r>
      <w:r w:rsidRPr="00D857DD">
        <w:tab/>
        <w:t>Mediante el salario mínimo nacional y el salario mínimo vital nacional el Gobierno del Reino Unido protege a los sectores de la sociedad que perciben los salarios más bajos. En abril de 2023 cerca del 4,9 % de los trabajos estaba cubierto por el salario mínimo vital nacional.</w:t>
      </w:r>
    </w:p>
    <w:p w14:paraId="1BE6DF2F" w14:textId="77777777" w:rsidR="001832BB" w:rsidRPr="00D857DD" w:rsidRDefault="001832BB" w:rsidP="001832BB">
      <w:pPr>
        <w:pStyle w:val="SingleTxtG"/>
      </w:pPr>
      <w:r w:rsidRPr="00D857DD">
        <w:t>109.</w:t>
      </w:r>
      <w:r w:rsidRPr="00D857DD">
        <w:tab/>
        <w:t xml:space="preserve">El 1 de abril de 2024, el salario mínimo vital nacional para los trabajadores de 21 años o más aumentó un 9,8 %, hasta situarse en 11,44 libras esterlinas por hora. </w:t>
      </w:r>
    </w:p>
    <w:p w14:paraId="030CD017" w14:textId="15F1CA0E" w:rsidR="001832BB" w:rsidRPr="00D857DD" w:rsidRDefault="001832BB" w:rsidP="001832BB">
      <w:pPr>
        <w:pStyle w:val="SingleTxtG"/>
      </w:pPr>
      <w:r w:rsidRPr="00D857DD">
        <w:t>110.</w:t>
      </w:r>
      <w:r w:rsidRPr="00D857DD">
        <w:tab/>
        <w:t xml:space="preserve">Corresponden a los trabajadores más jóvenes y a los aprendices escalas salariales aparte en función de la edad. En abril de 2024 se disminuyó de 23 a 21 años el umbral de edad para percibir el salario mínimo vital nacional, y las otras </w:t>
      </w:r>
      <w:r w:rsidR="004C2891" w:rsidRPr="00D857DD">
        <w:t>“</w:t>
      </w:r>
      <w:r w:rsidRPr="00D857DD">
        <w:t>escalas salariales para jóvenes</w:t>
      </w:r>
      <w:r w:rsidR="004C2891" w:rsidRPr="00D857DD">
        <w:t>”</w:t>
      </w:r>
      <w:r w:rsidRPr="00D857DD">
        <w:t xml:space="preserve"> se aumentaron considerablemente para reducir la brecha que los separaba del salario mínimo vital nacional:</w:t>
      </w:r>
    </w:p>
    <w:p w14:paraId="1D97B6CF" w14:textId="36543843" w:rsidR="001832BB" w:rsidRPr="00D857DD" w:rsidRDefault="001832BB" w:rsidP="00E5596F">
      <w:pPr>
        <w:pStyle w:val="Bullet1G"/>
      </w:pPr>
      <w:r w:rsidRPr="00D857DD">
        <w:t>Para los que tienen entre 18 y 20 años, el salario mínimo nacional aumentó a 8,60 libras esterlinas por hora, lo que supone un aumento del 14,8 %</w:t>
      </w:r>
      <w:r w:rsidR="00E5596F" w:rsidRPr="00D857DD">
        <w:t>.</w:t>
      </w:r>
    </w:p>
    <w:p w14:paraId="604CDC5F" w14:textId="7344BE72" w:rsidR="001832BB" w:rsidRPr="00D857DD" w:rsidRDefault="001832BB" w:rsidP="00E5596F">
      <w:pPr>
        <w:pStyle w:val="Bullet1G"/>
      </w:pPr>
      <w:r w:rsidRPr="00D857DD">
        <w:t>Para los menores de 18 años, el salario mínimo nacional aumentó a 6,40 libras por hora, lo que supone un aumento del 21,2 %</w:t>
      </w:r>
      <w:r w:rsidR="00E5596F" w:rsidRPr="00D857DD">
        <w:t>.</w:t>
      </w:r>
    </w:p>
    <w:p w14:paraId="7FAF09B1" w14:textId="77777777" w:rsidR="001832BB" w:rsidRPr="00D857DD" w:rsidRDefault="001832BB" w:rsidP="00E5596F">
      <w:pPr>
        <w:pStyle w:val="Bullet1G"/>
      </w:pPr>
      <w:r w:rsidRPr="00D857DD">
        <w:t>El salario mínimo nacional de un aprendiz menor de 19 años o que se encuentre en su primer año de aprendizaje aumentó a 6,40 libras por hora, lo que supone un aumento del 21,2 %.</w:t>
      </w:r>
    </w:p>
    <w:p w14:paraId="7913BBB1" w14:textId="77777777" w:rsidR="001832BB" w:rsidRPr="00D857DD" w:rsidRDefault="001832BB" w:rsidP="001832BB">
      <w:pPr>
        <w:pStyle w:val="SingleTxtG"/>
      </w:pPr>
      <w:r w:rsidRPr="00D857DD">
        <w:t>111.</w:t>
      </w:r>
      <w:r w:rsidRPr="00D857DD">
        <w:tab/>
        <w:t>Cuando determine las escalas salariales en abril de 2025, el Gobierno está decidido a ofrecer un salario mínimo vital genuino, y ha pedido a la Comisión sobre los Salarios Bajos que vele por que el salario no sea inferior a dos tercios de los ingresos medianos en el Reino Unido para los trabajadores de 21 años y más como medición reconocida de un salario por hora bajo según la definición de la OCDE. Además, por primera vez el Gobierno ha pedido a esta Comisión que tenga en cuenta el costo de la vida al determinar las escalas apropiadas que se recomendarán para 2025.</w:t>
      </w:r>
    </w:p>
    <w:p w14:paraId="051460D4" w14:textId="77777777" w:rsidR="001832BB" w:rsidRPr="00D857DD" w:rsidRDefault="001832BB" w:rsidP="001832BB">
      <w:pPr>
        <w:pStyle w:val="SingleTxtG"/>
      </w:pPr>
      <w:r w:rsidRPr="00D857DD">
        <w:t>112.</w:t>
      </w:r>
      <w:r w:rsidRPr="00D857DD">
        <w:tab/>
        <w:t>El Gobierno también ha pedido a la Comisión sobre los Salarios Bajos lo siguiente:</w:t>
      </w:r>
    </w:p>
    <w:p w14:paraId="79D34B4D" w14:textId="201AE81B" w:rsidR="001832BB" w:rsidRPr="00D857DD" w:rsidRDefault="001832BB" w:rsidP="00E5596F">
      <w:pPr>
        <w:pStyle w:val="Bullet1G"/>
      </w:pPr>
      <w:r w:rsidRPr="00D857DD">
        <w:t xml:space="preserve">Avanzar en la concesión del salario mínimo nacional a más adultos que antes prosiguiendo con la disminución de la brecha entre el salario mínimo correspondiente </w:t>
      </w:r>
      <w:r w:rsidRPr="00D857DD">
        <w:lastRenderedPageBreak/>
        <w:t>a los jóvenes de 18 a 20 años y el salario mínimo nacional por medio de una vía interanual orientada a la implantación de una escala única para adultos</w:t>
      </w:r>
      <w:r w:rsidR="00E5596F" w:rsidRPr="00D857DD">
        <w:t>.</w:t>
      </w:r>
    </w:p>
    <w:p w14:paraId="39FCC235" w14:textId="77777777" w:rsidR="001832BB" w:rsidRPr="00D857DD" w:rsidRDefault="001832BB" w:rsidP="00E5596F">
      <w:pPr>
        <w:pStyle w:val="Bullet1G"/>
      </w:pPr>
      <w:r w:rsidRPr="00D857DD">
        <w:t>Recomendar las mayores escalas posibles para los menores de 18 años y para quienes pueden optar a la escala de aprendiz sin poner en peligro las perspectivas de empleo de estos trabajadores.</w:t>
      </w:r>
    </w:p>
    <w:p w14:paraId="30B34133" w14:textId="77777777" w:rsidR="001832BB" w:rsidRPr="00D857DD" w:rsidRDefault="001832BB" w:rsidP="001832BB">
      <w:pPr>
        <w:pStyle w:val="SingleTxtG"/>
      </w:pPr>
      <w:r w:rsidRPr="00D857DD">
        <w:t>113.</w:t>
      </w:r>
      <w:r w:rsidRPr="00D857DD">
        <w:tab/>
        <w:t>El salario mínimo del Reino Unido es aplicable en Inglaterra, Gales, Escocia e Irlanda del Norte. La legislación en materia de salario mínimo está vigente en Jersey, Guernsey y la Isla de Man. Los territorios de ultramar son responsables de su propio derecho del trabajo.</w:t>
      </w:r>
    </w:p>
    <w:p w14:paraId="67D9021D" w14:textId="67A18C8A" w:rsidR="001832BB" w:rsidRPr="00D857DD" w:rsidRDefault="001832BB" w:rsidP="001832BB">
      <w:pPr>
        <w:pStyle w:val="SingleTxtG"/>
      </w:pPr>
      <w:r w:rsidRPr="00D857DD">
        <w:t>114.</w:t>
      </w:r>
      <w:r w:rsidRPr="00D857DD">
        <w:tab/>
        <w:t>La Agencia de Hacienda y Aduanas de la Corona vela por el cumplimiento del salario mínimo nacional y el salario mínimo vital nacional. El presupuesto destinado a la aplicación y el cumplimiento del salario mínimo se ha duplicado con creces desde que se introdujo el salario mínimo vital nacional, que pasó de 13,2 millones de libras esterlinas en 2015/16 a</w:t>
      </w:r>
      <w:r w:rsidR="00E5596F" w:rsidRPr="00D857DD">
        <w:t> </w:t>
      </w:r>
      <w:r w:rsidRPr="00D857DD">
        <w:t>27,8</w:t>
      </w:r>
      <w:r w:rsidR="00E5596F" w:rsidRPr="00D857DD">
        <w:t> </w:t>
      </w:r>
      <w:r w:rsidRPr="00D857DD">
        <w:t>millones en 2022/23. En 2021/22 la Agencia detectó que se adeudaban retrasos por valor de 16,3 millones de libras a más de 120.000 trabajadores e impuso a los empleadores infractores 696 multas por un valor de 13,2 millones de libras.</w:t>
      </w:r>
    </w:p>
    <w:p w14:paraId="0B330268" w14:textId="33764B33" w:rsidR="001832BB" w:rsidRPr="00D857DD" w:rsidRDefault="00E5596F" w:rsidP="00E5596F">
      <w:pPr>
        <w:pStyle w:val="H1G"/>
      </w:pPr>
      <w:bookmarkStart w:id="83" w:name="_Toc667330231"/>
      <w:r w:rsidRPr="00D857DD">
        <w:tab/>
      </w:r>
      <w:r w:rsidR="001832BB" w:rsidRPr="00D857DD">
        <w:t>16.</w:t>
      </w:r>
      <w:r w:rsidR="001832BB" w:rsidRPr="00D857DD">
        <w:tab/>
        <w:t xml:space="preserve">Contratos temporales, autoempleo precario y contratos </w:t>
      </w:r>
      <w:r w:rsidRPr="00D857DD">
        <w:br/>
      </w:r>
      <w:r w:rsidR="001832BB" w:rsidRPr="00D857DD">
        <w:t>sin especificación del número de horas de trabajo</w:t>
      </w:r>
      <w:bookmarkEnd w:id="83"/>
    </w:p>
    <w:p w14:paraId="3EF00A87" w14:textId="77777777" w:rsidR="001832BB" w:rsidRPr="00D857DD" w:rsidRDefault="001832BB" w:rsidP="001832BB">
      <w:pPr>
        <w:pStyle w:val="SingleTxtG"/>
      </w:pPr>
      <w:r w:rsidRPr="00D857DD">
        <w:t>115.</w:t>
      </w:r>
      <w:r w:rsidRPr="00D857DD">
        <w:tab/>
        <w:t xml:space="preserve">El Gobierno del Reino Unido ha establecido una agenda ambiciosa en materia de derechos laborales en el Plan para que el trabajo sea rentable, lo cual comprende la prohibición de los contratos sin especificación del número de horas de trabajo y la consiguiente explotación. Cumpliremos este compromiso a través de dos medidas: </w:t>
      </w:r>
    </w:p>
    <w:p w14:paraId="19D0A01B" w14:textId="77777777" w:rsidR="001832BB" w:rsidRPr="00D857DD" w:rsidRDefault="001832BB" w:rsidP="00E5596F">
      <w:pPr>
        <w:pStyle w:val="Bullet1G"/>
      </w:pPr>
      <w:r w:rsidRPr="00D857DD">
        <w:t xml:space="preserve">Velaremos por el derecho de todos a disponer de un contrato en el que se indique el número de horas de trabajo regulares sobre la base de un período de referencia de 12 semanas. </w:t>
      </w:r>
    </w:p>
    <w:p w14:paraId="739AF516" w14:textId="77777777" w:rsidR="001832BB" w:rsidRPr="00D857DD" w:rsidRDefault="001832BB" w:rsidP="00E5596F">
      <w:pPr>
        <w:pStyle w:val="Bullet1G"/>
      </w:pPr>
      <w:r w:rsidRPr="00D857DD">
        <w:t>Velaremos por que los trabajadores reciban un aviso razonable de las pautas de sus turnos y de los cambios correspondientes y por que se les compense cuando se cancelen sus turnos con poca antelación.</w:t>
      </w:r>
    </w:p>
    <w:p w14:paraId="1AB93F8F" w14:textId="5F57F44C" w:rsidR="001832BB" w:rsidRPr="00D857DD" w:rsidRDefault="001832BB" w:rsidP="001832BB">
      <w:pPr>
        <w:pStyle w:val="SingleTxtG"/>
      </w:pPr>
      <w:r w:rsidRPr="00D857DD">
        <w:t>116.</w:t>
      </w:r>
      <w:r w:rsidRPr="00D857DD">
        <w:tab/>
        <w:t>En virtud de la Ley de Relaciones de Empleo (Modalidades de trabajo flexibles) de</w:t>
      </w:r>
      <w:r w:rsidR="00E5596F" w:rsidRPr="00D857DD">
        <w:t> </w:t>
      </w:r>
      <w:r w:rsidRPr="00D857DD">
        <w:t>2023 se modificó el derecho a fomentar un diálogo mejor entre los empleadores y los empleados sobre los beneficios de las oportunidades de practicar el trabajo flexible, aumentar la posible frecuencia de las solicitudes y acelerar el proceso administrativo. A la vez, se promulgó un nuevo reglamento para que las personas pudieran presentar legalmente una solicitud de trabajo flexible desde el primer día de empleo.</w:t>
      </w:r>
    </w:p>
    <w:p w14:paraId="4FC82073" w14:textId="1D1E2CFE" w:rsidR="001832BB" w:rsidRPr="00D857DD" w:rsidRDefault="00E5596F" w:rsidP="00E5596F">
      <w:pPr>
        <w:pStyle w:val="H1G"/>
      </w:pPr>
      <w:bookmarkStart w:id="84" w:name="_Toc1945162211"/>
      <w:r w:rsidRPr="00D857DD">
        <w:tab/>
      </w:r>
      <w:r w:rsidR="001832BB" w:rsidRPr="00D857DD">
        <w:t>17.</w:t>
      </w:r>
      <w:r w:rsidR="001832BB" w:rsidRPr="00D857DD">
        <w:tab/>
        <w:t xml:space="preserve">Directrices correspondientes a la consulta sobre la presentación de información relativa a las personas con discapacidad en el trabajo </w:t>
      </w:r>
      <w:r w:rsidRPr="00D857DD">
        <w:br/>
      </w:r>
      <w:r w:rsidR="001832BB" w:rsidRPr="00D857DD">
        <w:t>y a la notificación voluntaria de la diferencia de remuneración por motivos de adscripción a un grupo étnico</w:t>
      </w:r>
      <w:bookmarkEnd w:id="84"/>
    </w:p>
    <w:p w14:paraId="4B91AAE7" w14:textId="77777777" w:rsidR="001832BB" w:rsidRPr="00D857DD" w:rsidRDefault="001832BB" w:rsidP="001832BB">
      <w:pPr>
        <w:pStyle w:val="SingleTxtG"/>
      </w:pPr>
      <w:r w:rsidRPr="00D857DD">
        <w:t>117.</w:t>
      </w:r>
      <w:r w:rsidRPr="00D857DD">
        <w:tab/>
        <w:t xml:space="preserve">En 2021 el Gobierno del Reino Unido publicó una consulta para determinar si debería exigirse a los empleadores con más de 250 empleados que notificaran el número de personas con discapacidad a las que daban empleo; la respuesta al respecto se retrasó por acciones legales. </w:t>
      </w:r>
    </w:p>
    <w:p w14:paraId="2E563291" w14:textId="77777777" w:rsidR="001832BB" w:rsidRPr="00D857DD" w:rsidRDefault="001832BB" w:rsidP="001832BB">
      <w:pPr>
        <w:pStyle w:val="SingleTxtG"/>
      </w:pPr>
      <w:r w:rsidRPr="00D857DD">
        <w:t>118.</w:t>
      </w:r>
      <w:r w:rsidRPr="00D857DD">
        <w:tab/>
        <w:t xml:space="preserve">Después de que prosperara la apelación que permitió que prosiguiera la labor en este ámbito, hemos reanudado el análisis de las respuestas a la consulta. </w:t>
      </w:r>
    </w:p>
    <w:p w14:paraId="3BDEA590" w14:textId="77777777" w:rsidR="001832BB" w:rsidRPr="00D857DD" w:rsidRDefault="001832BB" w:rsidP="001832BB">
      <w:pPr>
        <w:pStyle w:val="SingleTxtG"/>
      </w:pPr>
      <w:r w:rsidRPr="00D857DD">
        <w:t>119.</w:t>
      </w:r>
      <w:r w:rsidRPr="00D857DD">
        <w:tab/>
        <w:t xml:space="preserve">A partir de esta labor, el Gobierno del Reino Unido se propone ahora ir aún más allá introduciendo la notificación de la brecha salarial por discapacidad como medida importante para mejorar la inclusión de la discapacidad en el lugar de trabajo. En el Plan de acción sobre el trabajo justo y la Estrategia de empleo antirracista se expone la manera en que el Gobierno de Escocia se propone hacer frente a las brechas salariales, en particular realizando una auditoría sobre la igualdad de remuneración mediante la cual se examinarán las brechas </w:t>
      </w:r>
      <w:r w:rsidRPr="00D857DD">
        <w:lastRenderedPageBreak/>
        <w:t>salariales por discapacidad, género, raza y edad para marzo de 2024. En la estrategia del Plan de acción se enumera una serie de compromisos del Gobierno de Escocia a efectos de centrar la atención en determinadas esferas prioritarias, en particular en los datos, las políticas de empleo y la cultura del lugar de trabajo, para favorecer la contratación, la retención y la progresión de las minorías racializadas.</w:t>
      </w:r>
    </w:p>
    <w:p w14:paraId="67826AB0" w14:textId="77777777" w:rsidR="001832BB" w:rsidRPr="00D857DD" w:rsidRDefault="001832BB" w:rsidP="001832BB">
      <w:pPr>
        <w:pStyle w:val="SingleTxtG"/>
      </w:pPr>
      <w:r w:rsidRPr="00D857DD">
        <w:t>120.</w:t>
      </w:r>
      <w:r w:rsidRPr="00D857DD">
        <w:tab/>
        <w:t>La brecha salarial de género entre los empleados a tiempo completo prolonga la tendencia a la baja a más largo plazo observada antes de la pandemia de COVID-19 (1,7 % en 2023 en comparación con un 7,2 % en 2019), y en el caso de todos los empleados de Escocia (tanto a tiempo parcial como completo) es del 8,7 %.</w:t>
      </w:r>
    </w:p>
    <w:p w14:paraId="1143D8ED" w14:textId="77777777" w:rsidR="001832BB" w:rsidRPr="00D857DD" w:rsidRDefault="001832BB" w:rsidP="001832BB">
      <w:pPr>
        <w:pStyle w:val="SingleTxtG"/>
      </w:pPr>
      <w:r w:rsidRPr="00D857DD">
        <w:t>121.</w:t>
      </w:r>
      <w:r w:rsidRPr="00D857DD">
        <w:tab/>
        <w:t>Puede consultarse información estadística sobre las brechas de ingresos por discapacidad y por motivos de adscripción a un grupo étnico en las Estadísticas de Escocia sobre el mercado de trabajo por discapacidad de enero a diciembre de 2022 (gov.scot, www.gov.scot) y en las Estadísticas de Escocia sobre el mercado de trabajo por motivos de adscripción a un grupo étnico, enero a diciembre de 2021 (gov.scot, www.gov.scot).</w:t>
      </w:r>
    </w:p>
    <w:p w14:paraId="72E5C0A7" w14:textId="3325C316" w:rsidR="001832BB" w:rsidRPr="00D857DD" w:rsidRDefault="00E5596F" w:rsidP="00E5596F">
      <w:pPr>
        <w:pStyle w:val="H1G"/>
      </w:pPr>
      <w:bookmarkStart w:id="85" w:name="_Toc555481065"/>
      <w:bookmarkStart w:id="86" w:name="_Hlk164290336"/>
      <w:r w:rsidRPr="00D857DD">
        <w:tab/>
      </w:r>
      <w:r w:rsidR="001832BB" w:rsidRPr="00D857DD">
        <w:t>18.</w:t>
      </w:r>
      <w:r w:rsidR="001832BB" w:rsidRPr="00D857DD">
        <w:tab/>
        <w:t xml:space="preserve">Acoso físico y psicológico, incluido el acoso sexual, y medios </w:t>
      </w:r>
      <w:r w:rsidRPr="00D857DD">
        <w:br/>
      </w:r>
      <w:r w:rsidR="001832BB" w:rsidRPr="00D857DD">
        <w:t>de aplicación de las correspondientes medidas</w:t>
      </w:r>
      <w:bookmarkEnd w:id="85"/>
    </w:p>
    <w:bookmarkEnd w:id="86"/>
    <w:p w14:paraId="731CCE96" w14:textId="77777777" w:rsidR="001832BB" w:rsidRPr="00D857DD" w:rsidRDefault="001832BB" w:rsidP="001832BB">
      <w:pPr>
        <w:pStyle w:val="SingleTxtG"/>
      </w:pPr>
      <w:r w:rsidRPr="00D857DD">
        <w:t>122.</w:t>
      </w:r>
      <w:r w:rsidRPr="00D857DD">
        <w:tab/>
        <w:t>En la Ley de Igualdad de 2010 se establecen disposiciones firmes para combatir el acoso en el lugar de trabajo.</w:t>
      </w:r>
    </w:p>
    <w:p w14:paraId="332E3D84" w14:textId="77777777" w:rsidR="001832BB" w:rsidRPr="00D857DD" w:rsidRDefault="001832BB" w:rsidP="001832BB">
      <w:pPr>
        <w:pStyle w:val="SingleTxtG"/>
      </w:pPr>
      <w:r w:rsidRPr="00D857DD">
        <w:t>123.</w:t>
      </w:r>
      <w:r w:rsidRPr="00D857DD">
        <w:tab/>
        <w:t xml:space="preserve">En julio de 2019 el Gobierno del Reino Unido mantuvo una consulta sobre el acoso sexual en el lugar de trabajo para garantizar el funcionamiento efectivo de las leyes de protección de las personas frente a este fenómeno. </w:t>
      </w:r>
    </w:p>
    <w:p w14:paraId="0FFAAF86" w14:textId="3E6F0937" w:rsidR="001832BB" w:rsidRPr="00D857DD" w:rsidRDefault="001832BB" w:rsidP="001832BB">
      <w:pPr>
        <w:pStyle w:val="SingleTxtG"/>
      </w:pPr>
      <w:r w:rsidRPr="00D857DD">
        <w:t>124.</w:t>
      </w:r>
      <w:r w:rsidRPr="00D857DD">
        <w:tab/>
        <w:t xml:space="preserve">A modo de respuesta, el Gobierno se comprometió a fortalecer la protección de los trabajadores contra el acoso sexual en el lugar de trabajo. Al respecto, prestó apoyo a la Ley de Protección de los Trabajadores (Modificación de la Ley de Igualdad de 2010) de 2023, en virtud de la cual los empleadores tienen la obligación de adoptar </w:t>
      </w:r>
      <w:r w:rsidR="004C2891" w:rsidRPr="00D857DD">
        <w:t>“</w:t>
      </w:r>
      <w:r w:rsidRPr="00D857DD">
        <w:t>medidas razonables</w:t>
      </w:r>
      <w:r w:rsidR="004C2891" w:rsidRPr="00D857DD">
        <w:t>”</w:t>
      </w:r>
      <w:r w:rsidRPr="00D857DD">
        <w:t xml:space="preserve"> para impedir que sus empleados sufran acoso sexual. La obligación del empleador entrará en vigor el 26 de octubre de 2024 a fin de que los empleadores dispongan de tiempo suficiente para prepararse para el cambio.</w:t>
      </w:r>
    </w:p>
    <w:p w14:paraId="1F2C4E7F" w14:textId="77777777" w:rsidR="001832BB" w:rsidRPr="00D857DD" w:rsidRDefault="001832BB" w:rsidP="001832BB">
      <w:pPr>
        <w:pStyle w:val="SingleTxtG"/>
      </w:pPr>
      <w:r w:rsidRPr="00D857DD">
        <w:t>125.</w:t>
      </w:r>
      <w:r w:rsidRPr="00D857DD">
        <w:tab/>
        <w:t>El incumplimiento de la obligación por parte del empleador puede gestionarse de dos maneras:</w:t>
      </w:r>
    </w:p>
    <w:p w14:paraId="01CC1510" w14:textId="23BE9AA9" w:rsidR="001832BB" w:rsidRPr="00D857DD" w:rsidRDefault="001832BB" w:rsidP="00E5596F">
      <w:pPr>
        <w:pStyle w:val="Bullet1G"/>
      </w:pPr>
      <w:r w:rsidRPr="00D857DD">
        <w:t>La Comisión para la Igualdad y los Derechos Humanos podrá encargarse de un incumplimiento aislado en virtud de sus facultades de aplicación de la ley existentes</w:t>
      </w:r>
      <w:r w:rsidR="00E5596F" w:rsidRPr="00D857DD">
        <w:t>.</w:t>
      </w:r>
    </w:p>
    <w:p w14:paraId="0D50BFC3" w14:textId="77777777" w:rsidR="001832BB" w:rsidRPr="00D857DD" w:rsidRDefault="001832BB" w:rsidP="00E5596F">
      <w:pPr>
        <w:pStyle w:val="Bullet1G"/>
      </w:pPr>
      <w:r w:rsidRPr="00D857DD">
        <w:t>También puede encargarse del caso un tribunal de trabajo en caso de que el tribunal haya constatado antes un incumplimiento de la Ley de Igualdad consistente de algún modo en acoso sexual.</w:t>
      </w:r>
    </w:p>
    <w:p w14:paraId="6DD9511D" w14:textId="77777777" w:rsidR="001832BB" w:rsidRPr="00D857DD" w:rsidRDefault="001832BB" w:rsidP="001832BB">
      <w:pPr>
        <w:pStyle w:val="SingleTxtG"/>
      </w:pPr>
      <w:r w:rsidRPr="00D857DD">
        <w:t>126.</w:t>
      </w:r>
      <w:r w:rsidRPr="00D857DD">
        <w:tab/>
        <w:t>El Gobierno del Reino Unido exigirá a los empleadores que creen y mantengan lugares de trabajo y condiciones laborales exentos de acoso, incluido el cometido por terceros, así como que fortalezcan la obligación jurídica de los empleadores de adoptar todas las medidas razonables para detener el acoso sexual antes de que empiece.</w:t>
      </w:r>
    </w:p>
    <w:p w14:paraId="4509BBFD" w14:textId="0036127E" w:rsidR="001832BB" w:rsidRPr="00D857DD" w:rsidRDefault="00E5596F" w:rsidP="00E5596F">
      <w:pPr>
        <w:pStyle w:val="H1G"/>
      </w:pPr>
      <w:bookmarkStart w:id="87" w:name="_Toc943561596"/>
      <w:bookmarkStart w:id="88" w:name="_Hlk164290409"/>
      <w:r w:rsidRPr="00D857DD">
        <w:tab/>
      </w:r>
      <w:r w:rsidR="001832BB" w:rsidRPr="00D857DD">
        <w:t>19.</w:t>
      </w:r>
      <w:r w:rsidR="001832BB" w:rsidRPr="00D857DD">
        <w:tab/>
        <w:t>Ley de Lucha contra la Esclavitud Contemporánea de 2015</w:t>
      </w:r>
      <w:bookmarkEnd w:id="87"/>
    </w:p>
    <w:bookmarkEnd w:id="88"/>
    <w:p w14:paraId="217DAA36" w14:textId="1CB4E9C7" w:rsidR="001832BB" w:rsidRPr="00D857DD" w:rsidRDefault="001832BB" w:rsidP="001832BB">
      <w:pPr>
        <w:pStyle w:val="SingleTxtG"/>
      </w:pPr>
      <w:r w:rsidRPr="00D857DD">
        <w:t>127.</w:t>
      </w:r>
      <w:r w:rsidRPr="00D857DD">
        <w:tab/>
        <w:t>Conforme al artículo 54 de la Ley de Lucha contra la Esclavitud Contemporánea de</w:t>
      </w:r>
      <w:r w:rsidR="00342397" w:rsidRPr="00D857DD">
        <w:t> </w:t>
      </w:r>
      <w:r w:rsidRPr="00D857DD">
        <w:t xml:space="preserve">2015, las empresas comerciales que operen en el Reino Unido con un volumen de negocios superior a los 36 millones de libras deben notificar anualmente las medidas que han adoptado para prevenir la esclavitud contemporánea en sus operaciones y cadenas de suministro. Las empresas deben velar por que la Junta haya aprobado su declaración y por que esta pueda consultarse en su sitio web. </w:t>
      </w:r>
    </w:p>
    <w:p w14:paraId="6CF7902A" w14:textId="77777777" w:rsidR="001832BB" w:rsidRPr="00D857DD" w:rsidRDefault="001832BB" w:rsidP="001832BB">
      <w:pPr>
        <w:pStyle w:val="SingleTxtG"/>
      </w:pPr>
      <w:r w:rsidRPr="00D857DD">
        <w:t>128.</w:t>
      </w:r>
      <w:r w:rsidRPr="00D857DD">
        <w:tab/>
        <w:t xml:space="preserve">Estas disposiciones tienen por objeto ofrecer transparencia a los consumidores, los inversores y la sociedad civil. Para seguir aumentando la transparencia, en marzo de 2021 el Gobierno inauguró el registro de declaraciones sobre la esclavitud contemporánea, que reúne </w:t>
      </w:r>
      <w:r w:rsidRPr="00D857DD">
        <w:lastRenderedPageBreak/>
        <w:t>en una sola plataforma las declaraciones en la materia. Desde entonces, se han presentado al registro con carácter voluntario más de 13.000 declaraciones correspondientes a unas 45.000 organizaciones.</w:t>
      </w:r>
    </w:p>
    <w:p w14:paraId="70627E16" w14:textId="77777777" w:rsidR="001832BB" w:rsidRPr="00D857DD" w:rsidRDefault="001832BB" w:rsidP="001832BB">
      <w:pPr>
        <w:pStyle w:val="SingleTxtG"/>
      </w:pPr>
      <w:r w:rsidRPr="00D857DD">
        <w:t>129.</w:t>
      </w:r>
      <w:r w:rsidRPr="00D857DD">
        <w:tab/>
        <w:t xml:space="preserve">El sector público no está obligado a presentar declaraciones sobre la esclavitud contemporánea, pero empezó a hacerlo de forma voluntaria en 2020. Los funcionarios públicos parten de un enfoque proporcional y basado en el riesgo en su interacción con los proveedores para hacer frente a la esclavitud contemporánea en sus cadenas de suministro. En 2019 el Gobierno puso en marcha la Herramienta de evaluación de la esclavitud contemporánea, que ayuda a los órganos públicos a evaluar su propia base de suministro para detectar riesgos de esclavitud contemporánea. </w:t>
      </w:r>
    </w:p>
    <w:p w14:paraId="0D8C0250" w14:textId="77777777" w:rsidR="001832BB" w:rsidRPr="00D857DD" w:rsidRDefault="001832BB" w:rsidP="001832BB">
      <w:pPr>
        <w:pStyle w:val="SingleTxtG"/>
      </w:pPr>
      <w:r w:rsidRPr="00D857DD">
        <w:t>130.</w:t>
      </w:r>
      <w:r w:rsidRPr="00D857DD">
        <w:tab/>
        <w:t>La Ley de Adquisiciones de 2023 otorga a las autoridades adjudicadoras facultades ampliadas a efectos de excluir a los proveedores de los procesos de adquisición pública cuando se tengan pruebas convincentes de esclavitud contemporánea en sus cadenas de suministro y permite a los ministros incluir a un proveedor en una lista de inhabilitación publicada cuando consideren que debería excluirse al proveedor del proceso de adquisición o estudiarse su exclusión.</w:t>
      </w:r>
    </w:p>
    <w:p w14:paraId="4F417554" w14:textId="77777777" w:rsidR="001832BB" w:rsidRPr="00D857DD" w:rsidRDefault="001832BB" w:rsidP="001832BB">
      <w:pPr>
        <w:pStyle w:val="SingleTxtG"/>
      </w:pPr>
      <w:r w:rsidRPr="00D857DD">
        <w:t>131.</w:t>
      </w:r>
      <w:r w:rsidRPr="00D857DD">
        <w:tab/>
        <w:t>El Gobierno, que sigue decidido a garantizar la pronta detección de las víctimas genuinas, se centra en la mejora de los calendarios de adopción de decisiones del Mecanismo Nacional de Remisión. Un aumento sin precedentes del volumen de remisiones gestionadas por el Mecanismo (del 628 % entre 2014 y 2023) ha planteado dificultades considerables en cuanto a la dotación de recursos y el flujo de trabajo. Ante ello, el Gobierno ha incorporado cambios en las políticas y ha aumentado drásticamente la plantilla de las autoridades competentes. El número de decisiones pendientes de adopción viene disminuyendo desde el primer trimestre de 2023.</w:t>
      </w:r>
    </w:p>
    <w:p w14:paraId="1D3EEF2F" w14:textId="77777777" w:rsidR="001832BB" w:rsidRPr="00D857DD" w:rsidRDefault="001832BB" w:rsidP="001832BB">
      <w:pPr>
        <w:pStyle w:val="SingleTxtG"/>
      </w:pPr>
      <w:r w:rsidRPr="00D857DD">
        <w:t>132.</w:t>
      </w:r>
      <w:r w:rsidRPr="00D857DD">
        <w:tab/>
        <w:t>El Ministerio del Interior publica estadísticas trimestrales y anuales sobre el Mecanismo Nacional de Remisión y la obligación de notificación.</w:t>
      </w:r>
    </w:p>
    <w:p w14:paraId="126AA57C" w14:textId="35702A57" w:rsidR="001832BB" w:rsidRPr="00D857DD" w:rsidRDefault="00E5596F" w:rsidP="00E5596F">
      <w:pPr>
        <w:pStyle w:val="H1G"/>
      </w:pPr>
      <w:bookmarkStart w:id="89" w:name="_Toc628094198"/>
      <w:bookmarkStart w:id="90" w:name="_Hlk164290464"/>
      <w:r w:rsidRPr="00D857DD">
        <w:tab/>
      </w:r>
      <w:r w:rsidR="001832BB" w:rsidRPr="00D857DD">
        <w:t>20.</w:t>
      </w:r>
      <w:r w:rsidR="001832BB" w:rsidRPr="00D857DD">
        <w:tab/>
        <w:t>Salvaguardia de los derechos laborales</w:t>
      </w:r>
      <w:bookmarkEnd w:id="89"/>
    </w:p>
    <w:bookmarkEnd w:id="90"/>
    <w:p w14:paraId="205B3D7F" w14:textId="77777777" w:rsidR="001832BB" w:rsidRPr="00D857DD" w:rsidRDefault="001832BB" w:rsidP="001832BB">
      <w:pPr>
        <w:pStyle w:val="SingleTxtG"/>
      </w:pPr>
      <w:r w:rsidRPr="00D857DD">
        <w:t>133.</w:t>
      </w:r>
      <w:r w:rsidRPr="00D857DD">
        <w:tab/>
        <w:t xml:space="preserve">El Gobierno del Reino Unido sigue decidido a salvaguardar de forma efectiva los derechos laborales, en particular aportando fondos por valor de más de 35 millones de libras esterlinas a los órganos especializados en la salvaguardia del mercado de trabajo (aumento del 121 % desde 2010), aparte de los fondos aportados al Servicio de Asesoramiento, Conciliación y Arbitraje (más de 50 millones de libras al año) y del apoyo prestado a los tribunales de trabajo. </w:t>
      </w:r>
    </w:p>
    <w:p w14:paraId="6752F47F" w14:textId="77777777" w:rsidR="001832BB" w:rsidRPr="00D857DD" w:rsidRDefault="001832BB" w:rsidP="001832BB">
      <w:pPr>
        <w:pStyle w:val="SingleTxtG"/>
      </w:pPr>
      <w:r w:rsidRPr="00D857DD">
        <w:t>134.</w:t>
      </w:r>
      <w:r w:rsidRPr="00D857DD">
        <w:tab/>
        <w:t>Además, el Gobierno del Reino Unido creará un órgano único encargado de la salvaguardia. La creación y la puesta en funcionamiento del Organismo sobre el Trabajo Justo comportan un cambio institucional notable que exige la aprobación de legislación primaria. El Reino Unido espera poder presentar información actualizada al Comité durante el diálogo interactivo.</w:t>
      </w:r>
    </w:p>
    <w:p w14:paraId="747A9149" w14:textId="77777777" w:rsidR="001832BB" w:rsidRPr="00D857DD" w:rsidRDefault="001832BB" w:rsidP="001832BB">
      <w:pPr>
        <w:pStyle w:val="SingleTxtG"/>
      </w:pPr>
      <w:r w:rsidRPr="00D857DD">
        <w:t>135.</w:t>
      </w:r>
      <w:r w:rsidRPr="00D857DD">
        <w:tab/>
        <w:t>Debe remunerarse a los trabajadores de temporada por al menos 32 horas semanales al salario mínimo vital nacional. En consecuencia, no cabe esperar que ningún trabajador de temporada esté desempleado durante los seis meses que dura su patrocinio. No está permitido el cobro de tasas excesivas; si el patrocinador incumple estos requisitos, pueden adoptarse medidas relativas a la licencia en lugar de medidas jurídicas.</w:t>
      </w:r>
    </w:p>
    <w:p w14:paraId="1D24A5F7" w14:textId="77777777" w:rsidR="001832BB" w:rsidRPr="00D857DD" w:rsidRDefault="001832BB" w:rsidP="001832BB">
      <w:pPr>
        <w:pStyle w:val="SingleTxtG"/>
      </w:pPr>
      <w:r w:rsidRPr="00D857DD">
        <w:t>136.</w:t>
      </w:r>
      <w:r w:rsidRPr="00D857DD">
        <w:tab/>
        <w:t>Los trabajadores de temporada gozan de las mismas protecciones que los trabajadores residentes conforme al derecho del Reino Unido, incluidas las protecciones frente a la esclavitud contemporánea ofrecidas por la Autoridad de Regulación de los Proveedores de Mano de Obra y Lucha contra los Abusos Laborales. El componente de protección sirve para que la orientación impartida a los patrocinadores impida a los proveedores repercutir costos en los trabajadores (como, por ejemplo, el costo de un certificado de patrocinio).</w:t>
      </w:r>
    </w:p>
    <w:p w14:paraId="21FFC5BB" w14:textId="44562170" w:rsidR="001832BB" w:rsidRPr="00D857DD" w:rsidRDefault="00E5596F" w:rsidP="00E5596F">
      <w:pPr>
        <w:pStyle w:val="HChG"/>
      </w:pPr>
      <w:bookmarkStart w:id="91" w:name="_Toc404766828"/>
      <w:bookmarkStart w:id="92" w:name="_Hlk164290503"/>
      <w:r w:rsidRPr="00D857DD">
        <w:lastRenderedPageBreak/>
        <w:tab/>
      </w:r>
      <w:r w:rsidR="001832BB" w:rsidRPr="00D857DD">
        <w:tab/>
        <w:t>Derechos sindicales (art. 8)</w:t>
      </w:r>
      <w:bookmarkEnd w:id="91"/>
    </w:p>
    <w:p w14:paraId="6C5157F8" w14:textId="62D1CF3B" w:rsidR="001832BB" w:rsidRPr="00D857DD" w:rsidRDefault="00E5596F" w:rsidP="00E5596F">
      <w:pPr>
        <w:pStyle w:val="H1G"/>
      </w:pPr>
      <w:bookmarkStart w:id="93" w:name="_Toc1073363959"/>
      <w:bookmarkStart w:id="94" w:name="_Hlk164290511"/>
      <w:bookmarkEnd w:id="92"/>
      <w:r w:rsidRPr="00D857DD">
        <w:tab/>
      </w:r>
      <w:r w:rsidR="001832BB" w:rsidRPr="00D857DD">
        <w:t>21.</w:t>
      </w:r>
      <w:r w:rsidR="001832BB" w:rsidRPr="00D857DD">
        <w:tab/>
        <w:t xml:space="preserve">Ley de Sindicatos de 2016, Ley de Relaciones Laborales de 1999 </w:t>
      </w:r>
      <w:r w:rsidRPr="00D857DD">
        <w:br/>
      </w:r>
      <w:r w:rsidR="001832BB" w:rsidRPr="00D857DD">
        <w:t>y proyecto de ley de huelgas y servicios mínimos</w:t>
      </w:r>
      <w:bookmarkEnd w:id="93"/>
    </w:p>
    <w:p w14:paraId="07A8B86A" w14:textId="77777777" w:rsidR="001832BB" w:rsidRPr="00D857DD" w:rsidRDefault="001832BB" w:rsidP="001832BB">
      <w:pPr>
        <w:pStyle w:val="SingleTxtG"/>
      </w:pPr>
      <w:r w:rsidRPr="00D857DD">
        <w:t>137.</w:t>
      </w:r>
      <w:r w:rsidRPr="00D857DD">
        <w:tab/>
        <w:t xml:space="preserve">El Gobierno del Reino Unido ha establecido un programa importante y ambicioso para allanar el camino a un nuevo futuro del trabajo que incorporará cambios considerables en este ámbito. El Reino Unido seguirá obrando en el plano internacional para fortalecer los derechos de los trabajadores y mejorar las normas laborales a escala mundial. </w:t>
      </w:r>
      <w:bookmarkEnd w:id="94"/>
    </w:p>
    <w:p w14:paraId="6EB75C99" w14:textId="58F27D50" w:rsidR="001832BB" w:rsidRPr="00D857DD" w:rsidRDefault="00E5596F" w:rsidP="00E5596F">
      <w:pPr>
        <w:pStyle w:val="H23G"/>
      </w:pPr>
      <w:r w:rsidRPr="00D857DD">
        <w:tab/>
      </w:r>
      <w:r w:rsidR="001832BB" w:rsidRPr="00D857DD">
        <w:tab/>
        <w:t xml:space="preserve">Derechos de los sindicatos (cuestión 21 del informe. Ley de Sindicatos de 2016, </w:t>
      </w:r>
      <w:r w:rsidRPr="00D857DD">
        <w:br/>
      </w:r>
      <w:r w:rsidR="001832BB" w:rsidRPr="00D857DD">
        <w:t xml:space="preserve">Ley de Relaciones Laborales de 1999 y proyecto de ley de huelgas y servicios </w:t>
      </w:r>
      <w:r w:rsidRPr="00D857DD">
        <w:br/>
      </w:r>
      <w:r w:rsidR="001832BB" w:rsidRPr="00D857DD">
        <w:t xml:space="preserve">mínimos) </w:t>
      </w:r>
    </w:p>
    <w:p w14:paraId="0B684C3A" w14:textId="49ADB23A" w:rsidR="001832BB" w:rsidRPr="00D857DD" w:rsidRDefault="001832BB" w:rsidP="001832BB">
      <w:pPr>
        <w:pStyle w:val="SingleTxtG"/>
      </w:pPr>
      <w:r w:rsidRPr="00D857DD">
        <w:t>138.</w:t>
      </w:r>
      <w:r w:rsidRPr="00D857DD">
        <w:tab/>
        <w:t>El Gobierno del Reino Unido está decidido a derogar tanto la Ley de Sindicatos de</w:t>
      </w:r>
      <w:r w:rsidR="00E5596F" w:rsidRPr="00D857DD">
        <w:t> </w:t>
      </w:r>
      <w:r w:rsidRPr="00D857DD">
        <w:t xml:space="preserve">2016 como la Ley de Huelgas y Servicios Mínimos de 2023 a fin de que los sindicatos gocen de libertad para organizar y representar a sus trabajadores y negociar en su nombre. Ello supone eliminar restricciones prohibitivas a las actividades de los sindicatos y al derecho de los sindicatos a emprender acciones colectivas. El Gobierno interactuará con los sindicatos y con los grupos de empleadores a medida que avance en la derogación de esta legislación. </w:t>
      </w:r>
    </w:p>
    <w:p w14:paraId="3B40FD40" w14:textId="69BE4AC4" w:rsidR="001832BB" w:rsidRPr="00D857DD" w:rsidRDefault="00E5596F" w:rsidP="00E5596F">
      <w:pPr>
        <w:pStyle w:val="H23G"/>
      </w:pPr>
      <w:r w:rsidRPr="00D857DD">
        <w:tab/>
      </w:r>
      <w:r w:rsidR="001832BB" w:rsidRPr="00D857DD">
        <w:tab/>
        <w:t xml:space="preserve">Sistemas de votación electrónicos en relación con las acciones colectivas </w:t>
      </w:r>
    </w:p>
    <w:p w14:paraId="47405239" w14:textId="77777777" w:rsidR="001832BB" w:rsidRPr="00D857DD" w:rsidRDefault="001832BB" w:rsidP="001832BB">
      <w:pPr>
        <w:pStyle w:val="SingleTxtG"/>
      </w:pPr>
      <w:r w:rsidRPr="00D857DD">
        <w:t>139.</w:t>
      </w:r>
      <w:r w:rsidRPr="00D857DD">
        <w:tab/>
        <w:t xml:space="preserve">El Gobierno está decidido a introducir sistemas de votación electrónicos en relación con las acciones colectivas. Estamos adoptando medidas para prestar apoyo a la introducción de este método en todos los sindicatos a fin de que les resulte más fácil y menos costoso recabar la opinión de sus miembros. </w:t>
      </w:r>
    </w:p>
    <w:p w14:paraId="099F239C" w14:textId="77777777" w:rsidR="001832BB" w:rsidRPr="00D857DD" w:rsidRDefault="001832BB" w:rsidP="001832BB">
      <w:pPr>
        <w:pStyle w:val="SingleTxtG"/>
      </w:pPr>
      <w:r w:rsidRPr="00D857DD">
        <w:t>140.</w:t>
      </w:r>
      <w:r w:rsidRPr="00D857DD">
        <w:tab/>
        <w:t xml:space="preserve">Para ello nos servimos de dos métodos. En primer lugar, el artículo 54 de la Ley de Derechos Laborales de 2004 faculta al Gobierno para permitir un sistema de votación electrónico conforme a la Ley de Relaciones Laborales y Sindicales (Consolidación) de 1992, con sujeción a determinados requisitos. Más adelante el Gobierno publicará la correspondiente orden parlamentaria con arreglo al instrumento reglamentario, junto con orientación detallada para ayudar a los sindicatos a introducir este método. </w:t>
      </w:r>
    </w:p>
    <w:p w14:paraId="3925D56A" w14:textId="77777777" w:rsidR="001832BB" w:rsidRPr="00D857DD" w:rsidRDefault="001832BB" w:rsidP="001832BB">
      <w:pPr>
        <w:pStyle w:val="SingleTxtG"/>
      </w:pPr>
      <w:r w:rsidRPr="00D857DD">
        <w:t>141.</w:t>
      </w:r>
      <w:r w:rsidRPr="00D857DD">
        <w:tab/>
        <w:t xml:space="preserve">En segundo lugar, para velar por que la votación electrónica pase a ser por defecto el método empleado por los sindicatos para recabar la opinión de sus miembros el Gobierno lo dotará de carácter reglamentario. Para ello incorporaremos el artículo 54 de la Ley de Derechos Laborales en nuestra nueva legislación sobre derechos laborales que se presentará en breve al Parlamento del Reino Unido. </w:t>
      </w:r>
    </w:p>
    <w:p w14:paraId="7B7910C1" w14:textId="77777777" w:rsidR="001832BB" w:rsidRPr="00D857DD" w:rsidRDefault="001832BB" w:rsidP="001832BB">
      <w:pPr>
        <w:pStyle w:val="SingleTxtG"/>
      </w:pPr>
      <w:r w:rsidRPr="00D857DD">
        <w:t>142.</w:t>
      </w:r>
      <w:r w:rsidRPr="00D857DD">
        <w:tab/>
        <w:t>En Irlanda del Norte los asuntos relativos a la votación electrónica forman parte de la consulta sobre el proyecto de ley en materia de empleo bueno y derechos laborales, que durará del 1 de julio al 30 de septiembre de 2024. Derecho a la seguridad social (art. 9)</w:t>
      </w:r>
      <w:bookmarkStart w:id="95" w:name="_Hlk164291312"/>
    </w:p>
    <w:p w14:paraId="6E84C6BA" w14:textId="5970DA8C" w:rsidR="001832BB" w:rsidRPr="00D857DD" w:rsidRDefault="00385CF1" w:rsidP="001A51A6">
      <w:pPr>
        <w:pStyle w:val="H1G"/>
      </w:pPr>
      <w:bookmarkStart w:id="96" w:name="_Toc150836853"/>
      <w:bookmarkStart w:id="97" w:name="_Hlk164291713"/>
      <w:bookmarkEnd w:id="95"/>
      <w:r w:rsidRPr="00D857DD">
        <w:tab/>
      </w:r>
      <w:r w:rsidR="001832BB" w:rsidRPr="00D857DD">
        <w:t>22.</w:t>
      </w:r>
      <w:r w:rsidR="001832BB" w:rsidRPr="00D857DD">
        <w:tab/>
        <w:t xml:space="preserve">Ley de Reforma del Sistema de Bienestar de 2012 </w:t>
      </w:r>
      <w:r w:rsidR="001A51A6" w:rsidRPr="00D857DD">
        <w:br/>
      </w:r>
      <w:r w:rsidR="001832BB" w:rsidRPr="00D857DD">
        <w:t xml:space="preserve">y Ley de Reforma del Sistema de Bienestar y </w:t>
      </w:r>
      <w:r w:rsidR="001A51A6" w:rsidRPr="00D857DD">
        <w:br/>
      </w:r>
      <w:r w:rsidR="001832BB" w:rsidRPr="00D857DD">
        <w:t>Trabajo de 2016</w:t>
      </w:r>
      <w:bookmarkEnd w:id="96"/>
    </w:p>
    <w:p w14:paraId="76C8CF45" w14:textId="5F1B9B4C" w:rsidR="001832BB" w:rsidRPr="00D857DD" w:rsidRDefault="001832BB" w:rsidP="001832BB">
      <w:pPr>
        <w:pStyle w:val="SingleTxtG"/>
      </w:pPr>
      <w:r w:rsidRPr="00D857DD">
        <w:t>143.</w:t>
      </w:r>
      <w:r w:rsidRPr="00D857DD">
        <w:tab/>
        <w:t>En 2013</w:t>
      </w:r>
      <w:r w:rsidR="001A51A6" w:rsidRPr="00D857DD">
        <w:t>-20</w:t>
      </w:r>
      <w:r w:rsidRPr="00D857DD">
        <w:t>14 las principales tarifas de la mayoría de las prestaciones para las personas en edad de trabajar, los pagos reglamentarios y parte de las deducciones fiscales y prestaciones por hijos a cargo aumentaron un 1 %. Más adelante se promulgó la Ley de Aumento de las Tarifas de las Prestaciones Sociales de 2013, por la que el Secretario de Estado debe aumentar un 1 % estas tarifas para 2014</w:t>
      </w:r>
      <w:r w:rsidR="001A51A6" w:rsidRPr="00D857DD">
        <w:t>-20</w:t>
      </w:r>
      <w:r w:rsidRPr="00D857DD">
        <w:t>15 y 2015</w:t>
      </w:r>
      <w:r w:rsidR="001A51A6" w:rsidRPr="00D857DD">
        <w:t>-20</w:t>
      </w:r>
      <w:r w:rsidRPr="00D857DD">
        <w:t>16; entre 2016 y 2020 las tarifas permanecieron congeladas en virtud de la Ley de Trabajo y Reforma del Sistema de Bienestar de 2016.</w:t>
      </w:r>
    </w:p>
    <w:p w14:paraId="10C47418" w14:textId="41A0F35C" w:rsidR="001832BB" w:rsidRPr="00D857DD" w:rsidRDefault="001832BB" w:rsidP="001832BB">
      <w:pPr>
        <w:pStyle w:val="SingleTxtG"/>
      </w:pPr>
      <w:r w:rsidRPr="00D857DD">
        <w:t>144.</w:t>
      </w:r>
      <w:r w:rsidRPr="00D857DD">
        <w:tab/>
        <w:t xml:space="preserve">Desde abril de 2016 se aplicó una congelación de cuatro años a las prestaciones para las personas en edad de trabajar. Las prestaciones correspondientes a los costos adicionales en concepto de discapacidad y de cuidadores estaban exentas de la congelación de las </w:t>
      </w:r>
      <w:r w:rsidRPr="00D857DD">
        <w:lastRenderedPageBreak/>
        <w:t>prestaciones, y en el período comprendido entre 2016-</w:t>
      </w:r>
      <w:r w:rsidR="001A51A6" w:rsidRPr="00D857DD">
        <w:t>20</w:t>
      </w:r>
      <w:r w:rsidRPr="00D857DD">
        <w:t>17 y 2019-</w:t>
      </w:r>
      <w:r w:rsidR="001A51A6" w:rsidRPr="00D857DD">
        <w:t>20</w:t>
      </w:r>
      <w:r w:rsidRPr="00D857DD">
        <w:t>20 siguieron aumentándose en función de la subida de los precios las tarifas de prestaciones como la prestación de subsistencia por discapacidad, el subsidio para la autonomía personal y la prestación para cuidados.</w:t>
      </w:r>
    </w:p>
    <w:p w14:paraId="5BA67118" w14:textId="57337B67" w:rsidR="001832BB" w:rsidRPr="00D857DD" w:rsidRDefault="001832BB" w:rsidP="001832BB">
      <w:pPr>
        <w:pStyle w:val="SingleTxtG"/>
      </w:pPr>
      <w:r w:rsidRPr="00D857DD">
        <w:t>145.</w:t>
      </w:r>
      <w:r w:rsidRPr="00D857DD">
        <w:tab/>
        <w:t>Desde 2020 se ha aumentado anualmente la cuantía de las prestaciones en función de la inflación. Las prestaciones aumentaron un 6,7</w:t>
      </w:r>
      <w:r w:rsidR="00DB0FF8" w:rsidRPr="00D857DD">
        <w:t> </w:t>
      </w:r>
      <w:r w:rsidRPr="00D857DD">
        <w:t xml:space="preserve">% en abril de 2024 en función de la inflación, con inclusión de las prestaciones para las personas en edad de trabajar, las que van dirigidas a ayudar a atender las necesidades adicionales derivadas de la discapacidad, las prestaciones en concepto de cuidadores, las primas de los pensionistas correspondientes a prestaciones relacionadas con los ingresos, los pagos reglamentarios y la pensión estatal adicional. </w:t>
      </w:r>
    </w:p>
    <w:p w14:paraId="1B4D7E49" w14:textId="665C2316" w:rsidR="001832BB" w:rsidRPr="00D857DD" w:rsidRDefault="001832BB" w:rsidP="001832BB">
      <w:pPr>
        <w:pStyle w:val="SingleTxtG"/>
      </w:pPr>
      <w:r w:rsidRPr="00D857DD">
        <w:t>146.</w:t>
      </w:r>
      <w:r w:rsidRPr="00D857DD">
        <w:tab/>
        <w:t xml:space="preserve">Las tarifas de las pensiones estatales básicas y nuevas aumentaron un 8,5 % en función de los ingresos conforme al sistema de </w:t>
      </w:r>
      <w:r w:rsidR="004C2891" w:rsidRPr="00D857DD">
        <w:t>“</w:t>
      </w:r>
      <w:r w:rsidRPr="00D857DD">
        <w:t>triple candado</w:t>
      </w:r>
      <w:r w:rsidR="004C2891" w:rsidRPr="00D857DD">
        <w:t>”</w:t>
      </w:r>
      <w:r w:rsidRPr="00D857DD">
        <w:t>.</w:t>
      </w:r>
    </w:p>
    <w:p w14:paraId="06F284D3" w14:textId="6816E25F" w:rsidR="001832BB" w:rsidRPr="00D857DD" w:rsidRDefault="00385CF1" w:rsidP="00385CF1">
      <w:pPr>
        <w:pStyle w:val="H23G"/>
      </w:pPr>
      <w:bookmarkStart w:id="98" w:name="_Toc412180973"/>
      <w:bookmarkStart w:id="99" w:name="_Hlk164291380"/>
      <w:bookmarkEnd w:id="97"/>
      <w:r w:rsidRPr="00D857DD">
        <w:tab/>
      </w:r>
      <w:r w:rsidR="001832BB" w:rsidRPr="00D857DD">
        <w:tab/>
        <w:t>Aumento de la cuantía de las pensiones y prestaciones estatales</w:t>
      </w:r>
      <w:bookmarkEnd w:id="98"/>
    </w:p>
    <w:bookmarkEnd w:id="99"/>
    <w:p w14:paraId="20DE3F03" w14:textId="77777777" w:rsidR="001832BB" w:rsidRPr="00D857DD" w:rsidRDefault="001832BB" w:rsidP="001832BB">
      <w:pPr>
        <w:pStyle w:val="SingleTxtG"/>
      </w:pPr>
      <w:r w:rsidRPr="00D857DD">
        <w:t>147.</w:t>
      </w:r>
      <w:r w:rsidRPr="00D857DD">
        <w:tab/>
        <w:t>El Secretario de Estado de Trabajo y Pensiones está obligado por ley a examinar anualmente el monto de las prestaciones y las pensiones para determinar si mantienen su valor en relación con el nivel general de los precios o de los ingresos.</w:t>
      </w:r>
    </w:p>
    <w:p w14:paraId="09241DF3" w14:textId="77777777" w:rsidR="001832BB" w:rsidRPr="00D857DD" w:rsidRDefault="001832BB" w:rsidP="001832BB">
      <w:pPr>
        <w:pStyle w:val="SingleTxtG"/>
      </w:pPr>
      <w:r w:rsidRPr="00D857DD">
        <w:t>148.</w:t>
      </w:r>
      <w:r w:rsidRPr="00D857DD">
        <w:tab/>
        <w:t xml:space="preserve">Por ley, las prestaciones por incapacidad en concepto de gastos extraordinarios deben aumentarse al menos en consonancia con los precios. Desde 2011 se viene utilizando como indicador al respecto el aumento del índice de precios al consumidor (IPC). </w:t>
      </w:r>
    </w:p>
    <w:p w14:paraId="499DAE2C" w14:textId="77777777" w:rsidR="001832BB" w:rsidRPr="00D857DD" w:rsidRDefault="001832BB" w:rsidP="001832BB">
      <w:pPr>
        <w:pStyle w:val="SingleTxtG"/>
      </w:pPr>
      <w:r w:rsidRPr="00D857DD">
        <w:t>149.</w:t>
      </w:r>
      <w:r w:rsidRPr="00D857DD">
        <w:tab/>
        <w:t xml:space="preserve">Las pensiones estatales nuevas y básicas, la garantía mínima normalizada en cuanto al crédito de pensiones y las prestaciones de supervivencia en el marco de las prestaciones por muerte en un contexto laboral deben aumentarse al menos en consonancia con el crecimiento de los ingresos. El indicador utilizado al respecto es el crecimiento de los ingresos semanales medios, incluidas las bonificaciones, en el año finalizado entre mayo y julio. </w:t>
      </w:r>
    </w:p>
    <w:p w14:paraId="412F9EFB" w14:textId="6D11FE40" w:rsidR="001832BB" w:rsidRPr="00D857DD" w:rsidRDefault="001832BB" w:rsidP="001832BB">
      <w:pPr>
        <w:pStyle w:val="SingleTxtG"/>
      </w:pPr>
      <w:r w:rsidRPr="00D857DD">
        <w:t>150.</w:t>
      </w:r>
      <w:r w:rsidRPr="00D857DD">
        <w:tab/>
        <w:t>En la práctica, las pensiones estatales nuevas y básicas han aumentado en consonancia con el máximo nivel de los precios, el crecimiento de los ingresos o un 2,5</w:t>
      </w:r>
      <w:r w:rsidR="00DB0FF8" w:rsidRPr="00D857DD">
        <w:t> </w:t>
      </w:r>
      <w:r w:rsidRPr="00D857DD">
        <w:t>% con arreglo al compromiso del sistema de triple candado. El monto de otras prestaciones para las personas en edad de trabajar, como el Crédito Universal, se aumenta a discreción del Secretario de Estado, pero convencionalmente el aumento se ajusta al IPC.</w:t>
      </w:r>
    </w:p>
    <w:p w14:paraId="5AF2EA95" w14:textId="54FD7625" w:rsidR="001832BB" w:rsidRPr="00D857DD" w:rsidRDefault="00385CF1" w:rsidP="00385CF1">
      <w:pPr>
        <w:pStyle w:val="H23G"/>
      </w:pPr>
      <w:bookmarkStart w:id="100" w:name="_Toc513432108"/>
      <w:bookmarkStart w:id="101" w:name="_Hlk164777899"/>
      <w:r w:rsidRPr="00D857DD">
        <w:tab/>
      </w:r>
      <w:r w:rsidR="001832BB" w:rsidRPr="00D857DD">
        <w:tab/>
        <w:t>Nivel máximo de las prestaciones</w:t>
      </w:r>
      <w:bookmarkEnd w:id="100"/>
    </w:p>
    <w:bookmarkEnd w:id="101"/>
    <w:p w14:paraId="341E4972" w14:textId="77777777" w:rsidR="001832BB" w:rsidRPr="00D857DD" w:rsidRDefault="001832BB" w:rsidP="001832BB">
      <w:pPr>
        <w:pStyle w:val="SingleTxtG"/>
      </w:pPr>
      <w:r w:rsidRPr="00D857DD">
        <w:t>151.</w:t>
      </w:r>
      <w:r w:rsidRPr="00D857DD">
        <w:tab/>
        <w:t>El nivel máximo de las prestaciones se aumentó en abril de 2023 (10,1 %) tras un examen llevado a cabo en noviembre de 2022. Existe la obligación jurídica de examinar los niveles máximos al menos una vez cada cinco años, lo cual actualmente sería para noviembre de 2027.</w:t>
      </w:r>
    </w:p>
    <w:p w14:paraId="08F462CC" w14:textId="77777777" w:rsidR="001832BB" w:rsidRPr="00D857DD" w:rsidRDefault="001832BB" w:rsidP="001832BB">
      <w:pPr>
        <w:pStyle w:val="SingleTxtG"/>
      </w:pPr>
      <w:r w:rsidRPr="00D857DD">
        <w:t>152.</w:t>
      </w:r>
      <w:r w:rsidRPr="00D857DD">
        <w:tab/>
        <w:t>Se publican trimestralmente estadísticas sobre los niveles máximos de las prestaciones en las que se indican el número de hogares sujetos a estos niveles y el número de hogares que estaban sujetos a los niveles pero han dejado de estarlo. Las estadísticas en la materia pueden consultarse en GOV.UK (www.gov.uk).</w:t>
      </w:r>
    </w:p>
    <w:p w14:paraId="227EF16C" w14:textId="407C723A" w:rsidR="001832BB" w:rsidRPr="00D857DD" w:rsidRDefault="00385CF1" w:rsidP="00385CF1">
      <w:pPr>
        <w:pStyle w:val="H23G"/>
      </w:pPr>
      <w:bookmarkStart w:id="102" w:name="_Toc720008193"/>
      <w:bookmarkStart w:id="103" w:name="_Hlk164291368"/>
      <w:r w:rsidRPr="00D857DD">
        <w:tab/>
      </w:r>
      <w:r w:rsidR="001832BB" w:rsidRPr="00D857DD">
        <w:tab/>
        <w:t>Política sobre los dos hijos</w:t>
      </w:r>
      <w:bookmarkEnd w:id="102"/>
    </w:p>
    <w:bookmarkEnd w:id="103"/>
    <w:p w14:paraId="7B007062" w14:textId="6BA1AADD" w:rsidR="001832BB" w:rsidRPr="00D857DD" w:rsidRDefault="001832BB" w:rsidP="001832BB">
      <w:pPr>
        <w:pStyle w:val="SingleTxtG"/>
      </w:pPr>
      <w:r w:rsidRPr="00D857DD">
        <w:t>153.</w:t>
      </w:r>
      <w:r w:rsidRPr="00D857DD">
        <w:tab/>
        <w:t>Desde el 6 de abril de 2017 las familias pueden solicitar apoyo para un máximo de dos hijos, y puede que tengan derecho a solicitarlo para otros hijos si estos nacieron antes del</w:t>
      </w:r>
      <w:r w:rsidR="001A51A6" w:rsidRPr="00D857DD">
        <w:t> </w:t>
      </w:r>
      <w:r w:rsidRPr="00D857DD">
        <w:t xml:space="preserve">6 de abril de 2017 o si es aplicable una excepción. </w:t>
      </w:r>
    </w:p>
    <w:p w14:paraId="5AE449A0" w14:textId="68EF6992" w:rsidR="001832BB" w:rsidRPr="00D857DD" w:rsidRDefault="001832BB" w:rsidP="001832BB">
      <w:pPr>
        <w:pStyle w:val="SingleTxtG"/>
      </w:pPr>
      <w:r w:rsidRPr="00D857DD">
        <w:t>154.</w:t>
      </w:r>
      <w:r w:rsidRPr="00D857DD">
        <w:tab/>
        <w:t xml:space="preserve">Las estadísticas referentes a la política sobre los dos hijos pueden consultarse en el apartado </w:t>
      </w:r>
      <w:r w:rsidR="004C2891" w:rsidRPr="00D857DD">
        <w:t>“</w:t>
      </w:r>
      <w:r w:rsidRPr="00D857DD">
        <w:t>Universal Credit and Child Tax Credit claimants: statistics related to the policy to provide support for a maximum of two children</w:t>
      </w:r>
      <w:r w:rsidR="004C2891" w:rsidRPr="00D857DD">
        <w:t>”</w:t>
      </w:r>
      <w:r w:rsidRPr="00D857DD">
        <w:t xml:space="preserve"> (Solicitantes de Crédito Universal y de deducciones fiscales por hijos: estadísticas relativas a la prestación de apoyo a un máximo de dos hijos) de abril de 2024 en GOV.UK (www.gov.uk).</w:t>
      </w:r>
    </w:p>
    <w:p w14:paraId="02E959DE" w14:textId="31C2786E" w:rsidR="001832BB" w:rsidRPr="00D857DD" w:rsidRDefault="00385CF1" w:rsidP="00385CF1">
      <w:pPr>
        <w:pStyle w:val="H23G"/>
      </w:pPr>
      <w:bookmarkStart w:id="104" w:name="_Toc243574845"/>
      <w:bookmarkStart w:id="105" w:name="_Hlk164777924"/>
      <w:r w:rsidRPr="00D857DD">
        <w:lastRenderedPageBreak/>
        <w:tab/>
      </w:r>
      <w:r w:rsidR="001832BB" w:rsidRPr="00D857DD">
        <w:tab/>
        <w:t>Eliminación del elemento de capacidad limitada para trabajar</w:t>
      </w:r>
      <w:bookmarkEnd w:id="104"/>
    </w:p>
    <w:bookmarkEnd w:id="105"/>
    <w:p w14:paraId="4D294BDA" w14:textId="77777777" w:rsidR="001832BB" w:rsidRPr="00D857DD" w:rsidRDefault="001832BB" w:rsidP="001832BB">
      <w:pPr>
        <w:pStyle w:val="SingleTxtG"/>
      </w:pPr>
      <w:r w:rsidRPr="00D857DD">
        <w:t>155.</w:t>
      </w:r>
      <w:r w:rsidRPr="00D857DD">
        <w:tab/>
        <w:t xml:space="preserve">El cambio incorporado en abril de 2017 en la Prestación de Empleo y Apoyo (la eliminación del componente sobre las actividades relacionadas con el trabajo) se correspondió en el Crédito Universal con la eliminación del elemento de capacidad limitada para trabajar. Con ello se pretendía armonizar el componente relativo al Grupo sobre las actividades relacionadas con el trabajo de la Prestación de Empleo y Apoyo y el elemento de capacidad limitada para trabajar del Crédito Universal con la Prestación para personas que buscan empleo en relación con las nuevas solicitudes y con el monto normalizado del Crédito Universal percibido por quienes no tienen limitada la capacidad para trabajar. </w:t>
      </w:r>
    </w:p>
    <w:p w14:paraId="444FB87F" w14:textId="77777777" w:rsidR="001832BB" w:rsidRPr="00D857DD" w:rsidRDefault="001832BB" w:rsidP="001832BB">
      <w:pPr>
        <w:pStyle w:val="SingleTxtG"/>
      </w:pPr>
      <w:r w:rsidRPr="00D857DD">
        <w:t>156.</w:t>
      </w:r>
      <w:r w:rsidRPr="00D857DD">
        <w:tab/>
        <w:t>Esta medida y la nueva financiación por valor de hasta 100 millones de libras esterlinas, anunciadas por el Ministro de Hacienda el 8 de julio de 2015, tenían por objeto ofrecer incentivos y apoyo para ayudar a quienes tienen capacidad limitada pero cuentan con potencial de prepararse para trabajar, acercarse al mercado de trabajo y, cuando estén preparados, reincorporarse al trabajo.</w:t>
      </w:r>
    </w:p>
    <w:p w14:paraId="4165C9DC" w14:textId="77777777" w:rsidR="001832BB" w:rsidRPr="00D857DD" w:rsidRDefault="001832BB" w:rsidP="001832BB">
      <w:pPr>
        <w:pStyle w:val="SingleTxtG"/>
      </w:pPr>
      <w:r w:rsidRPr="00D857DD">
        <w:t>157.</w:t>
      </w:r>
      <w:r w:rsidRPr="00D857DD">
        <w:tab/>
        <w:t>No está previsto revisar la decisión de eliminar del Crédito Universal el elemento de capacidad limitada para trabajar.</w:t>
      </w:r>
    </w:p>
    <w:p w14:paraId="78FDE212" w14:textId="3424E390" w:rsidR="001832BB" w:rsidRPr="00D857DD" w:rsidRDefault="00385CF1" w:rsidP="00385CF1">
      <w:pPr>
        <w:pStyle w:val="H23G"/>
      </w:pPr>
      <w:bookmarkStart w:id="106" w:name="_Toc1637601899"/>
      <w:r w:rsidRPr="00D857DD">
        <w:tab/>
      </w:r>
      <w:r w:rsidR="001832BB" w:rsidRPr="00D857DD">
        <w:tab/>
        <w:t xml:space="preserve">Apoyo al sector social: supresión de la política por la que las habitaciones </w:t>
      </w:r>
      <w:r w:rsidR="001A51A6" w:rsidRPr="00D857DD">
        <w:br/>
      </w:r>
      <w:r w:rsidR="001832BB" w:rsidRPr="00D857DD">
        <w:t>libres resultan subvencionadas</w:t>
      </w:r>
      <w:bookmarkEnd w:id="106"/>
    </w:p>
    <w:p w14:paraId="3ED6D4FC" w14:textId="77777777" w:rsidR="001832BB" w:rsidRPr="00D857DD" w:rsidRDefault="001832BB" w:rsidP="001832BB">
      <w:pPr>
        <w:pStyle w:val="SingleTxtG"/>
      </w:pPr>
      <w:r w:rsidRPr="00D857DD">
        <w:t>158.</w:t>
      </w:r>
      <w:r w:rsidRPr="00D857DD">
        <w:tab/>
        <w:t>La supresión de la política por la que las habitaciones libres resultan subvencionadas, conocida en ocasiones como impuesto de dormitorios, se aplica a las solicitudes de apoyo a la vivienda, ya sea en relación con las prestaciones por vivienda o con el elemento de vivienda del Crédito Universal.</w:t>
      </w:r>
    </w:p>
    <w:p w14:paraId="52B5988B" w14:textId="36784A19" w:rsidR="001832BB" w:rsidRPr="00D857DD" w:rsidRDefault="001832BB" w:rsidP="001832BB">
      <w:pPr>
        <w:pStyle w:val="SingleTxtG"/>
      </w:pPr>
      <w:r w:rsidRPr="00D857DD">
        <w:t>159.</w:t>
      </w:r>
      <w:r w:rsidRPr="00D857DD">
        <w:tab/>
        <w:t>Las deducciones se basan en el alquiler del solicitante que reúne las condiciones prescritas. Se aplica una reducción del 14 % para quienes tienen un dormitorio extra y del</w:t>
      </w:r>
      <w:r w:rsidR="00DB0FF8" w:rsidRPr="00D857DD">
        <w:t> </w:t>
      </w:r>
      <w:r w:rsidRPr="00D857DD">
        <w:t xml:space="preserve">25 % para quienes tienen dos o más dormitorios extra. </w:t>
      </w:r>
    </w:p>
    <w:p w14:paraId="1BA9F3E6" w14:textId="77777777" w:rsidR="001832BB" w:rsidRPr="00D857DD" w:rsidRDefault="001832BB" w:rsidP="001832BB">
      <w:pPr>
        <w:pStyle w:val="SingleTxtG"/>
      </w:pPr>
      <w:r w:rsidRPr="00D857DD">
        <w:t>160.</w:t>
      </w:r>
      <w:r w:rsidRPr="00D857DD">
        <w:tab/>
        <w:t xml:space="preserve">Están previstas excepciones para prestar apoyo a las personas con discapacidad y sus cuidadores, las familias que tienen hijos con discapacidad, los cuidadores de acogida, los padres que adoptan, los padres de personal de servicio y las personas que han sufrido duelo. </w:t>
      </w:r>
    </w:p>
    <w:p w14:paraId="61FE8B81" w14:textId="77777777" w:rsidR="001832BB" w:rsidRPr="00D857DD" w:rsidRDefault="001832BB" w:rsidP="001832BB">
      <w:pPr>
        <w:pStyle w:val="SingleTxtG"/>
      </w:pPr>
      <w:r w:rsidRPr="00D857DD">
        <w:t>161.</w:t>
      </w:r>
      <w:r w:rsidRPr="00D857DD">
        <w:tab/>
        <w:t xml:space="preserve">Las deducciones no son aplicables a los pensionistas que perciben prestaciones por vivienda. </w:t>
      </w:r>
    </w:p>
    <w:p w14:paraId="7D3AC29B" w14:textId="77777777" w:rsidR="001832BB" w:rsidRPr="00D857DD" w:rsidRDefault="001832BB" w:rsidP="001832BB">
      <w:pPr>
        <w:pStyle w:val="SingleTxtG"/>
      </w:pPr>
      <w:r w:rsidRPr="00D857DD">
        <w:t>162.</w:t>
      </w:r>
      <w:r w:rsidRPr="00D857DD">
        <w:tab/>
        <w:t xml:space="preserve">Quienes no puedan costearse la totalidad de los gastos de alquiler pueden solicitar a su autoridad local una ayuda discrecional a la vivienda. Esta ayuda puede pagarse a quienes reciban apoyo a la vivienda que reúna determinadas condiciones y no puedan costearse los gastos en concepto de alquiler de vivienda. </w:t>
      </w:r>
    </w:p>
    <w:p w14:paraId="52489FFB" w14:textId="482AE0CE" w:rsidR="001832BB" w:rsidRPr="00D857DD" w:rsidRDefault="00385CF1" w:rsidP="00385CF1">
      <w:pPr>
        <w:pStyle w:val="H1G"/>
      </w:pPr>
      <w:bookmarkStart w:id="107" w:name="_Toc198637788"/>
      <w:r w:rsidRPr="00D857DD">
        <w:tab/>
      </w:r>
      <w:r w:rsidR="001832BB" w:rsidRPr="00D857DD">
        <w:t>23.</w:t>
      </w:r>
      <w:r w:rsidR="001832BB" w:rsidRPr="00D857DD">
        <w:tab/>
        <w:t>Programa de Crédito Universal</w:t>
      </w:r>
      <w:bookmarkEnd w:id="107"/>
    </w:p>
    <w:p w14:paraId="472E3AC6" w14:textId="77777777" w:rsidR="001832BB" w:rsidRPr="00D857DD" w:rsidRDefault="001832BB" w:rsidP="001832BB">
      <w:pPr>
        <w:pStyle w:val="SingleTxtG"/>
      </w:pPr>
      <w:r w:rsidRPr="00D857DD">
        <w:t>163.</w:t>
      </w:r>
      <w:r w:rsidRPr="00D857DD">
        <w:tab/>
        <w:t>El Crédito Universal es objeto actualmente de una media de 280.000 solicitudes nuevas al mes (febrero a abril de 2024)</w:t>
      </w:r>
    </w:p>
    <w:p w14:paraId="5391888F" w14:textId="77777777" w:rsidR="001832BB" w:rsidRPr="00D857DD" w:rsidRDefault="001832BB" w:rsidP="001832BB">
      <w:pPr>
        <w:pStyle w:val="SingleTxtG"/>
      </w:pPr>
      <w:r w:rsidRPr="00D857DD">
        <w:t>164.</w:t>
      </w:r>
      <w:r w:rsidRPr="00D857DD">
        <w:tab/>
        <w:t>En febrero de 2024 había 5,6 millones de hogares acogidos al Crédito Universal, de los cuales 5 millones (91 %) recibían pagos. Cerca de 2 millones de hogares percibían prestaciones y deducciones fiscales conforme a un régimen antiguo.</w:t>
      </w:r>
    </w:p>
    <w:p w14:paraId="1130AC7F" w14:textId="77777777" w:rsidR="001832BB" w:rsidRPr="00D857DD" w:rsidRDefault="001832BB" w:rsidP="001832BB">
      <w:pPr>
        <w:pStyle w:val="SingleTxtG"/>
      </w:pPr>
      <w:r w:rsidRPr="00D857DD">
        <w:t>165.</w:t>
      </w:r>
      <w:r w:rsidRPr="00D857DD">
        <w:tab/>
        <w:t>En abril de 2024 había 6,7 millones de personas acogidas al Crédito Universal, de las cuales 2,5 millones (38 %) estaban empleadas.</w:t>
      </w:r>
    </w:p>
    <w:p w14:paraId="13562FBF" w14:textId="77777777" w:rsidR="001832BB" w:rsidRPr="00D857DD" w:rsidRDefault="001832BB" w:rsidP="001832BB">
      <w:pPr>
        <w:pStyle w:val="SingleTxtG"/>
      </w:pPr>
      <w:r w:rsidRPr="00D857DD">
        <w:t>166.</w:t>
      </w:r>
      <w:r w:rsidRPr="00D857DD">
        <w:tab/>
        <w:t>En mayo de 2024 había 6,8 millones de personas acogidas al Crédito Universal (2,9 millones de hombres y 3,9 millones de mujeres).</w:t>
      </w:r>
    </w:p>
    <w:p w14:paraId="6C728149" w14:textId="77777777" w:rsidR="001832BB" w:rsidRPr="00D857DD" w:rsidRDefault="001832BB" w:rsidP="001832BB">
      <w:pPr>
        <w:pStyle w:val="SingleTxtG"/>
      </w:pPr>
      <w:r w:rsidRPr="00D857DD">
        <w:t>167.</w:t>
      </w:r>
      <w:r w:rsidRPr="00D857DD">
        <w:tab/>
        <w:t xml:space="preserve">El Crédito Universal se está aplicando en Irlanda del Norte conforme a lo acordado por el poder ejecutivo de Irlanda del Norte. Según las últimas estadísticas publicadas en relación con el Programa de Crédito Universal en Irlanda del Norte, a agosto de 2023 había 155.550 solicitantes acogidos al Crédito Universal en un total de 136.520 hogares. </w:t>
      </w:r>
    </w:p>
    <w:p w14:paraId="7FD6B19F" w14:textId="05B36034" w:rsidR="001832BB" w:rsidRPr="00D857DD" w:rsidRDefault="00385CF1" w:rsidP="00385CF1">
      <w:pPr>
        <w:pStyle w:val="H23G"/>
      </w:pPr>
      <w:bookmarkStart w:id="108" w:name="_Toc929643978"/>
      <w:r w:rsidRPr="00D857DD">
        <w:lastRenderedPageBreak/>
        <w:tab/>
      </w:r>
      <w:r w:rsidR="001832BB" w:rsidRPr="00D857DD">
        <w:tab/>
        <w:t>Tasa de reducción</w:t>
      </w:r>
      <w:bookmarkEnd w:id="108"/>
    </w:p>
    <w:p w14:paraId="6A691460" w14:textId="77777777" w:rsidR="001832BB" w:rsidRPr="00D857DD" w:rsidRDefault="001832BB" w:rsidP="001832BB">
      <w:pPr>
        <w:pStyle w:val="SingleTxtG"/>
      </w:pPr>
      <w:r w:rsidRPr="00D857DD">
        <w:t>168.</w:t>
      </w:r>
      <w:r w:rsidRPr="00D857DD">
        <w:tab/>
        <w:t>Cuando la tasa de reducción de los ingresos percibidos en concepto de Crédito Universal disminuyó del 63 % al 55 % en noviembre de 2021, el Ministerio de Trabajo y Pensiones también aumentó los subsidios de trabajo en 500 libras esterlinas al año. Los subsidios de trabajo son la cuantía de los ingresos con los que se puede quedar un solicitante con hijos con capacidad limitada para trabajar por un trastorno de la salud o discapacidad antes de que se aplique la reducción. Se estimó que, por término medio, 1,7 millones de hogares se quedarían con 1.000 libras al año más como consecuencia de las dos medidas y que ello permitiría a los hogares quedarse con una proporción mayor de lo que ganan, lo cual reforzaría los incentivos para empezar a trabajar y progresar en el trabajo.</w:t>
      </w:r>
    </w:p>
    <w:p w14:paraId="5C3F8B34" w14:textId="063AC7C9" w:rsidR="001832BB" w:rsidRPr="00D857DD" w:rsidRDefault="00385CF1" w:rsidP="00385CF1">
      <w:pPr>
        <w:pStyle w:val="H1G"/>
      </w:pPr>
      <w:bookmarkStart w:id="109" w:name="_Toc253149326"/>
      <w:bookmarkStart w:id="110" w:name="_Hlk164777973"/>
      <w:r w:rsidRPr="00D857DD">
        <w:tab/>
      </w:r>
      <w:r w:rsidR="001832BB" w:rsidRPr="00D857DD">
        <w:t>24.</w:t>
      </w:r>
      <w:r w:rsidR="001832BB" w:rsidRPr="00D857DD">
        <w:tab/>
        <w:t xml:space="preserve">Indexación de las prestaciones sociales del Estado al costo </w:t>
      </w:r>
      <w:r w:rsidR="001A51A6" w:rsidRPr="00D857DD">
        <w:br/>
      </w:r>
      <w:r w:rsidR="001832BB" w:rsidRPr="00D857DD">
        <w:t>de la vida</w:t>
      </w:r>
      <w:bookmarkEnd w:id="109"/>
    </w:p>
    <w:p w14:paraId="0CCC2C0D" w14:textId="7468844C" w:rsidR="001832BB" w:rsidRPr="00D857DD" w:rsidRDefault="00385CF1" w:rsidP="00385CF1">
      <w:pPr>
        <w:pStyle w:val="H23G"/>
      </w:pPr>
      <w:bookmarkStart w:id="111" w:name="_Toc264763990"/>
      <w:bookmarkEnd w:id="110"/>
      <w:r w:rsidRPr="00D857DD">
        <w:tab/>
      </w:r>
      <w:r w:rsidR="001832BB" w:rsidRPr="00D857DD">
        <w:tab/>
        <w:t>Metodología del subsidio de alojamiento local</w:t>
      </w:r>
      <w:bookmarkEnd w:id="111"/>
    </w:p>
    <w:p w14:paraId="0FC2A041" w14:textId="77777777" w:rsidR="001832BB" w:rsidRPr="00D857DD" w:rsidRDefault="001832BB" w:rsidP="001832BB">
      <w:pPr>
        <w:pStyle w:val="SingleTxtG"/>
      </w:pPr>
      <w:r w:rsidRPr="00D857DD">
        <w:t>169.</w:t>
      </w:r>
      <w:r w:rsidRPr="00D857DD">
        <w:tab/>
        <w:t>Los montos del subsidio de alojamiento local se fijan dentro de zonas amplias del mercado de alquileres determinadas por funcionarios de alquileres de la Agencia de Oficinas de Evaluación de Inglaterra y de los Servicios de Alquileres de Escocia y Gales.</w:t>
      </w:r>
    </w:p>
    <w:p w14:paraId="388A9390" w14:textId="77777777" w:rsidR="001832BB" w:rsidRPr="00D857DD" w:rsidRDefault="001832BB" w:rsidP="001832BB">
      <w:pPr>
        <w:pStyle w:val="SingleTxtG"/>
      </w:pPr>
      <w:r w:rsidRPr="00D857DD">
        <w:t>170.</w:t>
      </w:r>
      <w:r w:rsidRPr="00D857DD">
        <w:tab/>
        <w:t>Para cada una de estas zonas los funcionarios de alquileres recopilan de las inmobiliarias datos sobre los alquileres locales que se utilizan para fijar los montos del subsidio de alojamiento local sobre la base de los alquileres privados a precio de mercado que se pagan en la zona, que pueden ser distintos de los alquileres anunciados.</w:t>
      </w:r>
    </w:p>
    <w:p w14:paraId="374BCCC3" w14:textId="77777777" w:rsidR="001832BB" w:rsidRPr="00D857DD" w:rsidRDefault="001832BB" w:rsidP="001832BB">
      <w:pPr>
        <w:pStyle w:val="SingleTxtG"/>
      </w:pPr>
      <w:r w:rsidRPr="00D857DD">
        <w:t>171.</w:t>
      </w:r>
      <w:r w:rsidRPr="00D857DD">
        <w:tab/>
        <w:t>Cada una de estas zonas tiene cinco montos del subsidio de alojamiento local que van de un monto para alojamiento compartido a un monto máximo para un alojamiento de cuatro dormitorios. Se emplean criterios de tamaño para determinar el número de dormitorios que necesita un hogar.</w:t>
      </w:r>
    </w:p>
    <w:p w14:paraId="71FB1952" w14:textId="77777777" w:rsidR="001832BB" w:rsidRPr="00D857DD" w:rsidRDefault="001832BB" w:rsidP="001832BB">
      <w:pPr>
        <w:pStyle w:val="SingleTxtG"/>
      </w:pPr>
      <w:r w:rsidRPr="00D857DD">
        <w:t>172.</w:t>
      </w:r>
      <w:r w:rsidRPr="00D857DD">
        <w:tab/>
        <w:t>En abril de 2024 los montos del subsidio de alojamiento local se aumentaron al 30º percentil de los alquileres a precio de mercado locales. Un total de 1,6 millones de inquilinos privados que perciben prestaciones por vivienda o el Crédito Universal recibirán una suma anual de casi 800 libras esterlinas en concepto de ayuda adicional para sufragar los costos del alquiler en 2024/25.</w:t>
      </w:r>
    </w:p>
    <w:p w14:paraId="49075FBE" w14:textId="77777777" w:rsidR="001832BB" w:rsidRPr="00D857DD" w:rsidRDefault="001832BB" w:rsidP="001832BB">
      <w:pPr>
        <w:pStyle w:val="SingleTxtG"/>
      </w:pPr>
      <w:r w:rsidRPr="00D857DD">
        <w:t>173.</w:t>
      </w:r>
      <w:r w:rsidRPr="00D857DD">
        <w:tab/>
        <w:t xml:space="preserve">Quienes no pueden costearse la totalidad de los gastos en concepto de alquiler de vivienda pueden dirigirse a las autoridades locales para recibir ayudas discrecionales a la vivienda. </w:t>
      </w:r>
    </w:p>
    <w:p w14:paraId="3AF0C6BA" w14:textId="2978CF0B" w:rsidR="001832BB" w:rsidRPr="00D857DD" w:rsidRDefault="00385CF1" w:rsidP="00385CF1">
      <w:pPr>
        <w:pStyle w:val="H23G"/>
      </w:pPr>
      <w:bookmarkStart w:id="112" w:name="_Toc1680751782"/>
      <w:r w:rsidRPr="00D857DD">
        <w:tab/>
      </w:r>
      <w:r w:rsidR="001832BB" w:rsidRPr="00D857DD">
        <w:tab/>
        <w:t>Nivel máximo de las prestaciones</w:t>
      </w:r>
      <w:bookmarkEnd w:id="112"/>
    </w:p>
    <w:p w14:paraId="4204AB15" w14:textId="77777777" w:rsidR="001832BB" w:rsidRPr="00D857DD" w:rsidRDefault="001832BB" w:rsidP="001832BB">
      <w:pPr>
        <w:pStyle w:val="SingleTxtG"/>
      </w:pPr>
      <w:r w:rsidRPr="00D857DD">
        <w:t>174.</w:t>
      </w:r>
      <w:r w:rsidRPr="00D857DD">
        <w:tab/>
        <w:t>El anterior Secretario de Estado realizó en noviembre de 2022 un examen reglamentario de los niveles máximos de las prestaciones en el marco del cual tuvo en cuenta datos objetivos y estadísticas que obraban en poder del Ministerio, las opiniones transmitidas periódicamente de distintos modos por las partes interesadas y las consecuencias de otras políticas y decisiones o los efectos en estas.</w:t>
      </w:r>
    </w:p>
    <w:p w14:paraId="4824127B" w14:textId="14871E5C" w:rsidR="001832BB" w:rsidRPr="00D857DD" w:rsidRDefault="001832BB" w:rsidP="001832BB">
      <w:pPr>
        <w:pStyle w:val="SingleTxtG"/>
      </w:pPr>
      <w:r w:rsidRPr="00D857DD">
        <w:t>175.</w:t>
      </w:r>
      <w:r w:rsidRPr="00D857DD">
        <w:tab/>
        <w:t xml:space="preserve">Se publican trimestralmente estadísticas sobre los niveles máximos de las prestaciones. Las estadísticas publicadas el 19 de septiembre de 2023 en relación con el número de hogares sujetos a niveles máximos a mayo de 2023 reflejan el incremento de los niveles máximos de las prestaciones introducido en abril de 2023. Nivel máximo de las prestaciones: número de hogares sujetos a niveles máximos a mayo de 2023 </w:t>
      </w:r>
      <w:r w:rsidR="001A51A6" w:rsidRPr="00D857DD">
        <w:t>–</w:t>
      </w:r>
      <w:r w:rsidRPr="00D857DD">
        <w:t xml:space="preserve"> </w:t>
      </w:r>
      <w:proofErr w:type="spellStart"/>
      <w:r w:rsidRPr="00D857DD">
        <w:t>GOV.UK</w:t>
      </w:r>
      <w:proofErr w:type="spellEnd"/>
      <w:r w:rsidRPr="00D857DD">
        <w:t xml:space="preserve"> (</w:t>
      </w:r>
      <w:proofErr w:type="spellStart"/>
      <w:r w:rsidRPr="00D857DD">
        <w:t>www.gov.uk</w:t>
      </w:r>
      <w:proofErr w:type="spellEnd"/>
      <w:r w:rsidRPr="00D857DD">
        <w:t>).</w:t>
      </w:r>
    </w:p>
    <w:p w14:paraId="2AE5C7F6" w14:textId="61ECADEB" w:rsidR="001832BB" w:rsidRPr="00D857DD" w:rsidRDefault="00385CF1" w:rsidP="00385CF1">
      <w:pPr>
        <w:pStyle w:val="H23G"/>
      </w:pPr>
      <w:bookmarkStart w:id="113" w:name="_Toc1501272166"/>
      <w:r w:rsidRPr="00D857DD">
        <w:tab/>
      </w:r>
      <w:r w:rsidR="001832BB" w:rsidRPr="00D857DD">
        <w:tab/>
        <w:t xml:space="preserve">Idoneidad del monto del Crédito Universal </w:t>
      </w:r>
      <w:bookmarkEnd w:id="113"/>
    </w:p>
    <w:p w14:paraId="4C34E296" w14:textId="77777777" w:rsidR="001832BB" w:rsidRPr="00D857DD" w:rsidRDefault="001832BB" w:rsidP="001832BB">
      <w:pPr>
        <w:pStyle w:val="SingleTxtG"/>
      </w:pPr>
      <w:r w:rsidRPr="00D857DD">
        <w:t>176.</w:t>
      </w:r>
      <w:r w:rsidRPr="00D857DD">
        <w:tab/>
        <w:t>Los montos actuales de las prestaciones relacionadas con los ingresos, como el Crédito Universal, no representan un requisito mínimo. El Gobierno especifica los montos aplicables a las distintas prestaciones, que puede que varíen en función de las circunstancias de los solicitantes.</w:t>
      </w:r>
    </w:p>
    <w:p w14:paraId="23E57381" w14:textId="77777777" w:rsidR="001832BB" w:rsidRPr="00D857DD" w:rsidRDefault="001832BB" w:rsidP="001832BB">
      <w:pPr>
        <w:pStyle w:val="SingleTxtG"/>
      </w:pPr>
      <w:r w:rsidRPr="00D857DD">
        <w:lastRenderedPageBreak/>
        <w:t>177.</w:t>
      </w:r>
      <w:r w:rsidRPr="00D857DD">
        <w:tab/>
        <w:t xml:space="preserve">Los requisitos varían en función de cada solicitante; en consecuencia, con el sistema de prestaciones no se pretende basar los montos en el gasto personal de cada beneficiario. </w:t>
      </w:r>
    </w:p>
    <w:p w14:paraId="348CDBA1" w14:textId="10A3978F" w:rsidR="001832BB" w:rsidRPr="00D857DD" w:rsidRDefault="00385CF1" w:rsidP="00385CF1">
      <w:pPr>
        <w:pStyle w:val="H23G"/>
      </w:pPr>
      <w:bookmarkStart w:id="114" w:name="_Toc1734013341"/>
      <w:r w:rsidRPr="00D857DD">
        <w:tab/>
      </w:r>
      <w:r w:rsidR="001832BB" w:rsidRPr="00D857DD">
        <w:tab/>
        <w:t>Pagos por costo de la vida</w:t>
      </w:r>
      <w:bookmarkEnd w:id="114"/>
    </w:p>
    <w:p w14:paraId="1AD27912" w14:textId="77777777" w:rsidR="001832BB" w:rsidRPr="00D857DD" w:rsidRDefault="001832BB" w:rsidP="001832BB">
      <w:pPr>
        <w:pStyle w:val="SingleTxtG"/>
      </w:pPr>
      <w:r w:rsidRPr="00D857DD">
        <w:t>178.</w:t>
      </w:r>
      <w:r w:rsidRPr="00D857DD">
        <w:tab/>
        <w:t>El costo de la vida fue objeto de mayor presión en el Reino Unido en 2022 como consecuencia de factores de ámbito nacional y mundial como la recuperación económica después de la pandemia de COVID-19 y la guerra en Ucrania. Ante ello, el Ministerio de Trabajo y Pensiones, junto con la Agencia de Hacienda y Aduanas de la Corona y el Ministerio de Defensa, ha legislado la institución de pagos proporcionales por costo de la vida y su desembolso como medida provisional para prestar apoyo a millones de familias de todo el Reino Unido que son las más vulnerables a dicho aumento del costo de la vida.</w:t>
      </w:r>
    </w:p>
    <w:p w14:paraId="177B6941" w14:textId="77777777" w:rsidR="001832BB" w:rsidRPr="00D857DD" w:rsidRDefault="001832BB" w:rsidP="001832BB">
      <w:pPr>
        <w:pStyle w:val="SingleTxtG"/>
      </w:pPr>
      <w:r w:rsidRPr="00D857DD">
        <w:t>179.</w:t>
      </w:r>
      <w:r w:rsidRPr="00D857DD">
        <w:tab/>
        <w:t>En 2022 más de 8 millones de hogares que percibían prestaciones determinadas en función de los medios que cumplían los requisitos recibieron hasta 650 libras esterlinas en forma de pagos únicos en concepto de costo de la vida.</w:t>
      </w:r>
    </w:p>
    <w:p w14:paraId="7481A18D" w14:textId="77777777" w:rsidR="001832BB" w:rsidRPr="00D857DD" w:rsidRDefault="001832BB" w:rsidP="001832BB">
      <w:pPr>
        <w:pStyle w:val="SingleTxtG"/>
      </w:pPr>
      <w:r w:rsidRPr="00D857DD">
        <w:t>180.</w:t>
      </w:r>
      <w:r w:rsidRPr="00D857DD">
        <w:tab/>
        <w:t>En 2023/2024 el Gobierno desembolsó una segunda tanda de pagos adicionales en concepto de costo de la vida. Más de 8 millones de hogares que percibían prestaciones determinadas en función de los medios que cumplían los requisitos recibieron hasta 900 libras en forma de pagos únicos en concepto de costo de la vida.</w:t>
      </w:r>
    </w:p>
    <w:p w14:paraId="2C1F8E3E" w14:textId="77777777" w:rsidR="001832BB" w:rsidRPr="00D857DD" w:rsidRDefault="001832BB" w:rsidP="001832BB">
      <w:pPr>
        <w:pStyle w:val="SingleTxtG"/>
      </w:pPr>
      <w:r w:rsidRPr="00D857DD">
        <w:t>181.</w:t>
      </w:r>
      <w:r w:rsidRPr="00D857DD">
        <w:tab/>
        <w:t>En 2022/23 y en 2023/24 se desembolsaron a hogares que reunían los requisitos correspondientes pagos por discapacidad de 150 libras en concepto de costo de la vida y pagos para pensionistas por ese mismo concepto de 300 libras. Más de 6 millones de personas recibieron este pago de 150 libras, y en 2023/24 casi 9 millones de hogares de pensionistas recibieron el de 300 libras, además del pago en concepto de calefacción.</w:t>
      </w:r>
    </w:p>
    <w:p w14:paraId="51A0A947" w14:textId="3928F513" w:rsidR="001832BB" w:rsidRPr="00D857DD" w:rsidRDefault="001832BB" w:rsidP="001832BB">
      <w:pPr>
        <w:pStyle w:val="SingleTxtG"/>
      </w:pPr>
      <w:r w:rsidRPr="00D857DD">
        <w:t>182.</w:t>
      </w:r>
      <w:r w:rsidRPr="00D857DD">
        <w:tab/>
        <w:t>En total, el Gobierno desembolsó 77 millones de pagos en concepto de costo de la vida por un valor de 20.000 millones de libras esterlinas. El apoyo total prestado en el período 2022</w:t>
      </w:r>
      <w:r w:rsidR="00385CF1" w:rsidRPr="00D857DD">
        <w:noBreakHyphen/>
      </w:r>
      <w:r w:rsidRPr="00D857DD">
        <w:t>2025 para ayudar a los hogares y las personas a hacer frente al aumento de las facturas asciende a 108.000 millones de libras.</w:t>
      </w:r>
    </w:p>
    <w:p w14:paraId="1B8AF0F2" w14:textId="10CC6A79" w:rsidR="001832BB" w:rsidRPr="00D857DD" w:rsidRDefault="00385CF1" w:rsidP="00385CF1">
      <w:pPr>
        <w:pStyle w:val="H23G"/>
      </w:pPr>
      <w:bookmarkStart w:id="115" w:name="_Toc1245917814"/>
      <w:r w:rsidRPr="00D857DD">
        <w:tab/>
      </w:r>
      <w:r w:rsidR="001832BB" w:rsidRPr="00D857DD">
        <w:tab/>
        <w:t>Controversias motivadas por sanciones</w:t>
      </w:r>
      <w:bookmarkEnd w:id="115"/>
    </w:p>
    <w:p w14:paraId="3C4A39D3" w14:textId="77777777" w:rsidR="001832BB" w:rsidRPr="00D857DD" w:rsidRDefault="001832BB" w:rsidP="001832BB">
      <w:pPr>
        <w:pStyle w:val="SingleTxtG"/>
      </w:pPr>
      <w:r w:rsidRPr="00D857DD">
        <w:t>183.</w:t>
      </w:r>
      <w:r w:rsidRPr="00D857DD">
        <w:tab/>
        <w:t>En el Reino Unido la revisión de una decisión de sanción en el ámbito de la seguridad social, conocida con el nombre de revisión obligatoria, corresponde a una instancia decisoria aparte que vuelve a examinar las pruebas desde el principio. No existen plazos de prescripción para solicitar la revisión de una decisión de sanción. Aunque no existe un plazo fijado en relación con la decisión correspondiente a la revisión obligatoria, las decisiones se adoptan sin demoras, y examinamos permanentemente nuestros procesos para garantizar a el mejor servicio posible a los clientes.</w:t>
      </w:r>
    </w:p>
    <w:p w14:paraId="06991931" w14:textId="77777777" w:rsidR="001832BB" w:rsidRPr="00D857DD" w:rsidRDefault="001832BB" w:rsidP="001832BB">
      <w:pPr>
        <w:pStyle w:val="SingleTxtG"/>
      </w:pPr>
      <w:r w:rsidRPr="00D857DD">
        <w:t>184.</w:t>
      </w:r>
      <w:r w:rsidRPr="00D857DD">
        <w:tab/>
        <w:t>La decisión relativa a la revisión obligatoria puede recurrirse ante un tribunal independiente administrado por el Servicio de Cortes y Tribunales de la Corona.</w:t>
      </w:r>
    </w:p>
    <w:p w14:paraId="3A680F7E" w14:textId="734EB52A" w:rsidR="001832BB" w:rsidRPr="00D857DD" w:rsidRDefault="00385CF1" w:rsidP="00385CF1">
      <w:pPr>
        <w:pStyle w:val="H1G"/>
      </w:pPr>
      <w:bookmarkStart w:id="116" w:name="_Toc507260301"/>
      <w:r w:rsidRPr="00D857DD">
        <w:tab/>
      </w:r>
      <w:r w:rsidR="001832BB" w:rsidRPr="00D857DD">
        <w:t>25.</w:t>
      </w:r>
      <w:r w:rsidR="001832BB" w:rsidRPr="00D857DD">
        <w:tab/>
        <w:t>Acceso por no nacionales a servicios de la seguridad social</w:t>
      </w:r>
      <w:bookmarkEnd w:id="116"/>
    </w:p>
    <w:p w14:paraId="4527326F" w14:textId="77777777" w:rsidR="001832BB" w:rsidRPr="00D857DD" w:rsidRDefault="001832BB" w:rsidP="001832BB">
      <w:pPr>
        <w:pStyle w:val="SingleTxtG"/>
      </w:pPr>
      <w:r w:rsidRPr="00D857DD">
        <w:t>185.</w:t>
      </w:r>
      <w:r w:rsidRPr="00D857DD">
        <w:tab/>
        <w:t>En la información que figura en el sitio de gov.uk sobre la solicitud por refugiados del Crédito Universal y otras prestaciones figuran las medidas correspondientes y lo que se necesita para solicitar este tipo de prestaciones. En el sitio se hace referencia al apoyo prestado por Migrant Help (Ayuda a los migrantes), que recibe fondos del Ministerio del Interior para ayudar a las personas cuya solicitud de asilo acabe de ser objeto de una decisión positiva en relación con la solicitud de prestaciones, el empleo y la vivienda.</w:t>
      </w:r>
    </w:p>
    <w:p w14:paraId="0BC6A81D" w14:textId="021460CB" w:rsidR="001832BB" w:rsidRPr="00D857DD" w:rsidRDefault="00385CF1" w:rsidP="00385CF1">
      <w:pPr>
        <w:pStyle w:val="HChG"/>
      </w:pPr>
      <w:bookmarkStart w:id="117" w:name="_Toc1136047744"/>
      <w:bookmarkStart w:id="118" w:name="_Hlk164331540"/>
      <w:r w:rsidRPr="00D857DD">
        <w:lastRenderedPageBreak/>
        <w:tab/>
      </w:r>
      <w:r w:rsidR="001832BB" w:rsidRPr="00D857DD">
        <w:tab/>
        <w:t>Protección de la familia y la infancia (art. 10)</w:t>
      </w:r>
      <w:bookmarkEnd w:id="117"/>
    </w:p>
    <w:p w14:paraId="5F2C2791" w14:textId="38090208" w:rsidR="001832BB" w:rsidRPr="00D857DD" w:rsidRDefault="00385CF1" w:rsidP="00385CF1">
      <w:pPr>
        <w:pStyle w:val="H1G"/>
      </w:pPr>
      <w:bookmarkStart w:id="119" w:name="_Toc908082053"/>
      <w:bookmarkStart w:id="120" w:name="_Hlk164331587"/>
      <w:bookmarkEnd w:id="118"/>
      <w:r w:rsidRPr="00D857DD">
        <w:tab/>
      </w:r>
      <w:r w:rsidR="001832BB" w:rsidRPr="00D857DD">
        <w:t>26.</w:t>
      </w:r>
      <w:r w:rsidR="001832BB" w:rsidRPr="00D857DD">
        <w:tab/>
        <w:t xml:space="preserve">Servicios de cuidado de los niños, licencia parental compartida </w:t>
      </w:r>
      <w:r w:rsidRPr="00D857DD">
        <w:br/>
      </w:r>
      <w:r w:rsidR="001832BB" w:rsidRPr="00D857DD">
        <w:t>y licencia de maternidad remunerada</w:t>
      </w:r>
      <w:bookmarkEnd w:id="119"/>
    </w:p>
    <w:bookmarkEnd w:id="120"/>
    <w:p w14:paraId="3BF6C702" w14:textId="77777777" w:rsidR="001832BB" w:rsidRPr="00D857DD" w:rsidRDefault="001832BB" w:rsidP="001832BB">
      <w:pPr>
        <w:pStyle w:val="SingleTxtG"/>
      </w:pPr>
      <w:r w:rsidRPr="00D857DD">
        <w:t>186.</w:t>
      </w:r>
      <w:r w:rsidRPr="00D857DD">
        <w:tab/>
        <w:t>Según la evaluación de la licencia parental compartida</w:t>
      </w:r>
      <w:r w:rsidRPr="00D857DD">
        <w:rPr>
          <w:sz w:val="18"/>
          <w:szCs w:val="18"/>
          <w:vertAlign w:val="superscript"/>
        </w:rPr>
        <w:footnoteReference w:id="16"/>
      </w:r>
      <w:r w:rsidRPr="00D857DD">
        <w:t>, el número de padres que pueden optar a ella es cercano a 275.000, y su uso fue del 5 % de los padres y el 1 % de las madres en 2019.</w:t>
      </w:r>
    </w:p>
    <w:p w14:paraId="053D6FB2" w14:textId="77777777" w:rsidR="001832BB" w:rsidRPr="00D857DD" w:rsidRDefault="001832BB" w:rsidP="001832BB">
      <w:pPr>
        <w:pStyle w:val="SingleTxtG"/>
      </w:pPr>
      <w:r w:rsidRPr="00D857DD">
        <w:t>187.</w:t>
      </w:r>
      <w:r w:rsidRPr="00D857DD">
        <w:tab/>
        <w:t xml:space="preserve">El 8 de marzo de 2024 entraron en vigor nuevos cambios en materia de licencia de paternidad en virtud de los cuales: </w:t>
      </w:r>
    </w:p>
    <w:p w14:paraId="20F2BC95" w14:textId="3581E832" w:rsidR="001832BB" w:rsidRPr="00D857DD" w:rsidRDefault="00385CF1" w:rsidP="00385CF1">
      <w:pPr>
        <w:pStyle w:val="Bullet1G"/>
      </w:pPr>
      <w:r w:rsidRPr="00D857DD">
        <w:t>S</w:t>
      </w:r>
      <w:r w:rsidR="001832BB" w:rsidRPr="00D857DD">
        <w:t>e permite a los padres y a la pareja tomarse la licencia en tramos no consecutivos (dos semanas no consecutivas de licencia frente a un tramo de licencia de una o de dos semanas)</w:t>
      </w:r>
      <w:r w:rsidRPr="00D857DD">
        <w:t>.</w:t>
      </w:r>
    </w:p>
    <w:p w14:paraId="1B396D75" w14:textId="30005118" w:rsidR="001832BB" w:rsidRPr="00D857DD" w:rsidRDefault="00385CF1" w:rsidP="00385CF1">
      <w:pPr>
        <w:pStyle w:val="Bullet1G"/>
      </w:pPr>
      <w:r w:rsidRPr="00D857DD">
        <w:t>S</w:t>
      </w:r>
      <w:r w:rsidR="001832BB" w:rsidRPr="00D857DD">
        <w:t>e permite a los padres y a la pareja tomarse la licencia de paternidad y la remuneración reglamentaria por paternidad (de poder optar a ella) en cualquier momento del primer año contado desde el nacimiento o adopción de su hijo, lo cual permite mayor flexibilidad para que los miembros de la pareja se tomen la licencia de paternidad en un momento que convenga a la familia</w:t>
      </w:r>
      <w:r w:rsidRPr="00D857DD">
        <w:t>.</w:t>
      </w:r>
    </w:p>
    <w:p w14:paraId="0528E65E" w14:textId="38B029AE" w:rsidR="001832BB" w:rsidRPr="00D857DD" w:rsidRDefault="00385CF1" w:rsidP="00385CF1">
      <w:pPr>
        <w:pStyle w:val="Bullet1G"/>
      </w:pPr>
      <w:r w:rsidRPr="00D857DD">
        <w:t>S</w:t>
      </w:r>
      <w:r w:rsidR="001832BB" w:rsidRPr="00D857DD">
        <w:t xml:space="preserve">e acorta el período de preaviso exigido para cada tramo de licencia al exigir al empleado que presente el preaviso solo cuatro semanas antes de cada tramo de licencia. </w:t>
      </w:r>
    </w:p>
    <w:p w14:paraId="0D1A54DB" w14:textId="77777777" w:rsidR="001832BB" w:rsidRPr="00D857DD" w:rsidRDefault="001832BB" w:rsidP="001832BB">
      <w:pPr>
        <w:pStyle w:val="SingleTxtG"/>
      </w:pPr>
      <w:r w:rsidRPr="00D857DD">
        <w:t>188.</w:t>
      </w:r>
      <w:r w:rsidRPr="00D857DD">
        <w:tab/>
        <w:t>El nuevo Gobierno laborista se ha comprometido a examinar el sistema de licencia parental y la paga correspondiente en un plazo de un año. Este examen irá dirigido a velar por que la licencia parental ofrezca el mejor apoyo posible a las familias trabajadoras.</w:t>
      </w:r>
    </w:p>
    <w:p w14:paraId="46360B95" w14:textId="17540AAE" w:rsidR="001832BB" w:rsidRPr="00D857DD" w:rsidRDefault="00385CF1" w:rsidP="00385CF1">
      <w:pPr>
        <w:pStyle w:val="H23G"/>
      </w:pPr>
      <w:bookmarkStart w:id="121" w:name="_Toc362140008"/>
      <w:r w:rsidRPr="00D857DD">
        <w:tab/>
      </w:r>
      <w:r w:rsidR="001832BB" w:rsidRPr="00D857DD">
        <w:tab/>
        <w:t>Otras jurisdicciones</w:t>
      </w:r>
      <w:bookmarkEnd w:id="121"/>
    </w:p>
    <w:p w14:paraId="22672B8C" w14:textId="77777777" w:rsidR="001832BB" w:rsidRPr="00D857DD" w:rsidRDefault="001832BB" w:rsidP="001832BB">
      <w:pPr>
        <w:pStyle w:val="SingleTxtG"/>
      </w:pPr>
      <w:r w:rsidRPr="00D857DD">
        <w:t>189.</w:t>
      </w:r>
      <w:r w:rsidRPr="00D857DD">
        <w:tab/>
        <w:t>En virtud de su programa gubernamental, el Gobierno de Escocia se comprometió a ampliar su programa de atención del niño para facilitar a 13.000 niños y familias más el acceso a atención financiada.</w:t>
      </w:r>
    </w:p>
    <w:p w14:paraId="6AFE5A38" w14:textId="1692B7C8" w:rsidR="001832BB" w:rsidRPr="00D857DD" w:rsidRDefault="001832BB" w:rsidP="001832BB">
      <w:pPr>
        <w:pStyle w:val="SingleTxtG"/>
      </w:pPr>
      <w:r w:rsidRPr="00D857DD">
        <w:t>190.</w:t>
      </w:r>
      <w:r w:rsidRPr="00D857DD">
        <w:tab/>
        <w:t xml:space="preserve">Desde agosto de 2021 todos los niños de </w:t>
      </w:r>
      <w:r w:rsidR="00154B3F" w:rsidRPr="00D857DD">
        <w:t>3</w:t>
      </w:r>
      <w:r w:rsidRPr="00D857DD">
        <w:t xml:space="preserve"> y </w:t>
      </w:r>
      <w:r w:rsidR="00154B3F" w:rsidRPr="00D857DD">
        <w:t>4</w:t>
      </w:r>
      <w:r w:rsidRPr="00D857DD">
        <w:t xml:space="preserve"> años y los niños de </w:t>
      </w:r>
      <w:r w:rsidR="00154B3F" w:rsidRPr="00D857DD">
        <w:t>2</w:t>
      </w:r>
      <w:r w:rsidRPr="00D857DD">
        <w:t xml:space="preserve"> años que reúnan determinadas condiciones tienen derecho legal a hasta 1.140 horas anuales financiadas de educación y cuidado de los niños en la primera infancia. Las autoridades locales están obligadas a tener disponible una plaza para todos los niños de su zona que cumplan los requisitos prescritos, y en 2023-</w:t>
      </w:r>
      <w:r w:rsidR="00154B3F" w:rsidRPr="00D857DD">
        <w:t>20</w:t>
      </w:r>
      <w:r w:rsidRPr="00D857DD">
        <w:t xml:space="preserve">24 invertiremos al respecto 1.000 millones de libras esterlinas. Según el censo más reciente de la educación y el cuidado de los niños en la primera infancia, en 2022 accedieron a esta modalidad financiada más de 92.500 niños, lo cual supone un aumento del 1 % con respecto a 2021. La proporción estimada de niños de </w:t>
      </w:r>
      <w:r w:rsidR="007862AB" w:rsidRPr="00D857DD">
        <w:t>3</w:t>
      </w:r>
      <w:r w:rsidRPr="00D857DD">
        <w:t xml:space="preserve"> y </w:t>
      </w:r>
      <w:r w:rsidR="007862AB" w:rsidRPr="00D857DD">
        <w:t>4</w:t>
      </w:r>
      <w:r w:rsidRPr="00D857DD">
        <w:t xml:space="preserve"> años registrados como beneficiarios de educación y cuidado en la primera infancia financiados aumentó del 97 % en 2021 al 99 % en 2022.</w:t>
      </w:r>
    </w:p>
    <w:p w14:paraId="3AD817AC" w14:textId="77777777" w:rsidR="001832BB" w:rsidRPr="00D857DD" w:rsidRDefault="001832BB" w:rsidP="001832BB">
      <w:pPr>
        <w:pStyle w:val="SingleTxtG"/>
      </w:pPr>
      <w:r w:rsidRPr="00D857DD">
        <w:t>191.</w:t>
      </w:r>
      <w:r w:rsidRPr="00D857DD">
        <w:tab/>
        <w:t>Se han adoptado medidas iniciales para fundamentar la Estrategia del poder ejecutivo de Irlanda del Norte en materia de educación y cuidado de los niños en la primera infancia y contribuir a la asequibilidad y la accesibilidad de este tipo de servicios para las familias, incluidas las desfavorecidas y las afectadas por otras cuestiones.</w:t>
      </w:r>
    </w:p>
    <w:p w14:paraId="0F10E8BF" w14:textId="77777777" w:rsidR="001832BB" w:rsidRPr="00D857DD" w:rsidRDefault="001832BB" w:rsidP="001832BB">
      <w:pPr>
        <w:pStyle w:val="SingleTxtG"/>
      </w:pPr>
      <w:r w:rsidRPr="00D857DD">
        <w:t>192.</w:t>
      </w:r>
      <w:r w:rsidRPr="00D857DD">
        <w:tab/>
        <w:t xml:space="preserve">El poder ejecutivo de Irlanda del Norte ha acordado un presupuesto de 25 millones de libras esterlinas para el ejercicio económico 2024/25 en relación con un conjunto de medidas en materia de educación y cuidado de los niños en la primera infancia dirigidas a estabilizar este sector y respaldar su ampliación; poner en marcha la normalización del actual programa de educación preescolar para ofrecer a todos los niños 22,5 horas semanales de este tipo de educación; reducir los costos que supone el cuidado de los niños para los progenitores trabajadores y crear la base empírica necesaria para sentar las bases de la elaboración de la estrategia a más largo plazo. Durante los próximos meses se hará hincapié en la aplicación </w:t>
      </w:r>
      <w:r w:rsidRPr="00D857DD">
        <w:lastRenderedPageBreak/>
        <w:t>de las medidas en materia de educación y cuidado de los niños en la primera infancia anunciadas para 2024/25. La evaluación de estas medidas y el análisis de los datos aportados por progenitores y proveedores que se recopilen en 2024/25 servirán de base a la elaboración de la estrategia a más largo plazo, el presupuesto necesario y un calendario de ejecución viable. El Parlamento de la Isla de Man aprobó en julio de 2022 la Estrategia de su gobierno de cuidado de los niños, que se aplicará en los próximos tres años. Con ello se garantizará a todos los niños la oportunidad de acceder a cuidados y educación de calidad. Actualmente existe un programa de crédito preescolar que ofrece Crédito Universal destinado a sufragar los gastos preescolares de cada niño que cumpla los requisitos, con lo cual quedan cubiertas entre 15 y 20 horas semanales de servicios de guardería por cada niño registrado. El gobierno ofrece un subsidio por maternidad pagadero por un máximo de 39 semanas para el que se exigen condiciones de carácter amplio.</w:t>
      </w:r>
    </w:p>
    <w:p w14:paraId="16BD90E6" w14:textId="77777777" w:rsidR="001832BB" w:rsidRPr="00D857DD" w:rsidRDefault="001832BB" w:rsidP="001832BB">
      <w:pPr>
        <w:pStyle w:val="SingleTxtG"/>
      </w:pPr>
      <w:bookmarkStart w:id="122" w:name="_Hlk166583314"/>
      <w:r w:rsidRPr="00D857DD">
        <w:t>193.</w:t>
      </w:r>
      <w:r w:rsidRPr="00D857DD">
        <w:tab/>
        <w:t>En Jersey se empezaron a aplicar en septiembre de 2021 las recomendaciones de la Junta para la elaboración de la política para la primera infancia con un aumento de las horas financiadas mediante el Fondo para la Educación Preescolar ofrecidas a los niños de 3 y 4 años, lo cual vino acompañado de un aumento de la tarifa horaria del Fondo.</w:t>
      </w:r>
    </w:p>
    <w:p w14:paraId="016C9329" w14:textId="77777777" w:rsidR="001832BB" w:rsidRPr="00D857DD" w:rsidRDefault="001832BB" w:rsidP="001832BB">
      <w:pPr>
        <w:pStyle w:val="SingleTxtG"/>
      </w:pPr>
      <w:bookmarkStart w:id="123" w:name="_Hlk164332015"/>
      <w:bookmarkEnd w:id="122"/>
      <w:r w:rsidRPr="00D857DD">
        <w:t>194.</w:t>
      </w:r>
      <w:r w:rsidRPr="00D857DD">
        <w:tab/>
        <w:t>En Guernsey se ofrecen 15 horas de atención preescolar por niño en el año anterior al comienzo de la escuela primaria. Además, para prestar apoyo a los progenitores que trabajan también se ofrece el pago de los costos de la atención del niño en forma de apoyo a los ingresos, determinado en función de los medios.</w:t>
      </w:r>
    </w:p>
    <w:p w14:paraId="3D5649F0" w14:textId="78144D83" w:rsidR="001832BB" w:rsidRPr="00D857DD" w:rsidRDefault="00385CF1" w:rsidP="00385CF1">
      <w:pPr>
        <w:pStyle w:val="H1G"/>
      </w:pPr>
      <w:bookmarkStart w:id="124" w:name="_Toc303617361"/>
      <w:r w:rsidRPr="00D857DD">
        <w:tab/>
      </w:r>
      <w:r w:rsidR="001832BB" w:rsidRPr="00D857DD">
        <w:t>27.</w:t>
      </w:r>
      <w:r w:rsidR="001832BB" w:rsidRPr="00D857DD">
        <w:tab/>
        <w:t xml:space="preserve">Regulación y control de los proveedores de servicios de protección </w:t>
      </w:r>
      <w:r w:rsidRPr="00D857DD">
        <w:br/>
      </w:r>
      <w:r w:rsidR="001832BB" w:rsidRPr="00D857DD">
        <w:t>de la infancia privados y con fines de lucro</w:t>
      </w:r>
      <w:bookmarkEnd w:id="124"/>
    </w:p>
    <w:bookmarkEnd w:id="123"/>
    <w:p w14:paraId="325F3EF3" w14:textId="384DB142" w:rsidR="001832BB" w:rsidRPr="00D857DD" w:rsidRDefault="001832BB" w:rsidP="001832BB">
      <w:pPr>
        <w:pStyle w:val="SingleTxtG"/>
      </w:pPr>
      <w:r w:rsidRPr="00D857DD">
        <w:t>195.</w:t>
      </w:r>
      <w:r w:rsidRPr="00D857DD">
        <w:tab/>
        <w:t>El artículo 22G de la Ley de la Infancia de 1989 impone a cada autoridad local encargada de prestar servicios sociales la obligación (</w:t>
      </w:r>
      <w:r w:rsidR="004C2891" w:rsidRPr="00D857DD">
        <w:t>“</w:t>
      </w:r>
      <w:r w:rsidRPr="00D857DD">
        <w:t>obligación de suficiencia</w:t>
      </w:r>
      <w:r w:rsidR="004C2891" w:rsidRPr="00D857DD">
        <w:t>”</w:t>
      </w:r>
      <w:r w:rsidRPr="00D857DD">
        <w:t>) de adoptar medidas que garanticen en la medida de lo razonable el suministro en su zona de alojamiento que atienda las necesidades de los niños que tiene a su cargo.</w:t>
      </w:r>
    </w:p>
    <w:p w14:paraId="0AFECF84" w14:textId="649A7BAC" w:rsidR="001832BB" w:rsidRPr="00D857DD" w:rsidRDefault="001832BB" w:rsidP="001832BB">
      <w:pPr>
        <w:pStyle w:val="SingleTxtG"/>
      </w:pPr>
      <w:r w:rsidRPr="00D857DD">
        <w:t>196.</w:t>
      </w:r>
      <w:r w:rsidRPr="00D857DD">
        <w:tab/>
        <w:t>Para ayudar a las autoridades locales a cumplir su obligación de suficiencia, el Ministerio de Educación les asigna fondos por valor de 424 millones de libras esterlinas (259</w:t>
      </w:r>
      <w:r w:rsidR="007862AB" w:rsidRPr="00D857DD">
        <w:t> </w:t>
      </w:r>
      <w:r w:rsidRPr="00D857DD">
        <w:t>millones de libras con cargo al examen de los gastos de 2021 y otros 165 millones anunciados en el presupuesto para la primavera de 2024) para que mantengan la capacidad y amplíen la prestación de servicios en los sectores de los hogares infantiles abiertos y los hogares infantiles seguros de Inglaterra.</w:t>
      </w:r>
    </w:p>
    <w:p w14:paraId="6C6BA942" w14:textId="77777777" w:rsidR="001832BB" w:rsidRPr="00D857DD" w:rsidRDefault="001832BB" w:rsidP="001832BB">
      <w:pPr>
        <w:pStyle w:val="SingleTxtG"/>
      </w:pPr>
      <w:r w:rsidRPr="00D857DD">
        <w:t>197.</w:t>
      </w:r>
      <w:r w:rsidRPr="00D857DD">
        <w:tab/>
        <w:t>Está previsto que, gracias a los fondos con cargo al examen de los gastos de 2021 destinados a acogimientos en hogares infantiles abiertos y combinados por igual con aportaciones en paralelo del Ministerio de Educación e inversiones de las autoridades locales, se creen 95 hogares nuevos, con lo cual para marzo de 2025 se dispondrá en toda Inglaterra de 360 acogimientos más. Gracias a los fondos también se crearán 62 acogimientos adicionales de asistencia social y 10 acogimientos en régimen de incorporación comunitaria gradual en el marco del programa de hogares infantiles seguros mediante dos nuevas construcciones y una reconstrucción de un hogar infantil seguro programadas para el próximo período de examen del gasto, así como obras de renovación de un hogar infantil seguro existente.</w:t>
      </w:r>
    </w:p>
    <w:p w14:paraId="79492C8E" w14:textId="77777777" w:rsidR="001832BB" w:rsidRPr="00D857DD" w:rsidRDefault="001832BB" w:rsidP="001832BB">
      <w:pPr>
        <w:pStyle w:val="SingleTxtG"/>
      </w:pPr>
      <w:r w:rsidRPr="00D857DD">
        <w:t>198.</w:t>
      </w:r>
      <w:r w:rsidRPr="00D857DD">
        <w:tab/>
        <w:t>En el presupuesto para la primavera de 2024, el Ministerio de Educación comprometió en régimen de aportación en paralelo una suma adicional de 45 millones de libras esterlinas para las autoridades locales con el objeto de crear otros 200 acogimientos en hogares infantiles abiertos y 120 millones de libras destinadas a financiar el mantenimiento de hogares infantiles seguros existentes y la reconstrucción de los hogares infantiles seguros de Atkinson y Swanwick.</w:t>
      </w:r>
    </w:p>
    <w:p w14:paraId="073F2CDD" w14:textId="2B09AD12" w:rsidR="001832BB" w:rsidRPr="00D857DD" w:rsidRDefault="00385CF1" w:rsidP="00385CF1">
      <w:pPr>
        <w:pStyle w:val="H23G"/>
      </w:pPr>
      <w:bookmarkStart w:id="125" w:name="_Toc2030985908"/>
      <w:bookmarkStart w:id="126" w:name="_Hlk164778069"/>
      <w:r w:rsidRPr="00D857DD">
        <w:tab/>
      </w:r>
      <w:r w:rsidR="001832BB" w:rsidRPr="00D857DD">
        <w:tab/>
        <w:t xml:space="preserve">Acogimientos </w:t>
      </w:r>
      <w:r w:rsidR="004C2891" w:rsidRPr="00D857DD">
        <w:t>“</w:t>
      </w:r>
      <w:r w:rsidR="001832BB" w:rsidRPr="00D857DD">
        <w:t>no regulados</w:t>
      </w:r>
      <w:bookmarkEnd w:id="125"/>
      <w:r w:rsidR="004C2891" w:rsidRPr="00D857DD">
        <w:t>”</w:t>
      </w:r>
    </w:p>
    <w:bookmarkEnd w:id="126"/>
    <w:p w14:paraId="1DA8D5B5" w14:textId="77777777" w:rsidR="001832BB" w:rsidRPr="00D857DD" w:rsidRDefault="001832BB" w:rsidP="001832BB">
      <w:pPr>
        <w:pStyle w:val="SingleTxtG"/>
      </w:pPr>
      <w:r w:rsidRPr="00D857DD">
        <w:t>199.</w:t>
      </w:r>
      <w:r w:rsidRPr="00D857DD">
        <w:tab/>
        <w:t xml:space="preserve">En abril de 2023 el Ministerio de Educación estableció reglamentos para implantar normas nacionales obligatorias y requisitos de la Oficina de Control de los Niveles de Educación, Servicios y Formación de la Infancia (Ofsted) en materia de registro e inspección </w:t>
      </w:r>
      <w:r w:rsidRPr="00D857DD">
        <w:lastRenderedPageBreak/>
        <w:t xml:space="preserve">con respecto al alojamiento asistido no regulado de niños de 16 y 17 años en régimen de acogida y a otros que van a abandonar dicho régimen (alojamiento asistido). </w:t>
      </w:r>
    </w:p>
    <w:p w14:paraId="711B35CD" w14:textId="77777777" w:rsidR="001832BB" w:rsidRPr="00D857DD" w:rsidRDefault="001832BB" w:rsidP="001832BB">
      <w:pPr>
        <w:pStyle w:val="SingleTxtG"/>
      </w:pPr>
      <w:r w:rsidRPr="00D857DD">
        <w:t>200.</w:t>
      </w:r>
      <w:r w:rsidRPr="00D857DD">
        <w:tab/>
        <w:t>Desde el 28 de octubre de 2023 las autoridades locales tienen prohibido organizar o dispensar alojamiento asistido no regulado a los niños de 16 y 17 años en régimen de acogida o que van a abandonar dicho régimen o a niños de esa edad cuya solicitud de registro se haya aceptado antes de esa fecha.</w:t>
      </w:r>
    </w:p>
    <w:p w14:paraId="3BEBEA64" w14:textId="77777777" w:rsidR="001832BB" w:rsidRPr="00D857DD" w:rsidRDefault="001832BB" w:rsidP="001832BB">
      <w:pPr>
        <w:pStyle w:val="SingleTxtG"/>
      </w:pPr>
      <w:r w:rsidRPr="00D857DD">
        <w:t>201.</w:t>
      </w:r>
      <w:r w:rsidRPr="00D857DD">
        <w:tab/>
        <w:t xml:space="preserve">De ese modo, por primera vez toda prestación de servicios de cuidado y apoyo a los niños menores de 18 años en régimen de acogida o que van a abandonar dicho régimen debe registrarse y regularse ante Ofsted, que empezará a realizar inspecciones periódicas de los proveedores de alojamiento asistido en septiembre de 2024. </w:t>
      </w:r>
    </w:p>
    <w:p w14:paraId="648BCDFA" w14:textId="77777777" w:rsidR="001832BB" w:rsidRPr="00D857DD" w:rsidRDefault="001832BB" w:rsidP="001832BB">
      <w:pPr>
        <w:pStyle w:val="SingleTxtG"/>
      </w:pPr>
      <w:r w:rsidRPr="00D857DD">
        <w:t>202.</w:t>
      </w:r>
      <w:r w:rsidRPr="00D857DD">
        <w:tab/>
        <w:t>Para ayudar a las autoridades locales en relación con las reformas, el Ministerio de Educación distribuirá 123 millones de libras esterlinas entre 2023 y 2025, y encargó a la Oficina Nacional de la Infancia la dirección de un programa nacional de sensibilización del sector y preparación de los proveedores que se ejecutó de marzo de 2023 a marzo de 2024.</w:t>
      </w:r>
    </w:p>
    <w:p w14:paraId="6269CCE1" w14:textId="6E855171" w:rsidR="001832BB" w:rsidRPr="00D857DD" w:rsidRDefault="00385CF1" w:rsidP="00385CF1">
      <w:pPr>
        <w:pStyle w:val="H23G"/>
      </w:pPr>
      <w:bookmarkStart w:id="127" w:name="_Toc404415368"/>
      <w:r w:rsidRPr="00D857DD">
        <w:tab/>
      </w:r>
      <w:r w:rsidR="001832BB" w:rsidRPr="00D857DD">
        <w:tab/>
        <w:t>Regulación de los hogares infantiles</w:t>
      </w:r>
      <w:bookmarkEnd w:id="127"/>
    </w:p>
    <w:p w14:paraId="0FE5C482" w14:textId="77777777" w:rsidR="001832BB" w:rsidRPr="00D857DD" w:rsidRDefault="001832BB" w:rsidP="001832BB">
      <w:pPr>
        <w:pStyle w:val="SingleTxtG"/>
      </w:pPr>
      <w:r w:rsidRPr="00D857DD">
        <w:t>203.</w:t>
      </w:r>
      <w:r w:rsidRPr="00D857DD">
        <w:tab/>
        <w:t>Los hogares infantiles se rigen por el Reglamento de hogares infantiles (Inglaterra) de 2015. En el Reglamento figuran normas de calidad relativas a las aspiraciones y los resultados positivos cuyo logro por los hogares tenemos previsto. También se indican los requisitos básicos que deben cumplir los hogares para conseguir estos resultados generales.</w:t>
      </w:r>
    </w:p>
    <w:p w14:paraId="7CB070DC" w14:textId="77777777" w:rsidR="001832BB" w:rsidRPr="00D857DD" w:rsidRDefault="001832BB" w:rsidP="001832BB">
      <w:pPr>
        <w:pStyle w:val="SingleTxtG"/>
      </w:pPr>
      <w:r w:rsidRPr="00D857DD">
        <w:t>204.</w:t>
      </w:r>
      <w:r w:rsidRPr="00D857DD">
        <w:tab/>
        <w:t>Ofsted, que es la autoridad ante la que deben registrarse los hogares infantiles, regula e inspecciona estos a fin de determinar la calidad del acogimiento dispensado a los niños.</w:t>
      </w:r>
    </w:p>
    <w:p w14:paraId="17E6AC9F" w14:textId="4AA3A1AE" w:rsidR="001832BB" w:rsidRPr="00D857DD" w:rsidRDefault="00385CF1" w:rsidP="00385CF1">
      <w:pPr>
        <w:pStyle w:val="H1G"/>
      </w:pPr>
      <w:bookmarkStart w:id="128" w:name="_Toc752638203"/>
      <w:r w:rsidRPr="00D857DD">
        <w:tab/>
      </w:r>
      <w:r w:rsidR="001832BB" w:rsidRPr="00D857DD">
        <w:t>28.</w:t>
      </w:r>
      <w:r w:rsidR="001832BB" w:rsidRPr="00D857DD">
        <w:tab/>
        <w:t>Servicios de atención social</w:t>
      </w:r>
      <w:bookmarkEnd w:id="128"/>
    </w:p>
    <w:p w14:paraId="07791D9E" w14:textId="65B16124" w:rsidR="001832BB" w:rsidRPr="00D857DD" w:rsidRDefault="001832BB" w:rsidP="001832BB">
      <w:pPr>
        <w:pStyle w:val="SingleTxtG"/>
      </w:pPr>
      <w:r w:rsidRPr="00D857DD">
        <w:t>205.</w:t>
      </w:r>
      <w:r w:rsidRPr="00D857DD">
        <w:tab/>
        <w:t>En virtud de la declaración formulada en otoño de 2022, el Gobierno aportó en Inglaterra fondos adicionales por valor de hasta 7.500 millones de libras esterlinas a lo largo de 2023-</w:t>
      </w:r>
      <w:r w:rsidR="007862AB" w:rsidRPr="00D857DD">
        <w:t>20</w:t>
      </w:r>
      <w:r w:rsidRPr="00D857DD">
        <w:t>24 y 2024-</w:t>
      </w:r>
      <w:r w:rsidR="007862AB" w:rsidRPr="00D857DD">
        <w:t>20</w:t>
      </w:r>
      <w:r w:rsidRPr="00D857DD">
        <w:t xml:space="preserve">25 para contribuir al apoyo a la atención social de adultos y a las altas de dichos adultos. Esta suma se complementó con otros 570 millones de libras procedentes del Fondo de Sostenibilidad y Mejora de los Mercados: Fondo para la Fuerza de Trabajo (MSIF), anunciado en julio de 2023. Esta financiación tenía por objeto ayudar a las autoridades locales a comprar más paquetes de asistencia, ayudar a las personas a salir del hospital a tiempo, mejorar la contratación y retención de mano de obra y reducir los tiempos de espera para recibir atención. </w:t>
      </w:r>
    </w:p>
    <w:p w14:paraId="4C71DF4F" w14:textId="77777777" w:rsidR="001832BB" w:rsidRPr="00D857DD" w:rsidRDefault="001832BB" w:rsidP="001832BB">
      <w:pPr>
        <w:pStyle w:val="SingleTxtG"/>
      </w:pPr>
      <w:r w:rsidRPr="00D857DD">
        <w:t>206.</w:t>
      </w:r>
      <w:r w:rsidRPr="00D857DD">
        <w:tab/>
        <w:t xml:space="preserve">La Comisión de Calidad de los Servicios de Atención es el ente independiente regulador de la atención sanitaria y la atención social dispensada a adultos. Se encarga del registro y regulación de los proveedores de atención sanitaria y atención social para adultos que llevan a cabo actividades reguladas para velar por que cumplan las normas de atención mínimas fundamentales. Conforme al artículo 12 del Reglamento de la Ley de Atención Social y Sanitaria de 2008 (Actividades reguladas) de 2014, los proveedores deben garantizar la seguridad de sus locales y del equipo que está presente en ellos. Deben contar con sistemas y procesos que garanticen el cumplimiento de los requisitos reglamentarios, la orientación nacional y las alertas en materia de seguridad, lo cual comprende la atención prestada en residencias de ancianos y de otro tipo y en centros tanto públicos como privados, de los cuales actualmente están registrados unos 14.300. </w:t>
      </w:r>
    </w:p>
    <w:p w14:paraId="4790BA48" w14:textId="77777777" w:rsidR="001832BB" w:rsidRPr="00D857DD" w:rsidRDefault="001832BB" w:rsidP="001832BB">
      <w:pPr>
        <w:pStyle w:val="SingleTxtG"/>
      </w:pPr>
      <w:r w:rsidRPr="00D857DD">
        <w:t>207.</w:t>
      </w:r>
      <w:r w:rsidRPr="00D857DD">
        <w:tab/>
        <w:t>En junio de 2023 el Gobierno publicó el examen de la atención segura a domicilio</w:t>
      </w:r>
      <w:r w:rsidRPr="00D857DD">
        <w:rPr>
          <w:sz w:val="18"/>
          <w:szCs w:val="18"/>
          <w:vertAlign w:val="superscript"/>
        </w:rPr>
        <w:footnoteReference w:id="17"/>
      </w:r>
      <w:r w:rsidRPr="00D857DD">
        <w:t>, que se centró en la protección y el apoyo para adultos dispensados a adultos con necesidades de atención y apoyo que sufren o corren riesgo de sufrir en su propio hogar abusos cometidos por las personas que les dispensan atención. El Ministerio del Interior y el Departamento de Salud y Atención Social han actuado en respuesta a todas las medidas derivadas del examen de la atención segura a domicilio.</w:t>
      </w:r>
    </w:p>
    <w:p w14:paraId="16473B2B" w14:textId="1AF2DB9B" w:rsidR="001832BB" w:rsidRPr="00D857DD" w:rsidRDefault="00385CF1" w:rsidP="00385CF1">
      <w:pPr>
        <w:pStyle w:val="H23G"/>
      </w:pPr>
      <w:bookmarkStart w:id="129" w:name="_Toc969086548"/>
      <w:bookmarkStart w:id="130" w:name="_Hlk164778205"/>
      <w:r w:rsidRPr="00D857DD">
        <w:lastRenderedPageBreak/>
        <w:tab/>
      </w:r>
      <w:r w:rsidR="001832BB" w:rsidRPr="00D857DD">
        <w:tab/>
        <w:t>Otras jurisdicciones</w:t>
      </w:r>
      <w:bookmarkEnd w:id="129"/>
    </w:p>
    <w:p w14:paraId="45B5A063" w14:textId="6B28CBF8" w:rsidR="001832BB" w:rsidRPr="00D857DD" w:rsidRDefault="00385CF1" w:rsidP="00385CF1">
      <w:pPr>
        <w:pStyle w:val="H4G"/>
      </w:pPr>
      <w:bookmarkStart w:id="131" w:name="_Hlk164778210"/>
      <w:bookmarkEnd w:id="130"/>
      <w:r w:rsidRPr="00D857DD">
        <w:tab/>
      </w:r>
      <w:r w:rsidR="001832BB" w:rsidRPr="00D857DD">
        <w:tab/>
        <w:t>Escocia</w:t>
      </w:r>
    </w:p>
    <w:bookmarkEnd w:id="131"/>
    <w:p w14:paraId="63D6BF8B" w14:textId="77777777" w:rsidR="001832BB" w:rsidRPr="00D857DD" w:rsidRDefault="001832BB" w:rsidP="001832BB">
      <w:pPr>
        <w:pStyle w:val="SingleTxtG"/>
      </w:pPr>
      <w:r w:rsidRPr="00D857DD">
        <w:t>208.</w:t>
      </w:r>
      <w:r w:rsidRPr="00D857DD">
        <w:tab/>
        <w:t xml:space="preserve">El Organismo de Salud Pública y el Censo de Hogares de Atención de Escocia publican información sobre los servicios para este tipo de hogares prestados en Escocia de la que hacen uso los encargados de formular políticas y los hogares de ese tipo que prestan servicios. El Órgano de Inspección de la Atención es el organismo regulador encargado de prestar servicios de atención en Escocia. Puede consultarse información sobre vacantes en su sitio web. </w:t>
      </w:r>
    </w:p>
    <w:p w14:paraId="407F1F92" w14:textId="5BBA856A" w:rsidR="001832BB" w:rsidRPr="00D857DD" w:rsidRDefault="00385CF1" w:rsidP="00385CF1">
      <w:pPr>
        <w:pStyle w:val="H4G"/>
      </w:pPr>
      <w:r w:rsidRPr="00D857DD">
        <w:tab/>
      </w:r>
      <w:r w:rsidR="001832BB" w:rsidRPr="00D857DD">
        <w:tab/>
        <w:t>Irlanda del Norte</w:t>
      </w:r>
    </w:p>
    <w:p w14:paraId="67EB0957" w14:textId="77777777" w:rsidR="001832BB" w:rsidRPr="00D857DD" w:rsidRDefault="001832BB" w:rsidP="001832BB">
      <w:pPr>
        <w:pStyle w:val="SingleTxtG"/>
      </w:pPr>
      <w:r w:rsidRPr="00D857DD">
        <w:t>209.</w:t>
      </w:r>
      <w:r w:rsidRPr="00D857DD">
        <w:tab/>
        <w:t>El objetivo principal de las residencias para personas necesitadas de asistencia es dispensar atención y apoyo a las personas que padecen trastornos complejos, tienen discapacidad o padecen una enfermedad terminal. Estas residencias se definen en el artículo 11 de la Orden sobre la Salud y los Servicios Sociales Personales (Calidad, Mejora y Reglamentación) (Irlanda del Norte) de 2003.</w:t>
      </w:r>
    </w:p>
    <w:p w14:paraId="3ED23EA0" w14:textId="77777777" w:rsidR="001832BB" w:rsidRPr="00D857DD" w:rsidRDefault="001832BB" w:rsidP="001832BB">
      <w:pPr>
        <w:pStyle w:val="SingleTxtG"/>
      </w:pPr>
      <w:r w:rsidRPr="00D857DD">
        <w:t>210.</w:t>
      </w:r>
      <w:r w:rsidRPr="00D857DD">
        <w:tab/>
        <w:t>Los centros de asistencia residencial están atendidos 24 horas al día y prestan servicios de alojamiento y atención personal general a los residentes. Dichos centros son instalaciones especializadas que dispensan atención y apoyo las 24 horas del día a las personas que por enfermedad, edad o discapacidad necesitan asistencia para el desempeño de actividades cotidianas en circunstancias en las que la asistencia en residencias para personas necesitadas de asistencia sería inapropiada. Aparecen definidos en el artículo 10 de la Orden sobre la Salud y los Servicios Sociales Personales (Calidad, Mejora y Reglamentación) (Irlanda del Norte) de 2003.</w:t>
      </w:r>
    </w:p>
    <w:p w14:paraId="22B948CF" w14:textId="10B7130C" w:rsidR="001832BB" w:rsidRPr="00D857DD" w:rsidRDefault="00385CF1" w:rsidP="00385CF1">
      <w:pPr>
        <w:pStyle w:val="HChG"/>
      </w:pPr>
      <w:bookmarkStart w:id="132" w:name="_Toc403592557"/>
      <w:bookmarkStart w:id="133" w:name="_Hlk164778322"/>
      <w:r w:rsidRPr="00D857DD">
        <w:tab/>
      </w:r>
      <w:r w:rsidR="001832BB" w:rsidRPr="00D857DD">
        <w:tab/>
        <w:t>Derecho a un nivel de vida adecuado (art. 11)</w:t>
      </w:r>
      <w:bookmarkEnd w:id="132"/>
    </w:p>
    <w:p w14:paraId="392AE805" w14:textId="5A626496" w:rsidR="001832BB" w:rsidRPr="00D857DD" w:rsidRDefault="00385CF1" w:rsidP="00385CF1">
      <w:pPr>
        <w:pStyle w:val="H1G"/>
      </w:pPr>
      <w:bookmarkStart w:id="134" w:name="_Hlk164778330"/>
      <w:bookmarkStart w:id="135" w:name="_Toc621772161"/>
      <w:bookmarkEnd w:id="133"/>
      <w:r w:rsidRPr="00D857DD">
        <w:tab/>
      </w:r>
      <w:r w:rsidR="001832BB" w:rsidRPr="00D857DD">
        <w:t>29.</w:t>
      </w:r>
      <w:r w:rsidR="001832BB" w:rsidRPr="00D857DD">
        <w:tab/>
        <w:t>Índices de pobreza</w:t>
      </w:r>
      <w:bookmarkEnd w:id="134"/>
      <w:bookmarkEnd w:id="135"/>
    </w:p>
    <w:p w14:paraId="3E13D1D9" w14:textId="77777777" w:rsidR="001832BB" w:rsidRPr="00D857DD" w:rsidRDefault="001832BB" w:rsidP="001832BB">
      <w:pPr>
        <w:pStyle w:val="SingleTxtG"/>
      </w:pPr>
      <w:r w:rsidRPr="00D857DD">
        <w:t>211.</w:t>
      </w:r>
      <w:r w:rsidRPr="00D857DD">
        <w:tab/>
        <w:t xml:space="preserve">En la publicación anual sobre los hogares que perciben ingresos inferiores a la media figuran estimaciones de los ingresos de los hogares y una serie de indicadores de ingresos bajos procedentes de la encuesta sobre los recursos familiares. </w:t>
      </w:r>
    </w:p>
    <w:p w14:paraId="196636FE" w14:textId="77777777" w:rsidR="001832BB" w:rsidRPr="00D857DD" w:rsidRDefault="001832BB" w:rsidP="001832BB">
      <w:pPr>
        <w:pStyle w:val="SingleTxtG"/>
      </w:pPr>
      <w:r w:rsidRPr="00D857DD">
        <w:t>212.</w:t>
      </w:r>
      <w:r w:rsidRPr="00D857DD">
        <w:tab/>
        <w:t>En 2022/23 (último año sobre el que se dispone de datos publicados) 14,3 millones de personas (21 %) padecían pobreza relativa (descontados los gastos de vivienda), en comparación con 13,5 millones de personas (22 %) en 2009/10. En 2022/23, un total de 12 millones de personas (18 %) padecían pobreza absoluta (descontados los gastos de vivienda) en comparación con 13,1 millones de personas (21 %) en 2009/10.</w:t>
      </w:r>
    </w:p>
    <w:p w14:paraId="01587ADB" w14:textId="77777777" w:rsidR="001832BB" w:rsidRPr="00D857DD" w:rsidRDefault="001832BB" w:rsidP="001832BB">
      <w:pPr>
        <w:pStyle w:val="SingleTxtG"/>
      </w:pPr>
      <w:r w:rsidRPr="00D857DD">
        <w:t>213.</w:t>
      </w:r>
      <w:r w:rsidRPr="00D857DD">
        <w:tab/>
        <w:t>En 2022/23 un total de 4,3 millones de niños (30 %) padecían pobreza relativa (descontados los gastos de vivienda) en comparación con 3,9 millones (29 %) en 2009/10. En 2022/23 un total de 3,6 millones de niños (25 %) padecían pobreza absoluta (descontados los gastos de vivienda) en comparación con 3,7 millones (28 %) en 2009/10.</w:t>
      </w:r>
    </w:p>
    <w:p w14:paraId="3A6DC919" w14:textId="77777777" w:rsidR="001832BB" w:rsidRPr="00D857DD" w:rsidRDefault="001832BB" w:rsidP="001832BB">
      <w:pPr>
        <w:pStyle w:val="SingleTxtG"/>
      </w:pPr>
      <w:r w:rsidRPr="00D857DD">
        <w:t>214.</w:t>
      </w:r>
      <w:r w:rsidRPr="00D857DD">
        <w:tab/>
        <w:t>El Gobierno del Reino Unido ha asumido el compromiso de hacer frente a la pobreza, en particular reformando el apoyo al empleo para ayudar a las personas a obtener trabajos buenos y elaborando una estrategia integral de reducción de la pobreza infantil. Tras las elecciones generales de julio de 2024 el Gobierno del Reino Unido no ha anunciado todavía planes detallados de la futura orientación de las políticas en este ámbito, pero espera poder presentar información actualizada al Comité durante el diálogo interactivo.</w:t>
      </w:r>
    </w:p>
    <w:p w14:paraId="20C89E00" w14:textId="17AD8A86" w:rsidR="001832BB" w:rsidRPr="00D857DD" w:rsidRDefault="00385CF1" w:rsidP="00385CF1">
      <w:pPr>
        <w:pStyle w:val="H23G"/>
      </w:pPr>
      <w:bookmarkStart w:id="136" w:name="_Toc951389850"/>
      <w:r w:rsidRPr="00D857DD">
        <w:tab/>
      </w:r>
      <w:r w:rsidR="001832BB" w:rsidRPr="00D857DD">
        <w:tab/>
        <w:t>Otras jurisdicciones</w:t>
      </w:r>
      <w:bookmarkEnd w:id="136"/>
    </w:p>
    <w:p w14:paraId="4B6223BE" w14:textId="6C8EA34E" w:rsidR="001832BB" w:rsidRPr="00D857DD" w:rsidRDefault="00385CF1" w:rsidP="00385CF1">
      <w:pPr>
        <w:pStyle w:val="H4G"/>
      </w:pPr>
      <w:r w:rsidRPr="00D857DD">
        <w:tab/>
      </w:r>
      <w:r w:rsidR="001832BB" w:rsidRPr="00D857DD">
        <w:tab/>
        <w:t>Escocia</w:t>
      </w:r>
    </w:p>
    <w:p w14:paraId="0F01FD47" w14:textId="12782E71" w:rsidR="001832BB" w:rsidRPr="00D857DD" w:rsidRDefault="001832BB" w:rsidP="001832BB">
      <w:pPr>
        <w:pStyle w:val="SingleTxtG"/>
      </w:pPr>
      <w:r w:rsidRPr="00D857DD">
        <w:t>215.</w:t>
      </w:r>
      <w:r w:rsidRPr="00D857DD">
        <w:tab/>
        <w:t>En la Ley sobre la Pobreza Infantil (Escocia) de 2017 se fijan por ley ambiciosas metas en función de los ingresos para reducir notablemente la pobreza infantil para 2030-</w:t>
      </w:r>
      <w:r w:rsidR="007862AB" w:rsidRPr="00D857DD">
        <w:t>20</w:t>
      </w:r>
      <w:r w:rsidRPr="00D857DD">
        <w:t>31, así como metas provisionales de cumplimiento previsto en 2023-</w:t>
      </w:r>
      <w:r w:rsidR="007862AB" w:rsidRPr="00D857DD">
        <w:t>20</w:t>
      </w:r>
      <w:r w:rsidRPr="00D857DD">
        <w:t xml:space="preserve">24. </w:t>
      </w:r>
    </w:p>
    <w:p w14:paraId="5A5E4AAF" w14:textId="4FD824AA" w:rsidR="001832BB" w:rsidRPr="00D857DD" w:rsidRDefault="001832BB" w:rsidP="001832BB">
      <w:pPr>
        <w:pStyle w:val="SingleTxtG"/>
      </w:pPr>
      <w:r w:rsidRPr="00D857DD">
        <w:lastRenderedPageBreak/>
        <w:t>216.</w:t>
      </w:r>
      <w:r w:rsidRPr="00D857DD">
        <w:tab/>
        <w:t xml:space="preserve">El Gobierno de Escocia ha publicado dos planes de acción de lucha contra la pobreza infantil: </w:t>
      </w:r>
      <w:r w:rsidR="004C2891" w:rsidRPr="00D857DD">
        <w:t>“</w:t>
      </w:r>
      <w:r w:rsidRPr="00D857DD">
        <w:t>Todos los niños, todas las oportunidades</w:t>
      </w:r>
      <w:r w:rsidR="004C2891" w:rsidRPr="00D857DD">
        <w:t>”</w:t>
      </w:r>
      <w:r w:rsidRPr="00D857DD">
        <w:t xml:space="preserve"> y </w:t>
      </w:r>
      <w:r w:rsidR="004C2891" w:rsidRPr="00D857DD">
        <w:t>“</w:t>
      </w:r>
      <w:r w:rsidRPr="00D857DD">
        <w:t>El mejor comienzo, futuros brillantes</w:t>
      </w:r>
      <w:r w:rsidR="004C2891" w:rsidRPr="00D857DD">
        <w:t>”</w:t>
      </w:r>
      <w:r w:rsidRPr="00D857DD">
        <w:t>. En el plan final, que deberá publicarse a fines de marzo de 2026, se expondrán medidas para el período comprendido entre 2026 y 2031, ambos inclusive.</w:t>
      </w:r>
    </w:p>
    <w:p w14:paraId="6E63F6C2" w14:textId="77777777" w:rsidR="001832BB" w:rsidRPr="00D857DD" w:rsidDel="005B06E0" w:rsidRDefault="001832BB" w:rsidP="001832BB">
      <w:pPr>
        <w:pStyle w:val="SingleTxtG"/>
      </w:pPr>
      <w:r w:rsidRPr="00D857DD">
        <w:t>217.</w:t>
      </w:r>
      <w:r w:rsidRPr="00D857DD">
        <w:tab/>
        <w:t>El Gobierno de Escocia publica informes anuales sobre la evolución de la pobreza infantil. El último se publicó en junio de 2023.</w:t>
      </w:r>
    </w:p>
    <w:p w14:paraId="0BFE72DB" w14:textId="6BA34CCF" w:rsidR="001832BB" w:rsidRPr="00D857DD" w:rsidRDefault="00385CF1" w:rsidP="00385CF1">
      <w:pPr>
        <w:pStyle w:val="H4G"/>
      </w:pPr>
      <w:bookmarkStart w:id="137" w:name="_Hlk164778467"/>
      <w:r w:rsidRPr="00D857DD">
        <w:tab/>
      </w:r>
      <w:r w:rsidR="001832BB" w:rsidRPr="00D857DD">
        <w:tab/>
        <w:t>Guernsey</w:t>
      </w:r>
    </w:p>
    <w:p w14:paraId="3B88F122" w14:textId="316E47C3" w:rsidR="001832BB" w:rsidRPr="00D857DD" w:rsidRDefault="001832BB" w:rsidP="001832BB">
      <w:pPr>
        <w:pStyle w:val="SingleTxtG"/>
      </w:pPr>
      <w:r w:rsidRPr="00D857DD">
        <w:t>218.</w:t>
      </w:r>
      <w:r w:rsidRPr="00D857DD">
        <w:tab/>
        <w:t>El informe sobre los indicadores de la pobreza en Guernsey en 2021 se publicó el</w:t>
      </w:r>
      <w:r w:rsidR="00772DDB" w:rsidRPr="00D857DD">
        <w:t> </w:t>
      </w:r>
      <w:r w:rsidRPr="00D857DD">
        <w:t>25</w:t>
      </w:r>
      <w:r w:rsidR="00772DDB" w:rsidRPr="00D857DD">
        <w:t> </w:t>
      </w:r>
      <w:r w:rsidRPr="00D857DD">
        <w:t>de abril de 2023.</w:t>
      </w:r>
      <w:bookmarkEnd w:id="137"/>
    </w:p>
    <w:p w14:paraId="0F977A53" w14:textId="0142E588" w:rsidR="001832BB" w:rsidRPr="00D857DD" w:rsidRDefault="00385CF1" w:rsidP="00385CF1">
      <w:pPr>
        <w:pStyle w:val="H1G"/>
      </w:pPr>
      <w:bookmarkStart w:id="138" w:name="_Toc2011684610"/>
      <w:bookmarkStart w:id="139" w:name="_Hlk164778487"/>
      <w:r w:rsidRPr="00D857DD">
        <w:rPr>
          <w:bCs/>
        </w:rPr>
        <w:tab/>
      </w:r>
      <w:r w:rsidR="001832BB" w:rsidRPr="00D857DD">
        <w:rPr>
          <w:bCs/>
        </w:rPr>
        <w:t>30.</w:t>
      </w:r>
      <w:r w:rsidR="001832BB" w:rsidRPr="00D857DD">
        <w:tab/>
        <w:t>Información sobre los asuntos siguientes</w:t>
      </w:r>
      <w:bookmarkEnd w:id="138"/>
    </w:p>
    <w:p w14:paraId="413C74E1" w14:textId="542FF3F4" w:rsidR="001832BB" w:rsidRPr="00D857DD" w:rsidRDefault="001832BB" w:rsidP="00385CF1">
      <w:pPr>
        <w:pStyle w:val="H23G"/>
      </w:pPr>
      <w:bookmarkStart w:id="140" w:name="_Toc1629226971"/>
      <w:r w:rsidRPr="00D857DD">
        <w:tab/>
      </w:r>
      <w:r w:rsidR="00385CF1" w:rsidRPr="00D857DD">
        <w:tab/>
      </w:r>
      <w:r w:rsidRPr="00D857DD">
        <w:t xml:space="preserve">Efectos y resultados concretos del Programa de Viviendas Asequibles, el Programa </w:t>
      </w:r>
      <w:r w:rsidR="00385CF1" w:rsidRPr="00D857DD">
        <w:br/>
      </w:r>
      <w:r w:rsidRPr="00D857DD">
        <w:t>de Propiedad Compartida, el Fondo de Ayuda a la Vivienda para Personas con Necesidades Especiales y la estrategia Vivienda 2040</w:t>
      </w:r>
      <w:bookmarkEnd w:id="140"/>
    </w:p>
    <w:bookmarkEnd w:id="139"/>
    <w:p w14:paraId="475CB474" w14:textId="77777777" w:rsidR="001832BB" w:rsidRPr="00D857DD" w:rsidRDefault="001832BB" w:rsidP="001832BB">
      <w:pPr>
        <w:pStyle w:val="SingleTxtG"/>
      </w:pPr>
      <w:r w:rsidRPr="00D857DD">
        <w:t>219.</w:t>
      </w:r>
      <w:r w:rsidRPr="00D857DD">
        <w:tab/>
        <w:t>El Programa de Viviendas Asequibles, cuyo valor ascendía a 11.500 millones de libras esterlinas, ofreció 4.812 viviendas asequibles hasta el 31 de marzo de 2023.</w:t>
      </w:r>
    </w:p>
    <w:p w14:paraId="4A83A261" w14:textId="2F22B793" w:rsidR="001832BB" w:rsidRPr="00D857DD" w:rsidRDefault="001832BB" w:rsidP="001832BB">
      <w:pPr>
        <w:pStyle w:val="SingleTxtG"/>
      </w:pPr>
      <w:r w:rsidRPr="00D857DD">
        <w:t>220.</w:t>
      </w:r>
      <w:r w:rsidRPr="00D857DD">
        <w:tab/>
        <w:t>El Gobierno del Reino Unido va camino de cumplir su meta de construir unas 250.000 viviendas asequibles a través del Programa de Propiedad Compartida y Viviendas Asequibles 2016-</w:t>
      </w:r>
      <w:r w:rsidR="00385CF1" w:rsidRPr="00D857DD">
        <w:t>202</w:t>
      </w:r>
      <w:r w:rsidRPr="00D857DD">
        <w:t>3 con unas 244.000 nuevas viviendas empezadas a marzo de 2023 y otras 5.000 viviendas respecto de las cuales se concedió una prórroga para su comienzo antes de marzo de 2024.</w:t>
      </w:r>
    </w:p>
    <w:p w14:paraId="36F92DB8" w14:textId="4EAEAD82" w:rsidR="001832BB" w:rsidRPr="00D857DD" w:rsidRDefault="00385CF1" w:rsidP="00385CF1">
      <w:pPr>
        <w:pStyle w:val="H4G"/>
      </w:pPr>
      <w:bookmarkStart w:id="141" w:name="_Hlk164778507"/>
      <w:r w:rsidRPr="00D857DD">
        <w:tab/>
      </w:r>
      <w:r w:rsidR="001832BB" w:rsidRPr="00D857DD">
        <w:tab/>
        <w:t>Escocia</w:t>
      </w:r>
    </w:p>
    <w:bookmarkEnd w:id="141"/>
    <w:p w14:paraId="105BB474" w14:textId="77777777" w:rsidR="001832BB" w:rsidRPr="00D857DD" w:rsidRDefault="001832BB" w:rsidP="001832BB">
      <w:pPr>
        <w:pStyle w:val="SingleTxtG"/>
      </w:pPr>
      <w:r w:rsidRPr="00D857DD">
        <w:t>221.</w:t>
      </w:r>
      <w:r w:rsidRPr="00D857DD">
        <w:tab/>
        <w:t xml:space="preserve">El Gobierno de Escocia, que está decidido a cumplir su meta de ofrecer 110.000 viviendas asequibles para 2032, publica informes trimestrales sobre la marcha de los trabajos del Programa de Suministro de Viviendas Asequibles. </w:t>
      </w:r>
    </w:p>
    <w:p w14:paraId="292679FE" w14:textId="77777777" w:rsidR="001832BB" w:rsidRPr="00D857DD" w:rsidRDefault="001832BB" w:rsidP="001832BB">
      <w:pPr>
        <w:pStyle w:val="SingleTxtG"/>
      </w:pPr>
      <w:r w:rsidRPr="00D857DD">
        <w:t>222.</w:t>
      </w:r>
      <w:r w:rsidRPr="00D857DD">
        <w:tab/>
        <w:t>De enero de 2019 a junio de 2023 el Gobierno de Escocia ofreció 41.536 viviendas asequibles, de las cuales más de 31.000 se destinaron a alquiler social, entre ellas casi 12.000 viviendas municipales. Se estima que hasta junio de 2023 se ha ayudado a 3.590 hogares con hijos a obtener una vivienda asequible. Manteniendo los alquileres sociales por debajo de los alquileres a precio de mercado se beneficia al año a unos 140.000 niños que padecen pobreza.</w:t>
      </w:r>
    </w:p>
    <w:p w14:paraId="4422D36C" w14:textId="61E94084" w:rsidR="001832BB" w:rsidRPr="00D857DD" w:rsidRDefault="00385CF1" w:rsidP="00385CF1">
      <w:pPr>
        <w:pStyle w:val="H4G"/>
      </w:pPr>
      <w:bookmarkStart w:id="142" w:name="_Hlk164778523"/>
      <w:r w:rsidRPr="00D857DD">
        <w:tab/>
      </w:r>
      <w:r w:rsidR="001832BB" w:rsidRPr="00D857DD">
        <w:tab/>
        <w:t>Irlanda del Norte</w:t>
      </w:r>
      <w:bookmarkEnd w:id="142"/>
    </w:p>
    <w:p w14:paraId="0715C163" w14:textId="77777777" w:rsidR="001832BB" w:rsidRPr="00D857DD" w:rsidRDefault="001832BB" w:rsidP="001832BB">
      <w:pPr>
        <w:pStyle w:val="SingleTxtG"/>
      </w:pPr>
      <w:r w:rsidRPr="00D857DD">
        <w:t>223.</w:t>
      </w:r>
      <w:r w:rsidRPr="00D857DD">
        <w:tab/>
        <w:t xml:space="preserve">Entre 2020 y 2025 se ha aprobado destinar fondos por valor de 158 millones de libras esterlinas a la Asociación de Vivienda en Copropiedad de Irlanda del Norte para ayudar a más de 4.400 hogares a comprar una vivienda. Hasta la fecha se ha ayudado con estos fondos a más de 3.600 personas a ser propietarios de viviendas. La mayoría de los clientes en régimen de copropiedad compran por primera vez, por lo que el plan ayuda especialmente a los jóvenes. </w:t>
      </w:r>
    </w:p>
    <w:p w14:paraId="68A89CB3" w14:textId="77777777" w:rsidR="001832BB" w:rsidRPr="00D857DD" w:rsidRDefault="001832BB" w:rsidP="001832BB">
      <w:pPr>
        <w:pStyle w:val="SingleTxtG"/>
      </w:pPr>
      <w:r w:rsidRPr="00D857DD">
        <w:t>224.</w:t>
      </w:r>
      <w:r w:rsidRPr="00D857DD">
        <w:tab/>
        <w:t>Se han aportado otros 12,5 millones de libras a la Asociación de Vivienda en Copropiedad para que elabore su proyecto piloto de alquiler con opción de compra. Conforme a este plan se compran viviendas de nueva construcción con fines de alquiler y posterior propiedad por parte de hogares que todavía no están preparados financieramente para comprar una vivienda, ni siquiera en forma de propiedad compartida.</w:t>
      </w:r>
    </w:p>
    <w:p w14:paraId="27905F89" w14:textId="326FB0DC" w:rsidR="001832BB" w:rsidRPr="00D857DD" w:rsidRDefault="00385CF1" w:rsidP="00385CF1">
      <w:pPr>
        <w:pStyle w:val="H23G"/>
      </w:pPr>
      <w:bookmarkStart w:id="143" w:name="_Toc1950448812"/>
      <w:r w:rsidRPr="00D857DD">
        <w:tab/>
      </w:r>
      <w:r w:rsidR="001832BB" w:rsidRPr="00D857DD">
        <w:tab/>
        <w:t xml:space="preserve">Plan de Subvención para Adaptaciones en el Hogar de las Personas </w:t>
      </w:r>
      <w:r w:rsidRPr="00D857DD">
        <w:br/>
      </w:r>
      <w:r w:rsidR="001832BB" w:rsidRPr="00D857DD">
        <w:t>con Discapacidad</w:t>
      </w:r>
      <w:bookmarkEnd w:id="143"/>
    </w:p>
    <w:p w14:paraId="68ADE2CF" w14:textId="77777777" w:rsidR="001832BB" w:rsidRPr="00D857DD" w:rsidRDefault="001832BB" w:rsidP="001832BB">
      <w:pPr>
        <w:pStyle w:val="SingleTxtG"/>
      </w:pPr>
      <w:r w:rsidRPr="00D857DD">
        <w:t>225.</w:t>
      </w:r>
      <w:r w:rsidRPr="00D857DD">
        <w:tab/>
        <w:t>El presupuesto del Plan de Subvención para Adaptaciones en el Hogar de las Personas con Discapacidad en Inglaterra se ha duplicado con creces, pasando de 220 millones de libras esterlinas en 2012/13 a 625 millones en 2024/25. En el último año sobre el que se disponía de datos (2022/23) se habían ultimado 54.436 adaptaciones.</w:t>
      </w:r>
    </w:p>
    <w:p w14:paraId="71E30972" w14:textId="77777777" w:rsidR="001832BB" w:rsidRPr="00D857DD" w:rsidRDefault="001832BB" w:rsidP="001832BB">
      <w:pPr>
        <w:pStyle w:val="SingleTxtG"/>
      </w:pPr>
      <w:r w:rsidRPr="00D857DD">
        <w:lastRenderedPageBreak/>
        <w:t>226.</w:t>
      </w:r>
      <w:r w:rsidRPr="00D857DD">
        <w:tab/>
        <w:t>El Gobierno no recopila datos sobre el tipo de adaptaciones financiadas por el Plan. Las adaptaciones financiadas por el Plan pueden consistir en ascensores para salvar escaleras, duchas a nivel de suelo, ensanchamientos de puertas, instalaciones de rampas, barras de sujeción, elevaciones de inodoros, acceso a jardines y, en algunos casos, extensiones adaptadas de viviendas residenciales existentes. También pueden financiarse mediante el Plan sistemas de calefacción, aislamiento y teleasistencia, así como adaptaciones de asistencia a la vida independiente de las personas con discapacidad de aprendizaje y con demencia.</w:t>
      </w:r>
    </w:p>
    <w:p w14:paraId="2DEE49FC" w14:textId="4F4C2098" w:rsidR="001832BB" w:rsidRPr="00D857DD" w:rsidRDefault="00385CF1" w:rsidP="00385CF1">
      <w:pPr>
        <w:pStyle w:val="H23G"/>
      </w:pPr>
      <w:bookmarkStart w:id="144" w:name="_Toc1566872487"/>
      <w:r w:rsidRPr="00D857DD">
        <w:tab/>
      </w:r>
      <w:r w:rsidR="001832BB" w:rsidRPr="00D857DD">
        <w:tab/>
        <w:t>Hacinamiento en las viviendas</w:t>
      </w:r>
      <w:bookmarkEnd w:id="144"/>
    </w:p>
    <w:p w14:paraId="29990DDB" w14:textId="12AE0C44" w:rsidR="001832BB" w:rsidRPr="00D857DD" w:rsidRDefault="001832BB" w:rsidP="001832BB">
      <w:pPr>
        <w:pStyle w:val="SingleTxtG"/>
      </w:pPr>
      <w:r w:rsidRPr="00D857DD">
        <w:t>227.</w:t>
      </w:r>
      <w:r w:rsidRPr="00D857DD">
        <w:tab/>
        <w:t xml:space="preserve">El estudio sobre la vivienda inglesa publica cifras nacionales sobre el hacinamiento en Inglaterra. La serie cronológica puede consultarse en: </w:t>
      </w:r>
    </w:p>
    <w:p w14:paraId="6FB56512" w14:textId="1253B39F" w:rsidR="001832BB" w:rsidRPr="00D857DD" w:rsidRDefault="00C427BE" w:rsidP="00385CF1">
      <w:pPr>
        <w:pStyle w:val="SingleTxtG"/>
        <w:ind w:left="1701"/>
      </w:pPr>
      <w:hyperlink r:id="rId10" w:history="1">
        <w:r w:rsidR="001832BB" w:rsidRPr="00D857DD">
          <w:rPr>
            <w:rStyle w:val="Hipervnculo"/>
          </w:rPr>
          <w:t>https://assets.publishing.service.gov.uk/government/uploads/system/uploads/attachment_data/file/1169873/FA1422_overcrowding_and_under-occupation_by_tenure.ods</w:t>
        </w:r>
      </w:hyperlink>
    </w:p>
    <w:p w14:paraId="1CF34D91" w14:textId="191B4E74" w:rsidR="001832BB" w:rsidRPr="00D857DD" w:rsidRDefault="001832BB" w:rsidP="001832BB">
      <w:pPr>
        <w:pStyle w:val="SingleTxtG"/>
      </w:pPr>
      <w:r w:rsidRPr="00D857DD">
        <w:t>228.</w:t>
      </w:r>
      <w:r w:rsidRPr="00D857DD">
        <w:tab/>
        <w:t xml:space="preserve">En el informe del estudio de 2019 a 2020 dedicado al sector de los alquileres sociales figuraban más datos provistos de una serie limitada de variables. Los datos pueden consultarse en el cuadro 1.18 del anexo en </w:t>
      </w:r>
      <w:hyperlink r:id="rId11" w:history="1">
        <w:r w:rsidR="00385CF1" w:rsidRPr="00D857DD">
          <w:rPr>
            <w:rStyle w:val="Hipervnculo"/>
          </w:rPr>
          <w:t>https://www.gov.uk/government/</w:t>
        </w:r>
        <w:r w:rsidR="00385CF1" w:rsidRPr="00D857DD">
          <w:rPr>
            <w:rStyle w:val="Hipervnculo"/>
          </w:rPr>
          <w:br/>
          <w:t>statistics/english-housing-survey-2019-to-2020-social-rented-sector</w:t>
        </w:r>
      </w:hyperlink>
      <w:r w:rsidRPr="00D857DD">
        <w:t>.</w:t>
      </w:r>
    </w:p>
    <w:p w14:paraId="3CF3680D" w14:textId="0B12038B" w:rsidR="001832BB" w:rsidRPr="00D857DD" w:rsidRDefault="00385CF1" w:rsidP="00385CF1">
      <w:pPr>
        <w:pStyle w:val="H4G"/>
      </w:pPr>
      <w:r w:rsidRPr="00D857DD">
        <w:tab/>
      </w:r>
      <w:r w:rsidR="001832BB" w:rsidRPr="00D857DD">
        <w:tab/>
        <w:t xml:space="preserve">Escocia </w:t>
      </w:r>
    </w:p>
    <w:p w14:paraId="60EB9349" w14:textId="77777777" w:rsidR="001832BB" w:rsidRPr="00D857DD" w:rsidRDefault="001832BB" w:rsidP="001832BB">
      <w:pPr>
        <w:pStyle w:val="SingleTxtG"/>
      </w:pPr>
      <w:r w:rsidRPr="00D857DD">
        <w:t>229.</w:t>
      </w:r>
      <w:r w:rsidRPr="00D857DD">
        <w:tab/>
        <w:t xml:space="preserve">El estudio sobre las condiciones de la vivienda en Escocia publica anualmente cifras sobre el hacinamiento en los hogares desglosadas por tipo de hogar, segmento de ingresos, descontados los gastos de vivienda, y tipo de vivienda. </w:t>
      </w:r>
    </w:p>
    <w:p w14:paraId="487E4C2F" w14:textId="4D1EB1B4" w:rsidR="001832BB" w:rsidRPr="00D857DD" w:rsidRDefault="00385CF1" w:rsidP="00385CF1">
      <w:pPr>
        <w:pStyle w:val="H4G"/>
      </w:pPr>
      <w:r w:rsidRPr="00D857DD">
        <w:tab/>
      </w:r>
      <w:r w:rsidR="001832BB" w:rsidRPr="00D857DD">
        <w:tab/>
        <w:t>Gales</w:t>
      </w:r>
    </w:p>
    <w:p w14:paraId="303D79CC" w14:textId="77777777" w:rsidR="001832BB" w:rsidRPr="00D857DD" w:rsidRDefault="001832BB" w:rsidP="001832BB">
      <w:pPr>
        <w:pStyle w:val="SingleTxtG"/>
      </w:pPr>
      <w:r w:rsidRPr="00D857DD">
        <w:t>230.</w:t>
      </w:r>
      <w:r w:rsidRPr="00D857DD">
        <w:tab/>
        <w:t>Según el censo de 2021, el 2,2 % (30.000) de los hogares de Gales tenían menos dormitorios de lo exigido y se consideraban hacinados, lo cual supone un descenso con respecto al 2,9 % (38.000) registrado en 2011.</w:t>
      </w:r>
    </w:p>
    <w:p w14:paraId="41764EF7" w14:textId="77777777" w:rsidR="001832BB" w:rsidRPr="00D857DD" w:rsidRDefault="001832BB" w:rsidP="001832BB">
      <w:pPr>
        <w:pStyle w:val="SingleTxtG"/>
      </w:pPr>
      <w:r w:rsidRPr="00D857DD">
        <w:t>231.</w:t>
      </w:r>
      <w:r w:rsidRPr="00D857DD">
        <w:tab/>
        <w:t xml:space="preserve">Los hogares que vivían de alquiler tenían más probabilidades de hacinamiento (4,3 %) que los que ocupaban una vivienda en propiedad (1,2 %). </w:t>
      </w:r>
    </w:p>
    <w:p w14:paraId="72C03AFC" w14:textId="77777777" w:rsidR="001832BB" w:rsidRPr="00D857DD" w:rsidRDefault="001832BB" w:rsidP="001832BB">
      <w:pPr>
        <w:pStyle w:val="SingleTxtG"/>
      </w:pPr>
      <w:r w:rsidRPr="00D857DD">
        <w:t>Hacinamiento e infraocupación por características del hogar, Inglaterra y Gales, Oficina Nacional de Estadística (ons.gov.uk).</w:t>
      </w:r>
    </w:p>
    <w:p w14:paraId="53A3CCE8" w14:textId="587F1E40" w:rsidR="001832BB" w:rsidRPr="00D857DD" w:rsidRDefault="001832BB" w:rsidP="00385CF1">
      <w:pPr>
        <w:pStyle w:val="H23G"/>
      </w:pPr>
      <w:bookmarkStart w:id="145" w:name="_Toc1892882476"/>
      <w:r w:rsidRPr="00D857DD">
        <w:tab/>
      </w:r>
      <w:r w:rsidR="00385CF1" w:rsidRPr="00D857DD">
        <w:tab/>
      </w:r>
      <w:r w:rsidRPr="00D857DD">
        <w:t>Solicitudes de vivienda social</w:t>
      </w:r>
      <w:bookmarkEnd w:id="145"/>
    </w:p>
    <w:p w14:paraId="4DF8C7C2" w14:textId="44AE490E" w:rsidR="001832BB" w:rsidRPr="00D857DD" w:rsidRDefault="00385CF1" w:rsidP="00385CF1">
      <w:pPr>
        <w:pStyle w:val="H4G"/>
      </w:pPr>
      <w:r w:rsidRPr="00D857DD">
        <w:tab/>
      </w:r>
      <w:r w:rsidR="001832BB" w:rsidRPr="00D857DD">
        <w:tab/>
        <w:t xml:space="preserve">Listas de espera </w:t>
      </w:r>
      <w:r w:rsidRPr="00D857DD">
        <w:t>–</w:t>
      </w:r>
      <w:r w:rsidR="001832BB" w:rsidRPr="00D857DD">
        <w:t xml:space="preserve"> estadísticas sobre vivienda de las autoridades locales</w:t>
      </w:r>
    </w:p>
    <w:p w14:paraId="5C143165" w14:textId="77777777" w:rsidR="001832BB" w:rsidRPr="00D857DD" w:rsidRDefault="001832BB" w:rsidP="001832BB">
      <w:pPr>
        <w:pStyle w:val="SingleTxtG"/>
      </w:pPr>
      <w:r w:rsidRPr="00D857DD">
        <w:t>232.</w:t>
      </w:r>
      <w:r w:rsidRPr="00D857DD">
        <w:tab/>
        <w:t>El 31 de marzo de 2023 había 1,29 millones de hogares en listas de espera de las autoridades locales, lo cual suponía un aumento del 3 % con respecto al 31 de marzo de 2022. Desde el máximo alcanzado en 2012, el número de hogares apuntados a listas de espera de las autoridades locales ha disminuido un 31 %.</w:t>
      </w:r>
    </w:p>
    <w:p w14:paraId="0DB7DA51" w14:textId="77777777" w:rsidR="001832BB" w:rsidRPr="00D857DD" w:rsidRDefault="001832BB" w:rsidP="001832BB">
      <w:pPr>
        <w:pStyle w:val="SingleTxtG"/>
      </w:pPr>
      <w:r w:rsidRPr="00D857DD">
        <w:t>233.</w:t>
      </w:r>
      <w:r w:rsidRPr="00D857DD">
        <w:tab/>
        <w:t xml:space="preserve">Las autoridades locales revisan periódicamente sus listas para eliminar los hogares que ya no necesitan vivienda a fin de que el número total de los hogares apuntados a listas de espera no infle el número de hogares que siguen necesitando viviendas sociales en un momento determinado. </w:t>
      </w:r>
    </w:p>
    <w:p w14:paraId="613F1B1B" w14:textId="418F2C1D" w:rsidR="001832BB" w:rsidRPr="00D857DD" w:rsidRDefault="001832BB" w:rsidP="001832BB">
      <w:pPr>
        <w:pStyle w:val="SingleTxtG"/>
      </w:pPr>
      <w:r w:rsidRPr="00D857DD">
        <w:t>234.</w:t>
      </w:r>
      <w:r w:rsidRPr="00D857DD">
        <w:tab/>
        <w:t xml:space="preserve">Los datos sobre las listas de espera de ámbito regional y a nivel de las autoridades locales pueden consultarse en el siguiente cuadro: </w:t>
      </w:r>
      <w:hyperlink r:id="rId12" w:history="1">
        <w:r w:rsidR="00385CF1" w:rsidRPr="00D857DD">
          <w:rPr>
            <w:rStyle w:val="Hipervnculo"/>
          </w:rPr>
          <w:t>https://assets.publishing.service.gov.uk/</w:t>
        </w:r>
        <w:r w:rsidR="00385CF1" w:rsidRPr="00D857DD">
          <w:rPr>
            <w:rStyle w:val="Hipervnculo"/>
          </w:rPr>
          <w:br/>
          <w:t>media/6492ed965f7bb700127fae11/LT600_accessible.ods</w:t>
        </w:r>
      </w:hyperlink>
      <w:r w:rsidRPr="00D857DD">
        <w:t>.</w:t>
      </w:r>
    </w:p>
    <w:p w14:paraId="4CFFD82A" w14:textId="6D8A7E6F" w:rsidR="001832BB" w:rsidRPr="00D857DD" w:rsidRDefault="00385CF1" w:rsidP="00385CF1">
      <w:pPr>
        <w:pStyle w:val="H4G"/>
      </w:pPr>
      <w:r w:rsidRPr="00D857DD">
        <w:tab/>
      </w:r>
      <w:r w:rsidR="001832BB" w:rsidRPr="00D857DD">
        <w:tab/>
        <w:t>Escocia</w:t>
      </w:r>
    </w:p>
    <w:p w14:paraId="0E1498AE" w14:textId="77777777" w:rsidR="001832BB" w:rsidRPr="00D857DD" w:rsidRDefault="001832BB" w:rsidP="001832BB">
      <w:pPr>
        <w:pStyle w:val="SingleTxtG"/>
      </w:pPr>
      <w:r w:rsidRPr="00D857DD">
        <w:t>235.</w:t>
      </w:r>
      <w:r w:rsidRPr="00D857DD">
        <w:tab/>
        <w:t xml:space="preserve">Puede consultarse información sobre el número estimado de hogares apuntados a una lista de viviendas sociales o sobre las personas que han solicitado una vivienda social por elección en las publicaciones de los informes anuales de la encuesta de hogares en Escocia. </w:t>
      </w:r>
    </w:p>
    <w:p w14:paraId="47320162" w14:textId="752157AA" w:rsidR="001832BB" w:rsidRPr="00D857DD" w:rsidRDefault="00385CF1" w:rsidP="00385CF1">
      <w:pPr>
        <w:pStyle w:val="H4G"/>
      </w:pPr>
      <w:r w:rsidRPr="00D857DD">
        <w:lastRenderedPageBreak/>
        <w:tab/>
      </w:r>
      <w:r w:rsidR="001832BB" w:rsidRPr="00D857DD">
        <w:tab/>
      </w:r>
      <w:r w:rsidR="001832BB" w:rsidRPr="00D857DD">
        <w:rPr>
          <w:iCs/>
        </w:rPr>
        <w:t>Irlanda del Norte</w:t>
      </w:r>
    </w:p>
    <w:p w14:paraId="646BF2F4" w14:textId="77777777" w:rsidR="001832BB" w:rsidRPr="00D857DD" w:rsidRDefault="001832BB" w:rsidP="001832BB">
      <w:pPr>
        <w:pStyle w:val="SingleTxtG"/>
      </w:pPr>
      <w:r w:rsidRPr="00D857DD">
        <w:t>236.</w:t>
      </w:r>
      <w:r w:rsidRPr="00D857DD">
        <w:tab/>
        <w:t>La Autoridad de Vivienda, provista de responsabilidad legal y operacional en relación con el plan de selección de vivienda de Irlanda del Norte, con inclusión de la evaluación de las necesidades de vivienda y la asignación de las viviendas sociales, recopila estos datos.</w:t>
      </w:r>
    </w:p>
    <w:p w14:paraId="1C545921" w14:textId="0B8BCF89" w:rsidR="001832BB" w:rsidRPr="00D857DD" w:rsidRDefault="001832BB" w:rsidP="00385CF1">
      <w:pPr>
        <w:pStyle w:val="H23G"/>
      </w:pPr>
      <w:bookmarkStart w:id="146" w:name="_Toc1992881113"/>
      <w:bookmarkStart w:id="147" w:name="_Hlk164778644"/>
      <w:r w:rsidRPr="00D857DD">
        <w:tab/>
      </w:r>
      <w:r w:rsidR="00385CF1" w:rsidRPr="00D857DD">
        <w:tab/>
      </w:r>
      <w:r w:rsidRPr="00D857DD">
        <w:t xml:space="preserve">Falta de hogar, normas en materia de alojamiento temporal y personas </w:t>
      </w:r>
      <w:r w:rsidR="00385CF1" w:rsidRPr="00D857DD">
        <w:br/>
      </w:r>
      <w:r w:rsidRPr="00D857DD">
        <w:t>que duermen en la calle</w:t>
      </w:r>
      <w:bookmarkEnd w:id="146"/>
    </w:p>
    <w:bookmarkEnd w:id="147"/>
    <w:p w14:paraId="6AEBFC56" w14:textId="77777777" w:rsidR="001832BB" w:rsidRPr="00D857DD" w:rsidRDefault="001832BB" w:rsidP="001832BB">
      <w:pPr>
        <w:pStyle w:val="SingleTxtG"/>
      </w:pPr>
      <w:r w:rsidRPr="00D857DD">
        <w:t>237.</w:t>
      </w:r>
      <w:r w:rsidRPr="00D857DD">
        <w:tab/>
        <w:t>Desde la entrada en vigor de la Ley de Reducción de la Falta de Hogar en 2018, se ha impedido que más de 740.000 hogares se queden sin vivienda o se los ha ayudado a encontrar alojamiento estable, en particular prestando mayor apoyo a los adultos solteros.</w:t>
      </w:r>
    </w:p>
    <w:p w14:paraId="7A3C55AA" w14:textId="483D766D" w:rsidR="001832BB" w:rsidRPr="00D857DD" w:rsidRDefault="001832BB" w:rsidP="001832BB">
      <w:pPr>
        <w:pStyle w:val="SingleTxtG"/>
      </w:pPr>
      <w:r w:rsidRPr="00D857DD">
        <w:t>238.</w:t>
      </w:r>
      <w:r w:rsidRPr="00D857DD">
        <w:tab/>
        <w:t xml:space="preserve">La Ley impone a las autoridades locales de vivienda la obligación de adoptar medidas razonables para tratar de prevenir y de aliviar la falta de hogar de las personas, con independencia de si la persona tiene una </w:t>
      </w:r>
      <w:r w:rsidR="004C2891" w:rsidRPr="00D857DD">
        <w:t>“</w:t>
      </w:r>
      <w:r w:rsidRPr="00D857DD">
        <w:t>necesidad prioritaria</w:t>
      </w:r>
      <w:r w:rsidR="004C2891" w:rsidRPr="00D857DD">
        <w:t>”</w:t>
      </w:r>
      <w:r w:rsidRPr="00D857DD">
        <w:t xml:space="preserve"> o de si su falta de hogar cabe considerarse deliberada. </w:t>
      </w:r>
    </w:p>
    <w:p w14:paraId="77AF66A5" w14:textId="77777777" w:rsidR="001832BB" w:rsidRPr="00D857DD" w:rsidRDefault="001832BB" w:rsidP="001832BB">
      <w:pPr>
        <w:pStyle w:val="SingleTxtG"/>
      </w:pPr>
      <w:r w:rsidRPr="00D857DD">
        <w:t>239.</w:t>
      </w:r>
      <w:r w:rsidRPr="00D857DD">
        <w:tab/>
        <w:t>La Ley también exige a las autoridades públicas designadas que remitan a su autoridad de vivienda local elegida a los usuarios de servicios a quienes se considere en situación de falta de hogar o de amenaza de falta de hogar.</w:t>
      </w:r>
    </w:p>
    <w:p w14:paraId="1F01CCF1" w14:textId="77777777" w:rsidR="001832BB" w:rsidRPr="00D857DD" w:rsidRDefault="001832BB" w:rsidP="001832BB">
      <w:pPr>
        <w:pStyle w:val="SingleTxtG"/>
      </w:pPr>
      <w:r w:rsidRPr="00D857DD">
        <w:t>240.</w:t>
      </w:r>
      <w:r w:rsidRPr="00D857DD">
        <w:tab/>
        <w:t xml:space="preserve">A raíz del examen de 2020 de la Ley se determinó que los servicios habían mejorado para aquellos que antes recibían apoyo limitado y para los hogares que llevaban recibiendo ayuda desde antes y durante más tiempo, pero se detectaron algunos problemas en relación con la administración, la recopilación de datos y el trabajo conjunto. </w:t>
      </w:r>
    </w:p>
    <w:p w14:paraId="231FFCEA" w14:textId="19F66463" w:rsidR="001832BB" w:rsidRPr="00D857DD" w:rsidRDefault="001832BB" w:rsidP="001832BB">
      <w:pPr>
        <w:pStyle w:val="SingleTxtG"/>
      </w:pPr>
      <w:r w:rsidRPr="00D857DD">
        <w:t>241.</w:t>
      </w:r>
      <w:r w:rsidRPr="00D857DD">
        <w:tab/>
        <w:t>A través de la subvención para la prevención de la falta de hogar, de 2022/23 a 2024/25 se invierten más de 1.200 millones de libras esterlinas, incluido un complemento de</w:t>
      </w:r>
      <w:r w:rsidR="00772DDB" w:rsidRPr="00D857DD">
        <w:t> </w:t>
      </w:r>
      <w:r w:rsidRPr="00D857DD">
        <w:t>109 millones de libras para 2024/25, que pueden destinarse a ayudar a quienes corren riesgo de quedarse sin hogar. En el próximo examen de los gastos se decidirán los futuros fondos destinados a combatir la falta de hogar y el fenómeno de las personas que duermen en la calle.</w:t>
      </w:r>
    </w:p>
    <w:p w14:paraId="1D365BCD" w14:textId="77777777" w:rsidR="001832BB" w:rsidRPr="00D857DD" w:rsidRDefault="001832BB" w:rsidP="001832BB">
      <w:pPr>
        <w:pStyle w:val="SingleTxtG"/>
      </w:pPr>
      <w:r w:rsidRPr="00D857DD">
        <w:t>242.</w:t>
      </w:r>
      <w:r w:rsidRPr="00D857DD">
        <w:tab/>
        <w:t xml:space="preserve">A 31 de marzo de 2024, el Programa de Alojamiento para las Personas que Duermen en la Calle había proporcionado más de 5.550 viviendas a ese tipo de personas en toda Inglaterra. </w:t>
      </w:r>
    </w:p>
    <w:p w14:paraId="496C8331" w14:textId="77777777" w:rsidR="001832BB" w:rsidRPr="00D857DD" w:rsidRDefault="001832BB" w:rsidP="001832BB">
      <w:pPr>
        <w:pStyle w:val="SingleTxtG"/>
      </w:pPr>
      <w:r w:rsidRPr="00D857DD">
        <w:t>243.</w:t>
      </w:r>
      <w:r w:rsidRPr="00D857DD">
        <w:tab/>
        <w:t xml:space="preserve">En Inglaterra se presentaron estadísticas oficiales sobre la condición jurídica de persona sin hogar coincidiendo con la promulgación de la Ley de Reducción de la Falta de Hogar en 2018, y se publican datos trimestrales sobre las medidas adoptadas por las autoridades locales conforme a la legislación en materia de falta de hogar. </w:t>
      </w:r>
    </w:p>
    <w:p w14:paraId="62F1BFB9" w14:textId="77777777" w:rsidR="001832BB" w:rsidRPr="00D857DD" w:rsidRDefault="001832BB" w:rsidP="001832BB">
      <w:pPr>
        <w:pStyle w:val="SingleTxtG"/>
      </w:pPr>
      <w:r w:rsidRPr="00D857DD">
        <w:t>244.</w:t>
      </w:r>
      <w:r w:rsidRPr="00D857DD">
        <w:tab/>
        <w:t>Estadísticas sobre la condición jurídica de persona sin hogar en Inglaterra – GOV.UK (www.gov.uk).</w:t>
      </w:r>
    </w:p>
    <w:p w14:paraId="6F54FCA3" w14:textId="77777777" w:rsidR="001832BB" w:rsidRPr="00D857DD" w:rsidRDefault="001832BB" w:rsidP="001832BB">
      <w:pPr>
        <w:pStyle w:val="SingleTxtG"/>
      </w:pPr>
      <w:r w:rsidRPr="00D857DD">
        <w:t>245.</w:t>
      </w:r>
      <w:r w:rsidRPr="00D857DD">
        <w:tab/>
        <w:t>Según las últimas estadísticas instantáneas anuales sobre las personas que duermen en la calle, en una sola noche de otoño de 2023 el número de personas que dormían en la calle se estimaba en 3.898.</w:t>
      </w:r>
    </w:p>
    <w:p w14:paraId="2A6CF0A7" w14:textId="77777777" w:rsidR="001832BB" w:rsidRPr="00D857DD" w:rsidRDefault="001832BB" w:rsidP="001832BB">
      <w:pPr>
        <w:pStyle w:val="SingleTxtG"/>
      </w:pPr>
      <w:r w:rsidRPr="00D857DD">
        <w:t>246.</w:t>
      </w:r>
      <w:r w:rsidRPr="00D857DD">
        <w:tab/>
        <w:t xml:space="preserve">Las estadísticas instantáneas anuales de otoño siguen siendo nuestra medición oficial más sólida del número de personas que duermen en la calle una sola noche, en vista de que se verifican independientemente y se publican conforme al Código de Prácticas en materia de Estadísticas. </w:t>
      </w:r>
    </w:p>
    <w:p w14:paraId="3058FED3" w14:textId="47B76EF9" w:rsidR="001832BB" w:rsidRPr="00D857DD" w:rsidRDefault="001832BB" w:rsidP="001832BB">
      <w:pPr>
        <w:pStyle w:val="SingleTxtG"/>
      </w:pPr>
      <w:r w:rsidRPr="00D857DD">
        <w:t>247.</w:t>
      </w:r>
      <w:r w:rsidRPr="00D857DD">
        <w:tab/>
        <w:t xml:space="preserve">Las estadísticas oficiales publicadas, desglosadas por región, género, edad y nacionalidad en relación con los últimos cinco años, pueden consultarse en el apartado </w:t>
      </w:r>
      <w:r w:rsidR="004C2891" w:rsidRPr="00D857DD">
        <w:t>“</w:t>
      </w:r>
      <w:r w:rsidRPr="00D857DD">
        <w:t>Estadísticas instantáneas sobre las personas que duermen en la calle</w:t>
      </w:r>
      <w:r w:rsidR="004C2891" w:rsidRPr="00D857DD">
        <w:t>”</w:t>
      </w:r>
      <w:r w:rsidRPr="00D857DD">
        <w:t>, donde figuran infografías y cuadros de datos desglosados por distrito controlado por una autoridad local y por región.</w:t>
      </w:r>
    </w:p>
    <w:p w14:paraId="6134BB6B" w14:textId="77777777" w:rsidR="001832BB" w:rsidRPr="00D857DD" w:rsidRDefault="001832BB" w:rsidP="001832BB">
      <w:pPr>
        <w:pStyle w:val="SingleTxtG"/>
      </w:pPr>
      <w:r w:rsidRPr="00D857DD">
        <w:t>248.</w:t>
      </w:r>
      <w:r w:rsidRPr="00D857DD">
        <w:tab/>
        <w:t>La instantánea sobre las personas que duermen en la calle se refieren a una sola noche comprendida entre el 1 de octubre y el 30 de noviembre de cada año. La de este año se publicará en febrero de 2025.</w:t>
      </w:r>
    </w:p>
    <w:p w14:paraId="3F06DEBF" w14:textId="40491CCC" w:rsidR="001832BB" w:rsidRPr="00D857DD" w:rsidRDefault="00385CF1" w:rsidP="00385CF1">
      <w:pPr>
        <w:pStyle w:val="H4G"/>
      </w:pPr>
      <w:bookmarkStart w:id="148" w:name="_Hlk164778761"/>
      <w:r w:rsidRPr="00D857DD">
        <w:lastRenderedPageBreak/>
        <w:tab/>
      </w:r>
      <w:r w:rsidR="001832BB" w:rsidRPr="00D857DD">
        <w:tab/>
        <w:t xml:space="preserve">Estadísticas generales, otoño de 2022 </w:t>
      </w:r>
    </w:p>
    <w:p w14:paraId="059C2E4A" w14:textId="77777777" w:rsidR="001832BB" w:rsidRPr="00D857DD" w:rsidRDefault="001832BB" w:rsidP="001832BB">
      <w:pPr>
        <w:pStyle w:val="SingleTxtG"/>
      </w:pPr>
      <w:r w:rsidRPr="00D857DD">
        <w:t>249.</w:t>
      </w:r>
      <w:r w:rsidRPr="00D857DD">
        <w:tab/>
        <w:t>En el anexo pueden consultarse más detalles.</w:t>
      </w:r>
    </w:p>
    <w:p w14:paraId="53A88BBF" w14:textId="4FE29A45" w:rsidR="001832BB" w:rsidRPr="00D857DD" w:rsidRDefault="00385CF1" w:rsidP="00385CF1">
      <w:pPr>
        <w:pStyle w:val="H4G"/>
      </w:pPr>
      <w:r w:rsidRPr="00D857DD">
        <w:tab/>
      </w:r>
      <w:r w:rsidR="001832BB" w:rsidRPr="00D857DD">
        <w:tab/>
        <w:t>Normas en materia de alojamiento temporal</w:t>
      </w:r>
    </w:p>
    <w:p w14:paraId="04060771" w14:textId="77777777" w:rsidR="001832BB" w:rsidRPr="00D857DD" w:rsidRDefault="001832BB" w:rsidP="001832BB">
      <w:pPr>
        <w:pStyle w:val="SingleTxtG"/>
      </w:pPr>
      <w:r w:rsidRPr="00D857DD">
        <w:t>250.</w:t>
      </w:r>
      <w:r w:rsidRPr="00D857DD">
        <w:tab/>
        <w:t xml:space="preserve">Las autoridades locales están obligadas legalmente a suministrar alojamiento temporal a los hogares que reúnan una serie de condiciones hasta que se les pueda ofrecer alojamiento a largo plazo que sea adecuado para el solicitante y para todos los miembros de su hogar. </w:t>
      </w:r>
    </w:p>
    <w:p w14:paraId="7658207C" w14:textId="77777777" w:rsidR="001832BB" w:rsidRPr="00D857DD" w:rsidRDefault="001832BB" w:rsidP="001832BB">
      <w:pPr>
        <w:pStyle w:val="SingleTxtG"/>
      </w:pPr>
      <w:r w:rsidRPr="00D857DD">
        <w:t>251.</w:t>
      </w:r>
      <w:r w:rsidRPr="00D857DD">
        <w:tab/>
        <w:t xml:space="preserve">Como mínimo, las autoridades de vivienda deben velar por que todos los alojamientos temporales carezcan de peligros de categoría 1 determinados por el Sistema de calificación de la salubridad y la seguridad de la vivienda. </w:t>
      </w:r>
    </w:p>
    <w:p w14:paraId="2DE33C38" w14:textId="77777777" w:rsidR="001832BB" w:rsidRPr="00D857DD" w:rsidRDefault="001832BB" w:rsidP="001832BB">
      <w:pPr>
        <w:pStyle w:val="SingleTxtG"/>
      </w:pPr>
      <w:r w:rsidRPr="00D857DD">
        <w:t>252.</w:t>
      </w:r>
      <w:r w:rsidRPr="00D857DD">
        <w:tab/>
        <w:t>Si las autoridades locales detectan la presencia de un peligro de categoría 1, tienen la obligación de adoptar medidas coercitivas de conformidad con la Ley de Vivienda de 2004. Para garantizar el cumplimiento efectivo, las autoridades locales gozan de amplias facultades, en particular la de imponer sanciones económicas de hasta 30.000 libras esterlinas, dictar órdenes de reembolso del alquiler y adoptar medidas de restricción para los responsables de las infracciones más graves y para los reincidentes.</w:t>
      </w:r>
    </w:p>
    <w:bookmarkEnd w:id="148"/>
    <w:p w14:paraId="0189FDE6" w14:textId="7C1B08DE" w:rsidR="001832BB" w:rsidRPr="00D857DD" w:rsidRDefault="00385CF1" w:rsidP="00385CF1">
      <w:pPr>
        <w:pStyle w:val="H4G"/>
      </w:pPr>
      <w:r w:rsidRPr="00D857DD">
        <w:tab/>
      </w:r>
      <w:r w:rsidR="001832BB" w:rsidRPr="00D857DD">
        <w:tab/>
        <w:t xml:space="preserve">Marco basado en datos sobre la lucha contra el fenómeno de las personas </w:t>
      </w:r>
      <w:r w:rsidRPr="00D857DD">
        <w:br/>
      </w:r>
      <w:r w:rsidR="001832BB" w:rsidRPr="00D857DD">
        <w:t>que duermen en la calle</w:t>
      </w:r>
    </w:p>
    <w:p w14:paraId="25DE13F5" w14:textId="77777777" w:rsidR="001832BB" w:rsidRPr="00D857DD" w:rsidRDefault="001832BB" w:rsidP="001832BB">
      <w:pPr>
        <w:pStyle w:val="SingleTxtG"/>
      </w:pPr>
      <w:r w:rsidRPr="00D857DD">
        <w:t>253.</w:t>
      </w:r>
      <w:r w:rsidRPr="00D857DD">
        <w:tab/>
        <w:t xml:space="preserve">En mayo de 2023 el Gobierno del Reino Unido implantó un nuevo marco basado en datos que ofrece una visión más panorámica de los factores que contribuyen a que las personas duerman en la calle en las zonas locales. El enfoque parte de una visión común de un futuro en el que se impida este fenómeno en toda Inglaterra siempre que sea posible o se trate de una experiencia infrecuente, breve y no reiterada. Los indicadores del marco proceden de las autoridades locales en el marco de nuestra información mensual sobre la gestión del fenómeno y se publican trimestralmente. </w:t>
      </w:r>
    </w:p>
    <w:p w14:paraId="53B068B5" w14:textId="77777777" w:rsidR="001832BB" w:rsidRPr="00D857DD" w:rsidRDefault="001832BB" w:rsidP="001832BB">
      <w:pPr>
        <w:pStyle w:val="SingleTxtG"/>
      </w:pPr>
      <w:r w:rsidRPr="00D857DD">
        <w:t>254.</w:t>
      </w:r>
      <w:r w:rsidRPr="00D857DD">
        <w:tab/>
        <w:t>En la información más reciente publicada figuran datos hasta diciembre de 2023 que pueden consultarse en el Marco basado en datos sobre la lucha contra el fenómeno de las personas que duermen en la calle, diciembre de 2023 – GOV.UK (www.gov.uk).</w:t>
      </w:r>
    </w:p>
    <w:p w14:paraId="31ADD0C4" w14:textId="77777777" w:rsidR="001832BB" w:rsidRPr="00D857DD" w:rsidRDefault="001832BB" w:rsidP="001832BB">
      <w:pPr>
        <w:pStyle w:val="SingleTxtG"/>
      </w:pPr>
      <w:r w:rsidRPr="00D857DD">
        <w:t>255.</w:t>
      </w:r>
      <w:r w:rsidRPr="00D857DD">
        <w:tab/>
        <w:t>La información se presenta con fines de gestión, pero no se trata de estadísticas oficiales.</w:t>
      </w:r>
    </w:p>
    <w:p w14:paraId="742ECBA9" w14:textId="42D60D4D" w:rsidR="001832BB" w:rsidRPr="00D857DD" w:rsidRDefault="00385CF1" w:rsidP="00385CF1">
      <w:pPr>
        <w:pStyle w:val="H4G"/>
      </w:pPr>
      <w:bookmarkStart w:id="149" w:name="_Hlk164778925"/>
      <w:r w:rsidRPr="00D857DD">
        <w:tab/>
      </w:r>
      <w:r w:rsidR="001832BB" w:rsidRPr="00D857DD">
        <w:tab/>
        <w:t xml:space="preserve">Suministro y normas en relación con el alojamiento proporcionado por el </w:t>
      </w:r>
      <w:r w:rsidRPr="00D857DD">
        <w:br/>
      </w:r>
      <w:r w:rsidR="001832BB" w:rsidRPr="00D857DD">
        <w:t xml:space="preserve">Ministerio del Interior a los solicitantes de asilo en espera de que se adopte </w:t>
      </w:r>
      <w:r w:rsidRPr="00D857DD">
        <w:br/>
      </w:r>
      <w:r w:rsidR="001832BB" w:rsidRPr="00D857DD">
        <w:t>una decisión sobre su caso</w:t>
      </w:r>
      <w:bookmarkEnd w:id="149"/>
    </w:p>
    <w:p w14:paraId="42481824" w14:textId="77777777" w:rsidR="001832BB" w:rsidRPr="00D857DD" w:rsidRDefault="001832BB" w:rsidP="001832BB">
      <w:pPr>
        <w:pStyle w:val="SingleTxtG"/>
      </w:pPr>
      <w:r w:rsidRPr="00D857DD">
        <w:t>256.</w:t>
      </w:r>
      <w:r w:rsidRPr="00D857DD">
        <w:tab/>
        <w:t>De conformidad con la Ley de Inmigración y Asilo de 1999, el Ministerio del Interior está obligado legalmente a proporcionar a los solicitantes de asilo indigentes alojamiento adecuado y apoyo a la subsistencia mientras se esté examinando su solicitud de asilo.</w:t>
      </w:r>
    </w:p>
    <w:p w14:paraId="62D2FFC2" w14:textId="77777777" w:rsidR="001832BB" w:rsidRPr="00D857DD" w:rsidRDefault="001832BB" w:rsidP="001832BB">
      <w:pPr>
        <w:pStyle w:val="SingleTxtG"/>
      </w:pPr>
      <w:r w:rsidRPr="00D857DD">
        <w:t>257.</w:t>
      </w:r>
      <w:r w:rsidRPr="00D857DD">
        <w:tab/>
        <w:t>Nuestros proveedores de alojamiento son responsables de que se presten todos los servicios contratados dentro de la vivienda.</w:t>
      </w:r>
    </w:p>
    <w:p w14:paraId="53AA97C8" w14:textId="77777777" w:rsidR="001832BB" w:rsidRPr="00D857DD" w:rsidRDefault="001832BB" w:rsidP="001832BB">
      <w:pPr>
        <w:pStyle w:val="SingleTxtG"/>
      </w:pPr>
      <w:r w:rsidRPr="00D857DD">
        <w:t>258.</w:t>
      </w:r>
      <w:r w:rsidRPr="00D857DD">
        <w:tab/>
        <w:t>Los proveedores de alojamiento acreditados ante el Ministerio del Interior cumplen normas contractuales estrictas, así como la legislación oficial y la de las autoridades locales, entre otras cosas en materia de vivienda, alimentación, circulación vial, higiene, empleo, igualdad de oportunidades, relaciones raciales, protección infantil, salvaguardias, protección de datos y salud y seguridad. Los contratistas y proveedores son objeto de un seguimiento estrecho para velar por que sigan cumpliendo estas normas.</w:t>
      </w:r>
    </w:p>
    <w:p w14:paraId="528DB97C" w14:textId="248AF299" w:rsidR="001832BB" w:rsidRPr="00D857DD" w:rsidRDefault="001832BB" w:rsidP="001832BB">
      <w:pPr>
        <w:pStyle w:val="SingleTxtG"/>
      </w:pPr>
      <w:r w:rsidRPr="00D857DD">
        <w:t>259.</w:t>
      </w:r>
      <w:r w:rsidRPr="00D857DD">
        <w:tab/>
        <w:t>Está previsto que la duración máxima de la estancia en un antiguo sitio del Ministerio de Defensa y en una embarcación sea de nueve meses, excepto cuando el Ministro del Interior no pueda encontrar el siguiente alojamiento adecuado general pese a haber hecho esfuerzos razonables al respecto. La duración máxima de la estancia en el alojamiento Napier es de</w:t>
      </w:r>
      <w:r w:rsidR="00A26268" w:rsidRPr="00D857DD">
        <w:t> </w:t>
      </w:r>
      <w:r w:rsidRPr="00D857DD">
        <w:t>90</w:t>
      </w:r>
      <w:r w:rsidR="00A26268" w:rsidRPr="00D857DD">
        <w:t> </w:t>
      </w:r>
      <w:r w:rsidRPr="00D857DD">
        <w:t>días.</w:t>
      </w:r>
    </w:p>
    <w:p w14:paraId="22119E1E" w14:textId="28C90B94" w:rsidR="001832BB" w:rsidRPr="00D857DD" w:rsidRDefault="00385CF1" w:rsidP="00385CF1">
      <w:pPr>
        <w:pStyle w:val="H1G"/>
      </w:pPr>
      <w:bookmarkStart w:id="150" w:name="_Toc1697689378"/>
      <w:bookmarkStart w:id="151" w:name="_Hlk164778978"/>
      <w:r w:rsidRPr="00D857DD">
        <w:lastRenderedPageBreak/>
        <w:tab/>
      </w:r>
      <w:r w:rsidR="001832BB" w:rsidRPr="00D857DD">
        <w:t>31.</w:t>
      </w:r>
      <w:r w:rsidR="001832BB" w:rsidRPr="00D857DD">
        <w:tab/>
        <w:t>Desigualdades en materia de vivienda en la zona norte de Belfast</w:t>
      </w:r>
      <w:bookmarkEnd w:id="150"/>
    </w:p>
    <w:bookmarkEnd w:id="151"/>
    <w:p w14:paraId="18EBB719" w14:textId="467C7C1E" w:rsidR="001832BB" w:rsidRPr="00D857DD" w:rsidRDefault="001832BB" w:rsidP="001832BB">
      <w:pPr>
        <w:pStyle w:val="SingleTxtG"/>
      </w:pPr>
      <w:r w:rsidRPr="00D857DD">
        <w:t>260.</w:t>
      </w:r>
      <w:r w:rsidRPr="00D857DD">
        <w:tab/>
        <w:t>El Programa para poner freno a las actividades y la delincuencia, incluida la delincuencia organizada, de los grupos paramilitares parte de un enfoque de reducción de la violencia basado en la salud pública y financiado conjuntamente por el poder ejecutivo del Reino Unido y el Gobierno del Reino Unido (actualmente, cerca de</w:t>
      </w:r>
      <w:r w:rsidR="005514E2" w:rsidRPr="00D857DD">
        <w:t xml:space="preserve"> </w:t>
      </w:r>
      <w:r w:rsidRPr="00D857DD">
        <w:t xml:space="preserve">16 millones de libras esterlinas al año) hasta marzo de 2025. La primera fase de este programa singular se extendió de 2016 a 2021. La segunda fase, iniciada en 2021, se encuentra en su tercer año de ejecución. Se están empezando a programar las siguientes medidas que se adoptarán al término de la segunda fase en marzo de 2025. </w:t>
      </w:r>
    </w:p>
    <w:p w14:paraId="25DBF786" w14:textId="77777777" w:rsidR="001832BB" w:rsidRPr="00D857DD" w:rsidRDefault="001832BB" w:rsidP="001832BB">
      <w:pPr>
        <w:pStyle w:val="SingleTxtG"/>
      </w:pPr>
      <w:r w:rsidRPr="00D857DD">
        <w:t>261.</w:t>
      </w:r>
      <w:r w:rsidRPr="00D857DD">
        <w:tab/>
        <w:t xml:space="preserve">La segunda fase es un modelo basado en datos y centrado en la obtención de resultados que tiene en cuenta las enseñanzas de la primera fase, así como las mejores prácticas internacionales en materia de violencia de bandas, extremismo violento, resiliencia comunitaria y violencia juvenil. Actualmente se dispone de 100 intervenciones innovadoras con base empírica dirigidas a hacer frente a distintos tipos de vulnerabilidad y reducir y prevenir todos los tipos de violencia, daño y control coercitivo impuestos a las personas y comunidades que están teniendo efectos reales. Los proyectos centrados en el daño y la violencia actúan en etapas distintas, pero contribuyen conjuntamente al logro de resultados compartidos. </w:t>
      </w:r>
    </w:p>
    <w:p w14:paraId="02B3A76D" w14:textId="77777777" w:rsidR="001832BB" w:rsidRPr="00D857DD" w:rsidRDefault="001832BB" w:rsidP="001832BB">
      <w:pPr>
        <w:pStyle w:val="SingleTxtG"/>
      </w:pPr>
      <w:r w:rsidRPr="00D857DD">
        <w:t>262.</w:t>
      </w:r>
      <w:r w:rsidRPr="00D857DD">
        <w:tab/>
        <w:t xml:space="preserve">El Programa es fruto de la colaboración entre siete departamentos de Irlanda del Norte, 15 organismos oficiales (incluido el Servicio de Policía de Irlanda del Norte) y 89 órganos públicos y asociados del sector del voluntariado y las comunidades. </w:t>
      </w:r>
    </w:p>
    <w:p w14:paraId="412AA89C" w14:textId="77777777" w:rsidR="001832BB" w:rsidRPr="00D857DD" w:rsidRDefault="001832BB" w:rsidP="001832BB">
      <w:pPr>
        <w:pStyle w:val="SingleTxtG"/>
      </w:pPr>
      <w:r w:rsidRPr="00D857DD">
        <w:t>263.</w:t>
      </w:r>
      <w:r w:rsidRPr="00D857DD">
        <w:tab/>
        <w:t>Se centra especialmente en la prestación de apoyo a los jóvenes y en la lucha contra los efectos de muchos decenios de violencia.</w:t>
      </w:r>
    </w:p>
    <w:p w14:paraId="1C93425E" w14:textId="29CFA926" w:rsidR="001832BB" w:rsidRPr="00D857DD" w:rsidRDefault="00385CF1" w:rsidP="00385CF1">
      <w:pPr>
        <w:pStyle w:val="H23G"/>
      </w:pPr>
      <w:bookmarkStart w:id="152" w:name="_Toc969488594"/>
      <w:r w:rsidRPr="00D857DD">
        <w:tab/>
      </w:r>
      <w:r w:rsidR="001832BB" w:rsidRPr="00D857DD">
        <w:tab/>
        <w:t>Programa de Desarrollo de Viviendas Sociales (SHDP)</w:t>
      </w:r>
      <w:bookmarkEnd w:id="152"/>
    </w:p>
    <w:p w14:paraId="5865C486" w14:textId="77777777" w:rsidR="001832BB" w:rsidRPr="00D857DD" w:rsidRDefault="001832BB" w:rsidP="001832BB">
      <w:pPr>
        <w:pStyle w:val="SingleTxtG"/>
      </w:pPr>
      <w:r w:rsidRPr="00D857DD">
        <w:t>264.</w:t>
      </w:r>
      <w:r w:rsidRPr="00D857DD">
        <w:tab/>
        <w:t xml:space="preserve">El SHDP es un programa continuo de tres años de planes de viviendas sociales planificados que parte de la determinación y el análisis de las necesidades de vivienda por zona geográfica. La Autoridad de Vivienda de Irlanda del Norte vela por la distribución equitativa del SHDP en una amplia gama de esferas normativas de los programas y se dirige a las zonas donde es mayor la necesidad de viviendas sociales. El Departamento de Comunidades está decidido a construir una sociedad común mediante la construcción de viviendas compartidas respaldada con programas, proyectos y actos de buenas relaciones. El Programa de Viviendas Compartidas presta apoyo actualmente a 76 proyectos de viviendas compartidas. </w:t>
      </w:r>
    </w:p>
    <w:p w14:paraId="5331213E" w14:textId="01898F68" w:rsidR="001832BB" w:rsidRPr="00D857DD" w:rsidRDefault="001832BB" w:rsidP="001832BB">
      <w:pPr>
        <w:pStyle w:val="SingleTxtG"/>
      </w:pPr>
      <w:r w:rsidRPr="00D857DD">
        <w:t>265.</w:t>
      </w:r>
      <w:r w:rsidRPr="00D857DD">
        <w:tab/>
        <w:t>En 2023/24, gracias a un presupuesto de 159 millones de libras esterlinas, se empezaron a construir 1</w:t>
      </w:r>
      <w:r w:rsidR="00A26268" w:rsidRPr="00D857DD">
        <w:t>.</w:t>
      </w:r>
      <w:r w:rsidRPr="00D857DD">
        <w:t>508 viviendas sociales nuevas. Aunque se ha reducido el presupuesto para 2024/25, el Departamento seguirá destinando la mayoría de los gastos de su presupuesto de capital a la construcción de viviendas sociales nuevas.</w:t>
      </w:r>
    </w:p>
    <w:p w14:paraId="1ED53C30" w14:textId="3F01A378" w:rsidR="001832BB" w:rsidRPr="00D857DD" w:rsidRDefault="001832BB" w:rsidP="00385CF1">
      <w:pPr>
        <w:pStyle w:val="H23G"/>
      </w:pPr>
      <w:bookmarkStart w:id="153" w:name="_Toc975345374"/>
      <w:r w:rsidRPr="00D857DD">
        <w:tab/>
      </w:r>
      <w:r w:rsidR="00385CF1" w:rsidRPr="00D857DD">
        <w:tab/>
      </w:r>
      <w:r w:rsidRPr="00D857DD">
        <w:t xml:space="preserve">Expansión del SHDP </w:t>
      </w:r>
      <w:bookmarkEnd w:id="153"/>
    </w:p>
    <w:p w14:paraId="7572D028" w14:textId="77777777" w:rsidR="001832BB" w:rsidRPr="00D857DD" w:rsidRDefault="001832BB" w:rsidP="001832BB">
      <w:pPr>
        <w:pStyle w:val="SingleTxtG"/>
      </w:pPr>
      <w:r w:rsidRPr="00D857DD">
        <w:t>266.</w:t>
      </w:r>
      <w:r w:rsidRPr="00D857DD">
        <w:tab/>
        <w:t xml:space="preserve">Es de importancia capital que el Programa de Desarrollo de Viviendas Sociales se oriente a la oferta de un mayor número de viviendas sociales en las zonas donde es más acusada la necesidad de vivienda, como la zona norte de Belfast. </w:t>
      </w:r>
    </w:p>
    <w:p w14:paraId="50A87CC0" w14:textId="77777777" w:rsidR="001832BB" w:rsidRPr="00D857DD" w:rsidRDefault="001832BB" w:rsidP="001832BB">
      <w:pPr>
        <w:pStyle w:val="SingleTxtG"/>
      </w:pPr>
      <w:r w:rsidRPr="00D857DD">
        <w:t>267.</w:t>
      </w:r>
      <w:r w:rsidRPr="00D857DD">
        <w:tab/>
        <w:t>Un aspecto crítico evidente es la disponibilidad de tierras. El suministro de tierra apropiada en las zonas donde se necesitan viviendas es una de las principales dificultades que encuentra el desarrollo. Se ha convocado un laboratorio de innovación dirigido a las partes interesadas para explorar los obstáculos a la expansión.</w:t>
      </w:r>
    </w:p>
    <w:p w14:paraId="6AC6B314" w14:textId="48A14EA3" w:rsidR="001832BB" w:rsidRPr="00D857DD" w:rsidRDefault="00385CF1" w:rsidP="00385CF1">
      <w:pPr>
        <w:pStyle w:val="H1G"/>
      </w:pPr>
      <w:bookmarkStart w:id="154" w:name="_Toc229349804"/>
      <w:r w:rsidRPr="00D857DD">
        <w:lastRenderedPageBreak/>
        <w:tab/>
      </w:r>
      <w:r w:rsidR="001832BB" w:rsidRPr="00D857DD">
        <w:t>32.</w:t>
      </w:r>
      <w:r w:rsidR="001832BB" w:rsidRPr="00D857DD">
        <w:tab/>
        <w:t xml:space="preserve">Fondo para Emplazamientos de Itinerantes, Programa </w:t>
      </w:r>
      <w:r w:rsidR="00344550" w:rsidRPr="00D857DD">
        <w:br/>
      </w:r>
      <w:r w:rsidR="001832BB" w:rsidRPr="00D857DD">
        <w:t xml:space="preserve">de Viviendas Asequibles, programa Vivienda 2040, Ley </w:t>
      </w:r>
      <w:r w:rsidR="00344550" w:rsidRPr="00D857DD">
        <w:br/>
      </w:r>
      <w:r w:rsidR="001832BB" w:rsidRPr="00D857DD">
        <w:t xml:space="preserve">de Vivienda (Gales) de 2014 y Estrategia de Alojamiento </w:t>
      </w:r>
      <w:r w:rsidR="00344550" w:rsidRPr="00D857DD">
        <w:br/>
      </w:r>
      <w:r w:rsidR="001832BB" w:rsidRPr="00D857DD">
        <w:t>de Itinerantes Irlandeses (2021-2026)</w:t>
      </w:r>
      <w:bookmarkEnd w:id="154"/>
    </w:p>
    <w:p w14:paraId="63D10498" w14:textId="77777777" w:rsidR="001832BB" w:rsidRPr="00D857DD" w:rsidRDefault="001832BB" w:rsidP="001832BB">
      <w:pPr>
        <w:pStyle w:val="SingleTxtG"/>
      </w:pPr>
      <w:r w:rsidRPr="00D857DD">
        <w:t>268.</w:t>
      </w:r>
      <w:r w:rsidRPr="00D857DD">
        <w:tab/>
        <w:t>La Ley de Vivienda (Gales) introdujo varias reformas notables de la legislación en materia de vivienda en Gales, en particular la mejora de la gestión del sector de los alquileres privados, la prevención de la falta de hogar y el alojamiento de gitanos e itinerantes. Como consecuencia de esta legislación, en cada período de examen las autoridades locales en materia de vivienda deben llevar a cabo una evaluación de las necesidades de alojamiento de los gitanos e itinerantes que residen en su zona o la frecuentan.</w:t>
      </w:r>
    </w:p>
    <w:p w14:paraId="64AA1EA6" w14:textId="77777777" w:rsidR="001832BB" w:rsidRPr="00D857DD" w:rsidRDefault="001832BB" w:rsidP="001832BB">
      <w:pPr>
        <w:pStyle w:val="SingleTxtG"/>
      </w:pPr>
      <w:r w:rsidRPr="00D857DD">
        <w:t>269.</w:t>
      </w:r>
      <w:r w:rsidRPr="00D857DD">
        <w:tab/>
        <w:t>Para favorecer la planificación de emplazamientos para itinerantes, pueden consultarse políticas específicas de su planificación en el documento Política de planificación de los emplazamientos para itinerantes, que debe leerse conjuntamente con el Marco nacional de políticas de planificación.</w:t>
      </w:r>
    </w:p>
    <w:p w14:paraId="6D66A191" w14:textId="77777777" w:rsidR="001832BB" w:rsidRPr="00D857DD" w:rsidRDefault="001832BB" w:rsidP="001832BB">
      <w:pPr>
        <w:pStyle w:val="SingleTxtG"/>
      </w:pPr>
      <w:r w:rsidRPr="00D857DD">
        <w:t>270.</w:t>
      </w:r>
      <w:r w:rsidRPr="00D857DD">
        <w:tab/>
        <w:t xml:space="preserve">Por lo que se refiere a la oferta de emplazamientos, la Política de planificación de los emplazamientos para itinerantes deja claro que corresponde a las autoridades locales la responsabilidad de evaluar la necesidad de emplazamientos para gitanos e itinerantes en su zona y planificar a continuación la manera de atender esa necesidad, tal como planifican las demás modalidades de vivienda. Las autoridades locales ocupan un lugar ideal para adoptar decisiones sobre el número y la ubicación de esos emplazamientos a escala local teniendo debidamente en cuenta la política nacional y las circunstancias del lugar. </w:t>
      </w:r>
    </w:p>
    <w:p w14:paraId="15511AA9" w14:textId="1FAE184C" w:rsidR="001832BB" w:rsidRPr="00D857DD" w:rsidRDefault="001832BB" w:rsidP="001832BB">
      <w:pPr>
        <w:pStyle w:val="SingleTxtG"/>
      </w:pPr>
      <w:r w:rsidRPr="00D857DD">
        <w:t>271.</w:t>
      </w:r>
      <w:r w:rsidRPr="00D857DD">
        <w:tab/>
        <w:t xml:space="preserve">En febrero de 2019 se recordaron a las autoridades locales mediante una declaración ministerial escrita sus obligaciones de evaluar la necesidad de emplazamientos de tránsito, además de los emplazamientos permanentes. </w:t>
      </w:r>
      <w:hyperlink r:id="rId13" w:history="1">
        <w:r w:rsidR="00A26268" w:rsidRPr="00D857DD">
          <w:rPr>
            <w:rStyle w:val="Hipervnculo"/>
          </w:rPr>
          <w:t>https://</w:t>
        </w:r>
        <w:proofErr w:type="spellStart"/>
        <w:r w:rsidR="00A26268" w:rsidRPr="00D857DD">
          <w:rPr>
            <w:rStyle w:val="Hipervnculo"/>
          </w:rPr>
          <w:t>www.parliament.uk</w:t>
        </w:r>
        <w:proofErr w:type="spellEnd"/>
        <w:r w:rsidR="00A26268" w:rsidRPr="00D857DD">
          <w:rPr>
            <w:rStyle w:val="Hipervnculo"/>
          </w:rPr>
          <w:t>/</w:t>
        </w:r>
        <w:proofErr w:type="spellStart"/>
        <w:r w:rsidR="00A26268" w:rsidRPr="00D857DD">
          <w:rPr>
            <w:rStyle w:val="Hipervnculo"/>
          </w:rPr>
          <w:t>business</w:t>
        </w:r>
        <w:proofErr w:type="spellEnd"/>
        <w:r w:rsidR="00A26268" w:rsidRPr="00D857DD">
          <w:rPr>
            <w:rStyle w:val="Hipervnculo"/>
          </w:rPr>
          <w:t>/</w:t>
        </w:r>
        <w:r w:rsidR="00A26268" w:rsidRPr="00D857DD">
          <w:rPr>
            <w:rStyle w:val="Hipervnculo"/>
          </w:rPr>
          <w:br/>
          <w:t>publications/written-questions-answers-statements/written-statement/Commons/2019-02-06/HCWS1305/</w:t>
        </w:r>
      </w:hyperlink>
      <w:r w:rsidRPr="00D857DD">
        <w:t>.</w:t>
      </w:r>
    </w:p>
    <w:p w14:paraId="637876EC" w14:textId="77777777" w:rsidR="001832BB" w:rsidRPr="00D857DD" w:rsidRDefault="001832BB" w:rsidP="001832BB">
      <w:pPr>
        <w:pStyle w:val="SingleTxtG"/>
      </w:pPr>
      <w:r w:rsidRPr="00D857DD">
        <w:t>272.</w:t>
      </w:r>
      <w:r w:rsidRPr="00D857DD">
        <w:tab/>
        <w:t>La evaluación del impacto en la igualdad de la Ley de Policía, Delincuencia, Sentencias y Tribunales de 2022 puede consultarse en línea actualmente en el sitio web GOV.UK. En el marco de esa evaluación se determina la manera en que las medidas previstas en la Ley repercuten en determinadas comunidades, entre ellas las comunidades gitana, romaní e itinerante.</w:t>
      </w:r>
    </w:p>
    <w:p w14:paraId="1F77180C" w14:textId="7A40F96B" w:rsidR="001832BB" w:rsidRPr="00D857DD" w:rsidRDefault="001832BB" w:rsidP="001832BB">
      <w:pPr>
        <w:pStyle w:val="SingleTxtG"/>
      </w:pPr>
      <w:r w:rsidRPr="00D857DD">
        <w:t>273.</w:t>
      </w:r>
      <w:r w:rsidRPr="00D857DD">
        <w:tab/>
        <w:t xml:space="preserve">Las medidas del Ministerio del Interior previstas en la Ley de Policía, Delincuencia, Sentencias y Tribunales figuran en </w:t>
      </w:r>
      <w:hyperlink r:id="rId14" w:history="1">
        <w:r w:rsidRPr="00D857DD">
          <w:rPr>
            <w:rStyle w:val="Hipervnculo"/>
          </w:rPr>
          <w:t>https://www.gov.uk/government/publications/police-crime-sentencing-and-courts-bill-2021-equality-statements/home-office-measures-in-the-police-crime-sentencing-and-courts-bill-equalities-impact-assessment</w:t>
        </w:r>
      </w:hyperlink>
      <w:r w:rsidRPr="00D857DD">
        <w:t>.</w:t>
      </w:r>
    </w:p>
    <w:p w14:paraId="36E255CF" w14:textId="77777777" w:rsidR="001832BB" w:rsidRPr="00D857DD" w:rsidRDefault="001832BB" w:rsidP="001832BB">
      <w:pPr>
        <w:pStyle w:val="SingleTxtG"/>
      </w:pPr>
      <w:r w:rsidRPr="00D857DD">
        <w:t>274.</w:t>
      </w:r>
      <w:r w:rsidRPr="00D857DD">
        <w:tab/>
        <w:t>No obran en nuestro poder estadísticas sobre las actividades policiales en los campamentos no autorizados.</w:t>
      </w:r>
    </w:p>
    <w:p w14:paraId="2402AAB0" w14:textId="77777777" w:rsidR="001832BB" w:rsidRPr="00D857DD" w:rsidRDefault="001832BB" w:rsidP="001832BB">
      <w:pPr>
        <w:pStyle w:val="SingleTxtG"/>
      </w:pPr>
      <w:r w:rsidRPr="00D857DD">
        <w:t>275.</w:t>
      </w:r>
      <w:r w:rsidRPr="00D857DD">
        <w:tab/>
        <w:t>Las disposiciones de la Ley de Policía, Delincuencia, Sentencias y Tribunales en materia de campamentos no autorizados se someterán al examen poslegislativo habitual antes de que se cumplan tres años desde su puesta en marcha.</w:t>
      </w:r>
    </w:p>
    <w:p w14:paraId="155AD62A" w14:textId="58E8E2B1" w:rsidR="001832BB" w:rsidRPr="00D857DD" w:rsidRDefault="00344550" w:rsidP="00344550">
      <w:pPr>
        <w:pStyle w:val="H1G"/>
      </w:pPr>
      <w:bookmarkStart w:id="155" w:name="_Toc1249818535"/>
      <w:bookmarkStart w:id="156" w:name="_Hlk164779050"/>
      <w:r w:rsidRPr="00D857DD">
        <w:tab/>
      </w:r>
      <w:r w:rsidR="001832BB" w:rsidRPr="00D857DD">
        <w:t>33.</w:t>
      </w:r>
      <w:r w:rsidR="001832BB" w:rsidRPr="00D857DD">
        <w:tab/>
        <w:t xml:space="preserve">Estrategia nacional integral de promoción y protección </w:t>
      </w:r>
      <w:r w:rsidRPr="00D857DD">
        <w:br/>
      </w:r>
      <w:r w:rsidR="001832BB" w:rsidRPr="00D857DD">
        <w:t>del derecho a una alimentación adecuada</w:t>
      </w:r>
      <w:bookmarkEnd w:id="155"/>
    </w:p>
    <w:bookmarkEnd w:id="156"/>
    <w:p w14:paraId="58D6D3E3" w14:textId="77777777" w:rsidR="001832BB" w:rsidRPr="00D857DD" w:rsidRDefault="001832BB" w:rsidP="001832BB">
      <w:pPr>
        <w:pStyle w:val="SingleTxtG"/>
      </w:pPr>
      <w:r w:rsidRPr="00D857DD">
        <w:t>276.</w:t>
      </w:r>
      <w:r w:rsidRPr="00D857DD">
        <w:tab/>
        <w:t>La Oficina para la Mejora de la Salud y la Superación de las Disparidades examina los datos disponibles sobre las dietas y la ingesta de nutrientes en la población, en particular mediante la encuesta nacional sobre dieta y nutrición, en la que desde abril de 2022 se vienen incluyendo preguntas sobre la inseguridad alimentaria. La repercusión del aumento de los precios de los alimentos y los descensos de las ventas de alimentos en la salud y la nutrición de la población se desconocerá durante una temporada a causa del tiempo necesario para recopilar y analizar un volumen de datos suficiente.</w:t>
      </w:r>
    </w:p>
    <w:p w14:paraId="448B8202" w14:textId="77777777" w:rsidR="001832BB" w:rsidRPr="00D857DD" w:rsidRDefault="001832BB" w:rsidP="001832BB">
      <w:pPr>
        <w:pStyle w:val="SingleTxtG"/>
      </w:pPr>
      <w:r w:rsidRPr="00D857DD">
        <w:t>277.</w:t>
      </w:r>
      <w:r w:rsidRPr="00D857DD">
        <w:tab/>
        <w:t>Desde 2019/20 se incluyen anualmente preguntas sobre seguridad alimentaria en la encuesta sobre los recursos familiares del Ministerio de Trabajo y Pensiones.</w:t>
      </w:r>
    </w:p>
    <w:p w14:paraId="370758B3" w14:textId="306E091A" w:rsidR="001832BB" w:rsidRPr="00D857DD" w:rsidRDefault="001832BB" w:rsidP="001832BB">
      <w:pPr>
        <w:pStyle w:val="SingleTxtG"/>
      </w:pPr>
      <w:r w:rsidRPr="00D857DD">
        <w:lastRenderedPageBreak/>
        <w:t>278.</w:t>
      </w:r>
      <w:r w:rsidRPr="00D857DD">
        <w:tab/>
        <w:t>La Agencia sobre Normas Alimentarias vigila la inseguridad y otros comportamientos relacionados con los consumidores a través de la encuesta Food and You (</w:t>
      </w:r>
      <w:r w:rsidR="004C2891" w:rsidRPr="00D857DD">
        <w:t>“</w:t>
      </w:r>
      <w:r w:rsidRPr="00D857DD">
        <w:t>La alimentación y tú</w:t>
      </w:r>
      <w:r w:rsidR="004C2891" w:rsidRPr="00D857DD">
        <w:t>”</w:t>
      </w:r>
      <w:r w:rsidRPr="00D857DD">
        <w:t>). En la encuesta sobre la alimentación familiar también se recopilan datos sobre inseguridad alimentaria e información relativa a las pautas de compra.</w:t>
      </w:r>
    </w:p>
    <w:p w14:paraId="2FE299EE" w14:textId="0F9DC6A7" w:rsidR="001832BB" w:rsidRPr="00D857DD" w:rsidRDefault="001832BB" w:rsidP="001832BB">
      <w:pPr>
        <w:pStyle w:val="SingleTxtG"/>
      </w:pPr>
      <w:r w:rsidRPr="00D857DD">
        <w:t>279.</w:t>
      </w:r>
      <w:r w:rsidRPr="00D857DD">
        <w:tab/>
        <w:t>Conforme a la Ley de Agricultura de 2020, el Secretario de Estado del Departamento de Medio Ambiente, Alimentación y Asuntos Rurales debe publicar con una periodicidad mínima de tres años un informe en el que figure un análisis de los datos estadísticos sobre la seguridad alimentaria en el Reino Unido. En la primera versión del informe, publicada en</w:t>
      </w:r>
      <w:r w:rsidR="00A72EF9" w:rsidRPr="00D857DD">
        <w:t> </w:t>
      </w:r>
      <w:r w:rsidRPr="00D857DD">
        <w:t>2021, figuraba un análisis de los siguientes aspectos de la seguridad alimentaria: la disponibilidad global de alimentos; las fuentes de suministro de alimentos; la resiliencia de la cadena de suministro de alimentos; la seguridad alimentaria de la familia, la inocuidad alimentaria y la confianza de los consumidores en los alimentos.</w:t>
      </w:r>
    </w:p>
    <w:p w14:paraId="2337FD34" w14:textId="32D4BF04" w:rsidR="001832BB" w:rsidRPr="00D857DD" w:rsidRDefault="001832BB" w:rsidP="001832BB">
      <w:pPr>
        <w:pStyle w:val="SingleTxtG"/>
      </w:pPr>
      <w:r w:rsidRPr="00D857DD">
        <w:t>280.</w:t>
      </w:r>
      <w:r w:rsidRPr="00D857DD">
        <w:tab/>
        <w:t>Los tres programas de alimentación sana (Comienzo Saludable, Leche para Guarderías y Consumo de Frutas y Verduras en las Escuelas) ayudan en conjunto a más de</w:t>
      </w:r>
      <w:r w:rsidR="00A72EF9" w:rsidRPr="00D857DD">
        <w:t> </w:t>
      </w:r>
      <w:r w:rsidRPr="00D857DD">
        <w:t>3</w:t>
      </w:r>
      <w:r w:rsidR="00A72EF9" w:rsidRPr="00D857DD">
        <w:t> </w:t>
      </w:r>
      <w:r w:rsidRPr="00D857DD">
        <w:t>millones de niños. Prestan apoyo a las prioridades gubernamentales generales en materia de obesidad y nivelación. Los programas ayudan a prestar apoyo a los niños y lactantes en el hogar, en la guardería y en los primeros años de escolarización y a las mujeres embarazadas. Cada año se destinan a estos programas más de 200 millones de libras esterlinas en atención a este compromiso.</w:t>
      </w:r>
    </w:p>
    <w:p w14:paraId="35F98125" w14:textId="77777777" w:rsidR="001832BB" w:rsidRPr="00D857DD" w:rsidRDefault="001832BB" w:rsidP="001832BB">
      <w:pPr>
        <w:pStyle w:val="SingleTxtG"/>
      </w:pPr>
      <w:r w:rsidRPr="00D857DD">
        <w:t>281.</w:t>
      </w:r>
      <w:r w:rsidRPr="00D857DD">
        <w:tab/>
        <w:t>Se facilitan comidas escolares gratuitas a más de un tercio de los niños escolarizados, incluidos 2 millones de alumnos que pueden optar a recibir comidas escolares gratuitas en el marco de prestaciones (23,8 % del total de los alumnos), lo cual supone un aumento desde enero de 2021, cuando el número de alumnos que podían optar a ello era de 1,7 millones (20,8 %). Además, casi 1,3 millones más de niños menores de 1 año reciben una comida nutritiva gratuita a la hora del almuerzo tras la introducción en 2014 del plan universal de comidas escolares gratuitas para los niños menores de 1 año. También reciben una comida gratuita en el mismo horario otros 90.000 alumnos desfavorecidos que cursan ciclos de educación posteriores.</w:t>
      </w:r>
    </w:p>
    <w:p w14:paraId="3FDC2655" w14:textId="77777777" w:rsidR="001832BB" w:rsidRPr="00D857DD" w:rsidRDefault="001832BB" w:rsidP="001832BB">
      <w:pPr>
        <w:pStyle w:val="SingleTxtG"/>
      </w:pPr>
      <w:r w:rsidRPr="00D857DD">
        <w:t>282.</w:t>
      </w:r>
      <w:r w:rsidRPr="00D857DD">
        <w:tab/>
        <w:t>El programa de trabajo general del Gobierno del Reino Unido dirigido a crear un entorno más sano para ayudar a las personas a alcanzar y mantener un peso sano consta de lo siguiente:</w:t>
      </w:r>
    </w:p>
    <w:p w14:paraId="7BB76610" w14:textId="7B91D0DD" w:rsidR="001832BB" w:rsidRPr="00D857DD" w:rsidRDefault="001832BB" w:rsidP="004707F7">
      <w:pPr>
        <w:pStyle w:val="Bullet1G"/>
      </w:pPr>
      <w:r w:rsidRPr="00D857DD">
        <w:t>Reglamentos por los que se restringe la oferta en establecimientos y en línea de productos con un contenido alto de grasas saturadas, sal o azúcar</w:t>
      </w:r>
      <w:r w:rsidR="004707F7" w:rsidRPr="00D857DD">
        <w:t>.</w:t>
      </w:r>
    </w:p>
    <w:p w14:paraId="45D37630" w14:textId="2DD41501" w:rsidR="001832BB" w:rsidRPr="00D857DD" w:rsidRDefault="001832BB" w:rsidP="004707F7">
      <w:pPr>
        <w:pStyle w:val="Bullet1G"/>
      </w:pPr>
      <w:r w:rsidRPr="00D857DD">
        <w:t>Iniciativas dirigidas a reformular los productos que tienen un contenido alto de calorías, azúcar y sal</w:t>
      </w:r>
      <w:r w:rsidR="004707F7" w:rsidRPr="00D857DD">
        <w:t>.</w:t>
      </w:r>
    </w:p>
    <w:p w14:paraId="5C69EB60" w14:textId="16CA79F4" w:rsidR="001832BB" w:rsidRPr="00D857DD" w:rsidRDefault="001832BB" w:rsidP="004707F7">
      <w:pPr>
        <w:pStyle w:val="Bullet1G"/>
      </w:pPr>
      <w:r w:rsidRPr="00D857DD">
        <w:t>El gravamen a la industria de los refrescos</w:t>
      </w:r>
      <w:r w:rsidR="004707F7" w:rsidRPr="00D857DD">
        <w:t>.</w:t>
      </w:r>
    </w:p>
    <w:p w14:paraId="667796D7" w14:textId="77777777" w:rsidR="001832BB" w:rsidRPr="00D857DD" w:rsidRDefault="001832BB" w:rsidP="004707F7">
      <w:pPr>
        <w:pStyle w:val="Bullet1G"/>
      </w:pPr>
      <w:r w:rsidRPr="00D857DD">
        <w:t>Reglamentación sobre el etiquetado en materia de calorías de los alimentos vendidos en grandes negocios fuera del hogar.</w:t>
      </w:r>
    </w:p>
    <w:p w14:paraId="14E2B590" w14:textId="31D2FCA9" w:rsidR="001832BB" w:rsidRPr="00D857DD" w:rsidRDefault="004707F7" w:rsidP="004707F7">
      <w:pPr>
        <w:pStyle w:val="H23G"/>
      </w:pPr>
      <w:bookmarkStart w:id="157" w:name="_Toc650959850"/>
      <w:bookmarkStart w:id="158" w:name="_Hlk164779086"/>
      <w:r w:rsidRPr="00D857DD">
        <w:tab/>
      </w:r>
      <w:r w:rsidR="001832BB" w:rsidRPr="00D857DD">
        <w:tab/>
        <w:t>Otras jurisdicciones</w:t>
      </w:r>
      <w:bookmarkEnd w:id="157"/>
    </w:p>
    <w:p w14:paraId="585C07AA" w14:textId="29BC9E84" w:rsidR="001832BB" w:rsidRPr="00D857DD" w:rsidRDefault="004707F7" w:rsidP="004707F7">
      <w:pPr>
        <w:pStyle w:val="H4G"/>
      </w:pPr>
      <w:bookmarkStart w:id="159" w:name="_Hlk164779092"/>
      <w:bookmarkEnd w:id="158"/>
      <w:r w:rsidRPr="00D857DD">
        <w:tab/>
      </w:r>
      <w:r w:rsidR="001832BB" w:rsidRPr="00D857DD">
        <w:tab/>
        <w:t>Escocia</w:t>
      </w:r>
    </w:p>
    <w:bookmarkEnd w:id="159"/>
    <w:p w14:paraId="5D9EE0FE" w14:textId="77777777" w:rsidR="001832BB" w:rsidRPr="00D857DD" w:rsidRDefault="001832BB" w:rsidP="001832BB">
      <w:pPr>
        <w:pStyle w:val="SingleTxtG"/>
      </w:pPr>
      <w:r w:rsidRPr="00D857DD">
        <w:t>283.</w:t>
      </w:r>
      <w:r w:rsidRPr="00D857DD">
        <w:tab/>
        <w:t>El proyecto de ley sobre derechos humanos propuesto por el Gobierno de Escocia ayudará a velar por que, en virtud de la incorporación del Pacto Internacional de Derechos Económicos, Sociales y Culturales, el derecho a una alimentación adecuada como parte del derecho a un nivel de vida adecuado pase a formar parte por primera vez del derecho interno de Escocia y fortalezca la manera en que el ejercicio de esas funciones públicas transferidas respete, proteja y haga efectivo este derecho.</w:t>
      </w:r>
    </w:p>
    <w:p w14:paraId="332A611E" w14:textId="77777777" w:rsidR="001832BB" w:rsidRPr="00D857DD" w:rsidRDefault="001832BB" w:rsidP="001832BB">
      <w:pPr>
        <w:pStyle w:val="SingleTxtG"/>
      </w:pPr>
      <w:r w:rsidRPr="00D857DD">
        <w:t>284.</w:t>
      </w:r>
      <w:r w:rsidRPr="00D857DD">
        <w:tab/>
        <w:t>La Ley sobre la Alimentación Adecuada en la Nación (Escocia) de 2022 exige a los ministros y las autoridades competentes de Escocia que al preparar los planes en la materia tengan en cuenta el hecho de que la alimentación adecuada es un derecho humano esencial para la efectividad de otros derechos humanos. El primer proyecto de Plan de Alimentación Adecuada en la Nación se someterá a consulta pública y a examen parlamentario en 2023/24.</w:t>
      </w:r>
    </w:p>
    <w:p w14:paraId="7BDC8480" w14:textId="4419E8B2" w:rsidR="001832BB" w:rsidRPr="00D857DD" w:rsidRDefault="004707F7" w:rsidP="004707F7">
      <w:pPr>
        <w:pStyle w:val="H4G"/>
      </w:pPr>
      <w:bookmarkStart w:id="160" w:name="_Hlk164779122"/>
      <w:r w:rsidRPr="00D857DD">
        <w:lastRenderedPageBreak/>
        <w:tab/>
      </w:r>
      <w:r w:rsidR="001832BB" w:rsidRPr="00D857DD">
        <w:tab/>
        <w:t>Irlanda del Norte</w:t>
      </w:r>
    </w:p>
    <w:bookmarkEnd w:id="160"/>
    <w:p w14:paraId="55D42313" w14:textId="41277917" w:rsidR="001832BB" w:rsidRPr="00D857DD" w:rsidRDefault="001832BB" w:rsidP="001832BB">
      <w:pPr>
        <w:pStyle w:val="SingleTxtG"/>
      </w:pPr>
      <w:r w:rsidRPr="00D857DD">
        <w:t>285.</w:t>
      </w:r>
      <w:r w:rsidRPr="00D857DD">
        <w:tab/>
        <w:t xml:space="preserve">El 24 de noviembre de 2023 el Departamento de Salud de Irlanda del Norte emprendió una consulta sobre una nueva estrategia en materia de obesidad para Irlanda del Norte, </w:t>
      </w:r>
      <w:r w:rsidR="004C2891" w:rsidRPr="00D857DD">
        <w:t>“</w:t>
      </w:r>
      <w:r w:rsidRPr="00D857DD">
        <w:t>Futuros sanos</w:t>
      </w:r>
      <w:r w:rsidR="004C2891" w:rsidRPr="00D857DD">
        <w:t>”</w:t>
      </w:r>
      <w:r w:rsidRPr="00D857DD">
        <w:t xml:space="preserve"> (</w:t>
      </w:r>
      <w:hyperlink r:id="rId15" w:history="1">
        <w:r w:rsidRPr="00D857DD">
          <w:rPr>
            <w:rStyle w:val="Hipervnculo"/>
          </w:rPr>
          <w:t>https://www.health-ni.gov.uk/consultations/strategic-framework-prevent-harm-caused-by-obesity-and-improve-diets-and-levels-physical-activity</w:t>
        </w:r>
      </w:hyperlink>
      <w:r w:rsidRPr="00D857DD">
        <w:t>). Mediante la consulta, que se realizó conjuntamente con destacadas partes interesadas y tuvo lugar hasta el 16 de febrero de 2024, se recabaron opiniones sobre la visión, los principios, los temas y las prioridades determinados hasta la fecha en el marco de esta labor. En enero y febrero de</w:t>
      </w:r>
      <w:r w:rsidR="00A72EF9" w:rsidRPr="00D857DD">
        <w:t> </w:t>
      </w:r>
      <w:r w:rsidRPr="00D857DD">
        <w:t>2024 se celebraron actos en el marco de la consulta. Al término de la consulta se analizarán las respuestas y se elaborará un plan de acción antes de solicitar aprobación en los planos ministerial y ejecutivo.</w:t>
      </w:r>
    </w:p>
    <w:p w14:paraId="4652846A" w14:textId="538446A2" w:rsidR="001832BB" w:rsidRPr="00D857DD" w:rsidRDefault="004707F7" w:rsidP="004707F7">
      <w:pPr>
        <w:pStyle w:val="HChG"/>
      </w:pPr>
      <w:bookmarkStart w:id="161" w:name="_Hlk164332612"/>
      <w:bookmarkStart w:id="162" w:name="_Toc1766749986"/>
      <w:r w:rsidRPr="00D857DD">
        <w:tab/>
      </w:r>
      <w:r w:rsidR="001832BB" w:rsidRPr="00D857DD">
        <w:tab/>
        <w:t>Derecho a la salud física y mental (art. 12)</w:t>
      </w:r>
      <w:bookmarkStart w:id="163" w:name="_Hlk164332634"/>
      <w:bookmarkEnd w:id="161"/>
      <w:bookmarkEnd w:id="162"/>
    </w:p>
    <w:p w14:paraId="66AEC1A7" w14:textId="20779183" w:rsidR="001832BB" w:rsidRPr="00D857DD" w:rsidRDefault="004707F7" w:rsidP="004707F7">
      <w:pPr>
        <w:pStyle w:val="H1G"/>
      </w:pPr>
      <w:bookmarkStart w:id="164" w:name="_Toc75588671"/>
      <w:bookmarkEnd w:id="163"/>
      <w:r w:rsidRPr="00D857DD">
        <w:tab/>
      </w:r>
      <w:r w:rsidR="001832BB" w:rsidRPr="00D857DD">
        <w:t>34.</w:t>
      </w:r>
      <w:r w:rsidR="001832BB" w:rsidRPr="00D857DD">
        <w:tab/>
        <w:t xml:space="preserve">Impacto de la pandemia de COVID-19 en el Servicio Nacional </w:t>
      </w:r>
      <w:r w:rsidRPr="00D857DD">
        <w:br/>
      </w:r>
      <w:r w:rsidR="001832BB" w:rsidRPr="00D857DD">
        <w:t>de Salud (SNS)</w:t>
      </w:r>
      <w:bookmarkEnd w:id="164"/>
    </w:p>
    <w:p w14:paraId="59481A21" w14:textId="77777777" w:rsidR="001832BB" w:rsidRPr="00D857DD" w:rsidRDefault="001832BB" w:rsidP="001832BB">
      <w:pPr>
        <w:pStyle w:val="SingleTxtG"/>
      </w:pPr>
      <w:r w:rsidRPr="00D857DD">
        <w:t>286.</w:t>
      </w:r>
      <w:r w:rsidRPr="00D857DD">
        <w:tab/>
        <w:t>El Gobierno tiene claro que los pacientes tienen que esperar demasiado para recibir atención electiva, por lo que se ha comprometido a conseguir que antes del final de la presente legislatura vuelvan a respetarse las normas constitucionales del SNS en materia de tiempos de espera. Según la Constitución del SNS, el 92 % de los pacientes no debería esperar más de 18 semanas desde la derivación hasta el tratamiento. A junio de 2024, el 58,9 % de las esperas respetaba la norma de 18 semanas, lo cual supone un descenso con respecto al 86 % registrado antes de la pandemia en abril de 2019.</w:t>
      </w:r>
    </w:p>
    <w:p w14:paraId="3E1F447F" w14:textId="77777777" w:rsidR="001832BB" w:rsidRPr="00D857DD" w:rsidRDefault="001832BB" w:rsidP="001832BB">
      <w:pPr>
        <w:pStyle w:val="SingleTxtG"/>
      </w:pPr>
      <w:r w:rsidRPr="00D857DD">
        <w:t>287.</w:t>
      </w:r>
      <w:r w:rsidRPr="00D857DD">
        <w:tab/>
        <w:t>Una primera medida en este sentido consistirá en llevar a cabo en Inglaterra 2 millones más de operaciones, escaneos y citas al año, lo cual equivale a 40.000 citas más por semana. También se ayudará a las Fundaciones del SNS a alcanzar esta meta mediante innovaciones, el intercambio de mejores prácticas a fin de aumentar la productividad y la eficiencia y la obtención de una relación óptima costo-calidad. Además, como se indica en nuestros compromisos asumidos a modo de manifiesto, el apoyo al SNS para aumentar la capacidad de diagnóstico en atención a la demanda de servicios de diagnóstico (como servicios de imagen de resonancia magnética o de tomografía computarizada) constituye una prioridad para el Gobierno. Los programas específicos de financiación de estas medidas formarán parte del próximo examen de los gastos.</w:t>
      </w:r>
    </w:p>
    <w:p w14:paraId="5093942D" w14:textId="77777777" w:rsidR="001832BB" w:rsidRPr="00D857DD" w:rsidRDefault="001832BB" w:rsidP="001832BB">
      <w:pPr>
        <w:pStyle w:val="SingleTxtG"/>
      </w:pPr>
      <w:r w:rsidRPr="00D857DD">
        <w:t>288.</w:t>
      </w:r>
      <w:r w:rsidRPr="00D857DD">
        <w:tab/>
        <w:t xml:space="preserve">El Secretario de Estado ha nombrado al Profesor Ara Darzi, Barón Darzi de Denham, para que dirija una investigación inmediata e independiente del SNS cuyos resultados se conocerán en septiembre de 2024. De ese modo se dispondrá de una evaluación independiente y especializada del actual desempeño del SNS en toda Inglaterra y de las dificultades que encuentra el sistema de atención sanitaria y se contribuirá a la elaboración de un plan decenal para el SNS que se divulgará públicamente. </w:t>
      </w:r>
    </w:p>
    <w:p w14:paraId="48A86C99" w14:textId="4CE3B6FD" w:rsidR="001832BB" w:rsidRPr="00D857DD" w:rsidRDefault="004707F7" w:rsidP="004707F7">
      <w:pPr>
        <w:pStyle w:val="H23G"/>
      </w:pPr>
      <w:bookmarkStart w:id="165" w:name="_Toc353106359"/>
      <w:bookmarkStart w:id="166" w:name="_Hlk164332675"/>
      <w:r w:rsidRPr="00D857DD">
        <w:tab/>
      </w:r>
      <w:r w:rsidR="001832BB" w:rsidRPr="00D857DD">
        <w:tab/>
        <w:t>Otras jurisdicciones</w:t>
      </w:r>
      <w:bookmarkEnd w:id="165"/>
    </w:p>
    <w:bookmarkEnd w:id="166"/>
    <w:p w14:paraId="005AF2CB" w14:textId="7E9404B9" w:rsidR="001832BB" w:rsidRPr="00D857DD" w:rsidRDefault="004707F7" w:rsidP="004707F7">
      <w:pPr>
        <w:pStyle w:val="H4G"/>
      </w:pPr>
      <w:r w:rsidRPr="00D857DD">
        <w:tab/>
      </w:r>
      <w:r w:rsidR="001832BB" w:rsidRPr="00D857DD">
        <w:tab/>
        <w:t>Escocia</w:t>
      </w:r>
    </w:p>
    <w:p w14:paraId="3C20F49E" w14:textId="77777777" w:rsidR="001832BB" w:rsidRPr="00D857DD" w:rsidRDefault="001832BB" w:rsidP="001832BB">
      <w:pPr>
        <w:pStyle w:val="SingleTxtG"/>
      </w:pPr>
      <w:r w:rsidRPr="00D857DD">
        <w:t>289.</w:t>
      </w:r>
      <w:r w:rsidRPr="00D857DD">
        <w:tab/>
        <w:t>El Gobierno de Escocia publicó en agosto de 2021 el Plan de Recuperación del SNS, en el que se indican sus planes en materia de salud y atención social para los próximos cinco años. Mediante fondos por valor de 1.000 millones de libras esterlinas se aumentará la actividad correspondiente a los pacientes ingresados, las consultas de día y los pacientes ambulatorios para hacer frente a los casos de atención pendientes, a lo cual contribuirán la aplicación de mejoras sostenibles y modelos de atención nuevos.</w:t>
      </w:r>
    </w:p>
    <w:p w14:paraId="575524F2" w14:textId="0F863342" w:rsidR="001832BB" w:rsidRPr="00D857DD" w:rsidRDefault="004707F7" w:rsidP="004707F7">
      <w:pPr>
        <w:pStyle w:val="H4G"/>
      </w:pPr>
      <w:bookmarkStart w:id="167" w:name="_Hlk164332732"/>
      <w:r w:rsidRPr="00D857DD">
        <w:tab/>
      </w:r>
      <w:r w:rsidR="001832BB" w:rsidRPr="00D857DD">
        <w:tab/>
        <w:t>Gales</w:t>
      </w:r>
    </w:p>
    <w:bookmarkEnd w:id="167"/>
    <w:p w14:paraId="78772E14" w14:textId="0B895DF2" w:rsidR="001832BB" w:rsidRPr="00D857DD" w:rsidRDefault="001832BB" w:rsidP="001832BB">
      <w:pPr>
        <w:pStyle w:val="SingleTxtG"/>
      </w:pPr>
      <w:r w:rsidRPr="00D857DD">
        <w:t>290.</w:t>
      </w:r>
      <w:r w:rsidRPr="00D857DD">
        <w:tab/>
        <w:t xml:space="preserve">Las Juntas de Salud de Gales siguen prestando servicios sanitarios de conformidad con las Directrices del Gobierno de Gales sobre la mejora de la salud y el bienestar de los solicitantes de asilo y refugiados y los itinerantes y las Directrices sobre la aplicación de las </w:t>
      </w:r>
      <w:r w:rsidRPr="00D857DD">
        <w:lastRenderedPageBreak/>
        <w:t>políticas por parte de los profesionales sanitarios que trabajan con gitanos e itinerantes. El Gobierno de Gales promulgó una Especificación sobre los servicios mejorados dirigidos a los solicitantes de asilo y refugiados en el marco del contrato de servicios médicos generales para Gales en 2008</w:t>
      </w:r>
      <w:r w:rsidR="00A72EF9" w:rsidRPr="00D857DD">
        <w:t>/</w:t>
      </w:r>
      <w:r w:rsidRPr="00D857DD">
        <w:t xml:space="preserve">09. En él figura una especificación sobre los servicios mejorados para uso de las Juntas de Salud cuando encomienden servicios médicos de atención primaria para los solicitantes de asilo y refugiados de su zona. </w:t>
      </w:r>
    </w:p>
    <w:p w14:paraId="0F2FB120" w14:textId="43A54129" w:rsidR="001832BB" w:rsidRPr="00D857DD" w:rsidRDefault="004707F7" w:rsidP="004707F7">
      <w:pPr>
        <w:pStyle w:val="H4G"/>
      </w:pPr>
      <w:r w:rsidRPr="00D857DD">
        <w:tab/>
      </w:r>
      <w:r w:rsidR="001832BB" w:rsidRPr="00D857DD">
        <w:tab/>
        <w:t>Irlanda del Norte</w:t>
      </w:r>
    </w:p>
    <w:p w14:paraId="33AAD5D8" w14:textId="77777777" w:rsidR="001832BB" w:rsidRPr="00D857DD" w:rsidRDefault="001832BB" w:rsidP="001832BB">
      <w:pPr>
        <w:pStyle w:val="SingleTxtG"/>
      </w:pPr>
      <w:r w:rsidRPr="00D857DD">
        <w:t>291.</w:t>
      </w:r>
      <w:r w:rsidRPr="00D857DD">
        <w:tab/>
        <w:t>En el Marco de Atención Electiva publicado por el Departamento de Salud de Irlanda del Norte en junio de 2021 se establece un plan quinquenal para rebajar sistemáticamente el número de casos de pacientes en espera. En el momento en que se publicó el Marco se estimaba que se necesitaban otros 707,5 millones de libras esterlinas a lo largo de los cinco años. Aunque en 2021/22 y 2022/23 se han realizado copiosas inversiones puntuales, no se ha alcanzado el nivel de inversión recurrente que se necesita para hacer frente a la cuestión de una demanda que sobrepasa la capacidad.</w:t>
      </w:r>
    </w:p>
    <w:p w14:paraId="3BDA824E" w14:textId="7D5CF92B" w:rsidR="001832BB" w:rsidRPr="00D857DD" w:rsidRDefault="004707F7" w:rsidP="004707F7">
      <w:pPr>
        <w:pStyle w:val="H1G"/>
      </w:pPr>
      <w:bookmarkStart w:id="168" w:name="_Toc639263370"/>
      <w:bookmarkStart w:id="169" w:name="_Hlk164779238"/>
      <w:r w:rsidRPr="00D857DD">
        <w:tab/>
      </w:r>
      <w:r w:rsidR="001832BB" w:rsidRPr="00D857DD">
        <w:t>35.</w:t>
      </w:r>
      <w:r w:rsidR="001832BB" w:rsidRPr="00D857DD">
        <w:tab/>
        <w:t xml:space="preserve">Ley de Salud Mental de 1983 y estrategias en materia de salud </w:t>
      </w:r>
      <w:r w:rsidRPr="00D857DD">
        <w:br/>
      </w:r>
      <w:r w:rsidR="001832BB" w:rsidRPr="00D857DD">
        <w:t>mental</w:t>
      </w:r>
      <w:bookmarkEnd w:id="168"/>
    </w:p>
    <w:bookmarkEnd w:id="169"/>
    <w:p w14:paraId="48C5C513" w14:textId="77777777" w:rsidR="001832BB" w:rsidRPr="00D857DD" w:rsidRDefault="001832BB" w:rsidP="001832BB">
      <w:pPr>
        <w:pStyle w:val="SingleTxtG"/>
      </w:pPr>
      <w:r w:rsidRPr="00D857DD">
        <w:t>292.</w:t>
      </w:r>
      <w:r w:rsidRPr="00D857DD">
        <w:tab/>
        <w:t>En el discurso del Rey de 2024 se anunció que el Gobierno legislaría la modernización de la Ley de Salud Mental para que se adecuara al siglo XXI. Con el proyecto de ley sobre salud mental se modificará la Ley de Salud Mental de 1983 para dotar a los detenidos de mayores opciones y autonomía y derechos y apoyo mejorados y velar por que durante todo el tratamiento se dispense a todas las personas una atención digna y respetuosa.</w:t>
      </w:r>
    </w:p>
    <w:p w14:paraId="66264277" w14:textId="77777777" w:rsidR="001832BB" w:rsidRPr="00D857DD" w:rsidRDefault="001832BB" w:rsidP="001832BB">
      <w:pPr>
        <w:pStyle w:val="SingleTxtG"/>
      </w:pPr>
      <w:r w:rsidRPr="00D857DD">
        <w:t>293.</w:t>
      </w:r>
      <w:r w:rsidRPr="00D857DD">
        <w:tab/>
        <w:t>En septiembre de 2023 se publicó una nueva estrategia de prevención del suicidio en Inglaterra. En ella se establece la meta de reducir el índice de suicidio en Inglaterra, así como más de 100 medidas dirigidas a avanzar al respecto. También se califica a los hombres de mediana edad y a los niños y jóvenes como grupos prioritarios a efectos de recibir apoyo específico y adaptado. Se enuncia la voluntad de comprender mejor las tendencias nacionales de los suicidios entre los grupos minoritarios étnicos, como las comunidades gitana, romaní e itinerante.</w:t>
      </w:r>
    </w:p>
    <w:p w14:paraId="64D0C3E4" w14:textId="72CFE971" w:rsidR="001832BB" w:rsidRPr="00D857DD" w:rsidRDefault="001832BB" w:rsidP="004707F7">
      <w:pPr>
        <w:pStyle w:val="H23G"/>
      </w:pPr>
      <w:bookmarkStart w:id="170" w:name="_Toc1540547934"/>
      <w:r w:rsidRPr="00D857DD">
        <w:tab/>
      </w:r>
      <w:r w:rsidR="004707F7" w:rsidRPr="00D857DD">
        <w:tab/>
      </w:r>
      <w:r w:rsidRPr="00D857DD">
        <w:t>Otras jurisdicciones</w:t>
      </w:r>
      <w:bookmarkEnd w:id="170"/>
    </w:p>
    <w:p w14:paraId="37F7FAEA" w14:textId="62B1965D" w:rsidR="001832BB" w:rsidRPr="00D857DD" w:rsidRDefault="004707F7" w:rsidP="004707F7">
      <w:pPr>
        <w:pStyle w:val="H4G"/>
      </w:pPr>
      <w:r w:rsidRPr="00D857DD">
        <w:tab/>
      </w:r>
      <w:r w:rsidR="001832BB" w:rsidRPr="00D857DD">
        <w:tab/>
        <w:t xml:space="preserve">Escocia </w:t>
      </w:r>
    </w:p>
    <w:p w14:paraId="3F61AADD" w14:textId="77777777" w:rsidR="001832BB" w:rsidRPr="00D857DD" w:rsidRDefault="001832BB" w:rsidP="001832BB">
      <w:pPr>
        <w:pStyle w:val="SingleTxtG"/>
      </w:pPr>
      <w:r w:rsidRPr="00D857DD">
        <w:t>294.</w:t>
      </w:r>
      <w:r w:rsidRPr="00D857DD">
        <w:tab/>
        <w:t>En junio de 2023 el Gobierno de Escocia publicó una nueva estrategia sobre salud y bienestar mental junto con la Convención de Autoridades Locales de Escocia. La estrategia tiene base empírica, se inspira en la experiencia vivida y se sustenta en la igualdad y los derechos humanos.</w:t>
      </w:r>
    </w:p>
    <w:p w14:paraId="20E4C18B" w14:textId="77777777" w:rsidR="001832BB" w:rsidRPr="00D857DD" w:rsidRDefault="001832BB" w:rsidP="001832BB">
      <w:pPr>
        <w:pStyle w:val="SingleTxtG"/>
      </w:pPr>
      <w:r w:rsidRPr="00D857DD">
        <w:t>295.</w:t>
      </w:r>
      <w:r w:rsidRPr="00D857DD">
        <w:tab/>
        <w:t>El 7 de noviembre de 2023 el Gobierno de Escocia publicó el primer plan de ejecución y plan de acción sobre la fuerza de trabajo de la estrategia. En el primer plan de ejecución se describe la labor que emprenderá el Gobierno de Escocia junto con sus asociados durante los próximos 18 meses en relación con las diez prioridades de la estrategia.</w:t>
      </w:r>
    </w:p>
    <w:p w14:paraId="02E1C27F" w14:textId="77777777" w:rsidR="001832BB" w:rsidRPr="00D857DD" w:rsidRDefault="001832BB" w:rsidP="001832BB">
      <w:pPr>
        <w:pStyle w:val="SingleTxtG"/>
      </w:pPr>
      <w:r w:rsidRPr="00D857DD">
        <w:t>296.</w:t>
      </w:r>
      <w:r w:rsidRPr="00D857DD">
        <w:tab/>
        <w:t>En septiembre de 2022 el Gobierno de Escocia publicó junto con la Convención de Autoridades Locales de Escocia su primera estrategia conjunta de prevención del suicidio. El Gobierno de Escocia preparó la estrategia y el plan de acción a partir de amplias consultas con comunidades de toda Escocia en el marco de las cuales se escuchó la voz de personas con experiencia directa de suicidio y se examinaron todas las pruebas disponibles. Las actividades, en cuyo marco se dará prioridad a los entornos de alto riesgo, van dirigidas a atender las necesidades de los distintos grupos que corren mayor riesgo de suicidio.</w:t>
      </w:r>
    </w:p>
    <w:p w14:paraId="29EF432D" w14:textId="07100E4B" w:rsidR="001832BB" w:rsidRPr="00D857DD" w:rsidRDefault="004707F7" w:rsidP="004707F7">
      <w:pPr>
        <w:pStyle w:val="H4G"/>
      </w:pPr>
      <w:r w:rsidRPr="00D857DD">
        <w:tab/>
      </w:r>
      <w:r w:rsidR="001832BB" w:rsidRPr="00D857DD">
        <w:tab/>
        <w:t>Gales</w:t>
      </w:r>
    </w:p>
    <w:p w14:paraId="5AF0E24D" w14:textId="77777777" w:rsidR="001832BB" w:rsidRPr="00D857DD" w:rsidRDefault="001832BB" w:rsidP="001832BB">
      <w:pPr>
        <w:pStyle w:val="SingleTxtG"/>
      </w:pPr>
      <w:r w:rsidRPr="00D857DD">
        <w:t>297.</w:t>
      </w:r>
      <w:r w:rsidRPr="00D857DD">
        <w:tab/>
        <w:t xml:space="preserve">El proyecto de estrategia del Gobierno de Gales de prevención del suicidio y las conductas autolesivas es objeto actualmente de consultas públicas. En el proyecto de estrategia se hace hincapié en la mejora del conocimiento de los factores de riesgo asociados </w:t>
      </w:r>
      <w:r w:rsidRPr="00D857DD">
        <w:lastRenderedPageBreak/>
        <w:t>con el suicidio y las conductas autolesivas y los esfuerzos se dirigen a prestar apoyo a los sectores más vulnerables. Su visión general se orienta a que la población de Gales viva en comunidades libres del miedo y la estigmatización ligados al suicidio y las conductas autolesivas, y a que disponga de capacidad y de apoyo para recabar y ofrecer ayuda cuando sea necesario. En la estrategia también se reconoce que el suicidio siempre es prevenible y nunca inevitable y que a todos nos corresponde una función al respecto.</w:t>
      </w:r>
    </w:p>
    <w:p w14:paraId="6626835B" w14:textId="77777777" w:rsidR="001832BB" w:rsidRPr="00D857DD" w:rsidRDefault="001832BB" w:rsidP="001832BB">
      <w:pPr>
        <w:pStyle w:val="SingleTxtG"/>
      </w:pPr>
      <w:r w:rsidRPr="00D857DD">
        <w:t>298.</w:t>
      </w:r>
      <w:r w:rsidRPr="00D857DD">
        <w:tab/>
        <w:t>La estrategia se ha elaborado con considerable participación de las partes interesadas, a quienes la consulta actual ofrece otra oportunidad de conformar la estrategia y nuestras medidas durante los próximos diez años. En paralelo a nuestra consulta sobre la estrategia de prevención del suicidio y las conductas autolesivas también mantenemos consultas en torno a una nueva estrategia decenal sobre salud y bienestar mental.</w:t>
      </w:r>
    </w:p>
    <w:p w14:paraId="6E8A1CA9" w14:textId="33598D51" w:rsidR="001832BB" w:rsidRPr="00D857DD" w:rsidRDefault="004707F7" w:rsidP="004707F7">
      <w:pPr>
        <w:pStyle w:val="H4G"/>
      </w:pPr>
      <w:r w:rsidRPr="00D857DD">
        <w:tab/>
      </w:r>
      <w:r w:rsidR="001832BB" w:rsidRPr="00D857DD">
        <w:tab/>
        <w:t>Irlanda del Norte</w:t>
      </w:r>
    </w:p>
    <w:p w14:paraId="437A8118" w14:textId="77777777" w:rsidR="001832BB" w:rsidRPr="00D857DD" w:rsidRDefault="001832BB" w:rsidP="001832BB">
      <w:pPr>
        <w:pStyle w:val="SingleTxtG"/>
      </w:pPr>
      <w:r w:rsidRPr="00D857DD">
        <w:t>299.</w:t>
      </w:r>
      <w:r w:rsidRPr="00D857DD">
        <w:tab/>
        <w:t>El Organismo de Salud Pública encomienda servicios de apoyo al equilibrio emocional y el bienestar y a la prevención del suicidio entre la comunidad itinerante de toda la jurisdicción. A través del programa de empoderamiento en el sur de Tyrone también se han ejecutado programas de apoyo a estas comunidades.</w:t>
      </w:r>
    </w:p>
    <w:p w14:paraId="4DB75FBE" w14:textId="77777777" w:rsidR="001832BB" w:rsidRPr="00D857DD" w:rsidRDefault="001832BB" w:rsidP="001832BB">
      <w:pPr>
        <w:pStyle w:val="SingleTxtG"/>
      </w:pPr>
      <w:r w:rsidRPr="00D857DD">
        <w:t>300.</w:t>
      </w:r>
      <w:r w:rsidRPr="00D857DD">
        <w:tab/>
        <w:t>Una vez se promulgue por completo, la Ley de Capacidad Mental (Irlanda del Norte) de 2016 derogará la Ordenanza sobre Salud Mental (Irlanda del Norte) de 1986 en relación con las personas de 16 años o más. Con ello se consolidará el derecho de Irlanda del Norte en materia de salud mental y capacidad mental. Actualmente no existen planes o calendarios indicativos para la derogación de la Ordenanza por la Ley.</w:t>
      </w:r>
    </w:p>
    <w:p w14:paraId="0EE0D6B1" w14:textId="4DA2BEE2" w:rsidR="001832BB" w:rsidRPr="00D857DD" w:rsidRDefault="004707F7" w:rsidP="004707F7">
      <w:pPr>
        <w:pStyle w:val="H1G"/>
      </w:pPr>
      <w:bookmarkStart w:id="171" w:name="_Toc496484398"/>
      <w:bookmarkStart w:id="172" w:name="_Hlk164333863"/>
      <w:r w:rsidRPr="00D857DD">
        <w:tab/>
      </w:r>
      <w:r w:rsidR="001832BB" w:rsidRPr="00D857DD">
        <w:t>36.</w:t>
      </w:r>
      <w:r w:rsidR="001832BB" w:rsidRPr="00D857DD">
        <w:tab/>
        <w:t>Salud sexual y reproductiva</w:t>
      </w:r>
      <w:bookmarkEnd w:id="171"/>
    </w:p>
    <w:bookmarkEnd w:id="172"/>
    <w:p w14:paraId="6298EF88" w14:textId="3ED1668B" w:rsidR="001832BB" w:rsidRPr="00D857DD" w:rsidRDefault="001832BB" w:rsidP="001832BB">
      <w:pPr>
        <w:pStyle w:val="SingleTxtG"/>
      </w:pPr>
      <w:r w:rsidRPr="00D857DD">
        <w:t>301.</w:t>
      </w:r>
      <w:r w:rsidRPr="00D857DD">
        <w:tab/>
        <w:t>Corresponde a las autoridades locales de Inglaterra el mandato de encomendar servicios integrales de acceso abierto en materia de salud sexual y reproductiva a través de un subsidio de salud pública financiado por un valor de 3.500 millones de libras esterlinas en</w:t>
      </w:r>
      <w:r w:rsidR="00342397" w:rsidRPr="00D857DD">
        <w:t> </w:t>
      </w:r>
      <w:r w:rsidRPr="00D857DD">
        <w:t>2023</w:t>
      </w:r>
      <w:r w:rsidR="003F22A7" w:rsidRPr="00D857DD">
        <w:t>/</w:t>
      </w:r>
      <w:r w:rsidRPr="00D857DD">
        <w:t xml:space="preserve">24. Cada una de ellas está facultada para adoptar decisiones en materia de financiación y encargo con respecto a los servicios que mejor atiendan las necesidades de su población local, con inclusión de la profilaxis oral previa a la exposición al VIH, de la que desde 2020 se dispone habitualmente en servicios especializados de salud sexual. </w:t>
      </w:r>
    </w:p>
    <w:p w14:paraId="202A2D31" w14:textId="77777777" w:rsidR="001832BB" w:rsidRPr="00D857DD" w:rsidRDefault="001832BB" w:rsidP="001832BB">
      <w:pPr>
        <w:pStyle w:val="SingleTxtG"/>
      </w:pPr>
      <w:r w:rsidRPr="00D857DD">
        <w:t>302.</w:t>
      </w:r>
      <w:r w:rsidRPr="00D857DD">
        <w:tab/>
        <w:t>Se dispone gratuitamente de una amplia gama de opciones anticonceptivas en diversos centros de atención primaria y comunitaria de Inglaterra, en particular a través del Servicio del SNS de Anticoncepción en las Farmacias anunciado en abril de 2023.</w:t>
      </w:r>
    </w:p>
    <w:p w14:paraId="0D148327" w14:textId="7781C32F" w:rsidR="001832BB" w:rsidRPr="00D857DD" w:rsidRDefault="001832BB" w:rsidP="004707F7">
      <w:pPr>
        <w:pStyle w:val="H23G"/>
      </w:pPr>
      <w:bookmarkStart w:id="173" w:name="_Toc522765988"/>
      <w:bookmarkStart w:id="174" w:name="_Hlk164779311"/>
      <w:r w:rsidRPr="00D857DD">
        <w:tab/>
      </w:r>
      <w:r w:rsidR="004707F7" w:rsidRPr="00D857DD">
        <w:tab/>
      </w:r>
      <w:r w:rsidRPr="00D857DD">
        <w:t>Otras jurisdicciones</w:t>
      </w:r>
      <w:bookmarkEnd w:id="173"/>
    </w:p>
    <w:p w14:paraId="66F8142E" w14:textId="15947BE8" w:rsidR="001832BB" w:rsidRPr="00D857DD" w:rsidRDefault="004707F7" w:rsidP="004707F7">
      <w:pPr>
        <w:pStyle w:val="H4G"/>
      </w:pPr>
      <w:r w:rsidRPr="00D857DD">
        <w:tab/>
      </w:r>
      <w:r w:rsidR="001832BB" w:rsidRPr="00D857DD">
        <w:tab/>
        <w:t xml:space="preserve">Escocia </w:t>
      </w:r>
    </w:p>
    <w:bookmarkEnd w:id="174"/>
    <w:p w14:paraId="562B1E92" w14:textId="77777777" w:rsidR="001832BB" w:rsidRPr="00D857DD" w:rsidRDefault="001832BB" w:rsidP="001832BB">
      <w:pPr>
        <w:pStyle w:val="SingleTxtG"/>
      </w:pPr>
      <w:r w:rsidRPr="00D857DD">
        <w:t>303.</w:t>
      </w:r>
      <w:r w:rsidRPr="00D857DD">
        <w:tab/>
        <w:t xml:space="preserve">En agosto de 2021 el Gobierno de Escocia publicó un Plan de Salud de la Mujer dirigido a reducir las desigualdades en la salud de las mujeres y las niñas de Escocia. El Plan se centra en seis esferas prioritarias: menopausia, salud menstrual, endometriosis, aborto y anticoncepción, anticoncepción postnatal y salud cardiovascular. En enero de 2023 el Gobierno de Escocia publicó un informe dedicado a los progresos registrados por el Plan de Salud de la Mujer. </w:t>
      </w:r>
    </w:p>
    <w:p w14:paraId="4F40BC87" w14:textId="77777777" w:rsidR="001832BB" w:rsidRPr="00D857DD" w:rsidRDefault="001832BB" w:rsidP="001832BB">
      <w:pPr>
        <w:pStyle w:val="SingleTxtG"/>
      </w:pPr>
      <w:r w:rsidRPr="00D857DD">
        <w:t>304.</w:t>
      </w:r>
      <w:r w:rsidRPr="00D857DD">
        <w:tab/>
        <w:t xml:space="preserve">El Gobierno de Escocia también ha adoptado medidas relativas al acceso de las mujeres al aborto, en particular respondiendo a recomendaciones procedentes de la evaluación de marzo de 2023 sobre el aborto farmacológico temprano en el hogar con el objeto de mejorar las opciones de las pacientes cuando proceda y velar por que se ofrezca a las mujeres que acceden a servicios de aborto, también cuando proceda, la posibilidad de mantener consultas telefónicas o por videoconferencia. </w:t>
      </w:r>
    </w:p>
    <w:p w14:paraId="018D59B1" w14:textId="79893606" w:rsidR="001832BB" w:rsidRPr="00D857DD" w:rsidRDefault="001832BB" w:rsidP="001832BB">
      <w:pPr>
        <w:pStyle w:val="SingleTxtG"/>
      </w:pPr>
      <w:r w:rsidRPr="00D857DD">
        <w:t>305.</w:t>
      </w:r>
      <w:r w:rsidRPr="00D857DD">
        <w:tab/>
        <w:t>El Plan de acción del Gobierno de Escocia sobre salud sexual y virus de transmisión sanguínea para 2023-</w:t>
      </w:r>
      <w:r w:rsidR="003F22A7" w:rsidRPr="00D857DD">
        <w:t>20</w:t>
      </w:r>
      <w:r w:rsidRPr="00D857DD">
        <w:t>26 hace hincapié en la mejora del acceso a los servicios de salud sexual y se financia con fondos por valor de 1,7 millones de libras esterlinas al año.</w:t>
      </w:r>
    </w:p>
    <w:p w14:paraId="26B69C31" w14:textId="7C622687" w:rsidR="001832BB" w:rsidRPr="00D857DD" w:rsidRDefault="004707F7" w:rsidP="004707F7">
      <w:pPr>
        <w:pStyle w:val="H4G"/>
      </w:pPr>
      <w:bookmarkStart w:id="175" w:name="_Hlk164779400"/>
      <w:r w:rsidRPr="00D857DD">
        <w:lastRenderedPageBreak/>
        <w:tab/>
      </w:r>
      <w:r w:rsidR="001832BB" w:rsidRPr="00D857DD">
        <w:tab/>
        <w:t>Irlanda del Norte</w:t>
      </w:r>
    </w:p>
    <w:bookmarkEnd w:id="175"/>
    <w:p w14:paraId="4692C2D1" w14:textId="3B5539AF" w:rsidR="001832BB" w:rsidRPr="00D857DD" w:rsidRDefault="001832BB" w:rsidP="001832BB">
      <w:pPr>
        <w:pStyle w:val="SingleTxtG"/>
      </w:pPr>
      <w:r w:rsidRPr="00D857DD">
        <w:t>306.</w:t>
      </w:r>
      <w:r w:rsidRPr="00D857DD">
        <w:tab/>
        <w:t>Como se indica en el séptimo informe periódico, desde 2019 se ha promulgado legislación para despenalizar el aborto en Irlanda del Norte y establecer un marco jurídico. El Gobierno del Reino Unido promulgó nueva reglamentación el 20 de mayo de 2022 (el</w:t>
      </w:r>
      <w:r w:rsidR="00141BF0" w:rsidRPr="00D857DD">
        <w:t> </w:t>
      </w:r>
      <w:r w:rsidRPr="00D857DD">
        <w:t>Reglamento sobre el Aborto (Irlanda del Norte) de 2022) en virtud de la cual se eliminaba el requisito legislativo de recabar el acuerdo del poder ejecutivo de Irlanda del Norte conforme al Código ministerial para encomendar servicios de aborto y se atribuían nuevas competencias al Secretario de Estado de Irlanda del Norte para que actuara al respecto.</w:t>
      </w:r>
    </w:p>
    <w:p w14:paraId="0748A80E" w14:textId="4C72E3F0" w:rsidR="001832BB" w:rsidRPr="00D857DD" w:rsidRDefault="001832BB" w:rsidP="001832BB">
      <w:pPr>
        <w:pStyle w:val="SingleTxtG"/>
      </w:pPr>
      <w:r w:rsidRPr="00D857DD">
        <w:t>307.</w:t>
      </w:r>
      <w:r w:rsidRPr="00D857DD">
        <w:tab/>
        <w:t>Posteriormente, el 2 de diciembre de 2022 el Secretario de Estado ordenó al Departamento de Salud que encomendase y financiase servicios de aborto en consonancia con el marco de encargo acordado y la especificación de los servicios para 2022</w:t>
      </w:r>
      <w:r w:rsidR="00141BF0" w:rsidRPr="00D857DD">
        <w:t>-</w:t>
      </w:r>
      <w:r w:rsidRPr="00D857DD">
        <w:t>2025. En esta especificación se establece el modelo de servicio dotado de todos los recursos necesarios. El Departamento de Salud la elaboró tras una extensa interacción con las Fundaciones para la Salud y la Atención Social a fin de comprender la totalidad de los requisitos para prestar servicios de aborto; la firmó la Junta de Proyectos del Departamento, y la Oficina de Irlanda del Norte certificó que cumplía las recomendaciones que figuraban en el informe del Comité para la Eliminación de la Discriminación contra la Mujer.</w:t>
      </w:r>
    </w:p>
    <w:p w14:paraId="0963CDE6" w14:textId="77777777" w:rsidR="001832BB" w:rsidRPr="00D857DD" w:rsidRDefault="001832BB" w:rsidP="001832BB">
      <w:pPr>
        <w:pStyle w:val="SingleTxtG"/>
      </w:pPr>
      <w:r w:rsidRPr="00D857DD">
        <w:t>308.</w:t>
      </w:r>
      <w:r w:rsidRPr="00D857DD">
        <w:tab/>
        <w:t xml:space="preserve">Desde entonces se ha elaborado un programa formal de aplicación y movilización de servicios y se han aportado asignaciones de fondos recurrentes por un valor total de 4,3 millones de libras esterlinas anuales para hacer posible una aplicación plena. Actualmente se dispone de servicios de aborto en las cinco Fundaciones para la Salud y la Atención Social de Irlanda del Norte, con lo cual la mayor parte de la demanda se atiende a escala local. </w:t>
      </w:r>
    </w:p>
    <w:p w14:paraId="54DE957E" w14:textId="77777777" w:rsidR="001832BB" w:rsidRPr="00D857DD" w:rsidRDefault="001832BB" w:rsidP="001832BB">
      <w:pPr>
        <w:pStyle w:val="SingleTxtG"/>
      </w:pPr>
      <w:r w:rsidRPr="00D857DD">
        <w:t>309.</w:t>
      </w:r>
      <w:r w:rsidRPr="00D857DD">
        <w:tab/>
        <w:t xml:space="preserve">Un componente central de la especificación del servicio de aborto ha sido la oferta de servicios mejorados de salud sexual y reproductiva en toda Irlanda del Norte, incluido un servicio de pedido de anticonceptivos en línea que está disponible sistemáticamente en todas las Fundaciones de Irlanda del Norte y eleva el acceso en las comunidades rurales. </w:t>
      </w:r>
    </w:p>
    <w:p w14:paraId="7A19F1AA" w14:textId="77777777" w:rsidR="001832BB" w:rsidRPr="00D857DD" w:rsidRDefault="001832BB" w:rsidP="001832BB">
      <w:pPr>
        <w:pStyle w:val="SingleTxtG"/>
      </w:pPr>
      <w:r w:rsidRPr="00D857DD">
        <w:t>310.</w:t>
      </w:r>
      <w:r w:rsidRPr="00D857DD">
        <w:tab/>
        <w:t>El Departamento de Salud también puso en marcha en noviembre de 2023 un Plan de acción en materia de salud sexual que agrupaba la promoción de la salud sexual, consideraciones en torno al servicio, la cultura, las comunicaciones y la investigación.</w:t>
      </w:r>
    </w:p>
    <w:p w14:paraId="5059005E" w14:textId="39A9D03C" w:rsidR="001832BB" w:rsidRPr="00D857DD" w:rsidRDefault="004707F7" w:rsidP="004707F7">
      <w:pPr>
        <w:pStyle w:val="H1G"/>
      </w:pPr>
      <w:bookmarkStart w:id="176" w:name="_Toc964747312"/>
      <w:bookmarkStart w:id="177" w:name="_Hlk164779537"/>
      <w:r w:rsidRPr="00D857DD">
        <w:tab/>
      </w:r>
      <w:r w:rsidR="001832BB" w:rsidRPr="00D857DD">
        <w:t>37.</w:t>
      </w:r>
      <w:r w:rsidR="001832BB" w:rsidRPr="00D857DD">
        <w:tab/>
        <w:t>Consumo de drogas</w:t>
      </w:r>
      <w:bookmarkEnd w:id="176"/>
    </w:p>
    <w:bookmarkEnd w:id="177"/>
    <w:p w14:paraId="016FE880" w14:textId="77777777" w:rsidR="001832BB" w:rsidRPr="00D857DD" w:rsidRDefault="001832BB" w:rsidP="001832BB">
      <w:pPr>
        <w:pStyle w:val="SingleTxtG"/>
      </w:pPr>
      <w:r w:rsidRPr="00D857DD">
        <w:t>311.</w:t>
      </w:r>
      <w:r w:rsidRPr="00D857DD">
        <w:tab/>
        <w:t>Las muertes relacionadas con intoxicaciones por drogas han venido aumentando anualmente en Inglaterra desde 2012 hasta situarse en 4.572 en 2022. Corresponde al uso indebido de drogas cerca de dos tercios (2.906) del total de muertes debidas a intoxicación por drogas, así como un promedio de 53 muertes por cada millón de personas, el más alto desde que empezaron a llevarse registros en 1993.</w:t>
      </w:r>
    </w:p>
    <w:p w14:paraId="3D371B84" w14:textId="77777777" w:rsidR="001832BB" w:rsidRPr="00D857DD" w:rsidRDefault="001832BB" w:rsidP="001832BB">
      <w:pPr>
        <w:pStyle w:val="SingleTxtG"/>
      </w:pPr>
      <w:r w:rsidRPr="00D857DD">
        <w:t>312.</w:t>
      </w:r>
      <w:r w:rsidRPr="00D857DD">
        <w:tab/>
        <w:t xml:space="preserve">La tendencia general obedece principalmente a las muertes relacionadas con opiáceos (casi la mitad del total de intoxicaciones por drogas registrado en 2022 guardaba relación con un opiáceo), pero también al aumento de las muertes debidas a otras sustancias, como la cocaína, las benzodiazepinas y la pregabalina. En la mayor parte de las muertes se han consumido varios tipos de sustancias. </w:t>
      </w:r>
    </w:p>
    <w:p w14:paraId="06276675" w14:textId="739D1FB4" w:rsidR="001832BB" w:rsidRPr="00D857DD" w:rsidRDefault="004707F7" w:rsidP="004707F7">
      <w:pPr>
        <w:pStyle w:val="H23G"/>
      </w:pPr>
      <w:bookmarkStart w:id="178" w:name="_Toc324465291"/>
      <w:r w:rsidRPr="00D857DD">
        <w:tab/>
      </w:r>
      <w:r w:rsidR="001832BB" w:rsidRPr="00D857DD">
        <w:tab/>
        <w:t>Legislación en materia de consumo personal de drogas</w:t>
      </w:r>
      <w:bookmarkEnd w:id="178"/>
    </w:p>
    <w:p w14:paraId="30924ABB" w14:textId="77777777" w:rsidR="001832BB" w:rsidRPr="00D857DD" w:rsidRDefault="001832BB" w:rsidP="001832BB">
      <w:pPr>
        <w:pStyle w:val="SingleTxtG"/>
      </w:pPr>
      <w:r w:rsidRPr="00D857DD">
        <w:t>313.</w:t>
      </w:r>
      <w:r w:rsidRPr="00D857DD">
        <w:tab/>
        <w:t>No hemos adoptado medidas para revisar la legislación que criminaliza el consumo personal de drogas ni efectuado estudios para analizar el impacto de dicha legislación en el acceso por los consumidores de drogas a los servicios de salud.</w:t>
      </w:r>
    </w:p>
    <w:p w14:paraId="7749B28F" w14:textId="77777777" w:rsidR="001832BB" w:rsidRPr="00D857DD" w:rsidRDefault="001832BB" w:rsidP="001832BB">
      <w:pPr>
        <w:pStyle w:val="SingleTxtG"/>
      </w:pPr>
      <w:bookmarkStart w:id="179" w:name="_Toc250589329"/>
      <w:r w:rsidRPr="00D857DD">
        <w:t>314.</w:t>
      </w:r>
      <w:r w:rsidRPr="00D857DD">
        <w:tab/>
        <w:t>Medidas dirigidas a hacer frente a las muertes relacionadas con drogas</w:t>
      </w:r>
      <w:bookmarkEnd w:id="179"/>
    </w:p>
    <w:p w14:paraId="615414DA" w14:textId="6B0BB0E5" w:rsidR="001832BB" w:rsidRPr="00D857DD" w:rsidRDefault="00141BF0" w:rsidP="00141BF0">
      <w:pPr>
        <w:pStyle w:val="SingleTxtG"/>
        <w:ind w:left="1701"/>
      </w:pPr>
      <w:r w:rsidRPr="00D857DD">
        <w:tab/>
      </w:r>
      <w:r w:rsidR="001832BB" w:rsidRPr="00D857DD">
        <w:t xml:space="preserve">En la Estrategia sobre drogas del Gobierno del Reino Unido [Enlace 1], publicada en 2021, figura un enfoque integral sistémico de lucha contra las drogas. En ella se establece la meta de prevenir para 2025 casi 1.000 muertes por consumo de drogas a lo largo de tres años. </w:t>
      </w:r>
    </w:p>
    <w:p w14:paraId="71B0E79A" w14:textId="77777777" w:rsidR="001832BB" w:rsidRPr="00D857DD" w:rsidRDefault="001832BB" w:rsidP="001832BB">
      <w:pPr>
        <w:pStyle w:val="SingleTxtG"/>
      </w:pPr>
      <w:r w:rsidRPr="00D857DD">
        <w:lastRenderedPageBreak/>
        <w:t>315.</w:t>
      </w:r>
      <w:r w:rsidRPr="00D857DD">
        <w:tab/>
        <w:t>En este marco se ha aportado financiación adicional para mejorar el tratamiento de la drogodependencia y ampliar los servicios de recuperación en Inglaterra. Se está concediendo a las autoridades locales una inversión adicional de 532 millones de libras esterlinas por conducto de subvenciones relacionadas con la Estrategia sobre drogas con el objeto de ampliar y desarrollar servicios de tratamiento y recuperación de la drogodependencia y el alcoholismo y reforzar las plantillas encargadas de prestarlos. Las 150 autoridades locales inglesas que reciben esta financiación adicional han presentado planes para prevenir en sus zonas las muertes relacionadas con drogas. Entre estos planes figuran el suministro adicional de naloxona, la mejora de la vigilancia de nuevas amenazas planteadas por las drogas, mejoras de los procesos de revisión de las muertes por drogas, la ampliación de los equipos de atención hospitalaria para dar cabida a las drogas y una mejor integración con los servicios de salud física y mental, todo ello sumado a la gama completa de medicamentos dirigidos a reducir el daño y prestar apoyo a la desintoxicación, entre ellos agonistas opioides como la metadona y medicamentos nuevos como la buprenorfina de efecto prolongado.</w:t>
      </w:r>
    </w:p>
    <w:p w14:paraId="2AB1FB2E" w14:textId="77777777" w:rsidR="001832BB" w:rsidRPr="00D857DD" w:rsidRDefault="001832BB" w:rsidP="001832BB">
      <w:pPr>
        <w:pStyle w:val="SingleTxtG"/>
      </w:pPr>
      <w:r w:rsidRPr="00D857DD">
        <w:t>316.</w:t>
      </w:r>
      <w:r w:rsidRPr="00D857DD">
        <w:tab/>
        <w:t xml:space="preserve">El 14 de mayo de 2024 el Gobierno publicó una respuesta a la consulta sobre las propuestas de ampliación del acceso a la naloxona (medicamento que salva vidas revertiendo las sobredosis de opioides) mediante modificaciones del Reglamento para los medicamentos de uso humano de 2012. Como consecuencia del abrumador apoyo dispensado a las propuestas presentadas por conducto de la consulta, en la primavera de 2024 hemos comenzado a incorporar los cambios legislativos propuestos, lo cual respaldará el objetivo de la Estrategia sobre drogas de reducir las muertes por drogas ampliando la lista de servicios y personas que pueden prescribir la sustancia sin receta. </w:t>
      </w:r>
    </w:p>
    <w:p w14:paraId="08FDCD7C" w14:textId="77777777" w:rsidR="001832BB" w:rsidRPr="00D857DD" w:rsidRDefault="001832BB" w:rsidP="001832BB">
      <w:pPr>
        <w:pStyle w:val="SingleTxtG"/>
      </w:pPr>
      <w:r w:rsidRPr="00D857DD">
        <w:t>317.</w:t>
      </w:r>
      <w:r w:rsidRPr="00D857DD">
        <w:tab/>
        <w:t>El Gobierno del Reino Unido ha puesto en marcha una misión pionera contra las adicciones de apoyo a la investigación y la innovación en el ámbito de las drogas y el alcohol. Un elemento de la misión consistía en un concurso por valor de 5 millones de libras esterlinas para financiar el desarrollo de nuevas tecnologías de prevención de las muertes por drogas que el año pasado se adjudicó a 12 proyectos, 11 para ensayar la viabilidad y uno para demostrar pruebas de situaciones reales. Todos los proyectos de viabilidad ejecutados se han presentado a continuación a licitaciones para obtener nuevos fondos con fines de demostración.</w:t>
      </w:r>
    </w:p>
    <w:p w14:paraId="0BC0C340" w14:textId="77777777" w:rsidR="001832BB" w:rsidRPr="00D857DD" w:rsidRDefault="001832BB" w:rsidP="001832BB">
      <w:pPr>
        <w:pStyle w:val="SingleTxtG"/>
      </w:pPr>
      <w:r w:rsidRPr="00D857DD">
        <w:t>318.</w:t>
      </w:r>
      <w:r w:rsidRPr="00D857DD">
        <w:tab/>
        <w:t>En 2023 la Oficina para la Mejora de la Salud y la Superación de las Disparidades (que forma parte del Departamento para la Atención Sanitaria y Social) publicó un plan de acción dirigido a prevenir las muertes relacionadas con las drogas y el alcohol. En el plan se indican actividades dirigidas a incrementar la seguridad de las prácticas de tratamiento, mejorar los sistemas locales de obtención de información sobre las drogas y de aprendizaje a partir de las muertes, mejorar la toxicología y la vigilancia, hacer frente a la estigmatización y luchar contra el consumo de varios tipos de drogas.</w:t>
      </w:r>
      <w:bookmarkStart w:id="180" w:name="_Toc165995449"/>
    </w:p>
    <w:p w14:paraId="7D0F2060" w14:textId="321CC49C" w:rsidR="001832BB" w:rsidRPr="00D857DD" w:rsidRDefault="004707F7" w:rsidP="004707F7">
      <w:pPr>
        <w:pStyle w:val="H23G"/>
      </w:pPr>
      <w:bookmarkStart w:id="181" w:name="_Toc645433975"/>
      <w:bookmarkEnd w:id="180"/>
      <w:r w:rsidRPr="00D857DD">
        <w:tab/>
      </w:r>
      <w:r w:rsidR="001832BB" w:rsidRPr="00D857DD">
        <w:tab/>
        <w:t xml:space="preserve">Medidas dirigidas a hacer frente a las enfermedades infecciosas relacionadas </w:t>
      </w:r>
      <w:r w:rsidRPr="00D857DD">
        <w:br/>
      </w:r>
      <w:r w:rsidR="001832BB" w:rsidRPr="00D857DD">
        <w:t>con drogas</w:t>
      </w:r>
      <w:bookmarkEnd w:id="181"/>
    </w:p>
    <w:p w14:paraId="4859F092" w14:textId="77777777" w:rsidR="001832BB" w:rsidRPr="00D857DD" w:rsidRDefault="001832BB" w:rsidP="001832BB">
      <w:pPr>
        <w:pStyle w:val="SingleTxtG"/>
      </w:pPr>
      <w:r w:rsidRPr="00D857DD">
        <w:t>319.</w:t>
      </w:r>
      <w:r w:rsidRPr="00D857DD">
        <w:tab/>
        <w:t xml:space="preserve">Se dispone de abundantes medidas para hacer frente a la transmisión sanguínea de virus entre las personas que se inyectan drogas. Entre las medidas adoptadas destacan servicios de canje de jeringuillas y de terapia con agonistas opiáceos, mejoras en la detección de casos y una mayor inversión en pruebas y tratamiento localizados. En los informes de Inglaterra [vínculo 3] figuran más detalles sobre la hepatitis C. </w:t>
      </w:r>
    </w:p>
    <w:p w14:paraId="3D6EE7E2" w14:textId="14AF728F" w:rsidR="001832BB" w:rsidRPr="00D857DD" w:rsidRDefault="004707F7" w:rsidP="004707F7">
      <w:pPr>
        <w:pStyle w:val="HChG"/>
      </w:pPr>
      <w:bookmarkStart w:id="182" w:name="_Toc918706014"/>
      <w:bookmarkStart w:id="183" w:name="_Hlk164332394"/>
      <w:r w:rsidRPr="00D857DD">
        <w:tab/>
      </w:r>
      <w:r w:rsidR="001832BB" w:rsidRPr="00D857DD">
        <w:tab/>
        <w:t>Derecho a la educación (arts. 13 y 14)</w:t>
      </w:r>
      <w:bookmarkEnd w:id="182"/>
    </w:p>
    <w:p w14:paraId="62C29095" w14:textId="0578E59A" w:rsidR="001832BB" w:rsidRPr="00D857DD" w:rsidRDefault="004707F7" w:rsidP="00342397">
      <w:pPr>
        <w:pStyle w:val="H1G"/>
      </w:pPr>
      <w:bookmarkStart w:id="184" w:name="_Toc2047723877"/>
      <w:bookmarkStart w:id="185" w:name="_Hlk164332402"/>
      <w:bookmarkEnd w:id="183"/>
      <w:r w:rsidRPr="00D857DD">
        <w:tab/>
      </w:r>
      <w:r w:rsidR="001832BB" w:rsidRPr="00D857DD">
        <w:t>38.</w:t>
      </w:r>
      <w:r w:rsidR="001832BB" w:rsidRPr="00D857DD">
        <w:tab/>
        <w:t>Nivel de instrucción y acceso de los niños a la educación</w:t>
      </w:r>
      <w:bookmarkEnd w:id="184"/>
    </w:p>
    <w:p w14:paraId="5D3188E8" w14:textId="1F503CCB" w:rsidR="001832BB" w:rsidRPr="00D857DD" w:rsidRDefault="004707F7" w:rsidP="004707F7">
      <w:pPr>
        <w:pStyle w:val="H4G"/>
      </w:pPr>
      <w:r w:rsidRPr="00D857DD">
        <w:tab/>
      </w:r>
      <w:r w:rsidR="001832BB" w:rsidRPr="00D857DD">
        <w:tab/>
        <w:t>Inglaterra</w:t>
      </w:r>
    </w:p>
    <w:p w14:paraId="505E11E2" w14:textId="77777777" w:rsidR="001832BB" w:rsidRPr="00D857DD" w:rsidRDefault="001832BB" w:rsidP="001832BB">
      <w:pPr>
        <w:pStyle w:val="SingleTxtG"/>
      </w:pPr>
      <w:r w:rsidRPr="00D857DD">
        <w:t>320.</w:t>
      </w:r>
      <w:r w:rsidRPr="00D857DD">
        <w:tab/>
        <w:t xml:space="preserve">Tras las elecciones generales celebradas en julio de 2024, el Gobierno del Reino Unido en Inglaterra ha dejado claro su interés en transformar los sistemas de educación para que todos los niños y jóvenes disfruten de las oportunidades que se merecen gracias a la construcción de un sistema que funcione para todos. El Gobierno ayudará a los niños a gozar </w:t>
      </w:r>
      <w:r w:rsidRPr="00D857DD">
        <w:lastRenderedPageBreak/>
        <w:t>del mejor comienzo posible en la vida imponiendo normas estrictas y mejoradas en todo el ámbito educativo y velando por que la ascendencia no sea un obstáculo al avance vital. El Gobierno se ha comprometido a instaurar clubes de desayuno gratuito en todas las escuelas primarias y organizar una misión más amplia sobre oportunidades en todo el ámbito gubernamental para que el éxito deje de estar condicionado por la ascendencia. El Reino Unido espera poder presentar más información actualizada al Comité durante el diálogo interactivo.</w:t>
      </w:r>
    </w:p>
    <w:p w14:paraId="43E0F0A1" w14:textId="77777777" w:rsidR="001832BB" w:rsidRPr="00D857DD" w:rsidRDefault="001832BB" w:rsidP="001832BB">
      <w:pPr>
        <w:pStyle w:val="SingleTxtG"/>
      </w:pPr>
      <w:r w:rsidRPr="00D857DD">
        <w:t>321.</w:t>
      </w:r>
      <w:r w:rsidRPr="00D857DD">
        <w:tab/>
        <w:t>A continuación se presenta información sobre las medidas adoptadas por el anterior Gobierno del Reino Unido en Inglaterra para hacer frente a las repercusiones de la pandemia de COVID-19 en el nivel de instrucción y el acceso de los niños a la educación, así como sobre lo hecho para colmar las brechas en la instrucción derivadas de desventajas.</w:t>
      </w:r>
    </w:p>
    <w:p w14:paraId="277C2F0D" w14:textId="5052A919" w:rsidR="001832BB" w:rsidRPr="00D857DD" w:rsidRDefault="004707F7" w:rsidP="004707F7">
      <w:pPr>
        <w:pStyle w:val="H23G"/>
      </w:pPr>
      <w:bookmarkStart w:id="186" w:name="_Toc62690271"/>
      <w:bookmarkEnd w:id="185"/>
      <w:r w:rsidRPr="00D857DD">
        <w:tab/>
      </w:r>
      <w:r w:rsidR="001832BB" w:rsidRPr="00D857DD">
        <w:tab/>
        <w:t>Respuesta a la COVID-19</w:t>
      </w:r>
      <w:bookmarkEnd w:id="186"/>
    </w:p>
    <w:p w14:paraId="6225C20A" w14:textId="77777777" w:rsidR="001832BB" w:rsidRPr="00D857DD" w:rsidRDefault="001832BB" w:rsidP="001832BB">
      <w:pPr>
        <w:pStyle w:val="SingleTxtG"/>
      </w:pPr>
      <w:r w:rsidRPr="00D857DD">
        <w:t>322.</w:t>
      </w:r>
      <w:r w:rsidRPr="00D857DD">
        <w:tab/>
        <w:t>El anterior Gobierno implantó un programa plurianual de recuperación de la educación en el marco del cual aportó casi 5.000 millones de libras esterlinas destinadas a un programa de tutoría dirigido a niños y jóvenes de 5 a 19 años, la capacitación adicional del personal y los docentes, el apoyo financiero adicional directo a las escuelas, el apoyo a los planes de estudios sobre la base de las mejores prácticas y la financiación de horas extraordinarias para los jóvenes de 16 a 19 años. En el curso de la pandemia de COVID-19 el Gobierno dio prioridad a mantener abiertas las escuelas para que asistieran a ellas los niños más vulnerables y, en general, todos los alumnos, velando por que las escuelas volvieran a abrir en cuanto ello resultó seguro.</w:t>
      </w:r>
    </w:p>
    <w:p w14:paraId="5D91DBF0" w14:textId="0E2E1288" w:rsidR="001832BB" w:rsidRPr="00D857DD" w:rsidRDefault="001832BB" w:rsidP="004707F7">
      <w:pPr>
        <w:pStyle w:val="H23G"/>
      </w:pPr>
      <w:bookmarkStart w:id="187" w:name="_Toc1973606995"/>
      <w:bookmarkStart w:id="188" w:name="_Hlk164332466"/>
      <w:r w:rsidRPr="00D857DD">
        <w:tab/>
      </w:r>
      <w:r w:rsidR="004707F7" w:rsidRPr="00D857DD">
        <w:tab/>
      </w:r>
      <w:r w:rsidRPr="00D857DD">
        <w:t>Aprendizaje a distancia</w:t>
      </w:r>
      <w:bookmarkEnd w:id="187"/>
    </w:p>
    <w:bookmarkEnd w:id="188"/>
    <w:p w14:paraId="3FAF6C04" w14:textId="77777777" w:rsidR="001832BB" w:rsidRPr="00D857DD" w:rsidRDefault="001832BB" w:rsidP="001832BB">
      <w:pPr>
        <w:pStyle w:val="SingleTxtG"/>
      </w:pPr>
      <w:r w:rsidRPr="00D857DD">
        <w:t>323.</w:t>
      </w:r>
      <w:r w:rsidRPr="00D857DD">
        <w:tab/>
        <w:t>Durante la pandemia el anterior Gobierno suministró a escuelas, fundaciones, autoridades locales y otros proveedores de servicios de educación más de 1,95 millones de computadoras portátiles y tabletas destinadas a niños y jóvenes desfavorecidos como parte de una inversión de 520 millones de libras para apoyar el acceso a la educación a distancia y a los servicios de atención social en línea. La página en gov.uk de Get Help With Remote Education (Obtén ayuda sobre la educación a distancia) ofrecía a los docentes y dirigentes una ventanilla única para recabar asesoramiento, orientación y recursos de apoyo a la educación a distancia en las escuelas y centros de enseñanza superior que estaban vinculados con los paquetes de medidas de apoyo disponibles. Apoyo a la salud mental y el bienestar</w:t>
      </w:r>
    </w:p>
    <w:p w14:paraId="47CFA986" w14:textId="77777777" w:rsidR="001832BB" w:rsidRPr="00D857DD" w:rsidRDefault="001832BB" w:rsidP="001832BB">
      <w:pPr>
        <w:pStyle w:val="SingleTxtG"/>
      </w:pPr>
      <w:r w:rsidRPr="00D857DD">
        <w:t>324.</w:t>
      </w:r>
      <w:r w:rsidRPr="00D857DD">
        <w:tab/>
        <w:t>Para favorecer el regreso de los alumnos a las aulas, el anterior Gobierno estableció los programas de bienestar para el regreso a la educación y la correspondiente recuperación con un apoyo financiero de 15 millones de libras. Gracias a ello se aportaron la capacitación especializada y los recursos necesarios para ayudar a las escuelas a comprender las cuestiones relativas al bienestar de los niños y jóvenes y responder en consecuencia. La capacitación en salud mental del personal directivo superior ayuda a las escuelas y centros de formación superior a incorporar en mayor medida los conocimientos de este tipo en enfoques sobre salud mental y bienestar que abarcan la escuela en su totalidad. Hasta la fecha, más de 16.700 centros han solicitado una subvención para la capacitación.</w:t>
      </w:r>
    </w:p>
    <w:p w14:paraId="04A74BE1" w14:textId="77D51CEE" w:rsidR="001832BB" w:rsidRPr="00D857DD" w:rsidRDefault="001832BB" w:rsidP="001832BB">
      <w:pPr>
        <w:pStyle w:val="SingleTxtG"/>
      </w:pPr>
      <w:r w:rsidRPr="00D857DD">
        <w:t>325.</w:t>
      </w:r>
      <w:r w:rsidRPr="00D857DD">
        <w:tab/>
        <w:t>En 2021 se anunció la inyección de otros 79 millones de libras para ampliar los servicios de salud mental infantil, en particular avanzando en el despliegue de equipos de apoyo a la salud mental que realizan intervenciones directas en las escuelas y centros de formación superior. Gracias a estos equipos el 35 % de los alumnos recibió cobertura en</w:t>
      </w:r>
      <w:r w:rsidR="004707F7" w:rsidRPr="00D857DD">
        <w:t> </w:t>
      </w:r>
      <w:r w:rsidRPr="00D857DD">
        <w:t>2023.</w:t>
      </w:r>
    </w:p>
    <w:p w14:paraId="2116B42F" w14:textId="45C3BF23" w:rsidR="001832BB" w:rsidRPr="00D857DD" w:rsidRDefault="001832BB" w:rsidP="004707F7">
      <w:pPr>
        <w:pStyle w:val="H23G"/>
      </w:pPr>
      <w:bookmarkStart w:id="189" w:name="_Toc331466992"/>
      <w:r w:rsidRPr="00D857DD">
        <w:tab/>
      </w:r>
      <w:r w:rsidR="004707F7" w:rsidRPr="00D857DD">
        <w:tab/>
      </w:r>
      <w:r w:rsidRPr="00D857DD">
        <w:t>Calificaciones</w:t>
      </w:r>
      <w:bookmarkEnd w:id="189"/>
    </w:p>
    <w:p w14:paraId="7F0B2073" w14:textId="77777777" w:rsidR="001832BB" w:rsidRPr="00D857DD" w:rsidRDefault="001832BB" w:rsidP="001832BB">
      <w:pPr>
        <w:pStyle w:val="SingleTxtG"/>
      </w:pPr>
      <w:r w:rsidRPr="00D857DD">
        <w:t>326.</w:t>
      </w:r>
      <w:r w:rsidRPr="00D857DD">
        <w:tab/>
        <w:t xml:space="preserve">Los exámenes y evaluaciones formales en Inglaterra, con inclusión del Certificado General de Educación Secundaria, el nivel AS y los niveles A y T, discurrieron con normalidad por lo general en 2023. En reconocimiento de que puede que los estudiantes siguieran viéndose afectados por algún tipo de perturbación, durante los exámenes de matemáticas, física y ciencias combinadas realizados en el marco del Certificado General de Educación Secundaria se les suministraron hojas de fórmulas y ecuaciones. También se recuperó el sistema de calificaciones anterior a la pandemia incorporando mecanismos de </w:t>
      </w:r>
      <w:r w:rsidRPr="00D857DD">
        <w:lastRenderedPageBreak/>
        <w:t>protección frente a posibles perturbaciones, lo cual suponía que en 2023 cualquier estudiante tenía la misma probabilidad de obtener una calificación determinada que tenía antes de la pandemia.</w:t>
      </w:r>
    </w:p>
    <w:p w14:paraId="68E8D083" w14:textId="77777777" w:rsidR="001832BB" w:rsidRPr="00D857DD" w:rsidRDefault="001832BB" w:rsidP="001832BB">
      <w:pPr>
        <w:pStyle w:val="SingleTxtG"/>
      </w:pPr>
      <w:r w:rsidRPr="00D857DD">
        <w:t>327.</w:t>
      </w:r>
      <w:r w:rsidRPr="00D857DD">
        <w:tab/>
        <w:t>El Departamento ha pedido recientemente a la Oficina de Reglamentación de las Calificaciones y los Exámenes (Ofqual) que facilitara hojas de fórmulas y ecuaciones en los exámenes de matemáticas, física y ciencias combinadas realizados en 2024 en el marco del Certificado General de Educación Secundaria. Ofqual mantuvo recientemente una consulta sobre los cambios que finalizó a fines de noviembre.</w:t>
      </w:r>
    </w:p>
    <w:p w14:paraId="469431CB" w14:textId="3EA57C7B" w:rsidR="001832BB" w:rsidRPr="00D857DD" w:rsidRDefault="004707F7" w:rsidP="004707F7">
      <w:pPr>
        <w:pStyle w:val="H23G"/>
      </w:pPr>
      <w:bookmarkStart w:id="190" w:name="_Toc1648473158"/>
      <w:r w:rsidRPr="00D857DD">
        <w:tab/>
      </w:r>
      <w:r w:rsidR="001832BB" w:rsidRPr="00D857DD">
        <w:tab/>
        <w:t>Asistencia</w:t>
      </w:r>
      <w:bookmarkEnd w:id="190"/>
    </w:p>
    <w:p w14:paraId="3E470A6B" w14:textId="77777777" w:rsidR="001832BB" w:rsidRPr="00D857DD" w:rsidRDefault="001832BB" w:rsidP="001832BB">
      <w:pPr>
        <w:pStyle w:val="SingleTxtG"/>
      </w:pPr>
      <w:r w:rsidRPr="00D857DD">
        <w:t>328.</w:t>
      </w:r>
      <w:r w:rsidRPr="00D857DD">
        <w:tab/>
        <w:t>Para mejorar la asistencia, el Gobierno ha implantado en Inglaterra una estrategia integral que constaba de la publicación de nuevas expectativas más ambiciosas respecto de las escuelas, las fundaciones académicas y las autoridades locales para colaborar en la mejora de la asistencia, el despliegue de diez asesores especializados en asistencia, la recopilación directa de datos de los registros electrónicos de las escuelas para ayudar a detectar a los niños en riesgo de ausencia persistente y permitir intervenciones tempranas, la formación de una alianza de dirigentes del sistema en pro de la asistencia, doblar el número de centros de asistencia hasta situarlo en 32 que prestarán apoyo a 2000 escuelas asistidas frente a la ausencia persistente y la ampliación de un proyecto piloto de mentoría en materia de asistencia para pasar a partir de septiembre de 2024 de 5 a 15 zonas donde se prestará servicio a 10.000 niños.</w:t>
      </w:r>
    </w:p>
    <w:p w14:paraId="46678443" w14:textId="0E78F5FF" w:rsidR="001832BB" w:rsidRPr="00D857DD" w:rsidRDefault="004707F7" w:rsidP="004707F7">
      <w:pPr>
        <w:pStyle w:val="H23G"/>
      </w:pPr>
      <w:bookmarkStart w:id="191" w:name="_Toc1908776141"/>
      <w:bookmarkStart w:id="192" w:name="_Hlk164332501"/>
      <w:r w:rsidRPr="00D857DD">
        <w:tab/>
      </w:r>
      <w:r w:rsidR="001832BB" w:rsidRPr="00D857DD">
        <w:tab/>
        <w:t>Instrucción y apoyo a los niños desfavorecidos</w:t>
      </w:r>
      <w:bookmarkEnd w:id="191"/>
    </w:p>
    <w:bookmarkEnd w:id="192"/>
    <w:p w14:paraId="0C49CC92" w14:textId="77777777" w:rsidR="001832BB" w:rsidRPr="00D857DD" w:rsidRDefault="001832BB" w:rsidP="001832BB">
      <w:pPr>
        <w:pStyle w:val="SingleTxtG"/>
      </w:pPr>
      <w:r w:rsidRPr="00D857DD">
        <w:t>329.</w:t>
      </w:r>
      <w:r w:rsidRPr="00D857DD">
        <w:tab/>
        <w:t>Los programas del Gobierno anterior de recuperación de la educación, dirigidos especialmente a los alumnos desfavorecidos, constaban de la prima de recuperación, el Programa nacional de tutoría para niños de 5 a 16 años y el Fondo para la matrícula académica de jóvenes de 16 a 19 años.</w:t>
      </w:r>
    </w:p>
    <w:p w14:paraId="0639A26F" w14:textId="59578614" w:rsidR="001832BB" w:rsidRPr="00D857DD" w:rsidRDefault="001832BB" w:rsidP="001832BB">
      <w:pPr>
        <w:pStyle w:val="SingleTxtG"/>
      </w:pPr>
      <w:r w:rsidRPr="00D857DD">
        <w:t>330.</w:t>
      </w:r>
      <w:r w:rsidRPr="00D857DD">
        <w:tab/>
        <w:t>Las escuelas reciben la prima estudiantil, que les permite prestar apoyo adicional para mejorar el rendimiento académico y personal de los alumnos desfavorecidos. La financiación de esta prima ascendió a 2.900 millones de libras en 2024</w:t>
      </w:r>
      <w:r w:rsidR="00141BF0" w:rsidRPr="00D857DD">
        <w:t>/</w:t>
      </w:r>
      <w:r w:rsidRPr="00D857DD">
        <w:t>25, aumento de unos 90 millones de libras con respecto a 2023</w:t>
      </w:r>
      <w:r w:rsidR="00141BF0" w:rsidRPr="00D857DD">
        <w:t>/</w:t>
      </w:r>
      <w:r w:rsidRPr="00D857DD">
        <w:t>24. Asimismo, la fórmula nacional de financiación va dirigida a financiar las escuelas donde es mayor el número de alumnos con necesidades adicionales. En 2024</w:t>
      </w:r>
      <w:r w:rsidR="00141BF0" w:rsidRPr="00D857DD">
        <w:t>/</w:t>
      </w:r>
      <w:r w:rsidRPr="00D857DD">
        <w:t>25 se han asignado más de 4.400 millones de libras (10,2 %) de la fórmula en función de las privaciones, al igual que se asignarán más de 7.800 millones de libras (17,8 %) a atender las necesidades adicionales generales.</w:t>
      </w:r>
    </w:p>
    <w:p w14:paraId="6C1921F0" w14:textId="77777777" w:rsidR="001832BB" w:rsidRPr="00D857DD" w:rsidRDefault="001832BB" w:rsidP="001832BB">
      <w:pPr>
        <w:pStyle w:val="SingleTxtG"/>
      </w:pPr>
      <w:r w:rsidRPr="00D857DD">
        <w:t>331.</w:t>
      </w:r>
      <w:r w:rsidRPr="00D857DD">
        <w:tab/>
        <w:t>Además, 2,1 millones de alumnos reúnen las condiciones exigidas para recibir comidas escolares gratuitas relacionadas con prestaciones, y tras la introducción en 2014 del plan universal de comidas escolares gratuitas para los niños menores de 1 año se eleva a casi otros 1,3 millones el número de niños menores de 1 año que reciben comidas gratuitas a la hora del almuerzo, además de otros 90.000 alumnos desfavorecidos que cursan ciclos de educación posteriores. El Gobierno también ha ampliado permanentemente la posibilidad de recibir comidas escolares gratuitas a todas las familias que no tienen derecho a prestaciones públicas, en función de los umbrales de ingresos.</w:t>
      </w:r>
    </w:p>
    <w:p w14:paraId="1B37D513" w14:textId="42B6F962" w:rsidR="001832BB" w:rsidRPr="00D857DD" w:rsidRDefault="004707F7" w:rsidP="004707F7">
      <w:pPr>
        <w:pStyle w:val="H4G"/>
      </w:pPr>
      <w:r w:rsidRPr="00D857DD">
        <w:tab/>
      </w:r>
      <w:r w:rsidR="001832BB" w:rsidRPr="00D857DD">
        <w:tab/>
        <w:t xml:space="preserve">Escocia </w:t>
      </w:r>
    </w:p>
    <w:p w14:paraId="47F5E822" w14:textId="77777777" w:rsidR="001832BB" w:rsidRPr="00D857DD" w:rsidRDefault="001832BB" w:rsidP="001832BB">
      <w:pPr>
        <w:pStyle w:val="SingleTxtG"/>
      </w:pPr>
      <w:r w:rsidRPr="00D857DD">
        <w:t>332.</w:t>
      </w:r>
      <w:r w:rsidRPr="00D857DD">
        <w:tab/>
        <w:t>El Grupo de Recuperación de la Educación después de la COVID-19 (CERG) se creó en marzo de 2020 para prestar asesoramiento en materia de políticas y prácticas de educación a los ministros y autoridades de los gobiernos locales en el contexto de la respuesta a la pandemia de COVID-19.</w:t>
      </w:r>
    </w:p>
    <w:p w14:paraId="3FD73CF7" w14:textId="77777777" w:rsidR="001832BB" w:rsidRPr="00D857DD" w:rsidRDefault="001832BB" w:rsidP="001832BB">
      <w:pPr>
        <w:pStyle w:val="SingleTxtG"/>
      </w:pPr>
      <w:r w:rsidRPr="00D857DD">
        <w:t>333.</w:t>
      </w:r>
      <w:r w:rsidRPr="00D857DD">
        <w:tab/>
        <w:t>En mayo de 2020 el Gobierno de Escocia publicó un marco en el que se examinaba el posible requisito de un modelo mixto de enseñanza en el recinto escolar y en el hogar.</w:t>
      </w:r>
    </w:p>
    <w:p w14:paraId="3F4A96B0" w14:textId="77777777" w:rsidR="001832BB" w:rsidRPr="00D857DD" w:rsidRDefault="001832BB" w:rsidP="001832BB">
      <w:pPr>
        <w:pStyle w:val="SingleTxtG"/>
      </w:pPr>
      <w:r w:rsidRPr="00D857DD">
        <w:t>334.</w:t>
      </w:r>
      <w:r w:rsidRPr="00D857DD">
        <w:tab/>
        <w:t xml:space="preserve">El marco fue obra de la colaboración entre el Gobierno de Escocia y la administración local, con apoyo de asociados fundamentales de todo el sistema de educación por conducto del CERG. Antes de la reapertura de las escuelas en agosto de 2020 el Gobierno de Escocia </w:t>
      </w:r>
      <w:r w:rsidRPr="00D857DD">
        <w:lastRenderedPageBreak/>
        <w:t>colaboró con el CERG en la elaboración de orientación detallada dirigida a las escuelas sobre la manera de proceder en el contexto de la COVID-19.</w:t>
      </w:r>
    </w:p>
    <w:p w14:paraId="2B83B84D" w14:textId="77777777" w:rsidR="001832BB" w:rsidRPr="00D857DD" w:rsidRDefault="001832BB" w:rsidP="001832BB">
      <w:pPr>
        <w:pStyle w:val="SingleTxtG"/>
      </w:pPr>
      <w:r w:rsidRPr="00D857DD">
        <w:t>335.</w:t>
      </w:r>
      <w:r w:rsidRPr="00D857DD">
        <w:tab/>
        <w:t>En octubre de 2021 el Gobierno de Escocia publicó un documento en el que se exponían las principales medidas de recuperación y actividades conexas en el contexto de la educación en Escocia.</w:t>
      </w:r>
    </w:p>
    <w:p w14:paraId="77423E0E" w14:textId="77777777" w:rsidR="001832BB" w:rsidRPr="00D857DD" w:rsidRDefault="001832BB" w:rsidP="001832BB">
      <w:pPr>
        <w:pStyle w:val="SingleTxtG"/>
      </w:pPr>
      <w:r w:rsidRPr="00D857DD">
        <w:t>336.</w:t>
      </w:r>
      <w:r w:rsidRPr="00D857DD">
        <w:tab/>
        <w:t>En respuesta a la pandemia de COVID-19, el Organismo Escocés de Calificación (SQA) emprendió enfoques de evaluación alternativa para las calificaciones nacionales generales y las calificaciones nacionales y de formación profesional superiores para prestar apoyo a los centros de enseñanza y los alumnos.</w:t>
      </w:r>
    </w:p>
    <w:p w14:paraId="4353A85B" w14:textId="77777777" w:rsidR="001832BB" w:rsidRPr="00D857DD" w:rsidRDefault="001832BB" w:rsidP="001832BB">
      <w:pPr>
        <w:pStyle w:val="SingleTxtG"/>
      </w:pPr>
      <w:r w:rsidRPr="00D857DD">
        <w:t>337.</w:t>
      </w:r>
      <w:r w:rsidRPr="00D857DD">
        <w:tab/>
        <w:t xml:space="preserve">El Gobierno de Escocia está decidido a mejorar la vida de las comunidades gitana, romaní e itinerante de Escocia. En octubre de 2019 publicamos un plan en el que se exponían medidas concretas dirigidas a mejorar las condiciones de los miembros de estas comunidades. El plan constaba de 33 medidas en materia de salud, educación, vivienda, igualdad y seguridad social. En cuanto a la mejora de la acogida de los servicios financiados de educación y cuidado de los niños en la primera infancia, se aportó financiación a STEP, organización benéfica que trabaja con estas comunidades, para diseñar y preparar mochilas en las que figuraba material didáctico dirigido a ellas a fin de introducir la enseñanza basada en el juego y cambiar la percepción de la educación en la primera infancia. </w:t>
      </w:r>
    </w:p>
    <w:p w14:paraId="7B6E7BE7" w14:textId="6CE22AE8" w:rsidR="001832BB" w:rsidRPr="00D857DD" w:rsidRDefault="001832BB" w:rsidP="004707F7">
      <w:pPr>
        <w:pStyle w:val="H4G"/>
      </w:pPr>
      <w:r w:rsidRPr="00D857DD">
        <w:tab/>
      </w:r>
      <w:r w:rsidR="004707F7" w:rsidRPr="00D857DD">
        <w:tab/>
      </w:r>
      <w:r w:rsidRPr="00D857DD">
        <w:rPr>
          <w:iCs/>
        </w:rPr>
        <w:t>Irlanda del Norte</w:t>
      </w:r>
    </w:p>
    <w:p w14:paraId="58944CBF" w14:textId="77777777" w:rsidR="001832BB" w:rsidRPr="00D857DD" w:rsidRDefault="001832BB" w:rsidP="001832BB">
      <w:pPr>
        <w:pStyle w:val="SingleTxtG"/>
      </w:pPr>
      <w:r w:rsidRPr="00D857DD">
        <w:t>338.</w:t>
      </w:r>
      <w:r w:rsidRPr="00D857DD">
        <w:tab/>
        <w:t>Con ánimo de contrarrestar los efectos de la pandemia de COVID-19, en septiembre de 2020 se puso en marcha el programa Engage, financiado con fondos destinados a la COVID-19, que continuó en 2021-22 y 2022-23. Se asignaron a diversos centros más de 57 millones de libras durante los tres años del programa. El programa aportó el mayor nivel de financiación destinada a los centros donde se concentraban más alumnos desfavorecidos, a la vez que prestó apoyo universal a todos los centros en reconocimiento de las repercusiones más amplias de la COVID-19.</w:t>
      </w:r>
    </w:p>
    <w:p w14:paraId="4C5110BB" w14:textId="3B94EA76" w:rsidR="001832BB" w:rsidRPr="00D857DD" w:rsidRDefault="001832BB" w:rsidP="004707F7">
      <w:pPr>
        <w:pStyle w:val="H4G"/>
      </w:pPr>
      <w:r w:rsidRPr="00D857DD">
        <w:tab/>
      </w:r>
      <w:r w:rsidR="004707F7" w:rsidRPr="00D857DD">
        <w:tab/>
      </w:r>
      <w:r w:rsidRPr="00D857DD">
        <w:t xml:space="preserve">Isla de Man </w:t>
      </w:r>
    </w:p>
    <w:p w14:paraId="5CFBAB80" w14:textId="77777777" w:rsidR="001832BB" w:rsidRPr="00D857DD" w:rsidRDefault="001832BB" w:rsidP="001832BB">
      <w:pPr>
        <w:pStyle w:val="SingleTxtG"/>
      </w:pPr>
      <w:r w:rsidRPr="00D857DD">
        <w:t>339.</w:t>
      </w:r>
      <w:r w:rsidRPr="00D857DD">
        <w:tab/>
        <w:t>Como consecuencia de la pandemia de COVID-19 se produjo una disminución del nivel de instrucción en todas las asignaturas básicas en las tres etapas principales. En consonancia con la política de educación inclusiva del Ministerio de Educación, Deporte y Cultura, las escuelas hicieron frente a esta disminución organizando intervenciones y apoyo apropiados en función de las necesidades.</w:t>
      </w:r>
    </w:p>
    <w:p w14:paraId="3DEF37F9" w14:textId="5AF38529" w:rsidR="001832BB" w:rsidRPr="00D857DD" w:rsidRDefault="004707F7" w:rsidP="004707F7">
      <w:pPr>
        <w:pStyle w:val="H4G"/>
      </w:pPr>
      <w:r w:rsidRPr="00D857DD">
        <w:tab/>
      </w:r>
      <w:r w:rsidR="001832BB" w:rsidRPr="00D857DD">
        <w:tab/>
        <w:t xml:space="preserve">Guernsey </w:t>
      </w:r>
    </w:p>
    <w:p w14:paraId="1D432992" w14:textId="77777777" w:rsidR="001832BB" w:rsidRPr="00D857DD" w:rsidRDefault="001832BB" w:rsidP="001832BB">
      <w:pPr>
        <w:pStyle w:val="SingleTxtG"/>
      </w:pPr>
      <w:r w:rsidRPr="00D857DD">
        <w:t>340.</w:t>
      </w:r>
      <w:r w:rsidRPr="00D857DD">
        <w:tab/>
        <w:t>En junio de 2022 el gobierno de Guernsey acordó aportar fondos para respaldar un plan de enseñanza que incluía un aumento del número de auxiliares de apoyo a la enseñanza en los ciclos de primera infancia y de la escuela primaria y secundaria.</w:t>
      </w:r>
    </w:p>
    <w:p w14:paraId="349E7EE9" w14:textId="7AD89D07" w:rsidR="001832BB" w:rsidRPr="00D857DD" w:rsidRDefault="004707F7" w:rsidP="004707F7">
      <w:pPr>
        <w:pStyle w:val="H1G"/>
      </w:pPr>
      <w:bookmarkStart w:id="193" w:name="_Toc918761254"/>
      <w:r w:rsidRPr="00D857DD">
        <w:tab/>
      </w:r>
      <w:r w:rsidR="001832BB" w:rsidRPr="00D857DD">
        <w:t>39.</w:t>
      </w:r>
      <w:r w:rsidR="001832BB" w:rsidRPr="00D857DD">
        <w:tab/>
        <w:t xml:space="preserve">Ley de Educación Compartida (Irlanda del Norte) de 2016 </w:t>
      </w:r>
      <w:r w:rsidRPr="00D857DD">
        <w:br/>
      </w:r>
      <w:r w:rsidR="001832BB" w:rsidRPr="00D857DD">
        <w:t>y Ley de Educación Integrada (Irlanda del Norte) de 2022</w:t>
      </w:r>
      <w:bookmarkEnd w:id="193"/>
    </w:p>
    <w:p w14:paraId="3F778550" w14:textId="77777777" w:rsidR="001832BB" w:rsidRPr="00D857DD" w:rsidRDefault="001832BB" w:rsidP="001832BB">
      <w:pPr>
        <w:pStyle w:val="SingleTxtG"/>
      </w:pPr>
      <w:r w:rsidRPr="00D857DD">
        <w:t>341.</w:t>
      </w:r>
      <w:r w:rsidRPr="00D857DD">
        <w:tab/>
        <w:t>Las atribuciones y obligaciones que figuran en la Ley de Educación Compartida (Irlanda del Norte) de 2016 y la Ley de Educación Integrada (Irlanda del Norte) de 2022 incumben a los órganos encargados de la educación en Irlanda del Norte, sobre todo el Departamento de Educación y la Autoridad sobre Educación, a los que corresponden la asignación y la ejecución del presupuesto.</w:t>
      </w:r>
    </w:p>
    <w:p w14:paraId="674231A4" w14:textId="77777777" w:rsidR="001832BB" w:rsidRPr="00D857DD" w:rsidRDefault="001832BB" w:rsidP="001832BB">
      <w:pPr>
        <w:pStyle w:val="SingleTxtG"/>
      </w:pPr>
      <w:r w:rsidRPr="00D857DD">
        <w:t>342.</w:t>
      </w:r>
      <w:r w:rsidRPr="00D857DD">
        <w:tab/>
        <w:t>En su calidad de cogarante del Acuerdo del Viernes Santo, corresponden al Gobierno del Reino Unido funciones de apoyo a la reconciliación, la integración y la sociedad pacífica en Irlanda del Norte. El Gobierno del Reino Unido considera que una mayor integración en el ámbito de la educación es un aspecto esencial del proceso de reconciliación en Irlanda del Norte y quiere que todos los progenitores puedan elegir debidamente la escuela de sus hijos, incluida una escuela integrada si así lo desean.</w:t>
      </w:r>
    </w:p>
    <w:p w14:paraId="717749C6" w14:textId="099D523D" w:rsidR="001832BB" w:rsidRPr="00D857DD" w:rsidRDefault="001832BB" w:rsidP="001832BB">
      <w:pPr>
        <w:pStyle w:val="SingleTxtG"/>
      </w:pPr>
      <w:r w:rsidRPr="00D857DD">
        <w:lastRenderedPageBreak/>
        <w:t>343.</w:t>
      </w:r>
      <w:r w:rsidRPr="00D857DD">
        <w:tab/>
        <w:t>El Gobierno del Reino Unido aporta financiación de capital al poder ejecutivo de Irlanda del Norte en el marco del Acuerdo de 2015 sobre un nuevo punto de partida a fin de construir escuelas integradas y compartidas. En 2022</w:t>
      </w:r>
      <w:r w:rsidR="00141BF0" w:rsidRPr="00D857DD">
        <w:t>-</w:t>
      </w:r>
      <w:r w:rsidRPr="00D857DD">
        <w:t>2025 también aporta 1,9 millones de libras al Fondo para la Educación Integrada y el Consejo de Irlanda del Norte para la Educación Integrada para crear conciencia sobre la educación integrada y prestar apoyo a las escuelas, los docentes y los progenitores en el proceso de transformación dirigido a la integración de la enseñanza. En el anexo pueden consultarse más detalles.</w:t>
      </w:r>
    </w:p>
    <w:p w14:paraId="08563209" w14:textId="630D0808" w:rsidR="001832BB" w:rsidRPr="00D857DD" w:rsidRDefault="004707F7" w:rsidP="004707F7">
      <w:pPr>
        <w:pStyle w:val="HChG"/>
      </w:pPr>
      <w:bookmarkStart w:id="194" w:name="_Toc927280192"/>
      <w:bookmarkStart w:id="195" w:name="_Hlk164291447"/>
      <w:r w:rsidRPr="00D857DD">
        <w:tab/>
      </w:r>
      <w:r w:rsidR="001832BB" w:rsidRPr="00D857DD">
        <w:tab/>
        <w:t>Derechos culturales (art. 15)</w:t>
      </w:r>
      <w:bookmarkEnd w:id="194"/>
    </w:p>
    <w:p w14:paraId="6DCA358B" w14:textId="6A6958E9" w:rsidR="001832BB" w:rsidRPr="00D857DD" w:rsidRDefault="004707F7" w:rsidP="004707F7">
      <w:pPr>
        <w:pStyle w:val="H1G"/>
      </w:pPr>
      <w:bookmarkStart w:id="196" w:name="_Toc660340719"/>
      <w:bookmarkEnd w:id="195"/>
      <w:r w:rsidRPr="00D857DD">
        <w:tab/>
      </w:r>
      <w:r w:rsidR="001832BB" w:rsidRPr="00D857DD">
        <w:t>40.</w:t>
      </w:r>
      <w:r w:rsidR="001832BB" w:rsidRPr="00D857DD">
        <w:tab/>
        <w:t xml:space="preserve">Las estrategias adoptadas para promover el irlandés y el escocés </w:t>
      </w:r>
      <w:r w:rsidRPr="00D857DD">
        <w:br/>
      </w:r>
      <w:r w:rsidR="001832BB" w:rsidRPr="00D857DD">
        <w:t>del Úlster</w:t>
      </w:r>
      <w:bookmarkEnd w:id="196"/>
    </w:p>
    <w:p w14:paraId="01751122" w14:textId="77777777" w:rsidR="001832BB" w:rsidRPr="00D857DD" w:rsidRDefault="001832BB" w:rsidP="001832BB">
      <w:pPr>
        <w:pStyle w:val="SingleTxtG"/>
      </w:pPr>
      <w:r w:rsidRPr="00D857DD">
        <w:t>344.</w:t>
      </w:r>
      <w:r w:rsidRPr="00D857DD">
        <w:tab/>
        <w:t>El Gobierno del Reino Unido aprobó la Ley de Identidad e Idioma (Irlanda del Norte) de 2022 para impulsar medidas acordadas en el marco del acuerdo Nuevo decenio, nuevo enfoque, concertado por los cinco partidos del ejecutivo de Irlanda del Norte, el Gobierno del Reino Unido y el Gobierno de Irlanda. Un elemento central de este acuerdo fue un conjunto cuidadosamente equilibrado de medidas legislativas relativas al idioma, la identidad y la cultura en Irlanda del Norte.</w:t>
      </w:r>
    </w:p>
    <w:p w14:paraId="031EEDBE" w14:textId="77777777" w:rsidR="001832BB" w:rsidRPr="00D857DD" w:rsidRDefault="001832BB" w:rsidP="001832BB">
      <w:pPr>
        <w:pStyle w:val="SingleTxtG"/>
      </w:pPr>
      <w:r w:rsidRPr="00D857DD">
        <w:t>345.</w:t>
      </w:r>
      <w:r w:rsidRPr="00D857DD">
        <w:tab/>
        <w:t xml:space="preserve">En este conjunto de medidas se prevé crear lo siguiente: </w:t>
      </w:r>
    </w:p>
    <w:p w14:paraId="549341D4" w14:textId="43292605" w:rsidR="001832BB" w:rsidRPr="00D857DD" w:rsidRDefault="001832BB" w:rsidP="004707F7">
      <w:pPr>
        <w:pStyle w:val="Bullet1G"/>
      </w:pPr>
      <w:r w:rsidRPr="00D857DD">
        <w:t>Una Oficina de Identidad y Expresión Cultural</w:t>
      </w:r>
      <w:r w:rsidR="004707F7" w:rsidRPr="00D857DD">
        <w:t>.</w:t>
      </w:r>
    </w:p>
    <w:p w14:paraId="30514302" w14:textId="6909F6A2" w:rsidR="001832BB" w:rsidRPr="00D857DD" w:rsidRDefault="001832BB" w:rsidP="004707F7">
      <w:pPr>
        <w:pStyle w:val="Bullet1G"/>
      </w:pPr>
      <w:r w:rsidRPr="00D857DD">
        <w:t>Un Comisionado del Idioma Irlandés y el estatus oficial del idioma irlandés</w:t>
      </w:r>
      <w:r w:rsidR="004707F7" w:rsidRPr="00D857DD">
        <w:t>.</w:t>
      </w:r>
    </w:p>
    <w:p w14:paraId="38847EEA" w14:textId="77777777" w:rsidR="001832BB" w:rsidRPr="00D857DD" w:rsidRDefault="001832BB" w:rsidP="004707F7">
      <w:pPr>
        <w:pStyle w:val="Bullet1G"/>
      </w:pPr>
      <w:r w:rsidRPr="00D857DD">
        <w:t>Un Comisionado para el escocés del Úlster y la tradición de los británicos del Úlster para mejorar y desarrollar el idioma y el arte y la literatura correspondientes.</w:t>
      </w:r>
    </w:p>
    <w:p w14:paraId="4E05B305" w14:textId="77777777" w:rsidR="001832BB" w:rsidRPr="00D857DD" w:rsidRDefault="001832BB" w:rsidP="001832BB">
      <w:pPr>
        <w:pStyle w:val="SingleTxtG"/>
      </w:pPr>
      <w:r w:rsidRPr="00D857DD">
        <w:t>346.</w:t>
      </w:r>
      <w:r w:rsidRPr="00D857DD">
        <w:tab/>
        <w:t>El Gobierno del Reino Unido ha empezado a aplicar la Ley a fin de realizar nombramientos, entre ellos el del Comisionado del Idioma Irlandés y el del Comisionado para el escocés del Úlster y la tradición de los británicos del Úlster de conformidad con el acuerdo Nuevo decenio, nuevo enfoque. Este acuerdo prevé el compromiso de adoptar los principales principios y prácticas de implicación ciudadana y comunitaria para diseñar y producir conjuntamente la preparación y aplicación de una Estrategia para promover el irlandés y una Estrategia para promover el escocés del Úlster y su patrimonio y cultura.</w:t>
      </w:r>
    </w:p>
    <w:p w14:paraId="4BB1A2C1" w14:textId="010A66EC" w:rsidR="001832BB" w:rsidRPr="00D857DD" w:rsidRDefault="004707F7" w:rsidP="004707F7">
      <w:pPr>
        <w:pStyle w:val="H1G"/>
      </w:pPr>
      <w:bookmarkStart w:id="197" w:name="_Toc129668277"/>
      <w:bookmarkStart w:id="198" w:name="_Hlk164291464"/>
      <w:r w:rsidRPr="00D857DD">
        <w:tab/>
      </w:r>
      <w:r w:rsidR="001832BB" w:rsidRPr="00D857DD">
        <w:t>41.</w:t>
      </w:r>
      <w:r w:rsidR="001832BB" w:rsidRPr="00D857DD">
        <w:tab/>
        <w:t xml:space="preserve">Acceso al deporte, las instalaciones deportivas y las competiciones </w:t>
      </w:r>
      <w:r w:rsidRPr="00D857DD">
        <w:br/>
      </w:r>
      <w:r w:rsidR="001832BB" w:rsidRPr="00D857DD">
        <w:t xml:space="preserve">por las personas con discapacidad y las personas transgénero </w:t>
      </w:r>
      <w:bookmarkEnd w:id="197"/>
    </w:p>
    <w:bookmarkEnd w:id="198"/>
    <w:p w14:paraId="78BD9B14" w14:textId="77777777" w:rsidR="001832BB" w:rsidRPr="00D857DD" w:rsidRDefault="001832BB" w:rsidP="001832BB">
      <w:pPr>
        <w:pStyle w:val="SingleTxtG"/>
      </w:pPr>
      <w:r w:rsidRPr="00D857DD">
        <w:t>347.</w:t>
      </w:r>
      <w:r w:rsidRPr="00D857DD">
        <w:tab/>
        <w:t>El Gobierno del Reino Unido está decidido a aumentar el acceso a los deportes y la actividad física. Tras las elecciones generales, el nuevo Gobierno se planteará el enfoque apropiado para actuar en consecuencia, pero ya ha trazado planes de apoyo a las instalaciones de los clubes de fútbol de base. A este respecto, este año seguirá aportando fondos destinados a polideportivos de base y prestará apoyo a la Fundación por el Fútbol y la Asociación por el Fútbol para ofrecer más oportunidades de participación a las mujeres y las niñas y a los jugadores con discapacidad. El Reino Unido espera poder presentar información actualizada al Comité durante el diálogo interactivo.</w:t>
      </w:r>
    </w:p>
    <w:p w14:paraId="1CF34DB9" w14:textId="0C333D31" w:rsidR="001832BB" w:rsidRPr="00D857DD" w:rsidRDefault="001832BB" w:rsidP="001832BB">
      <w:pPr>
        <w:pStyle w:val="SingleTxtG"/>
      </w:pPr>
      <w:r w:rsidRPr="00D857DD">
        <w:t>348.</w:t>
      </w:r>
      <w:r w:rsidRPr="00D857DD">
        <w:tab/>
        <w:t xml:space="preserve">La estrategia decenal </w:t>
      </w:r>
      <w:r w:rsidR="004C2891" w:rsidRPr="00D857DD">
        <w:t>“</w:t>
      </w:r>
      <w:r w:rsidRPr="00D857DD">
        <w:t>Uniting the Movement</w:t>
      </w:r>
      <w:r w:rsidR="004C2891" w:rsidRPr="00D857DD">
        <w:t>”</w:t>
      </w:r>
      <w:r w:rsidRPr="00D857DD">
        <w:t xml:space="preserve"> (Unión en el movimiento) de Sport England, organismo autónomo de deportes de base del Ministerio de lo Digital, Cultura, Medios de Comunicación y Deportes, refuerza su compromiso con el aumento de la participación en las actividades deportivas y físicas por parte de los grupos representados insuficientemente, entre ellos las personas con discapacidad. Sport England ha velado por que cada uno de sus programas ejerza influencia directa en las personas con discapacidad. La cifra global de las inversiones directas de Sport England en labores centradas en la discapacidad entre 2021 y 2022 supera los 30 millones de libras esterlinas, aparte de inversiones por valor de 6,7 millones de libras de 2022 a 2027 en siete organizaciones deportivas nacionales para personas con discapacidad que representan a grupos con discapacidades específicas. </w:t>
      </w:r>
    </w:p>
    <w:p w14:paraId="3CF964A2" w14:textId="12FEDA02" w:rsidR="001832BB" w:rsidRPr="00D857DD" w:rsidRDefault="001832BB" w:rsidP="001832BB">
      <w:pPr>
        <w:pStyle w:val="SingleTxtG"/>
      </w:pPr>
      <w:r w:rsidRPr="00D857DD">
        <w:lastRenderedPageBreak/>
        <w:t>349.</w:t>
      </w:r>
      <w:r w:rsidRPr="00D857DD">
        <w:tab/>
        <w:t>En cuanto al Ciclo paralímpico para París 2024 (2021</w:t>
      </w:r>
      <w:r w:rsidR="00141BF0" w:rsidRPr="00D857DD">
        <w:t>-</w:t>
      </w:r>
      <w:r w:rsidRPr="00D857DD">
        <w:t xml:space="preserve">2025), </w:t>
      </w:r>
      <w:proofErr w:type="spellStart"/>
      <w:r w:rsidRPr="00D857DD">
        <w:t>UK</w:t>
      </w:r>
      <w:proofErr w:type="spellEnd"/>
      <w:r w:rsidRPr="00D857DD">
        <w:t xml:space="preserve"> Sport, órgano autónomo encargado del deporte de élite, invierte más de 67 millones de libras en galardones para los programas de clase mundial relativos a 18 deportes paralímpicos. Se trata de un aumento de 13 millones de libras en comparación con la suma invertida en programas de clase mundial dentro del Ciclo paralímpico para Tokio.</w:t>
      </w:r>
    </w:p>
    <w:p w14:paraId="46967E0E" w14:textId="3529C8AD" w:rsidR="001832BB" w:rsidRPr="00D857DD" w:rsidRDefault="004707F7" w:rsidP="004707F7">
      <w:pPr>
        <w:pStyle w:val="H1G"/>
      </w:pPr>
      <w:bookmarkStart w:id="199" w:name="_Toc1143368034"/>
      <w:bookmarkStart w:id="200" w:name="_Hlk164291548"/>
      <w:r w:rsidRPr="00D857DD">
        <w:tab/>
      </w:r>
      <w:r w:rsidR="001832BB" w:rsidRPr="00D857DD">
        <w:t>42.</w:t>
      </w:r>
      <w:r w:rsidR="001832BB" w:rsidRPr="00D857DD">
        <w:tab/>
        <w:t xml:space="preserve">Acceso a Internet y a la formación en alfabetización digital, </w:t>
      </w:r>
      <w:r w:rsidRPr="00D857DD">
        <w:br/>
      </w:r>
      <w:r w:rsidR="001832BB" w:rsidRPr="00D857DD">
        <w:t xml:space="preserve">así como medidas destinadas a proteger el derecho a la </w:t>
      </w:r>
      <w:r w:rsidRPr="00D857DD">
        <w:br/>
      </w:r>
      <w:r w:rsidR="001832BB" w:rsidRPr="00D857DD">
        <w:t>privacidad y las identidades culturales</w:t>
      </w:r>
      <w:bookmarkEnd w:id="199"/>
    </w:p>
    <w:p w14:paraId="166ECBCF" w14:textId="1F046806" w:rsidR="001832BB" w:rsidRPr="00D857DD" w:rsidRDefault="001832BB" w:rsidP="004707F7">
      <w:pPr>
        <w:pStyle w:val="H23G"/>
      </w:pPr>
      <w:bookmarkStart w:id="201" w:name="_Toc309083426"/>
      <w:bookmarkStart w:id="202" w:name="_Hlk164291564"/>
      <w:bookmarkEnd w:id="200"/>
      <w:r w:rsidRPr="00D857DD">
        <w:tab/>
      </w:r>
      <w:r w:rsidR="004707F7" w:rsidRPr="00D857DD">
        <w:tab/>
      </w:r>
      <w:r w:rsidRPr="00D857DD">
        <w:t>Alfabetización mediática</w:t>
      </w:r>
      <w:bookmarkEnd w:id="201"/>
    </w:p>
    <w:bookmarkEnd w:id="202"/>
    <w:p w14:paraId="338D8D2E" w14:textId="77777777" w:rsidR="001832BB" w:rsidRPr="00D857DD" w:rsidRDefault="001832BB" w:rsidP="001832BB">
      <w:pPr>
        <w:pStyle w:val="SingleTxtG"/>
      </w:pPr>
      <w:r w:rsidRPr="00D857DD">
        <w:t>350.</w:t>
      </w:r>
      <w:r w:rsidRPr="00D857DD">
        <w:tab/>
        <w:t>En julio de 2021 el Ministerio de Cultura, Medios de Comunicación y Deportes publicó la Estrategia de alfabetización mediática en línea, por la que se fija la meta del Gobierno del Reino Unido de mejorar el panorama nacional de la alfabetización mediática. La Estrategia va dirigida a favorecer el empoderamiento de los usuarios dotándolos de los conocimientos y competencias esenciales que necesitan para elegir en línea de forma segura y fundamentada al tiempo que aprovechan al máximo la oferta de Internet. En la Estrategia figura el marco de conocimientos y competencias que se propone como base del contenido y la ejecución de las iniciativas en materia de alfabetización mediática, lo cual supone velar por que los usuarios comprendan el funcionamiento de los entornos en línea y aprovechen este conocimiento al adoptar en línea decisiones fundamentadas.</w:t>
      </w:r>
    </w:p>
    <w:p w14:paraId="586DF467" w14:textId="77777777" w:rsidR="001832BB" w:rsidRPr="00D857DD" w:rsidRDefault="001832BB" w:rsidP="001832BB">
      <w:pPr>
        <w:pStyle w:val="SingleTxtG"/>
      </w:pPr>
      <w:r w:rsidRPr="00D857DD">
        <w:t>351.</w:t>
      </w:r>
      <w:r w:rsidRPr="00D857DD">
        <w:tab/>
        <w:t>Para alcanzar los objetivos de la Estrategia, el Ministerio de Cultura, Medios de Comunicación y Deportes ha concedido subvenciones por valor de casi 2,5 millones de libras esterlinas a organizaciones que ejecutan proyectos innovadores en materia de alfabetización mediática, en particular los destinados a ciudadanos que proceden de entornos desfavorecidos o corren un riesgo desproporcionado de sufrir daños en línea. Al respecto se han destinado más de 180.000 libras a proyectos dirigidos a ayudar a las mujeres vulnerables y marginadas a mejorar sus aptitudes de alfabetización mediática y más de 260.000 libras a proyectos de fomento de las aptitudes digitales y de alfabetización informacional de las personas de edad a escala nacional.</w:t>
      </w:r>
    </w:p>
    <w:p w14:paraId="0D45F354" w14:textId="77777777" w:rsidR="001832BB" w:rsidRPr="00D857DD" w:rsidRDefault="001832BB" w:rsidP="001832BB">
      <w:pPr>
        <w:pStyle w:val="SingleTxtG"/>
      </w:pPr>
      <w:r w:rsidRPr="00D857DD">
        <w:t>352.</w:t>
      </w:r>
      <w:r w:rsidRPr="00D857DD">
        <w:tab/>
        <w:t>El Gobierno quiere que todos los niños terminen el ciclo escolar con conocimientos, entendimiento y competencias que les permitan utilizar tecnología de la información y las comunicaciones de forma creativa y con un sentido a la vez que pasan a consumir información con criterio.</w:t>
      </w:r>
    </w:p>
    <w:p w14:paraId="4F94A42C" w14:textId="77777777" w:rsidR="001832BB" w:rsidRPr="00D857DD" w:rsidRDefault="001832BB" w:rsidP="001832BB">
      <w:pPr>
        <w:pStyle w:val="SingleTxtG"/>
      </w:pPr>
      <w:r w:rsidRPr="00D857DD">
        <w:t>353.</w:t>
      </w:r>
      <w:r w:rsidRPr="00D857DD">
        <w:tab/>
        <w:t>La alfabetización digital se imparte mediante asignaturas obligatorias del plan de estudios como informática, ciudadanía y educación sexual, sanitaria y sobre relaciones.</w:t>
      </w:r>
    </w:p>
    <w:p w14:paraId="146B10D7" w14:textId="77777777" w:rsidR="001832BB" w:rsidRPr="00D857DD" w:rsidRDefault="001832BB" w:rsidP="001832BB">
      <w:pPr>
        <w:pStyle w:val="SingleTxtG"/>
      </w:pPr>
      <w:r w:rsidRPr="00D857DD">
        <w:t>354.</w:t>
      </w:r>
      <w:r w:rsidRPr="00D857DD">
        <w:tab/>
        <w:t xml:space="preserve">El Ministerio de Educación no impone la manera de impartir el plan de estudios; el plan de estudios nacional en materia de informática y ciudadanía y las directrices reglamentarias en materia de educación sexual, sanitaria y sobre relaciones fijan el contenido que debe tratarse en las escuelas, pero no la manera de impartir las asignaturas correspondientes ni los temas que forman parte de dichas asignaturas. Se confía en que las escuelas se sirvan de su criterio profesional y del conocimiento que tienen de sus alumnos para determinar el enfoque didáctico apropiado en función de sus circunstancias particulares. </w:t>
      </w:r>
    </w:p>
    <w:p w14:paraId="6A71CE50" w14:textId="6F6BB0FE" w:rsidR="001832BB" w:rsidRPr="00D857DD" w:rsidRDefault="004707F7" w:rsidP="004707F7">
      <w:pPr>
        <w:pStyle w:val="H23G"/>
      </w:pPr>
      <w:bookmarkStart w:id="203" w:name="_Toc1173071119"/>
      <w:r w:rsidRPr="00D857DD">
        <w:tab/>
      </w:r>
      <w:r w:rsidR="001832BB" w:rsidRPr="00D857DD">
        <w:tab/>
        <w:t>Competencias digitales</w:t>
      </w:r>
      <w:bookmarkEnd w:id="203"/>
    </w:p>
    <w:p w14:paraId="2B04B479" w14:textId="77777777" w:rsidR="001832BB" w:rsidRPr="00D857DD" w:rsidRDefault="001832BB" w:rsidP="001832BB">
      <w:pPr>
        <w:pStyle w:val="SingleTxtG"/>
      </w:pPr>
      <w:r w:rsidRPr="00D857DD">
        <w:t>355.</w:t>
      </w:r>
      <w:r w:rsidRPr="00D857DD">
        <w:tab/>
        <w:t>El año pasado el Gobierno del Reino Unido creó el Consejo de Competencias Digitales, que agrupa a los sectores gubernamental e industrial en torno a medidas impulsadas por la industria para ampliar la mano de obra con competencias digitales. El Consejo se centra en la demanda actual y futura de competencias digitales por parte de la industria, en particular mediante actividades de aprendizaje digital y un mayor número de iniciativas de perfeccionamiento profesional dirigidas por el mundo empresarial. El Consejo está integrado por dirigentes de organizaciones como Starling, Multiverse y Google.</w:t>
      </w:r>
    </w:p>
    <w:p w14:paraId="6E8C3E86" w14:textId="77777777" w:rsidR="001832BB" w:rsidRPr="00D857DD" w:rsidRDefault="001832BB" w:rsidP="001832BB">
      <w:pPr>
        <w:pStyle w:val="SingleTxtG"/>
      </w:pPr>
      <w:r w:rsidRPr="00D857DD">
        <w:t>356.</w:t>
      </w:r>
      <w:r w:rsidRPr="00D857DD">
        <w:tab/>
        <w:t xml:space="preserve">El Gobierno, consciente de que el sector digital solo podrá alcanzar su verdadero potencial si representa a la sociedad, sigue prestando apoyo a Tech Talent Charter, lo cual ayuda a mejorar la diversidad de la fuerza de trabajo digital mejorando las notificaciones </w:t>
      </w:r>
      <w:r w:rsidRPr="00D857DD">
        <w:lastRenderedPageBreak/>
        <w:t>destinadas a las estadísticas sobre diversidad y fomentando la colaboración para crear una fuerza de trabajo tecnológica más diversa.</w:t>
      </w:r>
    </w:p>
    <w:p w14:paraId="1547A034" w14:textId="77777777" w:rsidR="001832BB" w:rsidRDefault="001832BB" w:rsidP="004707F7">
      <w:pPr>
        <w:pStyle w:val="SingleTxtG"/>
      </w:pPr>
      <w:r w:rsidRPr="00D857DD">
        <w:t>357.</w:t>
      </w:r>
      <w:r w:rsidRPr="00D857DD">
        <w:tab/>
        <w:t>El Ministerio de Ciencia, Innovación y Tecnología se esfuerza constantemente por comprender mejor el panorama de las competencias digitales. En consecuencia, el Consejo de competencias digitales cofinanció recientemente la hoja de ruta de FutureDotNow, informe exhaustivo que permite al Ministerio hacerse una idea de los obstáculos y los posibles efectos de las competencias digitales esenciales en el ámbito de la fuerza de trabajo.</w:t>
      </w:r>
    </w:p>
    <w:p w14:paraId="67689242" w14:textId="31BFC9D7" w:rsidR="004707F7" w:rsidRPr="004707F7" w:rsidRDefault="004707F7" w:rsidP="004707F7">
      <w:pPr>
        <w:pStyle w:val="SingleTxtG"/>
        <w:suppressAutoHyphens/>
        <w:spacing w:before="240" w:after="0"/>
        <w:jc w:val="center"/>
        <w:rPr>
          <w:u w:val="single"/>
        </w:rPr>
      </w:pPr>
      <w:r>
        <w:rPr>
          <w:u w:val="single"/>
        </w:rPr>
        <w:tab/>
      </w:r>
      <w:r>
        <w:rPr>
          <w:u w:val="single"/>
        </w:rPr>
        <w:tab/>
      </w:r>
      <w:r>
        <w:rPr>
          <w:u w:val="single"/>
        </w:rPr>
        <w:tab/>
      </w:r>
    </w:p>
    <w:sectPr w:rsidR="004707F7" w:rsidRPr="004707F7" w:rsidSect="00F96907">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80194" w14:textId="77777777" w:rsidR="00544690" w:rsidRPr="00093664" w:rsidRDefault="00544690" w:rsidP="00093664">
      <w:pPr>
        <w:pStyle w:val="Piedepgina"/>
      </w:pPr>
    </w:p>
  </w:endnote>
  <w:endnote w:type="continuationSeparator" w:id="0">
    <w:p w14:paraId="199C866F" w14:textId="77777777" w:rsidR="00544690" w:rsidRPr="00093664" w:rsidRDefault="00544690"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A8ABD" w14:textId="0CA660F0" w:rsidR="00F96907" w:rsidRPr="00F96907" w:rsidRDefault="00F96907" w:rsidP="00F96907">
    <w:pPr>
      <w:pStyle w:val="Piedepgina"/>
      <w:tabs>
        <w:tab w:val="right" w:pos="9638"/>
      </w:tabs>
    </w:pPr>
    <w:r w:rsidRPr="00F96907">
      <w:rPr>
        <w:b/>
        <w:sz w:val="18"/>
      </w:rPr>
      <w:fldChar w:fldCharType="begin"/>
    </w:r>
    <w:r w:rsidRPr="00F96907">
      <w:rPr>
        <w:b/>
        <w:sz w:val="18"/>
      </w:rPr>
      <w:instrText xml:space="preserve"> PAGE  \* MERGEFORMAT </w:instrText>
    </w:r>
    <w:r w:rsidRPr="00F96907">
      <w:rPr>
        <w:b/>
        <w:sz w:val="18"/>
      </w:rPr>
      <w:fldChar w:fldCharType="separate"/>
    </w:r>
    <w:r w:rsidRPr="00F96907">
      <w:rPr>
        <w:b/>
        <w:noProof/>
        <w:sz w:val="18"/>
      </w:rPr>
      <w:t>2</w:t>
    </w:r>
    <w:r w:rsidRPr="00F96907">
      <w:rPr>
        <w:b/>
        <w:sz w:val="18"/>
      </w:rPr>
      <w:fldChar w:fldCharType="end"/>
    </w:r>
    <w:r>
      <w:rPr>
        <w:b/>
        <w:sz w:val="18"/>
      </w:rPr>
      <w:tab/>
    </w:r>
    <w:r>
      <w:t>GE.24-18264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E746E" w14:textId="0087A7D6" w:rsidR="00F96907" w:rsidRPr="00F96907" w:rsidRDefault="00F96907" w:rsidP="00F96907">
    <w:pPr>
      <w:pStyle w:val="Piedepgina"/>
      <w:tabs>
        <w:tab w:val="right" w:pos="9638"/>
      </w:tabs>
      <w:rPr>
        <w:b/>
        <w:sz w:val="18"/>
      </w:rPr>
    </w:pPr>
    <w:r>
      <w:t>GE.24-18264</w:t>
    </w:r>
    <w:r>
      <w:tab/>
    </w:r>
    <w:r w:rsidRPr="00F96907">
      <w:rPr>
        <w:b/>
        <w:sz w:val="18"/>
      </w:rPr>
      <w:fldChar w:fldCharType="begin"/>
    </w:r>
    <w:r w:rsidRPr="00F96907">
      <w:rPr>
        <w:b/>
        <w:sz w:val="18"/>
      </w:rPr>
      <w:instrText xml:space="preserve"> PAGE  \* MERGEFORMAT </w:instrText>
    </w:r>
    <w:r w:rsidRPr="00F96907">
      <w:rPr>
        <w:b/>
        <w:sz w:val="18"/>
      </w:rPr>
      <w:fldChar w:fldCharType="separate"/>
    </w:r>
    <w:r w:rsidRPr="00F96907">
      <w:rPr>
        <w:b/>
        <w:noProof/>
        <w:sz w:val="18"/>
      </w:rPr>
      <w:t>3</w:t>
    </w:r>
    <w:r w:rsidRPr="00F969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5B4DB" w14:textId="3D1DBA2A" w:rsidR="005016AF" w:rsidRPr="00F96907" w:rsidRDefault="00F96907" w:rsidP="00F96907">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1AECD031" wp14:editId="1B4B413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24-18264  (S)</w:t>
    </w:r>
    <w:r>
      <w:rPr>
        <w:noProof/>
        <w:sz w:val="20"/>
      </w:rPr>
      <w:drawing>
        <wp:anchor distT="0" distB="0" distL="114300" distR="114300" simplePos="0" relativeHeight="251658752" behindDoc="0" locked="0" layoutInCell="1" allowOverlap="1" wp14:anchorId="3D0C8A72" wp14:editId="11224B9B">
          <wp:simplePos x="0" y="0"/>
          <wp:positionH relativeFrom="margin">
            <wp:posOffset>5489575</wp:posOffset>
          </wp:positionH>
          <wp:positionV relativeFrom="margin">
            <wp:posOffset>8891905</wp:posOffset>
          </wp:positionV>
          <wp:extent cx="628650" cy="628650"/>
          <wp:effectExtent l="0" t="0" r="0" b="0"/>
          <wp:wrapNone/>
          <wp:docPr id="16278634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141124    060125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082F9" w14:textId="77777777" w:rsidR="00544690" w:rsidRPr="001075E9" w:rsidRDefault="00544690" w:rsidP="001075E9">
      <w:pPr>
        <w:tabs>
          <w:tab w:val="right" w:pos="2155"/>
        </w:tabs>
        <w:spacing w:after="80" w:line="240" w:lineRule="auto"/>
        <w:ind w:left="680"/>
        <w:rPr>
          <w:u w:val="single"/>
        </w:rPr>
      </w:pPr>
      <w:r>
        <w:rPr>
          <w:u w:val="single"/>
        </w:rPr>
        <w:tab/>
      </w:r>
    </w:p>
  </w:footnote>
  <w:footnote w:type="continuationSeparator" w:id="0">
    <w:p w14:paraId="1F33A632" w14:textId="77777777" w:rsidR="00544690" w:rsidRDefault="00544690" w:rsidP="00093664">
      <w:pPr>
        <w:tabs>
          <w:tab w:val="right" w:pos="2155"/>
        </w:tabs>
        <w:spacing w:after="80" w:line="240" w:lineRule="auto"/>
        <w:ind w:left="680"/>
        <w:rPr>
          <w:u w:val="single"/>
        </w:rPr>
      </w:pPr>
      <w:r>
        <w:rPr>
          <w:u w:val="single"/>
        </w:rPr>
        <w:tab/>
      </w:r>
    </w:p>
  </w:footnote>
  <w:footnote w:id="1">
    <w:p w14:paraId="3890E458" w14:textId="77777777" w:rsidR="001832BB" w:rsidRPr="00EE3637" w:rsidRDefault="001832BB" w:rsidP="001832BB">
      <w:pPr>
        <w:pStyle w:val="Textonotapie"/>
      </w:pPr>
      <w:r w:rsidRPr="00EE3637">
        <w:tab/>
      </w:r>
      <w:r w:rsidRPr="001832BB">
        <w:rPr>
          <w:sz w:val="20"/>
          <w:szCs w:val="22"/>
        </w:rPr>
        <w:t>*</w:t>
      </w:r>
      <w:r w:rsidRPr="00EE3637">
        <w:tab/>
        <w:t>La versión original del presente documento no fue objeto de revisión editorial oficial.</w:t>
      </w:r>
    </w:p>
  </w:footnote>
  <w:footnote w:id="2">
    <w:p w14:paraId="2994CAA1" w14:textId="77777777" w:rsidR="001832BB" w:rsidRPr="00EE3637" w:rsidRDefault="001832BB" w:rsidP="001832BB">
      <w:pPr>
        <w:pStyle w:val="Textonotapie"/>
      </w:pPr>
      <w:r w:rsidRPr="00EE3637">
        <w:tab/>
      </w:r>
      <w:r w:rsidRPr="001832BB">
        <w:rPr>
          <w:sz w:val="20"/>
          <w:szCs w:val="22"/>
        </w:rPr>
        <w:t>**</w:t>
      </w:r>
      <w:r w:rsidRPr="00EE3637">
        <w:tab/>
        <w:t>El anexo del presente documento puede consultarse en la página web del Comité.</w:t>
      </w:r>
    </w:p>
  </w:footnote>
  <w:footnote w:id="3">
    <w:p w14:paraId="4C2E40FA" w14:textId="77777777" w:rsidR="001832BB" w:rsidRPr="00EE3637" w:rsidRDefault="001832BB" w:rsidP="001832BB">
      <w:pPr>
        <w:pStyle w:val="Textonotapie"/>
      </w:pPr>
      <w:r w:rsidRPr="00EE3637">
        <w:tab/>
      </w:r>
      <w:r w:rsidRPr="001832BB">
        <w:rPr>
          <w:rStyle w:val="Refdenotaalpie"/>
        </w:rPr>
        <w:footnoteRef/>
      </w:r>
      <w:r w:rsidRPr="00EE3637">
        <w:tab/>
        <w:t>Tratados en relación con los cuales el Reino Unido está obligado en el marco del derecho internacional, si bien no les ha dado efectividad jurídica interna mediante legislación nacional.</w:t>
      </w:r>
    </w:p>
  </w:footnote>
  <w:footnote w:id="4">
    <w:p w14:paraId="257FA365" w14:textId="77777777" w:rsidR="001832BB" w:rsidRPr="00EE3637" w:rsidRDefault="001832BB" w:rsidP="001832BB">
      <w:pPr>
        <w:pStyle w:val="Textonotapie"/>
      </w:pPr>
      <w:r w:rsidRPr="00EE3637">
        <w:tab/>
      </w:r>
      <w:r w:rsidRPr="001832BB">
        <w:rPr>
          <w:rStyle w:val="Refdenotaalpie"/>
        </w:rPr>
        <w:footnoteRef/>
      </w:r>
      <w:r w:rsidRPr="00EE3637">
        <w:tab/>
        <w:t xml:space="preserve">The Windsor Framework - </w:t>
      </w:r>
      <w:proofErr w:type="spellStart"/>
      <w:r w:rsidRPr="00EE3637">
        <w:t>GOV.UK</w:t>
      </w:r>
      <w:proofErr w:type="spellEnd"/>
      <w:r w:rsidRPr="00EE3637">
        <w:t xml:space="preserve"> (</w:t>
      </w:r>
      <w:proofErr w:type="spellStart"/>
      <w:r w:rsidRPr="00EE3637">
        <w:t>www.gov.uk</w:t>
      </w:r>
      <w:proofErr w:type="spellEnd"/>
      <w:r w:rsidRPr="00EE3637">
        <w:t>).</w:t>
      </w:r>
    </w:p>
  </w:footnote>
  <w:footnote w:id="5">
    <w:p w14:paraId="2CAC14BD" w14:textId="77777777" w:rsidR="001832BB" w:rsidRPr="00EE3637" w:rsidRDefault="001832BB" w:rsidP="001832BB">
      <w:pPr>
        <w:pStyle w:val="Textonotapie"/>
      </w:pPr>
      <w:r w:rsidRPr="00EE3637">
        <w:tab/>
      </w:r>
      <w:r w:rsidRPr="001832BB">
        <w:rPr>
          <w:rStyle w:val="Refdenotaalpie"/>
        </w:rPr>
        <w:footnoteRef/>
      </w:r>
      <w:r w:rsidRPr="00EE3637">
        <w:tab/>
        <w:t>Gasto bilateral que cabe atribuir a un país beneficiario específico. No incluye otras formas de gasto que también contribuyen al desarrollo de los países menos adelantados, como el gasto multilateral regional. Todavía no se dispone de datos sobre la AOD destinada a países concretos en 2023, pero se publicarán en otoño de 2024 en la publicación del Reino Unido de estadísticas sobre el desarrollo internacional.</w:t>
      </w:r>
    </w:p>
  </w:footnote>
  <w:footnote w:id="6">
    <w:p w14:paraId="60A44F3B" w14:textId="4C43B079" w:rsidR="001832BB" w:rsidRPr="00EE3637" w:rsidRDefault="001832BB" w:rsidP="001832BB">
      <w:pPr>
        <w:pStyle w:val="Textonotapie"/>
      </w:pPr>
      <w:r w:rsidRPr="00EE3637">
        <w:tab/>
      </w:r>
      <w:r w:rsidRPr="001832BB">
        <w:rPr>
          <w:rStyle w:val="Refdenotaalpie"/>
        </w:rPr>
        <w:footnoteRef/>
      </w:r>
      <w:r w:rsidRPr="00EE3637">
        <w:tab/>
        <w:t>Pacto Internacional de Derechos Económicos, Sociales y Culturales: declaración de posición</w:t>
      </w:r>
      <w:r w:rsidR="00CF748A">
        <w:t> </w:t>
      </w:r>
      <w:r w:rsidR="00CF748A">
        <w:noBreakHyphen/>
        <w:t> </w:t>
      </w:r>
      <w:proofErr w:type="spellStart"/>
      <w:r w:rsidRPr="00EE3637">
        <w:t>gov.scot</w:t>
      </w:r>
      <w:proofErr w:type="spellEnd"/>
      <w:r w:rsidRPr="00EE3637">
        <w:t xml:space="preserve"> (</w:t>
      </w:r>
      <w:proofErr w:type="spellStart"/>
      <w:r w:rsidRPr="00EE3637">
        <w:t>www.gov.scot</w:t>
      </w:r>
      <w:proofErr w:type="spellEnd"/>
      <w:r w:rsidRPr="00EE3637">
        <w:t>).</w:t>
      </w:r>
    </w:p>
  </w:footnote>
  <w:footnote w:id="7">
    <w:p w14:paraId="1A806998" w14:textId="77777777" w:rsidR="001832BB" w:rsidRPr="00EE3637" w:rsidRDefault="001832BB" w:rsidP="001832BB">
      <w:pPr>
        <w:pStyle w:val="Textonotapie"/>
      </w:pPr>
      <w:r w:rsidRPr="00EE3637">
        <w:tab/>
      </w:r>
      <w:r w:rsidRPr="001832BB">
        <w:rPr>
          <w:rStyle w:val="Refdenotaalpie"/>
        </w:rPr>
        <w:footnoteRef/>
      </w:r>
      <w:r w:rsidRPr="00EE3637">
        <w:tab/>
        <w:t>Tercer Programa nacional de adaptación y cuarta Estrategia para la presentación de informes sobre la adaptación al cambio climático (publishing.service.gov.uk).</w:t>
      </w:r>
    </w:p>
  </w:footnote>
  <w:footnote w:id="8">
    <w:p w14:paraId="4B5FB9EB" w14:textId="79F9566F" w:rsidR="001832BB" w:rsidRPr="00EE3637" w:rsidRDefault="001832BB" w:rsidP="001832BB">
      <w:pPr>
        <w:pStyle w:val="Textonotapie"/>
      </w:pPr>
      <w:r w:rsidRPr="00EE3637">
        <w:tab/>
      </w:r>
      <w:r w:rsidRPr="001832BB">
        <w:rPr>
          <w:rStyle w:val="Refdenotaalpie"/>
        </w:rPr>
        <w:footnoteRef/>
      </w:r>
      <w:r w:rsidRPr="00EE3637">
        <w:tab/>
      </w:r>
      <w:hyperlink r:id="rId1" w:history="1">
        <w:r w:rsidRPr="00CF748A">
          <w:rPr>
            <w:rStyle w:val="Hipervnculo"/>
          </w:rPr>
          <w:t>https://www.nato.int/nato_static_fl2014/assets/pdf/2024/3/pdf/sgar23-en.pdf#page=49</w:t>
        </w:r>
      </w:hyperlink>
      <w:r w:rsidRPr="00EE3637">
        <w:t>; véase la pág.</w:t>
      </w:r>
      <w:r w:rsidR="00B2156B">
        <w:t> </w:t>
      </w:r>
      <w:r w:rsidRPr="00EE3637">
        <w:t>50.</w:t>
      </w:r>
    </w:p>
  </w:footnote>
  <w:footnote w:id="9">
    <w:p w14:paraId="326C5413" w14:textId="77777777" w:rsidR="001832BB" w:rsidRPr="00EE3637" w:rsidRDefault="001832BB" w:rsidP="001832BB">
      <w:pPr>
        <w:pStyle w:val="Textonotapie"/>
      </w:pPr>
      <w:r w:rsidRPr="00EE3637">
        <w:tab/>
      </w:r>
      <w:r w:rsidRPr="001832BB">
        <w:rPr>
          <w:rStyle w:val="Refdenotaalpie"/>
        </w:rPr>
        <w:footnoteRef/>
      </w:r>
      <w:r w:rsidRPr="00EE3637">
        <w:tab/>
        <w:t>Ley de la Agencia de Recaudación Tributaria de Escocia y Facultades Fiscales de 2014 (legislation.gov.uk).</w:t>
      </w:r>
    </w:p>
  </w:footnote>
  <w:footnote w:id="10">
    <w:p w14:paraId="00E21F5E" w14:textId="5ED474C3" w:rsidR="001832BB" w:rsidRPr="00EE3637" w:rsidRDefault="001832BB" w:rsidP="001832BB">
      <w:pPr>
        <w:pStyle w:val="Textonotapie"/>
      </w:pPr>
      <w:r w:rsidRPr="00EE3637">
        <w:tab/>
      </w:r>
      <w:r w:rsidRPr="001832BB">
        <w:rPr>
          <w:rStyle w:val="Refdenotaalpie"/>
        </w:rPr>
        <w:footnoteRef/>
      </w:r>
      <w:r w:rsidRPr="00EE3637">
        <w:tab/>
        <w:t xml:space="preserve">Normas de inmigración: orientación </w:t>
      </w:r>
      <w:r w:rsidR="009669FE">
        <w:t>–</w:t>
      </w:r>
      <w:r w:rsidRPr="00EE3637">
        <w:t xml:space="preserve"> </w:t>
      </w:r>
      <w:proofErr w:type="spellStart"/>
      <w:r w:rsidRPr="00EE3637">
        <w:t>GOV.UK</w:t>
      </w:r>
      <w:proofErr w:type="spellEnd"/>
      <w:r w:rsidRPr="00EE3637">
        <w:t xml:space="preserve"> (</w:t>
      </w:r>
      <w:proofErr w:type="spellStart"/>
      <w:r w:rsidRPr="00EE3637">
        <w:t>www.gov.uk</w:t>
      </w:r>
      <w:proofErr w:type="spellEnd"/>
      <w:r w:rsidRPr="00EE3637">
        <w:t>).</w:t>
      </w:r>
    </w:p>
  </w:footnote>
  <w:footnote w:id="11">
    <w:p w14:paraId="7DDA110B" w14:textId="068D50F0" w:rsidR="001832BB" w:rsidRPr="00EE3637" w:rsidRDefault="001832BB" w:rsidP="001832BB">
      <w:pPr>
        <w:pStyle w:val="Textonotapie"/>
      </w:pPr>
      <w:r w:rsidRPr="00EE3637">
        <w:tab/>
      </w:r>
      <w:r w:rsidRPr="001832BB">
        <w:rPr>
          <w:rStyle w:val="Refdenotaalpie"/>
        </w:rPr>
        <w:footnoteRef/>
      </w:r>
      <w:r w:rsidRPr="00EE3637">
        <w:tab/>
      </w:r>
      <w:r w:rsidRPr="009669FE">
        <w:rPr>
          <w:i/>
        </w:rPr>
        <w:t>Boletín trimestral de estadísticas sobre el sistema de inmigración</w:t>
      </w:r>
      <w:r w:rsidRPr="00EE3637">
        <w:t xml:space="preserve"> </w:t>
      </w:r>
      <w:r w:rsidR="009669FE">
        <w:t>–</w:t>
      </w:r>
      <w:r w:rsidRPr="00EE3637">
        <w:t xml:space="preserve"> GOV.UK (www.gov.uk).</w:t>
      </w:r>
    </w:p>
  </w:footnote>
  <w:footnote w:id="12">
    <w:p w14:paraId="31CCC02B" w14:textId="77777777" w:rsidR="001832BB" w:rsidRPr="00EE3637" w:rsidRDefault="001832BB" w:rsidP="001832BB">
      <w:pPr>
        <w:pStyle w:val="Textonotapie"/>
      </w:pPr>
      <w:r w:rsidRPr="00EE3637">
        <w:tab/>
      </w:r>
      <w:r w:rsidRPr="001832BB">
        <w:rPr>
          <w:rStyle w:val="Refdenotaalpie"/>
        </w:rPr>
        <w:footnoteRef/>
      </w:r>
      <w:r w:rsidRPr="00EE3637">
        <w:tab/>
        <w:t>Corporate - Skills Development Scotland.</w:t>
      </w:r>
    </w:p>
  </w:footnote>
  <w:footnote w:id="13">
    <w:p w14:paraId="16F509AA" w14:textId="77777777" w:rsidR="001832BB" w:rsidRPr="00EE3637" w:rsidRDefault="001832BB" w:rsidP="001832BB">
      <w:pPr>
        <w:pStyle w:val="Textonotapie"/>
      </w:pPr>
      <w:r w:rsidRPr="00EE3637">
        <w:tab/>
      </w:r>
      <w:r w:rsidRPr="001832BB">
        <w:rPr>
          <w:rStyle w:val="Refdenotaalpie"/>
        </w:rPr>
        <w:footnoteRef/>
      </w:r>
      <w:r w:rsidRPr="00EE3637">
        <w:tab/>
        <w:t>No One Left Behind: plan de ejecución - gov.scot (www.gov.scot).</w:t>
      </w:r>
    </w:p>
  </w:footnote>
  <w:footnote w:id="14">
    <w:p w14:paraId="518082A4" w14:textId="1E32BA51" w:rsidR="001832BB" w:rsidRPr="00EE3637" w:rsidRDefault="001832BB" w:rsidP="001832BB">
      <w:pPr>
        <w:pStyle w:val="Textonotapie"/>
      </w:pPr>
      <w:r w:rsidRPr="00EE3637">
        <w:tab/>
      </w:r>
      <w:r w:rsidRPr="001832BB">
        <w:rPr>
          <w:rStyle w:val="Refdenotaalpie"/>
        </w:rPr>
        <w:footnoteRef/>
      </w:r>
      <w:r w:rsidRPr="00EE3637">
        <w:tab/>
        <w:t xml:space="preserve">Fair Work First: enfoque y lo que se pretende alcanzar. Orientación sobre el programa </w:t>
      </w:r>
      <w:r w:rsidR="00311CE2">
        <w:t>–</w:t>
      </w:r>
      <w:r w:rsidRPr="00EE3637">
        <w:t xml:space="preserve"> </w:t>
      </w:r>
      <w:proofErr w:type="spellStart"/>
      <w:r w:rsidRPr="00EE3637">
        <w:t>gov.scot</w:t>
      </w:r>
      <w:proofErr w:type="spellEnd"/>
      <w:r w:rsidRPr="00EE3637">
        <w:t xml:space="preserve"> (</w:t>
      </w:r>
      <w:proofErr w:type="spellStart"/>
      <w:r w:rsidRPr="00EE3637">
        <w:t>www.gov.scot</w:t>
      </w:r>
      <w:proofErr w:type="spellEnd"/>
      <w:r w:rsidRPr="00EE3637">
        <w:t>).</w:t>
      </w:r>
    </w:p>
  </w:footnote>
  <w:footnote w:id="15">
    <w:p w14:paraId="4A20BD25" w14:textId="127E1353" w:rsidR="001832BB" w:rsidRPr="00EE3637" w:rsidRDefault="001832BB" w:rsidP="001832BB">
      <w:pPr>
        <w:pStyle w:val="Textonotapie"/>
      </w:pPr>
      <w:r w:rsidRPr="00EE3637">
        <w:tab/>
      </w:r>
      <w:r w:rsidRPr="001832BB">
        <w:rPr>
          <w:rStyle w:val="Refdenotaalpie"/>
        </w:rPr>
        <w:footnoteRef/>
      </w:r>
      <w:r w:rsidRPr="00EE3637">
        <w:tab/>
        <w:t xml:space="preserve">Estrategia antirracista de empleo: una Escocia más justa para todos </w:t>
      </w:r>
      <w:r w:rsidR="00311CE2">
        <w:t>–</w:t>
      </w:r>
      <w:r w:rsidRPr="00EE3637">
        <w:t xml:space="preserve"> </w:t>
      </w:r>
      <w:proofErr w:type="spellStart"/>
      <w:r w:rsidRPr="00EE3637">
        <w:t>gov.scot</w:t>
      </w:r>
      <w:proofErr w:type="spellEnd"/>
      <w:r w:rsidRPr="00EE3637">
        <w:t xml:space="preserve"> (</w:t>
      </w:r>
      <w:proofErr w:type="spellStart"/>
      <w:r w:rsidRPr="00EE3637">
        <w:t>www.gov.scot</w:t>
      </w:r>
      <w:proofErr w:type="spellEnd"/>
      <w:r w:rsidRPr="00EE3637">
        <w:t>).</w:t>
      </w:r>
    </w:p>
  </w:footnote>
  <w:footnote w:id="16">
    <w:p w14:paraId="65052009" w14:textId="3BD9E24C" w:rsidR="001832BB" w:rsidRPr="00EE3637" w:rsidRDefault="001832BB" w:rsidP="001832BB">
      <w:pPr>
        <w:pStyle w:val="Textonotapie"/>
      </w:pPr>
      <w:r w:rsidRPr="00EE3637">
        <w:tab/>
      </w:r>
      <w:r w:rsidRPr="001832BB">
        <w:rPr>
          <w:rStyle w:val="Refdenotaalpie"/>
        </w:rPr>
        <w:footnoteRef/>
      </w:r>
      <w:r w:rsidRPr="00EE3637">
        <w:tab/>
        <w:t xml:space="preserve">Evaluación de la licencia parental compartida </w:t>
      </w:r>
      <w:r w:rsidR="00154B3F">
        <w:t>–</w:t>
      </w:r>
      <w:r w:rsidRPr="00EE3637">
        <w:t xml:space="preserve"> </w:t>
      </w:r>
      <w:proofErr w:type="spellStart"/>
      <w:r w:rsidRPr="00EE3637">
        <w:t>GOV.UK</w:t>
      </w:r>
      <w:proofErr w:type="spellEnd"/>
      <w:r w:rsidRPr="00EE3637">
        <w:t xml:space="preserve"> (</w:t>
      </w:r>
      <w:proofErr w:type="spellStart"/>
      <w:r w:rsidRPr="00EE3637">
        <w:t>www.gov.uk</w:t>
      </w:r>
      <w:proofErr w:type="spellEnd"/>
      <w:r w:rsidRPr="00EE3637">
        <w:t>).</w:t>
      </w:r>
    </w:p>
  </w:footnote>
  <w:footnote w:id="17">
    <w:p w14:paraId="10AAF32E" w14:textId="563C461F" w:rsidR="001832BB" w:rsidRPr="00EE3637" w:rsidRDefault="001832BB" w:rsidP="001832BB">
      <w:pPr>
        <w:pStyle w:val="Textonotapie"/>
      </w:pPr>
      <w:r w:rsidRPr="00EE3637">
        <w:tab/>
      </w:r>
      <w:r w:rsidRPr="001832BB">
        <w:rPr>
          <w:rStyle w:val="Refdenotaalpie"/>
        </w:rPr>
        <w:footnoteRef/>
      </w:r>
      <w:r w:rsidRPr="00EE3637">
        <w:tab/>
        <w:t xml:space="preserve">Examen de la atención segura a domicilio </w:t>
      </w:r>
      <w:r w:rsidR="007862AB">
        <w:t>–</w:t>
      </w:r>
      <w:r w:rsidRPr="00EE3637">
        <w:t xml:space="preserve"> </w:t>
      </w:r>
      <w:proofErr w:type="spellStart"/>
      <w:r w:rsidRPr="00EE3637">
        <w:t>GOV.UK</w:t>
      </w:r>
      <w:proofErr w:type="spellEnd"/>
      <w:r w:rsidRPr="00EE3637">
        <w:t xml:space="preserve"> (</w:t>
      </w:r>
      <w:proofErr w:type="spellStart"/>
      <w:r w:rsidRPr="00EE3637">
        <w:t>www.gov.uk</w:t>
      </w:r>
      <w:proofErr w:type="spellEnd"/>
      <w:r w:rsidRPr="00EE363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026E9" w14:textId="7B688395" w:rsidR="00F96907" w:rsidRPr="00F96907" w:rsidRDefault="003F22A7">
    <w:pPr>
      <w:pStyle w:val="Encabezado"/>
    </w:pPr>
    <w:r>
      <w:fldChar w:fldCharType="begin"/>
    </w:r>
    <w:r>
      <w:instrText xml:space="preserve"> TITLE  \* MERGEFORMAT </w:instrText>
    </w:r>
    <w:r>
      <w:fldChar w:fldCharType="separate"/>
    </w:r>
    <w:r w:rsidR="00C427BE">
      <w:t>E/C.12/</w:t>
    </w:r>
    <w:proofErr w:type="spellStart"/>
    <w:r w:rsidR="00C427BE">
      <w:t>GBR</w:t>
    </w:r>
    <w:proofErr w:type="spellEnd"/>
    <w:r w:rsidR="00C427BE">
      <w:t>/</w:t>
    </w:r>
    <w:proofErr w:type="spellStart"/>
    <w:r w:rsidR="00C427BE">
      <w:t>RQ</w:t>
    </w:r>
    <w:proofErr w:type="spellEnd"/>
    <w:r w:rsidR="00C427BE">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CC429" w14:textId="7FF65001" w:rsidR="00F96907" w:rsidRPr="00F96907" w:rsidRDefault="003F22A7" w:rsidP="00F96907">
    <w:pPr>
      <w:pStyle w:val="Encabezado"/>
      <w:jc w:val="right"/>
    </w:pPr>
    <w:r>
      <w:fldChar w:fldCharType="begin"/>
    </w:r>
    <w:r>
      <w:instrText xml:space="preserve"> TITLE  \* MERGEFORMAT </w:instrText>
    </w:r>
    <w:r>
      <w:fldChar w:fldCharType="separate"/>
    </w:r>
    <w:r w:rsidR="00C427BE">
      <w:t>E/C.12/</w:t>
    </w:r>
    <w:proofErr w:type="spellStart"/>
    <w:r w:rsidR="00C427BE">
      <w:t>GBR</w:t>
    </w:r>
    <w:proofErr w:type="spellEnd"/>
    <w:r w:rsidR="00C427BE">
      <w:t>/</w:t>
    </w:r>
    <w:proofErr w:type="spellStart"/>
    <w:r w:rsidR="00C427BE">
      <w:t>RQ</w:t>
    </w:r>
    <w:proofErr w:type="spellEnd"/>
    <w:r w:rsidR="00C427BE">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08665873">
    <w:abstractNumId w:val="16"/>
  </w:num>
  <w:num w:numId="2" w16cid:durableId="1977372651">
    <w:abstractNumId w:val="15"/>
  </w:num>
  <w:num w:numId="3" w16cid:durableId="831455980">
    <w:abstractNumId w:val="13"/>
  </w:num>
  <w:num w:numId="4" w16cid:durableId="993068817">
    <w:abstractNumId w:val="14"/>
  </w:num>
  <w:num w:numId="5" w16cid:durableId="1946621096">
    <w:abstractNumId w:val="11"/>
  </w:num>
  <w:num w:numId="6" w16cid:durableId="947616211">
    <w:abstractNumId w:val="10"/>
  </w:num>
  <w:num w:numId="7" w16cid:durableId="197595592">
    <w:abstractNumId w:val="12"/>
  </w:num>
  <w:num w:numId="8" w16cid:durableId="744645029">
    <w:abstractNumId w:val="9"/>
  </w:num>
  <w:num w:numId="9" w16cid:durableId="1706709183">
    <w:abstractNumId w:val="7"/>
  </w:num>
  <w:num w:numId="10" w16cid:durableId="2012831538">
    <w:abstractNumId w:val="6"/>
  </w:num>
  <w:num w:numId="11" w16cid:durableId="505754590">
    <w:abstractNumId w:val="5"/>
  </w:num>
  <w:num w:numId="12" w16cid:durableId="1923221314">
    <w:abstractNumId w:val="4"/>
  </w:num>
  <w:num w:numId="13" w16cid:durableId="1381706425">
    <w:abstractNumId w:val="8"/>
  </w:num>
  <w:num w:numId="14" w16cid:durableId="1444694162">
    <w:abstractNumId w:val="3"/>
  </w:num>
  <w:num w:numId="15" w16cid:durableId="17584478">
    <w:abstractNumId w:val="2"/>
  </w:num>
  <w:num w:numId="16" w16cid:durableId="575939184">
    <w:abstractNumId w:val="1"/>
  </w:num>
  <w:num w:numId="17" w16cid:durableId="2089229651">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690"/>
    <w:rsid w:val="00010F3B"/>
    <w:rsid w:val="00032D03"/>
    <w:rsid w:val="00040BDC"/>
    <w:rsid w:val="00052880"/>
    <w:rsid w:val="00060246"/>
    <w:rsid w:val="0008650D"/>
    <w:rsid w:val="00093664"/>
    <w:rsid w:val="000A4CE3"/>
    <w:rsid w:val="000B57E7"/>
    <w:rsid w:val="000D359E"/>
    <w:rsid w:val="000F09DF"/>
    <w:rsid w:val="000F61B2"/>
    <w:rsid w:val="001075E9"/>
    <w:rsid w:val="00141BF0"/>
    <w:rsid w:val="00143FE5"/>
    <w:rsid w:val="00154B3F"/>
    <w:rsid w:val="00180183"/>
    <w:rsid w:val="001832BB"/>
    <w:rsid w:val="00196389"/>
    <w:rsid w:val="001A51A6"/>
    <w:rsid w:val="001C7A89"/>
    <w:rsid w:val="001F3EC3"/>
    <w:rsid w:val="00205748"/>
    <w:rsid w:val="002967E3"/>
    <w:rsid w:val="00296BD5"/>
    <w:rsid w:val="002A2EFC"/>
    <w:rsid w:val="002D16F0"/>
    <w:rsid w:val="002D5AAC"/>
    <w:rsid w:val="00301299"/>
    <w:rsid w:val="00311CE2"/>
    <w:rsid w:val="00313431"/>
    <w:rsid w:val="00322004"/>
    <w:rsid w:val="003402C2"/>
    <w:rsid w:val="00341A10"/>
    <w:rsid w:val="00342397"/>
    <w:rsid w:val="00344550"/>
    <w:rsid w:val="003538EB"/>
    <w:rsid w:val="003770A4"/>
    <w:rsid w:val="00381C24"/>
    <w:rsid w:val="00385CF1"/>
    <w:rsid w:val="003958D0"/>
    <w:rsid w:val="003C0339"/>
    <w:rsid w:val="003D064D"/>
    <w:rsid w:val="003F22A7"/>
    <w:rsid w:val="0041031F"/>
    <w:rsid w:val="00454E07"/>
    <w:rsid w:val="004707F7"/>
    <w:rsid w:val="004B19F2"/>
    <w:rsid w:val="004C2891"/>
    <w:rsid w:val="0050108D"/>
    <w:rsid w:val="005016AF"/>
    <w:rsid w:val="005076AF"/>
    <w:rsid w:val="0052159C"/>
    <w:rsid w:val="00544690"/>
    <w:rsid w:val="005514E2"/>
    <w:rsid w:val="00572E19"/>
    <w:rsid w:val="00581F67"/>
    <w:rsid w:val="005F0B42"/>
    <w:rsid w:val="00632A31"/>
    <w:rsid w:val="0064421C"/>
    <w:rsid w:val="00696E37"/>
    <w:rsid w:val="006E27AD"/>
    <w:rsid w:val="006F35EE"/>
    <w:rsid w:val="00710CF8"/>
    <w:rsid w:val="00716C6F"/>
    <w:rsid w:val="007464CC"/>
    <w:rsid w:val="00772DDB"/>
    <w:rsid w:val="007862AB"/>
    <w:rsid w:val="007D6339"/>
    <w:rsid w:val="00802199"/>
    <w:rsid w:val="00805947"/>
    <w:rsid w:val="00830923"/>
    <w:rsid w:val="00834B71"/>
    <w:rsid w:val="0086445C"/>
    <w:rsid w:val="008A08D7"/>
    <w:rsid w:val="00906890"/>
    <w:rsid w:val="009179A3"/>
    <w:rsid w:val="00951972"/>
    <w:rsid w:val="009669FE"/>
    <w:rsid w:val="00987051"/>
    <w:rsid w:val="009E78C4"/>
    <w:rsid w:val="00A00CB2"/>
    <w:rsid w:val="00A26268"/>
    <w:rsid w:val="00A301EE"/>
    <w:rsid w:val="00A500CE"/>
    <w:rsid w:val="00A645FF"/>
    <w:rsid w:val="00A72EF9"/>
    <w:rsid w:val="00A917B3"/>
    <w:rsid w:val="00AB4B51"/>
    <w:rsid w:val="00AB4EB2"/>
    <w:rsid w:val="00AC58DC"/>
    <w:rsid w:val="00AD5D01"/>
    <w:rsid w:val="00AF0918"/>
    <w:rsid w:val="00B05775"/>
    <w:rsid w:val="00B10CC7"/>
    <w:rsid w:val="00B13C9F"/>
    <w:rsid w:val="00B2156B"/>
    <w:rsid w:val="00B62458"/>
    <w:rsid w:val="00B6350A"/>
    <w:rsid w:val="00B771DD"/>
    <w:rsid w:val="00B80251"/>
    <w:rsid w:val="00B82270"/>
    <w:rsid w:val="00BC0A71"/>
    <w:rsid w:val="00BC161C"/>
    <w:rsid w:val="00BD33EE"/>
    <w:rsid w:val="00BD59DF"/>
    <w:rsid w:val="00C377E3"/>
    <w:rsid w:val="00C427BE"/>
    <w:rsid w:val="00C60F0C"/>
    <w:rsid w:val="00C805C9"/>
    <w:rsid w:val="00CA1679"/>
    <w:rsid w:val="00CE34F5"/>
    <w:rsid w:val="00CF748A"/>
    <w:rsid w:val="00D738F9"/>
    <w:rsid w:val="00D759B3"/>
    <w:rsid w:val="00D857DD"/>
    <w:rsid w:val="00D90138"/>
    <w:rsid w:val="00D97076"/>
    <w:rsid w:val="00DB0FF8"/>
    <w:rsid w:val="00DC6544"/>
    <w:rsid w:val="00E3587C"/>
    <w:rsid w:val="00E5596F"/>
    <w:rsid w:val="00E73F76"/>
    <w:rsid w:val="00EF1360"/>
    <w:rsid w:val="00EF3220"/>
    <w:rsid w:val="00F33585"/>
    <w:rsid w:val="00F96907"/>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36A602"/>
  <w15:docId w15:val="{BB7D7E8F-A448-4C81-AB7D-719133D93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544690"/>
    <w:rPr>
      <w:lang w:val="es-ES" w:eastAsia="es-ES"/>
    </w:rPr>
  </w:style>
  <w:style w:type="character" w:customStyle="1" w:styleId="Ttulo2Car">
    <w:name w:val="Título 2 Car"/>
    <w:basedOn w:val="Fuentedeprrafopredeter"/>
    <w:link w:val="Ttulo2"/>
    <w:semiHidden/>
    <w:rsid w:val="001832BB"/>
    <w:rPr>
      <w:rFonts w:cs="Arial"/>
      <w:bCs/>
      <w:iCs/>
      <w:szCs w:val="28"/>
      <w:lang w:val="es-ES" w:eastAsia="es-ES"/>
    </w:rPr>
  </w:style>
  <w:style w:type="character" w:customStyle="1" w:styleId="Ttulo3Car">
    <w:name w:val="Título 3 Car"/>
    <w:basedOn w:val="Fuentedeprrafopredeter"/>
    <w:link w:val="Ttulo3"/>
    <w:semiHidden/>
    <w:rsid w:val="001832BB"/>
    <w:rPr>
      <w:rFonts w:ascii="Arial" w:hAnsi="Arial" w:cs="Arial"/>
      <w:b/>
      <w:bCs/>
      <w:sz w:val="26"/>
      <w:szCs w:val="26"/>
      <w:lang w:val="es-ES" w:eastAsia="es-ES"/>
    </w:rPr>
  </w:style>
  <w:style w:type="character" w:customStyle="1" w:styleId="Ttulo4Car">
    <w:name w:val="Título 4 Car"/>
    <w:basedOn w:val="Fuentedeprrafopredeter"/>
    <w:link w:val="Ttulo4"/>
    <w:semiHidden/>
    <w:rsid w:val="001832BB"/>
    <w:rPr>
      <w:b/>
      <w:bCs/>
      <w:sz w:val="28"/>
      <w:szCs w:val="28"/>
      <w:lang w:val="es-ES" w:eastAsia="es-ES"/>
    </w:rPr>
  </w:style>
  <w:style w:type="character" w:customStyle="1" w:styleId="Ttulo5Car">
    <w:name w:val="Título 5 Car"/>
    <w:basedOn w:val="Fuentedeprrafopredeter"/>
    <w:link w:val="Ttulo5"/>
    <w:semiHidden/>
    <w:rsid w:val="001832BB"/>
    <w:rPr>
      <w:b/>
      <w:bCs/>
      <w:i/>
      <w:iCs/>
      <w:sz w:val="26"/>
      <w:szCs w:val="26"/>
      <w:lang w:val="es-ES" w:eastAsia="es-ES"/>
    </w:rPr>
  </w:style>
  <w:style w:type="character" w:customStyle="1" w:styleId="Ttulo6Car">
    <w:name w:val="Título 6 Car"/>
    <w:basedOn w:val="Fuentedeprrafopredeter"/>
    <w:link w:val="Ttulo6"/>
    <w:semiHidden/>
    <w:rsid w:val="001832BB"/>
    <w:rPr>
      <w:b/>
      <w:bCs/>
      <w:sz w:val="22"/>
      <w:szCs w:val="22"/>
      <w:lang w:val="es-ES" w:eastAsia="es-ES"/>
    </w:rPr>
  </w:style>
  <w:style w:type="character" w:customStyle="1" w:styleId="Ttulo7Car">
    <w:name w:val="Título 7 Car"/>
    <w:basedOn w:val="Fuentedeprrafopredeter"/>
    <w:link w:val="Ttulo7"/>
    <w:semiHidden/>
    <w:rsid w:val="001832BB"/>
    <w:rPr>
      <w:sz w:val="24"/>
      <w:szCs w:val="24"/>
      <w:lang w:val="es-ES" w:eastAsia="es-ES"/>
    </w:rPr>
  </w:style>
  <w:style w:type="character" w:customStyle="1" w:styleId="Ttulo8Car">
    <w:name w:val="Título 8 Car"/>
    <w:basedOn w:val="Fuentedeprrafopredeter"/>
    <w:link w:val="Ttulo8"/>
    <w:semiHidden/>
    <w:rsid w:val="001832BB"/>
    <w:rPr>
      <w:i/>
      <w:iCs/>
      <w:sz w:val="24"/>
      <w:szCs w:val="24"/>
      <w:lang w:val="es-ES" w:eastAsia="es-ES"/>
    </w:rPr>
  </w:style>
  <w:style w:type="character" w:customStyle="1" w:styleId="Ttulo9Car">
    <w:name w:val="Título 9 Car"/>
    <w:basedOn w:val="Fuentedeprrafopredeter"/>
    <w:link w:val="Ttulo9"/>
    <w:semiHidden/>
    <w:rsid w:val="001832BB"/>
    <w:rPr>
      <w:rFonts w:ascii="Arial" w:hAnsi="Arial" w:cs="Arial"/>
      <w:sz w:val="22"/>
      <w:szCs w:val="22"/>
      <w:lang w:val="es-ES" w:eastAsia="es-ES"/>
    </w:rPr>
  </w:style>
  <w:style w:type="character" w:styleId="Ttulodellibro">
    <w:name w:val="Book Title"/>
    <w:basedOn w:val="Fuentedeprrafopredeter"/>
    <w:uiPriority w:val="33"/>
    <w:rsid w:val="001832BB"/>
    <w:rPr>
      <w:b/>
      <w:bCs/>
      <w:smallCaps/>
      <w:spacing w:val="5"/>
    </w:rPr>
  </w:style>
  <w:style w:type="character" w:styleId="Mencinsinresolver">
    <w:name w:val="Unresolved Mention"/>
    <w:basedOn w:val="Fuentedeprrafopredeter"/>
    <w:uiPriority w:val="99"/>
    <w:semiHidden/>
    <w:unhideWhenUsed/>
    <w:rsid w:val="001832BB"/>
    <w:rPr>
      <w:color w:val="605E5C"/>
      <w:shd w:val="clear" w:color="auto" w:fill="E1DFDD"/>
    </w:rPr>
  </w:style>
  <w:style w:type="character" w:styleId="Refdecomentario">
    <w:name w:val="annotation reference"/>
    <w:basedOn w:val="Fuentedeprrafopredeter"/>
    <w:uiPriority w:val="99"/>
    <w:semiHidden/>
    <w:unhideWhenUsed/>
    <w:rsid w:val="001832BB"/>
    <w:rPr>
      <w:sz w:val="16"/>
      <w:szCs w:val="16"/>
    </w:rPr>
  </w:style>
  <w:style w:type="paragraph" w:styleId="Textocomentario">
    <w:name w:val="annotation text"/>
    <w:basedOn w:val="Normal"/>
    <w:link w:val="TextocomentarioCar"/>
    <w:uiPriority w:val="99"/>
    <w:semiHidden/>
    <w:unhideWhenUsed/>
    <w:rsid w:val="001832BB"/>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1832BB"/>
    <w:rPr>
      <w:lang w:val="en-GB" w:eastAsia="en-US"/>
    </w:rPr>
  </w:style>
  <w:style w:type="paragraph" w:styleId="Asuntodelcomentario">
    <w:name w:val="annotation subject"/>
    <w:basedOn w:val="Textocomentario"/>
    <w:next w:val="Textocomentario"/>
    <w:link w:val="AsuntodelcomentarioCar"/>
    <w:uiPriority w:val="99"/>
    <w:semiHidden/>
    <w:unhideWhenUsed/>
    <w:rsid w:val="001832BB"/>
    <w:rPr>
      <w:b/>
      <w:bCs/>
    </w:rPr>
  </w:style>
  <w:style w:type="character" w:customStyle="1" w:styleId="AsuntodelcomentarioCar">
    <w:name w:val="Asunto del comentario Car"/>
    <w:basedOn w:val="TextocomentarioCar"/>
    <w:link w:val="Asuntodelcomentario"/>
    <w:uiPriority w:val="99"/>
    <w:semiHidden/>
    <w:rsid w:val="001832BB"/>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ons.gov.uk/employmentandlabourmarket/peopleinwork/employmentandemployeetypes" TargetMode="External"/><Relationship Id="rId13" Type="http://schemas.openxmlformats.org/officeDocument/2006/relationships/hyperlink" Target="https://www.parliament.uk/business/publications/written-questions-answers-statements/written-statement/Commons/2019-02-06/HCWS1305/"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s://assets.publishing.service.gov.uk/media/6492ed965f7bb700127fae11/LT600_accessible.ods"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statistics/english-housing-survey-2019-to-2020-social-rented-sector" TargetMode="External"/><Relationship Id="rId5" Type="http://schemas.openxmlformats.org/officeDocument/2006/relationships/footnotes" Target="footnotes.xml"/><Relationship Id="rId15" Type="http://schemas.openxmlformats.org/officeDocument/2006/relationships/hyperlink" Target="https://www.health-ni.gov.uk/consultations/strategic-framework-prevent-harm-caused-by-obesity-and-improve-diets-and-levels-physical-activity" TargetMode="External"/><Relationship Id="rId10" Type="http://schemas.openxmlformats.org/officeDocument/2006/relationships/hyperlink" Target="https://assets.publishing.service.gov.uk/government/uploads/system/uploads/attachment_data/file/1169873/FA1422_overcrowding_and_under-occupation_by_tenure.ods"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ons.gov.uk/employmentandlabourmarket/peopleinwork/earningsandworkinghours/bulletins/genderpaygapintheuk/2023" TargetMode="External"/><Relationship Id="rId14" Type="http://schemas.openxmlformats.org/officeDocument/2006/relationships/hyperlink" Target="https://www.gov.uk/government/publications/police-crime-sentencing-and-courts-bill-2021-equality-statements/home-office-measures-in-the-police-crime-sentencing-and-courts-bill-equalities-impact-assessment"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nato.int/nato_static_fl2014/assets/pdf/2024/3/pdf/sgar23-en.pdf%23page=4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16</TotalTime>
  <Pages>47</Pages>
  <Words>26053</Words>
  <Characters>135560</Characters>
  <Application>Microsoft Office Word</Application>
  <DocSecurity>0</DocSecurity>
  <Lines>2195</Lines>
  <Paragraphs>645</Paragraphs>
  <ScaleCrop>false</ScaleCrop>
  <HeadingPairs>
    <vt:vector size="2" baseType="variant">
      <vt:variant>
        <vt:lpstr>Título</vt:lpstr>
      </vt:variant>
      <vt:variant>
        <vt:i4>1</vt:i4>
      </vt:variant>
    </vt:vector>
  </HeadingPairs>
  <TitlesOfParts>
    <vt:vector size="1" baseType="lpstr">
      <vt:lpstr>E/C.12/GBR/RQ/7</vt:lpstr>
    </vt:vector>
  </TitlesOfParts>
  <Company/>
  <LinksUpToDate>false</LinksUpToDate>
  <CharactersWithSpaces>161488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E/C.12/GBR/RQ/7</dc:title>
  <dc:subject/>
  <dc:creator>Javier RODRIGUEZ PEREZ</dc:creator>
  <cp:keywords/>
  <cp:lastModifiedBy>Javier Rodriguez Perez</cp:lastModifiedBy>
  <cp:revision>3</cp:revision>
  <cp:lastPrinted>2025-01-06T11:17:00Z</cp:lastPrinted>
  <dcterms:created xsi:type="dcterms:W3CDTF">2025-01-06T11:17:00Z</dcterms:created>
  <dcterms:modified xsi:type="dcterms:W3CDTF">2025-01-06T11:18:00Z</dcterms:modified>
</cp:coreProperties>
</file>