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5A2B743D" w:rsidR="00446DE4" w:rsidRPr="00DE3EC0" w:rsidRDefault="004A3CF0" w:rsidP="009C5EFD">
            <w:pPr>
              <w:jc w:val="right"/>
            </w:pPr>
            <w:r w:rsidRPr="004A3CF0">
              <w:rPr>
                <w:sz w:val="40"/>
              </w:rPr>
              <w:t>A</w:t>
            </w:r>
            <w:r>
              <w:t>/HRC/</w:t>
            </w:r>
            <w:r w:rsidR="00FF3EEE">
              <w:t>RES/</w:t>
            </w:r>
            <w:r w:rsidR="00530EB1">
              <w:t>60</w:t>
            </w:r>
            <w:r>
              <w:t>/</w:t>
            </w:r>
            <w:r w:rsidR="00FF3EEE">
              <w:t>11</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50172525" w:rsidR="003107FA" w:rsidRDefault="004A3CF0" w:rsidP="004A3CF0">
            <w:pPr>
              <w:spacing w:before="240" w:line="240" w:lineRule="exact"/>
            </w:pPr>
            <w:r>
              <w:t xml:space="preserve">Distr.: </w:t>
            </w:r>
            <w:r w:rsidR="00FF3EEE">
              <w:t>General</w:t>
            </w:r>
          </w:p>
          <w:p w14:paraId="11704512" w14:textId="7C856912" w:rsidR="004A3CF0" w:rsidRDefault="00EB1ECC" w:rsidP="004A3CF0">
            <w:pPr>
              <w:spacing w:line="240" w:lineRule="exact"/>
            </w:pPr>
            <w:r>
              <w:t>7</w:t>
            </w:r>
            <w:r w:rsidR="00FF3EEE">
              <w:t xml:space="preserve"> October</w:t>
            </w:r>
            <w:r w:rsidR="008B2649" w:rsidRPr="00DA5F8F">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50235AB0" w:rsidR="00E81E48" w:rsidRDefault="00530EB1" w:rsidP="00E81E48">
      <w:pPr>
        <w:rPr>
          <w:b/>
          <w:bCs/>
          <w:color w:val="000000"/>
        </w:rPr>
      </w:pPr>
      <w:r>
        <w:rPr>
          <w:b/>
          <w:bCs/>
          <w:color w:val="000000"/>
        </w:rPr>
        <w:t>Sixtieth</w:t>
      </w:r>
      <w:r w:rsidR="00E81E48">
        <w:rPr>
          <w:b/>
          <w:bCs/>
          <w:color w:val="000000"/>
        </w:rPr>
        <w:t xml:space="preserve"> session</w:t>
      </w:r>
    </w:p>
    <w:p w14:paraId="5AD5789F" w14:textId="47F47A0B" w:rsidR="00E81E48" w:rsidRDefault="00530EB1" w:rsidP="00E81E48">
      <w:pPr>
        <w:rPr>
          <w:color w:val="000000"/>
        </w:rPr>
      </w:pPr>
      <w:r w:rsidRPr="003621D7">
        <w:rPr>
          <w:color w:val="000000"/>
        </w:rPr>
        <w:t>8</w:t>
      </w:r>
      <w:r w:rsidR="008B2649" w:rsidRPr="003621D7">
        <w:rPr>
          <w:color w:val="000000"/>
        </w:rPr>
        <w:t xml:space="preserve"> </w:t>
      </w:r>
      <w:r w:rsidRPr="003621D7">
        <w:rPr>
          <w:color w:val="000000"/>
        </w:rPr>
        <w:t>September</w:t>
      </w:r>
      <w:r w:rsidR="00E81E48" w:rsidRPr="003621D7">
        <w:rPr>
          <w:color w:val="000000"/>
        </w:rPr>
        <w:t>–</w:t>
      </w:r>
      <w:r w:rsidRPr="003621D7">
        <w:rPr>
          <w:color w:val="000000"/>
        </w:rPr>
        <w:t>8</w:t>
      </w:r>
      <w:r w:rsidR="008B2649" w:rsidRPr="003621D7">
        <w:rPr>
          <w:color w:val="000000"/>
        </w:rPr>
        <w:t xml:space="preserve"> </w:t>
      </w:r>
      <w:r w:rsidRPr="003621D7">
        <w:rPr>
          <w:color w:val="000000"/>
        </w:rPr>
        <w:t>October</w:t>
      </w:r>
      <w:r w:rsidR="00B1004F" w:rsidRPr="003621D7">
        <w:rPr>
          <w:color w:val="000000"/>
        </w:rPr>
        <w:t xml:space="preserve"> 2025</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3B0D599F" w:rsidR="004A3CF0" w:rsidRPr="00615FBF" w:rsidRDefault="004A3CF0" w:rsidP="003B3C28">
      <w:pPr>
        <w:pStyle w:val="HChG"/>
      </w:pPr>
      <w:r w:rsidRPr="004A3CF0">
        <w:tab/>
      </w:r>
      <w:r w:rsidRPr="004A3CF0">
        <w:tab/>
      </w:r>
      <w:r w:rsidR="00FF3EEE">
        <w:t>R</w:t>
      </w:r>
      <w:r w:rsidRPr="00615FBF">
        <w:t>esolution</w:t>
      </w:r>
      <w:r w:rsidR="00FF3EEE">
        <w:t xml:space="preserve"> adopted by the Human Rights Council </w:t>
      </w:r>
      <w:r w:rsidR="00FF3EEE">
        <w:br/>
        <w:t>on 6 October 2025</w:t>
      </w:r>
    </w:p>
    <w:p w14:paraId="2BE544D8" w14:textId="0A33F33E" w:rsidR="004A3CF0" w:rsidRPr="00615FBF" w:rsidRDefault="00530EB1" w:rsidP="003B3C28">
      <w:pPr>
        <w:keepNext/>
        <w:keepLines/>
        <w:spacing w:before="360" w:after="240" w:line="270" w:lineRule="exact"/>
        <w:ind w:left="1134" w:right="1134" w:hanging="850"/>
        <w:rPr>
          <w:b/>
          <w:sz w:val="24"/>
        </w:rPr>
      </w:pPr>
      <w:r w:rsidRPr="00615FBF">
        <w:rPr>
          <w:b/>
          <w:sz w:val="24"/>
        </w:rPr>
        <w:t>60</w:t>
      </w:r>
      <w:r w:rsidR="004A3CF0" w:rsidRPr="00615FBF">
        <w:rPr>
          <w:b/>
          <w:sz w:val="24"/>
        </w:rPr>
        <w:t>/</w:t>
      </w:r>
      <w:r w:rsidR="00FF3EEE">
        <w:rPr>
          <w:b/>
          <w:sz w:val="24"/>
        </w:rPr>
        <w:t>11.</w:t>
      </w:r>
      <w:r w:rsidR="004A3CF0" w:rsidRPr="00615FBF">
        <w:rPr>
          <w:b/>
          <w:sz w:val="24"/>
        </w:rPr>
        <w:tab/>
      </w:r>
      <w:r w:rsidR="0054321A" w:rsidRPr="00615FBF">
        <w:rPr>
          <w:b/>
          <w:sz w:val="24"/>
        </w:rPr>
        <w:t>The human rights of older persons</w:t>
      </w:r>
    </w:p>
    <w:p w14:paraId="158EDD2D" w14:textId="2CC620E9" w:rsidR="004A3CF0" w:rsidRPr="00615FBF" w:rsidRDefault="004A3CF0" w:rsidP="004A3CF0">
      <w:pPr>
        <w:spacing w:after="120"/>
        <w:ind w:left="1134" w:right="1134"/>
        <w:jc w:val="both"/>
      </w:pPr>
      <w:r w:rsidRPr="00615FBF">
        <w:tab/>
      </w:r>
      <w:r w:rsidR="004351C8" w:rsidRPr="00615FBF">
        <w:tab/>
      </w:r>
      <w:r w:rsidRPr="00615FBF">
        <w:rPr>
          <w:i/>
        </w:rPr>
        <w:t>The Human Rights Council</w:t>
      </w:r>
      <w:r w:rsidRPr="00615FBF">
        <w:t>,</w:t>
      </w:r>
    </w:p>
    <w:p w14:paraId="6AA61503" w14:textId="77777777" w:rsidR="006969BA" w:rsidRPr="00615FBF" w:rsidRDefault="006969BA" w:rsidP="006969BA">
      <w:pPr>
        <w:pStyle w:val="SingleTxtG"/>
        <w:ind w:firstLine="567"/>
      </w:pPr>
      <w:r w:rsidRPr="00615FBF">
        <w:rPr>
          <w:i/>
        </w:rPr>
        <w:t>Guided</w:t>
      </w:r>
      <w:r w:rsidRPr="00615FBF">
        <w:t xml:space="preserve"> by the purposes and principles of the Charter of the United Nations,</w:t>
      </w:r>
    </w:p>
    <w:p w14:paraId="00810576" w14:textId="77777777" w:rsidR="006969BA" w:rsidRPr="00615FBF" w:rsidRDefault="006969BA" w:rsidP="006969BA">
      <w:pPr>
        <w:pStyle w:val="SingleTxtG"/>
      </w:pPr>
      <w:r w:rsidRPr="00615FBF">
        <w:rPr>
          <w:i/>
        </w:rPr>
        <w:tab/>
      </w:r>
      <w:r w:rsidRPr="00615FBF">
        <w:rPr>
          <w:i/>
        </w:rPr>
        <w:tab/>
        <w:t>Guided also</w:t>
      </w:r>
      <w:r w:rsidRPr="00615FBF">
        <w:t xml:space="preserve"> by the Universal Declaration of Human Rights, the International Covenant on Economic, Social and Cultural Rights, the International Covenant on Civil and Political Rights, the Convention on the Elimination of All Forms of Discrimination against Women, the Convention on the Rights of Persons with Disabilities and other relevant human rights instruments,</w:t>
      </w:r>
    </w:p>
    <w:p w14:paraId="70BB2C86" w14:textId="77777777" w:rsidR="006969BA" w:rsidRPr="00615FBF" w:rsidRDefault="006969BA" w:rsidP="006969BA">
      <w:pPr>
        <w:pStyle w:val="SingleTxtG"/>
      </w:pPr>
      <w:r w:rsidRPr="00615FBF">
        <w:rPr>
          <w:i/>
        </w:rPr>
        <w:tab/>
      </w:r>
      <w:r w:rsidRPr="00615FBF">
        <w:rPr>
          <w:i/>
        </w:rPr>
        <w:tab/>
        <w:t>Reaffirming</w:t>
      </w:r>
      <w:r w:rsidRPr="00615FBF">
        <w:t xml:space="preserve"> the Vienna Declaration and Programme of Action,</w:t>
      </w:r>
    </w:p>
    <w:p w14:paraId="57A7F469" w14:textId="774E3E5A" w:rsidR="006969BA" w:rsidRPr="00615FBF" w:rsidRDefault="006969BA" w:rsidP="006969BA">
      <w:pPr>
        <w:pStyle w:val="SingleTxtG"/>
      </w:pPr>
      <w:r w:rsidRPr="00615FBF">
        <w:rPr>
          <w:i/>
        </w:rPr>
        <w:tab/>
      </w:r>
      <w:r w:rsidRPr="00615FBF">
        <w:rPr>
          <w:i/>
        </w:rPr>
        <w:tab/>
        <w:t>Bearing in mind</w:t>
      </w:r>
      <w:r w:rsidRPr="00615FBF">
        <w:t xml:space="preserve"> the </w:t>
      </w:r>
      <w:bookmarkStart w:id="0" w:name="OLE_LINK4"/>
      <w:r w:rsidRPr="00615FBF">
        <w:t>Political Declaration</w:t>
      </w:r>
      <w:r w:rsidRPr="00615FBF">
        <w:rPr>
          <w:rStyle w:val="FootnoteReference"/>
        </w:rPr>
        <w:footnoteReference w:id="2"/>
      </w:r>
      <w:r w:rsidRPr="00615FBF">
        <w:t xml:space="preserve"> and Madrid International Plan of Action on Ageing, 2002</w:t>
      </w:r>
      <w:bookmarkEnd w:id="0"/>
      <w:r w:rsidRPr="00615FBF">
        <w:t>,</w:t>
      </w:r>
      <w:r w:rsidR="00284242" w:rsidRPr="00615FBF">
        <w:rPr>
          <w:rStyle w:val="FootnoteReference"/>
        </w:rPr>
        <w:footnoteReference w:id="3"/>
      </w:r>
      <w:r w:rsidRPr="00615FBF">
        <w:t xml:space="preserve"> and all relevant General Assembly resolutions,</w:t>
      </w:r>
    </w:p>
    <w:p w14:paraId="61583C88" w14:textId="0FBAFF4E" w:rsidR="006969BA" w:rsidRPr="00615FBF" w:rsidRDefault="006969BA" w:rsidP="006969BA">
      <w:pPr>
        <w:pStyle w:val="SingleTxtG"/>
      </w:pPr>
      <w:r w:rsidRPr="00615FBF">
        <w:rPr>
          <w:i/>
        </w:rPr>
        <w:tab/>
      </w:r>
      <w:r w:rsidRPr="00615FBF">
        <w:rPr>
          <w:i/>
        </w:rPr>
        <w:tab/>
        <w:t>Recalling</w:t>
      </w:r>
      <w:r w:rsidRPr="00615FBF">
        <w:t xml:space="preserve"> General Assembly resolution 70/164 of 17 December 2015 on measures to enhance the promotion and protection of the human rights and dignity of older persons, and resolution 75/131 of 14 December 2020 on the United Nations Decade of Healthy Ageing (2021–2030), and Human Rights Council resolutions 21/23 of 28 September 2012, 24/20 of 27 September 2013, 33/5 of 29 September 2016, 42/12 of 26 September 2019, 48/3 of 7 October 2021 and 51/4 of </w:t>
      </w:r>
      <w:r w:rsidR="00965AE4" w:rsidRPr="00615FBF">
        <w:t>6</w:t>
      </w:r>
      <w:r w:rsidRPr="00615FBF">
        <w:t xml:space="preserve"> October 2022 on the human rights of older persons,</w:t>
      </w:r>
    </w:p>
    <w:p w14:paraId="111705D3" w14:textId="06075A22" w:rsidR="006969BA" w:rsidRPr="00615FBF" w:rsidRDefault="006969BA" w:rsidP="006969BA">
      <w:pPr>
        <w:pStyle w:val="SingleTxtG"/>
      </w:pPr>
      <w:r w:rsidRPr="00615FBF">
        <w:tab/>
      </w:r>
      <w:r w:rsidRPr="00615FBF">
        <w:tab/>
      </w:r>
      <w:r w:rsidRPr="00615FBF">
        <w:rPr>
          <w:i/>
          <w:iCs/>
        </w:rPr>
        <w:t>Recalling</w:t>
      </w:r>
      <w:r w:rsidRPr="00615FBF">
        <w:t xml:space="preserve"> </w:t>
      </w:r>
      <w:r w:rsidRPr="00615FBF">
        <w:rPr>
          <w:i/>
        </w:rPr>
        <w:t>also</w:t>
      </w:r>
      <w:r w:rsidRPr="00615FBF">
        <w:t xml:space="preserve"> </w:t>
      </w:r>
      <w:r w:rsidR="00965AE4" w:rsidRPr="00615FBF">
        <w:t xml:space="preserve">General Assembly </w:t>
      </w:r>
      <w:r w:rsidRPr="00615FBF">
        <w:t xml:space="preserve">resolution 70/1 of </w:t>
      </w:r>
      <w:r w:rsidR="00965AE4" w:rsidRPr="00615FBF">
        <w:t>25 September</w:t>
      </w:r>
      <w:r w:rsidRPr="00615FBF">
        <w:t xml:space="preserve"> 2015</w:t>
      </w:r>
      <w:r w:rsidR="00965AE4" w:rsidRPr="00615FBF">
        <w:t>,</w:t>
      </w:r>
      <w:r w:rsidRPr="00615FBF">
        <w:t xml:space="preserve"> </w:t>
      </w:r>
      <w:r w:rsidR="00965AE4" w:rsidRPr="00615FBF">
        <w:t>en</w:t>
      </w:r>
      <w:r w:rsidRPr="00615FBF">
        <w:t xml:space="preserve">titled “Transforming our </w:t>
      </w:r>
      <w:r w:rsidR="000F5BEE">
        <w:t>w</w:t>
      </w:r>
      <w:r w:rsidRPr="00615FBF">
        <w:t>orld: the 2030 Agenda for Sustainable Development”</w:t>
      </w:r>
      <w:r w:rsidR="00965AE4" w:rsidRPr="00615FBF">
        <w:t>,</w:t>
      </w:r>
      <w:r w:rsidRPr="00615FBF">
        <w:t xml:space="preserve"> stressing the need to ensure that no one is left behind, and in this regard recognizing the essential contribution that older persons make to societies,</w:t>
      </w:r>
    </w:p>
    <w:p w14:paraId="3B473004" w14:textId="63197E33" w:rsidR="006969BA" w:rsidRPr="00615FBF" w:rsidRDefault="006969BA" w:rsidP="006969BA">
      <w:pPr>
        <w:pStyle w:val="SingleTxtG"/>
      </w:pPr>
      <w:r w:rsidRPr="00615FBF">
        <w:rPr>
          <w:i/>
        </w:rPr>
        <w:tab/>
      </w:r>
      <w:r w:rsidRPr="00615FBF">
        <w:rPr>
          <w:i/>
        </w:rPr>
        <w:tab/>
        <w:t xml:space="preserve">Recalling further </w:t>
      </w:r>
      <w:r w:rsidRPr="00615FBF">
        <w:t xml:space="preserve">its resolutions 5/1, on institution-building of the Human Rights Council, and 5/2, on the </w:t>
      </w:r>
      <w:r w:rsidRPr="00A40298">
        <w:t xml:space="preserve">Code of Conduct for Special Procedure Mandate Holders of the </w:t>
      </w:r>
      <w:r w:rsidR="00581A03" w:rsidRPr="00615FBF">
        <w:t xml:space="preserve">Human Rights </w:t>
      </w:r>
      <w:r w:rsidRPr="00A40298">
        <w:t>Council</w:t>
      </w:r>
      <w:r w:rsidRPr="00615FBF">
        <w:t>, of 18 June 2007, and stressing that the mandate holder shall discharge his or her duties in accordance with those resolutions and the annexes thereto,</w:t>
      </w:r>
    </w:p>
    <w:p w14:paraId="3509E46B" w14:textId="47AFDDF5" w:rsidR="006969BA" w:rsidRPr="00615FBF" w:rsidRDefault="006969BA" w:rsidP="006969BA">
      <w:pPr>
        <w:pStyle w:val="SingleTxtG"/>
      </w:pPr>
      <w:r w:rsidRPr="00615FBF">
        <w:rPr>
          <w:i/>
        </w:rPr>
        <w:lastRenderedPageBreak/>
        <w:tab/>
      </w:r>
      <w:r w:rsidRPr="00615FBF">
        <w:rPr>
          <w:i/>
        </w:rPr>
        <w:tab/>
        <w:t>Recognizing</w:t>
      </w:r>
      <w:r w:rsidRPr="00615FBF">
        <w:t xml:space="preserve"> the importance of the mandate of the Independent Expert on the enjoyment of all human rights by older persons in raising awareness of the rights of older persons, and taking note with appreciation of the reports of the Independent Expert</w:t>
      </w:r>
      <w:r w:rsidR="006F5237" w:rsidRPr="00615FBF">
        <w:rPr>
          <w:rStyle w:val="FootnoteReference"/>
        </w:rPr>
        <w:footnoteReference w:id="4"/>
      </w:r>
      <w:r w:rsidRPr="00615FBF">
        <w:t xml:space="preserve"> and of the Open-ended Working Group on Ageing,</w:t>
      </w:r>
      <w:r w:rsidR="00C51D91" w:rsidRPr="00615FBF">
        <w:rPr>
          <w:rStyle w:val="FootnoteReference"/>
        </w:rPr>
        <w:footnoteReference w:id="5"/>
      </w:r>
      <w:r w:rsidRPr="00615FBF">
        <w:t xml:space="preserve"> which</w:t>
      </w:r>
      <w:r w:rsidR="003F706B" w:rsidRPr="00615FBF">
        <w:t>,</w:t>
      </w:r>
      <w:r w:rsidRPr="00615FBF">
        <w:t xml:space="preserve"> in view of the adoption by the Working Group of its decision 14/1</w:t>
      </w:r>
      <w:r w:rsidR="003F706B" w:rsidRPr="00615FBF">
        <w:t>,</w:t>
      </w:r>
      <w:r w:rsidRPr="00615FBF">
        <w:t xml:space="preserve"> </w:t>
      </w:r>
      <w:r w:rsidR="007341F6" w:rsidRPr="00615FBF">
        <w:t xml:space="preserve">completed </w:t>
      </w:r>
      <w:r w:rsidRPr="00615FBF">
        <w:t>its work in 2024</w:t>
      </w:r>
      <w:r w:rsidR="00F435A9" w:rsidRPr="00615FBF">
        <w:t>,</w:t>
      </w:r>
      <w:r w:rsidRPr="00615FBF">
        <w:t xml:space="preserve"> </w:t>
      </w:r>
      <w:r w:rsidR="007341F6" w:rsidRPr="00615FBF">
        <w:t>in accordance with</w:t>
      </w:r>
      <w:r w:rsidRPr="00615FBF">
        <w:t xml:space="preserve"> General Assembly </w:t>
      </w:r>
      <w:r w:rsidR="007C6B85" w:rsidRPr="00615FBF">
        <w:t>r</w:t>
      </w:r>
      <w:r w:rsidRPr="00615FBF">
        <w:t>esolution 78/324 of 1</w:t>
      </w:r>
      <w:r w:rsidR="00B77E7C" w:rsidRPr="00615FBF">
        <w:t>3</w:t>
      </w:r>
      <w:r w:rsidRPr="00615FBF">
        <w:t xml:space="preserve"> August 2024,</w:t>
      </w:r>
    </w:p>
    <w:p w14:paraId="578CA3FA" w14:textId="29C3FCC7" w:rsidR="006969BA" w:rsidRPr="00615FBF" w:rsidRDefault="006969BA" w:rsidP="006969BA">
      <w:pPr>
        <w:pStyle w:val="SingleTxtG"/>
      </w:pPr>
      <w:r w:rsidRPr="00615FBF">
        <w:rPr>
          <w:i/>
        </w:rPr>
        <w:tab/>
      </w:r>
      <w:r w:rsidRPr="00615FBF">
        <w:rPr>
          <w:i/>
        </w:rPr>
        <w:tab/>
        <w:t>Acknowledging</w:t>
      </w:r>
      <w:r w:rsidRPr="00615FBF">
        <w:t xml:space="preserve"> the efforts of States to determine the best way to strengthen the protection of the human rights of older persons,</w:t>
      </w:r>
    </w:p>
    <w:p w14:paraId="497B961F" w14:textId="2342C229" w:rsidR="006969BA" w:rsidRPr="00615FBF" w:rsidRDefault="006969BA" w:rsidP="00284242">
      <w:pPr>
        <w:pStyle w:val="SingleTxtG"/>
        <w:ind w:firstLine="567"/>
      </w:pPr>
      <w:r w:rsidRPr="00615FBF">
        <w:rPr>
          <w:i/>
        </w:rPr>
        <w:t>Welcoming</w:t>
      </w:r>
      <w:r w:rsidRPr="00615FBF">
        <w:t xml:space="preserve"> the adoption of Human Rights Council resolution 58/13 of </w:t>
      </w:r>
      <w:r w:rsidR="00907E0D" w:rsidRPr="00615FBF">
        <w:t>3</w:t>
      </w:r>
      <w:r w:rsidRPr="00615FBF">
        <w:t xml:space="preserve"> April 2025</w:t>
      </w:r>
      <w:r w:rsidR="00907E0D" w:rsidRPr="00615FBF">
        <w:t>,</w:t>
      </w:r>
      <w:r w:rsidRPr="00615FBF">
        <w:t xml:space="preserve"> </w:t>
      </w:r>
      <w:r w:rsidR="005336D8" w:rsidRPr="00615FBF">
        <w:t>by</w:t>
      </w:r>
      <w:r w:rsidR="00907E0D" w:rsidRPr="00615FBF">
        <w:t xml:space="preserve"> </w:t>
      </w:r>
      <w:r w:rsidRPr="00615FBF">
        <w:t>which</w:t>
      </w:r>
      <w:r w:rsidR="00907E0D" w:rsidRPr="00615FBF">
        <w:t xml:space="preserve"> the Council</w:t>
      </w:r>
      <w:r w:rsidRPr="00615FBF">
        <w:t xml:space="preserve"> established an </w:t>
      </w:r>
      <w:r w:rsidR="00097B49" w:rsidRPr="00615FBF">
        <w:t>o</w:t>
      </w:r>
      <w:r w:rsidRPr="00615FBF">
        <w:t>pen-</w:t>
      </w:r>
      <w:r w:rsidR="00097B49" w:rsidRPr="00615FBF">
        <w:t>e</w:t>
      </w:r>
      <w:r w:rsidRPr="00615FBF">
        <w:t xml:space="preserve">nded </w:t>
      </w:r>
      <w:r w:rsidR="00097B49" w:rsidRPr="00615FBF">
        <w:t>i</w:t>
      </w:r>
      <w:r w:rsidRPr="00615FBF">
        <w:t xml:space="preserve">ntergovernmental </w:t>
      </w:r>
      <w:r w:rsidR="00097B49" w:rsidRPr="00615FBF">
        <w:t>w</w:t>
      </w:r>
      <w:r w:rsidRPr="00615FBF">
        <w:t xml:space="preserve">orking </w:t>
      </w:r>
      <w:r w:rsidR="00097B49" w:rsidRPr="00615FBF">
        <w:t>g</w:t>
      </w:r>
      <w:r w:rsidRPr="00615FBF">
        <w:t xml:space="preserve">roup with the mandate of elaborating and </w:t>
      </w:r>
      <w:sdt>
        <w:sdtPr>
          <w:tag w:val="goog_rdk_44"/>
          <w:id w:val="-914003151"/>
        </w:sdtPr>
        <w:sdtEndPr/>
        <w:sdtContent>
          <w:r w:rsidRPr="00615FBF">
            <w:t>submitting</w:t>
          </w:r>
        </w:sdtContent>
      </w:sdt>
      <w:r w:rsidRPr="00615FBF">
        <w:t xml:space="preserve"> to the Council a draft international legally binding instrument on the human rights of older persons with the objective of promoting, protecting and ensuring the full enjoyment of human rights by older persons,</w:t>
      </w:r>
    </w:p>
    <w:p w14:paraId="253AF71C" w14:textId="77777777" w:rsidR="006969BA" w:rsidRPr="00615FBF" w:rsidRDefault="006969BA" w:rsidP="006969BA">
      <w:pPr>
        <w:pStyle w:val="SingleTxtG"/>
      </w:pPr>
      <w:r w:rsidRPr="00615FBF">
        <w:rPr>
          <w:iCs/>
        </w:rPr>
        <w:tab/>
      </w:r>
      <w:r w:rsidRPr="00615FBF">
        <w:rPr>
          <w:iCs/>
        </w:rPr>
        <w:tab/>
        <w:t>1.</w:t>
      </w:r>
      <w:r w:rsidRPr="00615FBF">
        <w:rPr>
          <w:iCs/>
        </w:rPr>
        <w:tab/>
      </w:r>
      <w:r w:rsidRPr="00615FBF">
        <w:rPr>
          <w:i/>
        </w:rPr>
        <w:t xml:space="preserve">Welcomes </w:t>
      </w:r>
      <w:r w:rsidRPr="00615FBF">
        <w:t>the work of the Independent Expert on the enjoyment of all human rights by older persons;</w:t>
      </w:r>
    </w:p>
    <w:p w14:paraId="6226AA76" w14:textId="62E5488B" w:rsidR="006969BA" w:rsidRPr="00615FBF" w:rsidRDefault="006969BA" w:rsidP="006969BA">
      <w:pPr>
        <w:pStyle w:val="SingleTxtG"/>
      </w:pPr>
      <w:r w:rsidRPr="00615FBF">
        <w:rPr>
          <w:iCs/>
        </w:rPr>
        <w:tab/>
      </w:r>
      <w:r w:rsidRPr="00615FBF">
        <w:rPr>
          <w:iCs/>
        </w:rPr>
        <w:tab/>
        <w:t>2.</w:t>
      </w:r>
      <w:r w:rsidRPr="00615FBF">
        <w:rPr>
          <w:iCs/>
        </w:rPr>
        <w:tab/>
      </w:r>
      <w:r w:rsidRPr="00615FBF">
        <w:rPr>
          <w:i/>
        </w:rPr>
        <w:t>Decides</w:t>
      </w:r>
      <w:r w:rsidRPr="00615FBF">
        <w:t xml:space="preserve"> to extend the mandate of Independent Expert on the enjoyment of all human rights by older persons for a period of three years according to the terms set out by the Human Rights Council in its resolution 33/5;</w:t>
      </w:r>
    </w:p>
    <w:p w14:paraId="0066610A" w14:textId="77777777" w:rsidR="006969BA" w:rsidRPr="00615FBF" w:rsidRDefault="006969BA" w:rsidP="006969BA">
      <w:pPr>
        <w:pStyle w:val="SingleTxtG"/>
      </w:pPr>
      <w:r w:rsidRPr="00615FBF">
        <w:rPr>
          <w:iCs/>
        </w:rPr>
        <w:tab/>
      </w:r>
      <w:r w:rsidRPr="00615FBF">
        <w:rPr>
          <w:iCs/>
        </w:rPr>
        <w:tab/>
        <w:t>3.</w:t>
      </w:r>
      <w:r w:rsidRPr="00615FBF">
        <w:rPr>
          <w:iCs/>
        </w:rPr>
        <w:tab/>
      </w:r>
      <w:r w:rsidRPr="00615FBF">
        <w:rPr>
          <w:i/>
        </w:rPr>
        <w:t>Requests</w:t>
      </w:r>
      <w:r w:rsidRPr="00615FBF">
        <w:t xml:space="preserve"> all Governments to cooperate with the Independent Expert, and invites them to provide the mandate holder with all necessary information relating to the mandate;</w:t>
      </w:r>
    </w:p>
    <w:p w14:paraId="72A56CE2" w14:textId="3824A20D" w:rsidR="006969BA" w:rsidRPr="00615FBF" w:rsidRDefault="006969BA" w:rsidP="006969BA">
      <w:pPr>
        <w:pStyle w:val="SingleTxtG"/>
      </w:pPr>
      <w:r w:rsidRPr="00615FBF">
        <w:rPr>
          <w:iCs/>
        </w:rPr>
        <w:tab/>
      </w:r>
      <w:r w:rsidRPr="00615FBF">
        <w:rPr>
          <w:iCs/>
        </w:rPr>
        <w:tab/>
        <w:t>4.</w:t>
      </w:r>
      <w:r w:rsidRPr="00615FBF">
        <w:rPr>
          <w:iCs/>
        </w:rPr>
        <w:tab/>
      </w:r>
      <w:r w:rsidRPr="00615FBF">
        <w:rPr>
          <w:i/>
        </w:rPr>
        <w:t>Requests</w:t>
      </w:r>
      <w:r w:rsidRPr="00615FBF">
        <w:t xml:space="preserve"> the Independent Expert to report regularly to the Human Rights Council and the General Assembly in accordance with their respective programme</w:t>
      </w:r>
      <w:r w:rsidR="004569AF">
        <w:t>s</w:t>
      </w:r>
      <w:r w:rsidRPr="00615FBF">
        <w:t xml:space="preserve"> of work;</w:t>
      </w:r>
    </w:p>
    <w:p w14:paraId="4F4F1968" w14:textId="05C346E6" w:rsidR="006969BA" w:rsidRPr="00615FBF" w:rsidRDefault="006969BA" w:rsidP="006969BA">
      <w:pPr>
        <w:pStyle w:val="SingleTxtG"/>
      </w:pPr>
      <w:r w:rsidRPr="00615FBF">
        <w:rPr>
          <w:iCs/>
        </w:rPr>
        <w:tab/>
      </w:r>
      <w:r w:rsidRPr="00615FBF">
        <w:rPr>
          <w:iCs/>
        </w:rPr>
        <w:tab/>
        <w:t>5.</w:t>
      </w:r>
      <w:r w:rsidRPr="00615FBF">
        <w:rPr>
          <w:iCs/>
        </w:rPr>
        <w:tab/>
      </w:r>
      <w:r w:rsidRPr="00615FBF">
        <w:rPr>
          <w:i/>
        </w:rPr>
        <w:t>Also requests</w:t>
      </w:r>
      <w:r w:rsidRPr="00615FBF">
        <w:t xml:space="preserve"> the Independent Expert to work in close coordination, while avoiding unnecessary duplication, with the </w:t>
      </w:r>
      <w:r w:rsidR="0040720F" w:rsidRPr="00615FBF">
        <w:t>o</w:t>
      </w:r>
      <w:r w:rsidRPr="00615FBF">
        <w:t xml:space="preserve">pen-ended </w:t>
      </w:r>
      <w:r w:rsidR="0040720F" w:rsidRPr="00615FBF">
        <w:t>i</w:t>
      </w:r>
      <w:r w:rsidRPr="00615FBF">
        <w:t xml:space="preserve">ntergovernmental </w:t>
      </w:r>
      <w:r w:rsidR="0040720F" w:rsidRPr="00615FBF">
        <w:t>w</w:t>
      </w:r>
      <w:r w:rsidRPr="00615FBF">
        <w:t xml:space="preserve">orking </w:t>
      </w:r>
      <w:r w:rsidR="0040720F" w:rsidRPr="00615FBF">
        <w:t>g</w:t>
      </w:r>
      <w:r w:rsidRPr="00615FBF">
        <w:t xml:space="preserve">roup, established by </w:t>
      </w:r>
      <w:r w:rsidR="00E37DCE">
        <w:t xml:space="preserve">the </w:t>
      </w:r>
      <w:r w:rsidRPr="00615FBF">
        <w:t xml:space="preserve">Human Rights Council </w:t>
      </w:r>
      <w:r w:rsidR="00E37DCE">
        <w:t xml:space="preserve">in its </w:t>
      </w:r>
      <w:r w:rsidR="0040720F" w:rsidRPr="00615FBF">
        <w:t>r</w:t>
      </w:r>
      <w:r w:rsidRPr="00615FBF">
        <w:t>esolution 58/13, including by participating in its annual sessions;</w:t>
      </w:r>
    </w:p>
    <w:p w14:paraId="288E8406" w14:textId="77777777" w:rsidR="006969BA" w:rsidRPr="00615FBF" w:rsidRDefault="006969BA" w:rsidP="006969BA">
      <w:pPr>
        <w:pStyle w:val="SingleTxtG"/>
      </w:pPr>
      <w:r w:rsidRPr="00615FBF">
        <w:rPr>
          <w:iCs/>
        </w:rPr>
        <w:tab/>
      </w:r>
      <w:r w:rsidRPr="00615FBF">
        <w:rPr>
          <w:iCs/>
        </w:rPr>
        <w:tab/>
        <w:t>6.</w:t>
      </w:r>
      <w:r w:rsidRPr="00615FBF">
        <w:rPr>
          <w:iCs/>
        </w:rPr>
        <w:tab/>
      </w:r>
      <w:r w:rsidRPr="00615FBF">
        <w:rPr>
          <w:i/>
        </w:rPr>
        <w:t>Encourages</w:t>
      </w:r>
      <w:r w:rsidRPr="00615FBF">
        <w:t xml:space="preserve"> all relevant stakeholders, including United Nations agencies, funds and programmes, human rights mechanisms, national human rights institutions and civil society, and invites the private sector, donors and development agencies, to cooperate fully with the Independent Expert to enable the mandate holder to fulfil the mandate;</w:t>
      </w:r>
    </w:p>
    <w:p w14:paraId="7E6B9A77" w14:textId="3A066140" w:rsidR="006969BA" w:rsidRPr="00615FBF" w:rsidRDefault="006969BA" w:rsidP="006969BA">
      <w:pPr>
        <w:pStyle w:val="SingleTxtG"/>
      </w:pPr>
      <w:r w:rsidRPr="00615FBF">
        <w:tab/>
      </w:r>
      <w:r w:rsidRPr="00615FBF">
        <w:tab/>
        <w:t>7.</w:t>
      </w:r>
      <w:r w:rsidRPr="00615FBF">
        <w:tab/>
      </w:r>
      <w:r w:rsidRPr="00615FBF">
        <w:rPr>
          <w:i/>
          <w:iCs/>
        </w:rPr>
        <w:t xml:space="preserve">Encourages </w:t>
      </w:r>
      <w:r w:rsidRPr="00615FBF">
        <w:rPr>
          <w:iCs/>
        </w:rPr>
        <w:t>organizers of international and regional forums addressing the enjoyment of all human rights by older persons to invite the Independent Expert to attend and participate in such events</w:t>
      </w:r>
      <w:r w:rsidR="006F5237" w:rsidRPr="00615FBF">
        <w:t>;</w:t>
      </w:r>
    </w:p>
    <w:p w14:paraId="0111C198" w14:textId="1F90425D" w:rsidR="006969BA" w:rsidRPr="00615FBF" w:rsidRDefault="006969BA" w:rsidP="006969BA">
      <w:pPr>
        <w:pStyle w:val="SingleTxtG"/>
      </w:pPr>
      <w:r w:rsidRPr="00615FBF">
        <w:rPr>
          <w:iCs/>
        </w:rPr>
        <w:tab/>
      </w:r>
      <w:r w:rsidRPr="00615FBF">
        <w:rPr>
          <w:iCs/>
        </w:rPr>
        <w:tab/>
        <w:t>8.</w:t>
      </w:r>
      <w:r w:rsidRPr="00615FBF">
        <w:rPr>
          <w:iCs/>
        </w:rPr>
        <w:tab/>
      </w:r>
      <w:r w:rsidRPr="00615FBF">
        <w:rPr>
          <w:i/>
        </w:rPr>
        <w:t>Requests</w:t>
      </w:r>
      <w:r w:rsidRPr="00615FBF">
        <w:t xml:space="preserve"> the United Nations High Commissioner for Human Rights to ensure that the reports of the Independent Expert are brought to the attention of the </w:t>
      </w:r>
      <w:r w:rsidR="00FB7072" w:rsidRPr="00615FBF">
        <w:t>o</w:t>
      </w:r>
      <w:r w:rsidRPr="00615FBF">
        <w:t xml:space="preserve">pen-ended </w:t>
      </w:r>
      <w:r w:rsidR="00B761F1" w:rsidRPr="00615FBF">
        <w:t>i</w:t>
      </w:r>
      <w:r w:rsidRPr="00615FBF">
        <w:t xml:space="preserve">ntergovernmental </w:t>
      </w:r>
      <w:r w:rsidR="00B761F1" w:rsidRPr="00615FBF">
        <w:t>w</w:t>
      </w:r>
      <w:r w:rsidRPr="00615FBF">
        <w:t xml:space="preserve">orking </w:t>
      </w:r>
      <w:r w:rsidR="00B761F1" w:rsidRPr="00615FBF">
        <w:t>g</w:t>
      </w:r>
      <w:r w:rsidRPr="00615FBF">
        <w:t xml:space="preserve">roup and </w:t>
      </w:r>
      <w:r w:rsidR="00B761F1" w:rsidRPr="00615FBF">
        <w:t xml:space="preserve">of </w:t>
      </w:r>
      <w:r w:rsidRPr="00615FBF">
        <w:t xml:space="preserve">the </w:t>
      </w:r>
      <w:r w:rsidR="00B761F1" w:rsidRPr="00615FBF">
        <w:t xml:space="preserve">General </w:t>
      </w:r>
      <w:r w:rsidRPr="00615FBF">
        <w:t>Assembly;</w:t>
      </w:r>
    </w:p>
    <w:p w14:paraId="213C8929" w14:textId="714F89DA" w:rsidR="006969BA" w:rsidRPr="00615FBF" w:rsidRDefault="006969BA" w:rsidP="006969BA">
      <w:pPr>
        <w:pStyle w:val="SingleTxtG"/>
      </w:pPr>
      <w:r w:rsidRPr="00615FBF">
        <w:rPr>
          <w:iCs/>
        </w:rPr>
        <w:tab/>
      </w:r>
      <w:r w:rsidRPr="00615FBF">
        <w:rPr>
          <w:iCs/>
        </w:rPr>
        <w:tab/>
        <w:t>9.</w:t>
      </w:r>
      <w:r w:rsidRPr="00615FBF">
        <w:rPr>
          <w:iCs/>
        </w:rPr>
        <w:tab/>
      </w:r>
      <w:r w:rsidRPr="00615FBF">
        <w:rPr>
          <w:i/>
        </w:rPr>
        <w:t>Requests</w:t>
      </w:r>
      <w:r w:rsidRPr="00615FBF">
        <w:t xml:space="preserve"> the Secretary-General and the High Commissioner to provide the Independent Expert with all the human, technical and financial resources necessary for the effective fulfilment of the mandate;</w:t>
      </w:r>
    </w:p>
    <w:p w14:paraId="24C7BE7F" w14:textId="2A66B26E" w:rsidR="00A96E1A" w:rsidRDefault="006969BA" w:rsidP="006969BA">
      <w:pPr>
        <w:pStyle w:val="SingleTxtG"/>
      </w:pPr>
      <w:r w:rsidRPr="00615FBF">
        <w:tab/>
      </w:r>
      <w:r w:rsidRPr="00615FBF">
        <w:tab/>
        <w:t>10.</w:t>
      </w:r>
      <w:r w:rsidRPr="00615FBF">
        <w:tab/>
      </w:r>
      <w:r w:rsidRPr="00615FBF">
        <w:rPr>
          <w:i/>
        </w:rPr>
        <w:t>Decides</w:t>
      </w:r>
      <w:r w:rsidRPr="00615FBF">
        <w:t xml:space="preserve"> to remain seized of the matter.</w:t>
      </w:r>
    </w:p>
    <w:p w14:paraId="647210BD" w14:textId="77777777" w:rsidR="008F7602" w:rsidRPr="004A0062" w:rsidRDefault="008F7602" w:rsidP="008F7602">
      <w:pPr>
        <w:pStyle w:val="SingleTxtG"/>
        <w:spacing w:after="0"/>
        <w:ind w:left="1117"/>
        <w:jc w:val="right"/>
        <w:rPr>
          <w:i/>
          <w:iCs/>
        </w:rPr>
      </w:pPr>
      <w:bookmarkStart w:id="1" w:name="_Hlk202551653"/>
      <w:r w:rsidRPr="004A0062">
        <w:rPr>
          <w:i/>
          <w:iCs/>
        </w:rPr>
        <w:t>4</w:t>
      </w:r>
      <w:r>
        <w:rPr>
          <w:i/>
          <w:iCs/>
        </w:rPr>
        <w:t>2nd</w:t>
      </w:r>
      <w:r w:rsidRPr="004A0062">
        <w:rPr>
          <w:i/>
          <w:iCs/>
        </w:rPr>
        <w:t xml:space="preserve"> meeting</w:t>
      </w:r>
    </w:p>
    <w:p w14:paraId="06F8FE9A" w14:textId="77777777" w:rsidR="008F7602" w:rsidRPr="004A0062" w:rsidRDefault="008F7602" w:rsidP="008F7602">
      <w:pPr>
        <w:pStyle w:val="SingleTxtG"/>
        <w:ind w:left="1118"/>
        <w:jc w:val="right"/>
        <w:rPr>
          <w:i/>
          <w:iCs/>
        </w:rPr>
      </w:pPr>
      <w:r w:rsidRPr="004A0062">
        <w:rPr>
          <w:i/>
          <w:iCs/>
        </w:rPr>
        <w:t>6 October 2025</w:t>
      </w:r>
    </w:p>
    <w:p w14:paraId="11F8376D" w14:textId="194C088E" w:rsidR="00FF3EEE" w:rsidRDefault="008F7602" w:rsidP="008F7602">
      <w:pPr>
        <w:pStyle w:val="SingleTxtG"/>
      </w:pPr>
      <w:r w:rsidRPr="004A0062">
        <w:t>[Adopted without a vote.]</w:t>
      </w:r>
      <w:bookmarkEnd w:id="1"/>
    </w:p>
    <w:p w14:paraId="497B482F" w14:textId="5F5173D9" w:rsidR="00823C8E" w:rsidRPr="006F5237" w:rsidRDefault="006F5237" w:rsidP="006F5237">
      <w:pPr>
        <w:suppressAutoHyphens w:val="0"/>
        <w:spacing w:before="240"/>
        <w:jc w:val="center"/>
        <w:rPr>
          <w:u w:val="single"/>
        </w:rPr>
      </w:pPr>
      <w:r>
        <w:rPr>
          <w:u w:val="single"/>
        </w:rPr>
        <w:tab/>
      </w:r>
      <w:r>
        <w:rPr>
          <w:u w:val="single"/>
        </w:rPr>
        <w:tab/>
      </w:r>
      <w:r>
        <w:rPr>
          <w:u w:val="single"/>
        </w:rPr>
        <w:tab/>
      </w:r>
    </w:p>
    <w:sectPr w:rsidR="00823C8E" w:rsidRPr="006F5237"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77A13" w14:textId="77777777" w:rsidR="00867B7C" w:rsidRDefault="00867B7C"/>
  </w:endnote>
  <w:endnote w:type="continuationSeparator" w:id="0">
    <w:p w14:paraId="329A15B7" w14:textId="77777777" w:rsidR="00867B7C" w:rsidRDefault="00867B7C"/>
  </w:endnote>
  <w:endnote w:type="continuationNotice" w:id="1">
    <w:p w14:paraId="1B3AFF39" w14:textId="77777777" w:rsidR="00867B7C" w:rsidRDefault="00867B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6E2D1" w14:textId="5B2D16ED" w:rsidR="0043728F" w:rsidRDefault="000E501A" w:rsidP="000E501A">
    <w:pPr>
      <w:pStyle w:val="Footer"/>
      <w:ind w:right="1134"/>
      <w:rPr>
        <w:sz w:val="20"/>
      </w:rPr>
    </w:pPr>
    <w:r w:rsidRPr="000E501A">
      <w:rPr>
        <w:noProof/>
        <w:sz w:val="20"/>
        <w:lang w:val="en-US"/>
      </w:rPr>
      <w:drawing>
        <wp:anchor distT="0" distB="0" distL="114300" distR="114300" simplePos="0" relativeHeight="251659264" behindDoc="0" locked="1" layoutInCell="1" allowOverlap="1" wp14:anchorId="6BD5787B" wp14:editId="777C069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91C47E" w14:textId="7C4FADCF" w:rsidR="000E501A" w:rsidRPr="000E501A" w:rsidRDefault="000E501A" w:rsidP="000E501A">
    <w:pPr>
      <w:pStyle w:val="Footer"/>
      <w:ind w:right="1134"/>
      <w:rPr>
        <w:sz w:val="20"/>
      </w:rPr>
    </w:pPr>
    <w:r>
      <w:rPr>
        <w:sz w:val="20"/>
      </w:rPr>
      <w:t>GE.25-16027  (E)</w:t>
    </w:r>
    <w:r>
      <w:rPr>
        <w:noProof/>
        <w:sz w:val="20"/>
      </w:rPr>
      <w:drawing>
        <wp:anchor distT="0" distB="0" distL="114300" distR="114300" simplePos="0" relativeHeight="251660288" behindDoc="0" locked="0" layoutInCell="1" allowOverlap="1" wp14:anchorId="4A04A139" wp14:editId="43A3EF0D">
          <wp:simplePos x="0" y="0"/>
          <wp:positionH relativeFrom="margin">
            <wp:posOffset>5583555</wp:posOffset>
          </wp:positionH>
          <wp:positionV relativeFrom="margin">
            <wp:posOffset>8981440</wp:posOffset>
          </wp:positionV>
          <wp:extent cx="571500" cy="571500"/>
          <wp:effectExtent l="0" t="0" r="0" b="0"/>
          <wp:wrapNone/>
          <wp:docPr id="193855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6A7AA" w14:textId="77777777" w:rsidR="00867B7C" w:rsidRPr="000B175B" w:rsidRDefault="00867B7C" w:rsidP="000B175B">
      <w:pPr>
        <w:tabs>
          <w:tab w:val="right" w:pos="2155"/>
        </w:tabs>
        <w:spacing w:after="80"/>
        <w:ind w:left="680"/>
        <w:rPr>
          <w:u w:val="single"/>
        </w:rPr>
      </w:pPr>
      <w:r>
        <w:rPr>
          <w:u w:val="single"/>
        </w:rPr>
        <w:tab/>
      </w:r>
    </w:p>
  </w:footnote>
  <w:footnote w:type="continuationSeparator" w:id="0">
    <w:p w14:paraId="220838FD" w14:textId="77777777" w:rsidR="00867B7C" w:rsidRPr="00FC68B7" w:rsidRDefault="00867B7C" w:rsidP="00FC68B7">
      <w:pPr>
        <w:tabs>
          <w:tab w:val="left" w:pos="2155"/>
        </w:tabs>
        <w:spacing w:after="80"/>
        <w:ind w:left="680"/>
        <w:rPr>
          <w:u w:val="single"/>
        </w:rPr>
      </w:pPr>
      <w:r>
        <w:rPr>
          <w:u w:val="single"/>
        </w:rPr>
        <w:tab/>
      </w:r>
    </w:p>
  </w:footnote>
  <w:footnote w:type="continuationNotice" w:id="1">
    <w:p w14:paraId="11596B7C" w14:textId="77777777" w:rsidR="00867B7C" w:rsidRDefault="00867B7C"/>
  </w:footnote>
  <w:footnote w:id="2">
    <w:p w14:paraId="2A93AAB6" w14:textId="3087AC2F" w:rsidR="006969BA" w:rsidRPr="006969BA" w:rsidRDefault="006969BA" w:rsidP="006969BA">
      <w:pPr>
        <w:pStyle w:val="FootnoteText"/>
        <w:widowControl w:val="0"/>
        <w:tabs>
          <w:tab w:val="clear" w:pos="1021"/>
          <w:tab w:val="right" w:pos="1020"/>
        </w:tabs>
        <w:rPr>
          <w:lang w:val="en-US"/>
        </w:rPr>
      </w:pPr>
      <w:r>
        <w:tab/>
      </w:r>
      <w:r>
        <w:rPr>
          <w:rStyle w:val="FootnoteReference"/>
        </w:rPr>
        <w:footnoteRef/>
      </w:r>
      <w:r>
        <w:tab/>
      </w:r>
      <w:r w:rsidRPr="006969BA">
        <w:rPr>
          <w:i/>
          <w:iCs/>
        </w:rPr>
        <w:t>Report of the Second World Assembly on Ageing, Madrid, 8–12 April 2002</w:t>
      </w:r>
      <w:r w:rsidRPr="006969BA">
        <w:t xml:space="preserve"> (United Nations publication, Sales No. E.02.IV.4), chap. I, resolution 1, annex I.</w:t>
      </w:r>
    </w:p>
  </w:footnote>
  <w:footnote w:id="3">
    <w:p w14:paraId="7FC2641F" w14:textId="5F92DBC7" w:rsidR="00284242" w:rsidRPr="00284242" w:rsidRDefault="00284242" w:rsidP="00284242">
      <w:pPr>
        <w:pStyle w:val="FootnoteText"/>
        <w:widowControl w:val="0"/>
        <w:tabs>
          <w:tab w:val="clear" w:pos="1021"/>
          <w:tab w:val="right" w:pos="1020"/>
        </w:tabs>
        <w:rPr>
          <w:lang w:val="en-US"/>
        </w:rPr>
      </w:pPr>
      <w:r>
        <w:tab/>
      </w:r>
      <w:r>
        <w:rPr>
          <w:rStyle w:val="FootnoteReference"/>
        </w:rPr>
        <w:footnoteRef/>
      </w:r>
      <w:r>
        <w:tab/>
      </w:r>
      <w:r w:rsidRPr="00284242">
        <w:rPr>
          <w:lang w:val="en-US"/>
        </w:rPr>
        <w:t>Ibid., annex II.</w:t>
      </w:r>
    </w:p>
  </w:footnote>
  <w:footnote w:id="4">
    <w:p w14:paraId="64815D4B" w14:textId="5B60EC5F" w:rsidR="006F5237" w:rsidRPr="006F5237" w:rsidRDefault="006F5237" w:rsidP="006F5237">
      <w:pPr>
        <w:pStyle w:val="FootnoteText"/>
        <w:widowControl w:val="0"/>
        <w:tabs>
          <w:tab w:val="clear" w:pos="1021"/>
          <w:tab w:val="right" w:pos="1020"/>
        </w:tabs>
        <w:rPr>
          <w:lang w:val="en-US"/>
        </w:rPr>
      </w:pPr>
      <w:r>
        <w:tab/>
      </w:r>
      <w:r>
        <w:rPr>
          <w:rStyle w:val="FootnoteReference"/>
        </w:rPr>
        <w:footnoteRef/>
      </w:r>
      <w:r>
        <w:tab/>
      </w:r>
      <w:r w:rsidRPr="006F5237">
        <w:t>A/HRC/60/24 and A/80/203</w:t>
      </w:r>
      <w:r w:rsidRPr="006F5237">
        <w:rPr>
          <w:lang w:val="en-US"/>
        </w:rPr>
        <w:t>.</w:t>
      </w:r>
    </w:p>
  </w:footnote>
  <w:footnote w:id="5">
    <w:p w14:paraId="2A1349C1" w14:textId="21FE8485" w:rsidR="00C51D91" w:rsidRPr="00C51D91" w:rsidRDefault="00C51D91" w:rsidP="00C51D91">
      <w:pPr>
        <w:pStyle w:val="FootnoteText"/>
        <w:widowControl w:val="0"/>
        <w:tabs>
          <w:tab w:val="clear" w:pos="1021"/>
          <w:tab w:val="right" w:pos="1020"/>
        </w:tabs>
        <w:rPr>
          <w:lang w:val="en-US"/>
        </w:rPr>
      </w:pPr>
      <w:r>
        <w:tab/>
      </w:r>
      <w:r>
        <w:rPr>
          <w:rStyle w:val="FootnoteReference"/>
        </w:rPr>
        <w:footnoteRef/>
      </w:r>
      <w:r>
        <w:tab/>
      </w:r>
      <w:r w:rsidRPr="00C51D91">
        <w:t>A/AC.278/2024/2.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6888B1F3" w:rsidR="004A3CF0" w:rsidRPr="00A96E1A" w:rsidRDefault="00A96E1A">
    <w:pPr>
      <w:pStyle w:val="Header"/>
      <w:rPr>
        <w:lang w:val="en-US"/>
      </w:rPr>
    </w:pPr>
    <w:r>
      <w:rPr>
        <w:lang w:val="en-US"/>
      </w:rPr>
      <w:t>A/HRC/</w:t>
    </w:r>
    <w:r w:rsidR="00FF3EEE">
      <w:rPr>
        <w:lang w:val="en-US"/>
      </w:rPr>
      <w:t>RES/</w:t>
    </w:r>
    <w:r>
      <w:rPr>
        <w:lang w:val="en-US"/>
      </w:rPr>
      <w:t>60/</w:t>
    </w:r>
    <w:r w:rsidR="00FF3EEE">
      <w:rPr>
        <w:lang w:val="en-US"/>
      </w:rPr>
      <w:t>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5E02A489" w:rsidR="004A3CF0" w:rsidRPr="004A3CF0" w:rsidRDefault="00FF3EEE" w:rsidP="004A3CF0">
    <w:pPr>
      <w:pStyle w:val="Header"/>
      <w:jc w:val="right"/>
    </w:pPr>
    <w:r>
      <w:t>A/HRC/RES/60/11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9C1"/>
    <w:rsid w:val="00007F7F"/>
    <w:rsid w:val="00010AD7"/>
    <w:rsid w:val="00022DB5"/>
    <w:rsid w:val="000403D1"/>
    <w:rsid w:val="000449AA"/>
    <w:rsid w:val="00050F6B"/>
    <w:rsid w:val="0005662A"/>
    <w:rsid w:val="00072C8C"/>
    <w:rsid w:val="00073E70"/>
    <w:rsid w:val="000876EB"/>
    <w:rsid w:val="00091419"/>
    <w:rsid w:val="000931C0"/>
    <w:rsid w:val="00097B49"/>
    <w:rsid w:val="000A1758"/>
    <w:rsid w:val="000B175B"/>
    <w:rsid w:val="000B2851"/>
    <w:rsid w:val="000B3A0F"/>
    <w:rsid w:val="000B4A3B"/>
    <w:rsid w:val="000C3B93"/>
    <w:rsid w:val="000C59D8"/>
    <w:rsid w:val="000C6EF8"/>
    <w:rsid w:val="000D1851"/>
    <w:rsid w:val="000D2B52"/>
    <w:rsid w:val="000E0415"/>
    <w:rsid w:val="000E501A"/>
    <w:rsid w:val="000F5BEE"/>
    <w:rsid w:val="00120A63"/>
    <w:rsid w:val="00125648"/>
    <w:rsid w:val="00127990"/>
    <w:rsid w:val="00137F07"/>
    <w:rsid w:val="00145DE7"/>
    <w:rsid w:val="00146D32"/>
    <w:rsid w:val="001509BA"/>
    <w:rsid w:val="00153B88"/>
    <w:rsid w:val="00163F4C"/>
    <w:rsid w:val="00164745"/>
    <w:rsid w:val="001B4B04"/>
    <w:rsid w:val="001C6663"/>
    <w:rsid w:val="001C7895"/>
    <w:rsid w:val="001D2221"/>
    <w:rsid w:val="001D26DF"/>
    <w:rsid w:val="001E2790"/>
    <w:rsid w:val="00211E0B"/>
    <w:rsid w:val="00211E72"/>
    <w:rsid w:val="00214047"/>
    <w:rsid w:val="0022130F"/>
    <w:rsid w:val="00237785"/>
    <w:rsid w:val="002410DD"/>
    <w:rsid w:val="00241466"/>
    <w:rsid w:val="00253D58"/>
    <w:rsid w:val="002544BC"/>
    <w:rsid w:val="00276848"/>
    <w:rsid w:val="0027725F"/>
    <w:rsid w:val="00284242"/>
    <w:rsid w:val="002A7BAB"/>
    <w:rsid w:val="002B0E72"/>
    <w:rsid w:val="002C21F0"/>
    <w:rsid w:val="002F6259"/>
    <w:rsid w:val="003107FA"/>
    <w:rsid w:val="00313726"/>
    <w:rsid w:val="003229D8"/>
    <w:rsid w:val="0032313D"/>
    <w:rsid w:val="00324451"/>
    <w:rsid w:val="003314D1"/>
    <w:rsid w:val="00335A2F"/>
    <w:rsid w:val="00341937"/>
    <w:rsid w:val="0035122E"/>
    <w:rsid w:val="003621D7"/>
    <w:rsid w:val="00386C25"/>
    <w:rsid w:val="003878EB"/>
    <w:rsid w:val="0038793D"/>
    <w:rsid w:val="00390221"/>
    <w:rsid w:val="0039277A"/>
    <w:rsid w:val="003972E0"/>
    <w:rsid w:val="003975ED"/>
    <w:rsid w:val="003B3C28"/>
    <w:rsid w:val="003C2CC4"/>
    <w:rsid w:val="003D4469"/>
    <w:rsid w:val="003D4B23"/>
    <w:rsid w:val="003E3882"/>
    <w:rsid w:val="003F706B"/>
    <w:rsid w:val="0040720F"/>
    <w:rsid w:val="00421E53"/>
    <w:rsid w:val="00424C80"/>
    <w:rsid w:val="004325CB"/>
    <w:rsid w:val="004351C8"/>
    <w:rsid w:val="0043728F"/>
    <w:rsid w:val="0044503A"/>
    <w:rsid w:val="00446DE4"/>
    <w:rsid w:val="00447761"/>
    <w:rsid w:val="00451EC3"/>
    <w:rsid w:val="00454536"/>
    <w:rsid w:val="00455259"/>
    <w:rsid w:val="004569AF"/>
    <w:rsid w:val="00463E14"/>
    <w:rsid w:val="004721B1"/>
    <w:rsid w:val="004859EC"/>
    <w:rsid w:val="00496A15"/>
    <w:rsid w:val="004A2278"/>
    <w:rsid w:val="004A3CF0"/>
    <w:rsid w:val="004A63CF"/>
    <w:rsid w:val="004B31DA"/>
    <w:rsid w:val="004B75D2"/>
    <w:rsid w:val="004D1140"/>
    <w:rsid w:val="004D65C0"/>
    <w:rsid w:val="004E3308"/>
    <w:rsid w:val="004F4F32"/>
    <w:rsid w:val="004F55ED"/>
    <w:rsid w:val="0050075D"/>
    <w:rsid w:val="005137DA"/>
    <w:rsid w:val="00516E92"/>
    <w:rsid w:val="0052176C"/>
    <w:rsid w:val="005261E5"/>
    <w:rsid w:val="00530EB1"/>
    <w:rsid w:val="00532B61"/>
    <w:rsid w:val="005336D8"/>
    <w:rsid w:val="005420F2"/>
    <w:rsid w:val="00542574"/>
    <w:rsid w:val="0054321A"/>
    <w:rsid w:val="005436AB"/>
    <w:rsid w:val="00546924"/>
    <w:rsid w:val="00546DBF"/>
    <w:rsid w:val="00553D76"/>
    <w:rsid w:val="005552B5"/>
    <w:rsid w:val="0056117B"/>
    <w:rsid w:val="00562621"/>
    <w:rsid w:val="00571365"/>
    <w:rsid w:val="005818FC"/>
    <w:rsid w:val="00581A03"/>
    <w:rsid w:val="00587272"/>
    <w:rsid w:val="005A0E16"/>
    <w:rsid w:val="005A71B9"/>
    <w:rsid w:val="005B3DB3"/>
    <w:rsid w:val="005B6E48"/>
    <w:rsid w:val="005C59DF"/>
    <w:rsid w:val="005D53BE"/>
    <w:rsid w:val="005E1712"/>
    <w:rsid w:val="005E42EF"/>
    <w:rsid w:val="005F4196"/>
    <w:rsid w:val="005F50E7"/>
    <w:rsid w:val="0060505E"/>
    <w:rsid w:val="00611FC4"/>
    <w:rsid w:val="00615D95"/>
    <w:rsid w:val="00615FBF"/>
    <w:rsid w:val="006176FB"/>
    <w:rsid w:val="00640B26"/>
    <w:rsid w:val="0065366C"/>
    <w:rsid w:val="00655B60"/>
    <w:rsid w:val="00662E0F"/>
    <w:rsid w:val="00665295"/>
    <w:rsid w:val="00670741"/>
    <w:rsid w:val="00675D58"/>
    <w:rsid w:val="00684332"/>
    <w:rsid w:val="00691FEE"/>
    <w:rsid w:val="006969BA"/>
    <w:rsid w:val="00696BD6"/>
    <w:rsid w:val="006A66BF"/>
    <w:rsid w:val="006A6B9D"/>
    <w:rsid w:val="006A7032"/>
    <w:rsid w:val="006A7392"/>
    <w:rsid w:val="006B3189"/>
    <w:rsid w:val="006B7D65"/>
    <w:rsid w:val="006D6DA6"/>
    <w:rsid w:val="006E564B"/>
    <w:rsid w:val="006E6BAF"/>
    <w:rsid w:val="006F13F0"/>
    <w:rsid w:val="006F1FF8"/>
    <w:rsid w:val="006F5035"/>
    <w:rsid w:val="006F5237"/>
    <w:rsid w:val="006F7A8B"/>
    <w:rsid w:val="007036EA"/>
    <w:rsid w:val="007065EB"/>
    <w:rsid w:val="00720183"/>
    <w:rsid w:val="0072632A"/>
    <w:rsid w:val="00726517"/>
    <w:rsid w:val="00727F4B"/>
    <w:rsid w:val="007341F6"/>
    <w:rsid w:val="00734772"/>
    <w:rsid w:val="0074200B"/>
    <w:rsid w:val="00774E5F"/>
    <w:rsid w:val="007A0814"/>
    <w:rsid w:val="007A56A6"/>
    <w:rsid w:val="007A5FFE"/>
    <w:rsid w:val="007A6296"/>
    <w:rsid w:val="007A79E4"/>
    <w:rsid w:val="007B6BA5"/>
    <w:rsid w:val="007B7A4D"/>
    <w:rsid w:val="007C1B62"/>
    <w:rsid w:val="007C3390"/>
    <w:rsid w:val="007C4F4B"/>
    <w:rsid w:val="007C5E96"/>
    <w:rsid w:val="007C6B85"/>
    <w:rsid w:val="007D2CDC"/>
    <w:rsid w:val="007D5327"/>
    <w:rsid w:val="007F6611"/>
    <w:rsid w:val="00806744"/>
    <w:rsid w:val="008155C3"/>
    <w:rsid w:val="008175E9"/>
    <w:rsid w:val="0082243E"/>
    <w:rsid w:val="00823C8E"/>
    <w:rsid w:val="008242D7"/>
    <w:rsid w:val="008363FF"/>
    <w:rsid w:val="00856CD2"/>
    <w:rsid w:val="00861BC6"/>
    <w:rsid w:val="00864257"/>
    <w:rsid w:val="00867B7C"/>
    <w:rsid w:val="00867DEE"/>
    <w:rsid w:val="00871FD5"/>
    <w:rsid w:val="00876690"/>
    <w:rsid w:val="0088006B"/>
    <w:rsid w:val="008816B2"/>
    <w:rsid w:val="008836A8"/>
    <w:rsid w:val="008847BB"/>
    <w:rsid w:val="00895CCA"/>
    <w:rsid w:val="00895EC4"/>
    <w:rsid w:val="008979B1"/>
    <w:rsid w:val="008A6B25"/>
    <w:rsid w:val="008A6C4F"/>
    <w:rsid w:val="008B2649"/>
    <w:rsid w:val="008C1DBD"/>
    <w:rsid w:val="008C1E4D"/>
    <w:rsid w:val="008E0E46"/>
    <w:rsid w:val="008E6A88"/>
    <w:rsid w:val="008F7602"/>
    <w:rsid w:val="0090452C"/>
    <w:rsid w:val="00907C3F"/>
    <w:rsid w:val="00907E0D"/>
    <w:rsid w:val="0092237C"/>
    <w:rsid w:val="009264AC"/>
    <w:rsid w:val="0093707B"/>
    <w:rsid w:val="009400EB"/>
    <w:rsid w:val="009427E3"/>
    <w:rsid w:val="00946575"/>
    <w:rsid w:val="00956D9B"/>
    <w:rsid w:val="00963CBA"/>
    <w:rsid w:val="00965297"/>
    <w:rsid w:val="009654B7"/>
    <w:rsid w:val="00965AE4"/>
    <w:rsid w:val="00971AF4"/>
    <w:rsid w:val="0097654F"/>
    <w:rsid w:val="0098398A"/>
    <w:rsid w:val="00991261"/>
    <w:rsid w:val="009A0B83"/>
    <w:rsid w:val="009A7CBC"/>
    <w:rsid w:val="009B3800"/>
    <w:rsid w:val="009C5EFD"/>
    <w:rsid w:val="009D1839"/>
    <w:rsid w:val="009D22AC"/>
    <w:rsid w:val="009D50DB"/>
    <w:rsid w:val="009E1C4E"/>
    <w:rsid w:val="009F3A93"/>
    <w:rsid w:val="00A0036A"/>
    <w:rsid w:val="00A043B6"/>
    <w:rsid w:val="00A05A97"/>
    <w:rsid w:val="00A05E0B"/>
    <w:rsid w:val="00A1427D"/>
    <w:rsid w:val="00A40298"/>
    <w:rsid w:val="00A4634F"/>
    <w:rsid w:val="00A51CF3"/>
    <w:rsid w:val="00A72F22"/>
    <w:rsid w:val="00A73D32"/>
    <w:rsid w:val="00A748A6"/>
    <w:rsid w:val="00A76A34"/>
    <w:rsid w:val="00A8392B"/>
    <w:rsid w:val="00A879A4"/>
    <w:rsid w:val="00A87E95"/>
    <w:rsid w:val="00A92E29"/>
    <w:rsid w:val="00A96E1A"/>
    <w:rsid w:val="00AB3C92"/>
    <w:rsid w:val="00AC1DDA"/>
    <w:rsid w:val="00AC44F0"/>
    <w:rsid w:val="00AC5AE2"/>
    <w:rsid w:val="00AD09E9"/>
    <w:rsid w:val="00AD53B3"/>
    <w:rsid w:val="00AE1B1E"/>
    <w:rsid w:val="00AE2C85"/>
    <w:rsid w:val="00AF0576"/>
    <w:rsid w:val="00AF0E2E"/>
    <w:rsid w:val="00AF3829"/>
    <w:rsid w:val="00B037F0"/>
    <w:rsid w:val="00B1004F"/>
    <w:rsid w:val="00B2327D"/>
    <w:rsid w:val="00B2718F"/>
    <w:rsid w:val="00B30179"/>
    <w:rsid w:val="00B3317B"/>
    <w:rsid w:val="00B334DC"/>
    <w:rsid w:val="00B3631A"/>
    <w:rsid w:val="00B41DF7"/>
    <w:rsid w:val="00B53013"/>
    <w:rsid w:val="00B67F5E"/>
    <w:rsid w:val="00B716FD"/>
    <w:rsid w:val="00B73E65"/>
    <w:rsid w:val="00B761F1"/>
    <w:rsid w:val="00B77E7C"/>
    <w:rsid w:val="00B81E12"/>
    <w:rsid w:val="00B87110"/>
    <w:rsid w:val="00B97FA8"/>
    <w:rsid w:val="00BC1385"/>
    <w:rsid w:val="00BC16A0"/>
    <w:rsid w:val="00BC74E9"/>
    <w:rsid w:val="00BD03C5"/>
    <w:rsid w:val="00BD7B96"/>
    <w:rsid w:val="00BE618E"/>
    <w:rsid w:val="00BE655C"/>
    <w:rsid w:val="00BF116B"/>
    <w:rsid w:val="00BF2F79"/>
    <w:rsid w:val="00C217E7"/>
    <w:rsid w:val="00C24693"/>
    <w:rsid w:val="00C25251"/>
    <w:rsid w:val="00C31049"/>
    <w:rsid w:val="00C35F0B"/>
    <w:rsid w:val="00C463DD"/>
    <w:rsid w:val="00C51D91"/>
    <w:rsid w:val="00C55A73"/>
    <w:rsid w:val="00C57379"/>
    <w:rsid w:val="00C61599"/>
    <w:rsid w:val="00C63949"/>
    <w:rsid w:val="00C64458"/>
    <w:rsid w:val="00C745C3"/>
    <w:rsid w:val="00C814B8"/>
    <w:rsid w:val="00C91EA0"/>
    <w:rsid w:val="00CA2A58"/>
    <w:rsid w:val="00CB5A3D"/>
    <w:rsid w:val="00CB64BC"/>
    <w:rsid w:val="00CC0B55"/>
    <w:rsid w:val="00CD1E89"/>
    <w:rsid w:val="00CD6995"/>
    <w:rsid w:val="00CE4A8F"/>
    <w:rsid w:val="00CF0214"/>
    <w:rsid w:val="00CF586F"/>
    <w:rsid w:val="00CF7D43"/>
    <w:rsid w:val="00D11129"/>
    <w:rsid w:val="00D132C7"/>
    <w:rsid w:val="00D14983"/>
    <w:rsid w:val="00D2031B"/>
    <w:rsid w:val="00D22332"/>
    <w:rsid w:val="00D25FE2"/>
    <w:rsid w:val="00D32929"/>
    <w:rsid w:val="00D43252"/>
    <w:rsid w:val="00D44AB4"/>
    <w:rsid w:val="00D4741C"/>
    <w:rsid w:val="00D550F9"/>
    <w:rsid w:val="00D56874"/>
    <w:rsid w:val="00D572B0"/>
    <w:rsid w:val="00D62E90"/>
    <w:rsid w:val="00D72F14"/>
    <w:rsid w:val="00D76BE5"/>
    <w:rsid w:val="00D76FB7"/>
    <w:rsid w:val="00D82910"/>
    <w:rsid w:val="00D978C6"/>
    <w:rsid w:val="00DA480B"/>
    <w:rsid w:val="00DA5AA2"/>
    <w:rsid w:val="00DA5F8F"/>
    <w:rsid w:val="00DA67AD"/>
    <w:rsid w:val="00DB18CE"/>
    <w:rsid w:val="00DB5566"/>
    <w:rsid w:val="00DD15A4"/>
    <w:rsid w:val="00DE3EC0"/>
    <w:rsid w:val="00DF59B8"/>
    <w:rsid w:val="00E11593"/>
    <w:rsid w:val="00E12B6B"/>
    <w:rsid w:val="00E130AB"/>
    <w:rsid w:val="00E304B3"/>
    <w:rsid w:val="00E37DCE"/>
    <w:rsid w:val="00E438D9"/>
    <w:rsid w:val="00E46099"/>
    <w:rsid w:val="00E5117A"/>
    <w:rsid w:val="00E5644E"/>
    <w:rsid w:val="00E7260F"/>
    <w:rsid w:val="00E806EE"/>
    <w:rsid w:val="00E81E48"/>
    <w:rsid w:val="00E95D57"/>
    <w:rsid w:val="00E96630"/>
    <w:rsid w:val="00EA61AE"/>
    <w:rsid w:val="00EB0FB9"/>
    <w:rsid w:val="00EB1ECC"/>
    <w:rsid w:val="00EC37D2"/>
    <w:rsid w:val="00ED0CA9"/>
    <w:rsid w:val="00ED1484"/>
    <w:rsid w:val="00ED7A2A"/>
    <w:rsid w:val="00EF1D7F"/>
    <w:rsid w:val="00EF5BDB"/>
    <w:rsid w:val="00F07FD9"/>
    <w:rsid w:val="00F151EE"/>
    <w:rsid w:val="00F23933"/>
    <w:rsid w:val="00F24119"/>
    <w:rsid w:val="00F3132A"/>
    <w:rsid w:val="00F3311D"/>
    <w:rsid w:val="00F40E75"/>
    <w:rsid w:val="00F42CD9"/>
    <w:rsid w:val="00F435A9"/>
    <w:rsid w:val="00F45485"/>
    <w:rsid w:val="00F52936"/>
    <w:rsid w:val="00F54083"/>
    <w:rsid w:val="00F5601E"/>
    <w:rsid w:val="00F56D3D"/>
    <w:rsid w:val="00F677CB"/>
    <w:rsid w:val="00F67B04"/>
    <w:rsid w:val="00F72FA9"/>
    <w:rsid w:val="00F83DA9"/>
    <w:rsid w:val="00F84DA6"/>
    <w:rsid w:val="00FA06C0"/>
    <w:rsid w:val="00FA7BE2"/>
    <w:rsid w:val="00FA7DF3"/>
    <w:rsid w:val="00FB7072"/>
    <w:rsid w:val="00FC68B7"/>
    <w:rsid w:val="00FD0FEF"/>
    <w:rsid w:val="00FD7C12"/>
    <w:rsid w:val="00FE3F17"/>
    <w:rsid w:val="00FF3EE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965AE4"/>
    <w:rPr>
      <w:lang w:eastAsia="en-US"/>
    </w:rPr>
  </w:style>
  <w:style w:type="character" w:styleId="CommentReference">
    <w:name w:val="annotation reference"/>
    <w:basedOn w:val="DefaultParagraphFont"/>
    <w:semiHidden/>
    <w:unhideWhenUsed/>
    <w:rsid w:val="00AB3C92"/>
    <w:rPr>
      <w:sz w:val="16"/>
      <w:szCs w:val="16"/>
    </w:rPr>
  </w:style>
  <w:style w:type="paragraph" w:styleId="CommentText">
    <w:name w:val="annotation text"/>
    <w:basedOn w:val="Normal"/>
    <w:link w:val="CommentTextChar"/>
    <w:unhideWhenUsed/>
    <w:rsid w:val="00AB3C92"/>
    <w:pPr>
      <w:spacing w:line="240" w:lineRule="auto"/>
    </w:pPr>
  </w:style>
  <w:style w:type="character" w:customStyle="1" w:styleId="CommentTextChar">
    <w:name w:val="Comment Text Char"/>
    <w:basedOn w:val="DefaultParagraphFont"/>
    <w:link w:val="CommentText"/>
    <w:rsid w:val="00AB3C92"/>
    <w:rPr>
      <w:lang w:eastAsia="en-US"/>
    </w:rPr>
  </w:style>
  <w:style w:type="paragraph" w:styleId="CommentSubject">
    <w:name w:val="annotation subject"/>
    <w:basedOn w:val="CommentText"/>
    <w:next w:val="CommentText"/>
    <w:link w:val="CommentSubjectChar"/>
    <w:semiHidden/>
    <w:unhideWhenUsed/>
    <w:rsid w:val="00AB3C92"/>
    <w:rPr>
      <w:b/>
      <w:bCs/>
    </w:rPr>
  </w:style>
  <w:style w:type="character" w:customStyle="1" w:styleId="CommentSubjectChar">
    <w:name w:val="Comment Subject Char"/>
    <w:basedOn w:val="CommentTextChar"/>
    <w:link w:val="CommentSubject"/>
    <w:semiHidden/>
    <w:rsid w:val="00AB3C92"/>
    <w:rPr>
      <w:b/>
      <w:bCs/>
      <w:lang w:eastAsia="en-US"/>
    </w:rPr>
  </w:style>
  <w:style w:type="character" w:styleId="UnresolvedMention">
    <w:name w:val="Unresolved Mention"/>
    <w:basedOn w:val="DefaultParagraphFont"/>
    <w:uiPriority w:val="99"/>
    <w:semiHidden/>
    <w:unhideWhenUsed/>
    <w:rsid w:val="00125648"/>
    <w:rPr>
      <w:color w:val="605E5C"/>
      <w:shd w:val="clear" w:color="auto" w:fill="E1DFDD"/>
    </w:rPr>
  </w:style>
  <w:style w:type="character" w:customStyle="1" w:styleId="SingleTxtGChar">
    <w:name w:val="_ Single Txt_G Char"/>
    <w:link w:val="SingleTxtG"/>
    <w:qFormat/>
    <w:locked/>
    <w:rsid w:val="008F760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Flow_SignoffStatus xmlns="bb0ca9ba-941c-40df-b04b-bfabd62ea666" xsi:nil="true"/>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Props1.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2.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3.xml><?xml version="1.0" encoding="utf-8"?>
<ds:datastoreItem xmlns:ds="http://schemas.openxmlformats.org/officeDocument/2006/customXml" ds:itemID="{55A69DD0-BFCE-4C2D-AF35-100C96B477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2</Pages>
  <Words>814</Words>
  <Characters>4462</Characters>
  <Application>Microsoft Office Word</Application>
  <DocSecurity>0</DocSecurity>
  <Lines>88</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A/HRC/RES/60/11</dc:title>
  <dc:subject>2516027</dc:subject>
  <dc:creator>Sumiko IHARA</dc:creator>
  <cp:keywords/>
  <dc:description/>
  <cp:lastModifiedBy>Maria Rosario Corazon Gatmaytan</cp:lastModifiedBy>
  <cp:revision>2</cp:revision>
  <cp:lastPrinted>2008-01-29T08:30:00Z</cp:lastPrinted>
  <dcterms:created xsi:type="dcterms:W3CDTF">2025-10-07T13:41:00Z</dcterms:created>
  <dcterms:modified xsi:type="dcterms:W3CDTF">2025-10-07T13:41:00Z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