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14:paraId="14AAD025" w14:textId="77777777" w:rsidTr="00865660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61CAFCA7" w14:textId="77777777" w:rsidR="002D5AAC" w:rsidRDefault="002D5AAC" w:rsidP="009E48F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14:paraId="434B82FC" w14:textId="77777777" w:rsidR="002D5AAC" w:rsidRPr="00BD33EE" w:rsidRDefault="00DF71B9" w:rsidP="00782C0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14:paraId="42ECE21A" w14:textId="77777777" w:rsidR="002D5AAC" w:rsidRDefault="009E48F4" w:rsidP="009E48F4">
            <w:pPr>
              <w:jc w:val="right"/>
            </w:pPr>
            <w:r w:rsidRPr="009E48F4">
              <w:rPr>
                <w:sz w:val="40"/>
              </w:rPr>
              <w:t>A</w:t>
            </w:r>
            <w:r>
              <w:t>/HRC/RES/42/23</w:t>
            </w:r>
          </w:p>
        </w:tc>
      </w:tr>
      <w:tr w:rsidR="002D5AAC" w:rsidRPr="00E22AA0" w14:paraId="5BA9F625" w14:textId="77777777" w:rsidTr="00782C09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77FFE6F7" w14:textId="77777777" w:rsidR="002D5AAC" w:rsidRDefault="002E5067" w:rsidP="00782C09">
            <w:pPr>
              <w:spacing w:before="120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2D7419BA" wp14:editId="5A0BB9BA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2F4C9588" w14:textId="77777777" w:rsidR="002D5AAC" w:rsidRPr="00033EE1" w:rsidRDefault="00DF71B9" w:rsidP="00782C09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6F285F">
              <w:rPr>
                <w:b/>
                <w:spacing w:val="-4"/>
                <w:sz w:val="40"/>
                <w:szCs w:val="40"/>
              </w:rPr>
              <w:t>Генеральная Ассамблея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2811495D" w14:textId="77777777" w:rsidR="002D5AAC" w:rsidRDefault="009E48F4" w:rsidP="00782C09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14:paraId="3A384F26" w14:textId="77777777" w:rsidR="009E48F4" w:rsidRDefault="009E48F4" w:rsidP="009E48F4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1 October 2019</w:t>
            </w:r>
          </w:p>
          <w:p w14:paraId="1D4140E5" w14:textId="77777777" w:rsidR="009E48F4" w:rsidRDefault="009E48F4" w:rsidP="009E48F4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14:paraId="6B634DBB" w14:textId="77777777" w:rsidR="009E48F4" w:rsidRPr="00E71476" w:rsidRDefault="009E48F4" w:rsidP="009E48F4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  <w:bookmarkStart w:id="0" w:name="_GoBack"/>
        <w:bookmarkEnd w:id="0"/>
      </w:tr>
    </w:tbl>
    <w:p w14:paraId="2254C2FC" w14:textId="77777777" w:rsidR="009E48F4" w:rsidRPr="00E22AA0" w:rsidRDefault="00DF71B9" w:rsidP="006F0B59">
      <w:pPr>
        <w:spacing w:before="120"/>
        <w:rPr>
          <w:b/>
          <w:sz w:val="24"/>
          <w:szCs w:val="24"/>
        </w:rPr>
      </w:pPr>
      <w:r w:rsidRPr="001313C8">
        <w:rPr>
          <w:b/>
          <w:sz w:val="24"/>
          <w:szCs w:val="24"/>
        </w:rPr>
        <w:t>Совет по правам человека</w:t>
      </w:r>
    </w:p>
    <w:p w14:paraId="28C8F359" w14:textId="77777777" w:rsidR="009E48F4" w:rsidRPr="00E2275B" w:rsidRDefault="009E48F4" w:rsidP="009E48F4">
      <w:pPr>
        <w:rPr>
          <w:b/>
        </w:rPr>
      </w:pPr>
      <w:r>
        <w:rPr>
          <w:b/>
        </w:rPr>
        <w:t>Сорок</w:t>
      </w:r>
      <w:r w:rsidRPr="00105983">
        <w:rPr>
          <w:b/>
        </w:rPr>
        <w:t xml:space="preserve"> </w:t>
      </w:r>
      <w:r>
        <w:rPr>
          <w:b/>
        </w:rPr>
        <w:t>вторая</w:t>
      </w:r>
      <w:r w:rsidRPr="00E2275B">
        <w:rPr>
          <w:b/>
        </w:rPr>
        <w:t xml:space="preserve"> сессия</w:t>
      </w:r>
    </w:p>
    <w:p w14:paraId="402C60D8" w14:textId="77777777" w:rsidR="009E48F4" w:rsidRPr="00E2275B" w:rsidRDefault="009E48F4" w:rsidP="009E48F4">
      <w:r>
        <w:t>9–</w:t>
      </w:r>
      <w:r w:rsidRPr="00E2275B">
        <w:t>2</w:t>
      </w:r>
      <w:r>
        <w:t>7</w:t>
      </w:r>
      <w:r w:rsidRPr="00E22AA0">
        <w:t xml:space="preserve"> </w:t>
      </w:r>
      <w:r>
        <w:t>сентября</w:t>
      </w:r>
      <w:r w:rsidRPr="00E2275B">
        <w:t xml:space="preserve"> 201</w:t>
      </w:r>
      <w:r>
        <w:t>9</w:t>
      </w:r>
      <w:r w:rsidRPr="00E2275B">
        <w:t xml:space="preserve"> года</w:t>
      </w:r>
    </w:p>
    <w:p w14:paraId="018C0B33" w14:textId="77777777" w:rsidR="009E48F4" w:rsidRPr="00E2275B" w:rsidRDefault="009E48F4" w:rsidP="009E48F4">
      <w:r w:rsidRPr="00E2275B">
        <w:t xml:space="preserve">Пункт </w:t>
      </w:r>
      <w:r w:rsidRPr="00E22AA0">
        <w:t>3</w:t>
      </w:r>
      <w:r w:rsidRPr="00E2275B">
        <w:t xml:space="preserve"> повестки дня</w:t>
      </w:r>
    </w:p>
    <w:p w14:paraId="74965700" w14:textId="77777777" w:rsidR="009E48F4" w:rsidRPr="00E2275B" w:rsidRDefault="009E48F4" w:rsidP="009E48F4">
      <w:pPr>
        <w:pStyle w:val="HChGR"/>
        <w:rPr>
          <w:spacing w:val="0"/>
          <w:w w:val="100"/>
          <w:kern w:val="0"/>
        </w:rPr>
      </w:pPr>
      <w:r w:rsidRPr="00E2275B">
        <w:rPr>
          <w:spacing w:val="0"/>
          <w:w w:val="100"/>
          <w:kern w:val="0"/>
        </w:rPr>
        <w:tab/>
      </w:r>
      <w:r w:rsidRPr="00E2275B">
        <w:rPr>
          <w:spacing w:val="0"/>
          <w:w w:val="100"/>
          <w:kern w:val="0"/>
        </w:rPr>
        <w:tab/>
        <w:t>Резолюция, принятая Советом по правам человека</w:t>
      </w:r>
      <w:r w:rsidRPr="00E2275B">
        <w:rPr>
          <w:spacing w:val="0"/>
          <w:w w:val="100"/>
          <w:kern w:val="0"/>
        </w:rPr>
        <w:br/>
      </w:r>
      <w:r w:rsidRPr="00E2275B">
        <w:rPr>
          <w:spacing w:val="0"/>
          <w:w w:val="100"/>
          <w:kern w:val="0"/>
        </w:rPr>
        <w:tab/>
        <w:t>2</w:t>
      </w:r>
      <w:r>
        <w:rPr>
          <w:spacing w:val="0"/>
          <w:w w:val="100"/>
          <w:kern w:val="0"/>
        </w:rPr>
        <w:t>7</w:t>
      </w:r>
      <w:r w:rsidRPr="00E2275B">
        <w:rPr>
          <w:spacing w:val="0"/>
          <w:w w:val="100"/>
          <w:kern w:val="0"/>
        </w:rPr>
        <w:t xml:space="preserve"> </w:t>
      </w:r>
      <w:r>
        <w:rPr>
          <w:spacing w:val="0"/>
          <w:w w:val="100"/>
          <w:kern w:val="0"/>
        </w:rPr>
        <w:t>сентября</w:t>
      </w:r>
      <w:r w:rsidRPr="00E2275B">
        <w:rPr>
          <w:spacing w:val="0"/>
          <w:w w:val="100"/>
          <w:kern w:val="0"/>
        </w:rPr>
        <w:t xml:space="preserve"> 201</w:t>
      </w:r>
      <w:r>
        <w:rPr>
          <w:spacing w:val="0"/>
          <w:w w:val="100"/>
          <w:kern w:val="0"/>
        </w:rPr>
        <w:t>9</w:t>
      </w:r>
      <w:r w:rsidRPr="00E2275B">
        <w:rPr>
          <w:spacing w:val="0"/>
          <w:w w:val="100"/>
          <w:kern w:val="0"/>
        </w:rPr>
        <w:t xml:space="preserve"> года</w:t>
      </w:r>
    </w:p>
    <w:p w14:paraId="46949309" w14:textId="77777777" w:rsidR="009E48F4" w:rsidRPr="00125777" w:rsidRDefault="00503183" w:rsidP="009E48F4">
      <w:pPr>
        <w:pStyle w:val="H1G"/>
      </w:pPr>
      <w:r>
        <w:tab/>
      </w:r>
      <w:r w:rsidR="009E48F4">
        <w:t>42/</w:t>
      </w:r>
      <w:r w:rsidR="009E48F4" w:rsidRPr="00105983">
        <w:t>23</w:t>
      </w:r>
      <w:r w:rsidR="009E48F4">
        <w:t>.</w:t>
      </w:r>
      <w:r w:rsidR="009E48F4">
        <w:tab/>
        <w:t>Право на развитие</w:t>
      </w:r>
    </w:p>
    <w:p w14:paraId="4CD9A533" w14:textId="77777777" w:rsidR="009E48F4" w:rsidRPr="00125777" w:rsidRDefault="009E48F4" w:rsidP="009E48F4">
      <w:pPr>
        <w:spacing w:after="120"/>
        <w:ind w:left="1134" w:right="1134"/>
        <w:jc w:val="both"/>
      </w:pPr>
      <w:r>
        <w:tab/>
      </w:r>
      <w:r>
        <w:tab/>
      </w:r>
      <w:r>
        <w:rPr>
          <w:i/>
          <w:iCs/>
        </w:rPr>
        <w:t>Совет по правам человека</w:t>
      </w:r>
      <w:r w:rsidRPr="00BA0DE5">
        <w:rPr>
          <w:iCs/>
        </w:rPr>
        <w:t>,</w:t>
      </w:r>
    </w:p>
    <w:p w14:paraId="54A362B4" w14:textId="77777777" w:rsidR="009E48F4" w:rsidRPr="00125777" w:rsidRDefault="009E48F4" w:rsidP="009E48F4">
      <w:pPr>
        <w:pStyle w:val="SingleTxtG"/>
        <w:ind w:firstLine="567"/>
      </w:pPr>
      <w:r>
        <w:rPr>
          <w:i/>
          <w:iCs/>
        </w:rPr>
        <w:t xml:space="preserve">ссылаясь </w:t>
      </w:r>
      <w:r>
        <w:t>на Устав Организации Объединенных Наций и основные договоры по правам человека,</w:t>
      </w:r>
    </w:p>
    <w:p w14:paraId="1B0E70AE" w14:textId="77777777" w:rsidR="009E48F4" w:rsidRPr="00871A37" w:rsidRDefault="009E48F4" w:rsidP="009E48F4">
      <w:pPr>
        <w:pStyle w:val="SingleTxtG"/>
        <w:ind w:firstLine="567"/>
      </w:pPr>
      <w:r>
        <w:rPr>
          <w:i/>
          <w:iCs/>
        </w:rPr>
        <w:t xml:space="preserve">вновь подтверждая </w:t>
      </w:r>
      <w:r>
        <w:t>Декларацию о праве на развитие, принятую Генеральной Ассамблеей в ее резолюции 41/128 от 4 декабря 1986 года,</w:t>
      </w:r>
    </w:p>
    <w:p w14:paraId="14057C29" w14:textId="77777777" w:rsidR="009E48F4" w:rsidRPr="00125777" w:rsidRDefault="009E48F4" w:rsidP="009E48F4">
      <w:pPr>
        <w:pStyle w:val="SingleTxtG"/>
        <w:ind w:firstLine="567"/>
      </w:pPr>
      <w:r>
        <w:rPr>
          <w:i/>
          <w:iCs/>
        </w:rPr>
        <w:t xml:space="preserve">вновь напоминая </w:t>
      </w:r>
      <w:r>
        <w:t>о Венской декларации и Программе действий, в которой подтверждается право на развитие в качестве универсального и неотъемлемого права и составной части всех прав человека,</w:t>
      </w:r>
    </w:p>
    <w:p w14:paraId="3178E62B" w14:textId="77777777" w:rsidR="009E48F4" w:rsidRPr="00125777" w:rsidRDefault="009E48F4" w:rsidP="009E48F4">
      <w:pPr>
        <w:pStyle w:val="SingleTxtG"/>
        <w:ind w:firstLine="567"/>
      </w:pPr>
      <w:r>
        <w:rPr>
          <w:i/>
          <w:iCs/>
        </w:rPr>
        <w:t>вновь подтверждая</w:t>
      </w:r>
      <w:r>
        <w:t xml:space="preserve"> резолюции Совета по правам человека 4/4 от 30 марта 2007 года и 9/3 от 17 сентября 2008 года, ссылаясь на все резолюции Комиссии по правам человека по вопросу о праве на развитие, включая резолюции 1998/72 от 22 апреля 1998 года и 2004/7 от 13 апреля 2004 года в поддержку осуществления права на развитие, и ссылаясь также на все резолюции Совета и Генеральной Ассамблеи по вопросу о праве на развитие, самыми последними из которых являются резолюция 39/9 Совета от 27 сентября 2018 года и резолюция 73/166 Ассамблеи от 17 декабря 2018</w:t>
      </w:r>
      <w:r w:rsidR="00503183">
        <w:rPr>
          <w:lang w:val="en-US"/>
        </w:rPr>
        <w:t> </w:t>
      </w:r>
      <w:r>
        <w:t>года,</w:t>
      </w:r>
    </w:p>
    <w:p w14:paraId="0622DF15" w14:textId="77777777" w:rsidR="009E48F4" w:rsidRPr="00125777" w:rsidRDefault="009E48F4" w:rsidP="009E48F4">
      <w:pPr>
        <w:pStyle w:val="SingleTxtG"/>
        <w:ind w:firstLine="567"/>
      </w:pPr>
      <w:r>
        <w:rPr>
          <w:i/>
          <w:iCs/>
        </w:rPr>
        <w:t>ссылаясь</w:t>
      </w:r>
      <w:r>
        <w:t xml:space="preserve"> на принятый Конференцией Организации Объединенных Наций по устойчивому развитию, проведенной 20–22 июня 2012 года, итоговый документ, озаглавленный «Будущее, которого мы хотим»</w:t>
      </w:r>
      <w:r w:rsidRPr="00571D02">
        <w:rPr>
          <w:sz w:val="18"/>
          <w:szCs w:val="18"/>
          <w:vertAlign w:val="superscript"/>
        </w:rPr>
        <w:footnoteReference w:id="1"/>
      </w:r>
      <w:r>
        <w:t>, где была вновь подтверждена приверженность международного сообщества курсу на устойчивое развитие и на обеспечение построения экономически, социально и экологически устойчивого будущего для нашей планеты и для нынешнего и будущих поколений,</w:t>
      </w:r>
    </w:p>
    <w:p w14:paraId="02D4EBD8" w14:textId="77777777" w:rsidR="009E48F4" w:rsidRPr="00125777" w:rsidRDefault="009E48F4" w:rsidP="009E48F4">
      <w:pPr>
        <w:pStyle w:val="SingleTxtG"/>
        <w:ind w:firstLine="567"/>
      </w:pPr>
      <w:r w:rsidRPr="000170DC">
        <w:rPr>
          <w:i/>
          <w:iCs/>
        </w:rPr>
        <w:t>ссылаясь также</w:t>
      </w:r>
      <w:r>
        <w:t xml:space="preserve"> на итоговый документ второй Конференции Организации Объединенных Наций на высоком уровне по сотрудничеству Юг–Юг, состоявшейся 20–22 марта 2019 года в Буэнос-Айресе</w:t>
      </w:r>
      <w:r>
        <w:rPr>
          <w:rStyle w:val="aa"/>
        </w:rPr>
        <w:footnoteReference w:id="2"/>
      </w:r>
      <w:r>
        <w:t xml:space="preserve">, </w:t>
      </w:r>
    </w:p>
    <w:p w14:paraId="3D686E53" w14:textId="77777777" w:rsidR="009E48F4" w:rsidRPr="00125777" w:rsidRDefault="009E48F4" w:rsidP="009E48F4">
      <w:pPr>
        <w:pStyle w:val="SingleTxtG"/>
        <w:ind w:firstLine="567"/>
      </w:pPr>
      <w:r>
        <w:rPr>
          <w:i/>
          <w:iCs/>
        </w:rPr>
        <w:t>приветствуя</w:t>
      </w:r>
      <w:r>
        <w:t xml:space="preserve"> семнадцатый Саммит глав государств и правительств неприсоединившихся стран, состоявшийся на острове Маргарита, Боливарианская Республика Венесуэла, 17 и 18 сентября 2016 года, и напоминая о предыдущих </w:t>
      </w:r>
      <w:r>
        <w:lastRenderedPageBreak/>
        <w:t>саммитах и конференциях, на которых государства – участники Движения неприсоединившихся стран подчеркивали необходимость в первоочередном порядке обеспечить на практике право на развитие, в том числе посредством разработки соответствующими механизмами имеющего обязательную юридическую силу документа о праве на развитие, с учетом рекомендаций, вынесенных в рамках соответствующих инициатив,</w:t>
      </w:r>
    </w:p>
    <w:p w14:paraId="6A5D2A1D" w14:textId="77777777" w:rsidR="009E48F4" w:rsidRPr="00125777" w:rsidRDefault="009E48F4" w:rsidP="009E48F4">
      <w:pPr>
        <w:pStyle w:val="SingleTxtG"/>
        <w:ind w:firstLine="567"/>
      </w:pPr>
      <w:r>
        <w:rPr>
          <w:i/>
          <w:iCs/>
        </w:rPr>
        <w:t>особо отмечая</w:t>
      </w:r>
      <w:r>
        <w:t xml:space="preserve"> настоятельную необходимость превращения права на развитие в реальность для каждого,</w:t>
      </w:r>
    </w:p>
    <w:p w14:paraId="132581B7" w14:textId="77777777" w:rsidR="009E48F4" w:rsidRPr="00125777" w:rsidRDefault="009E48F4" w:rsidP="009E48F4">
      <w:pPr>
        <w:pStyle w:val="SingleTxtG"/>
        <w:ind w:firstLine="567"/>
      </w:pPr>
      <w:r>
        <w:rPr>
          <w:i/>
          <w:iCs/>
        </w:rPr>
        <w:t>особо отмечая также</w:t>
      </w:r>
      <w:r>
        <w:t>, что всеми правами человека и основными свободами, включая право на развитие, можно пользоваться лишь в доступных для всех и совместных рамках на международном, региональном и национальном уровнях, и в этой связи обращая особое внимание на важность вовлечения в обсуждение вопроса о праве на развитие системы Организации Объединенных Наций, включая специализированные учреждения, фонды и программы Организации Объединенных Наций, согласно возложенным на них мандатам, соответствующих международных организаций, включая финансовые и торговые организации, и соответствующих заинтересованных сторон, включая организации гражданского общества, специалистов, занимающихся вопросами развития на практике, экспертов по правам человека и представителей общественности на всех уровнях,</w:t>
      </w:r>
    </w:p>
    <w:p w14:paraId="20EE0187" w14:textId="77777777" w:rsidR="009E48F4" w:rsidRPr="00125777" w:rsidRDefault="009E48F4" w:rsidP="009E48F4">
      <w:pPr>
        <w:pStyle w:val="SingleTxtG"/>
        <w:ind w:firstLine="567"/>
      </w:pPr>
      <w:r>
        <w:rPr>
          <w:i/>
          <w:iCs/>
        </w:rPr>
        <w:t>признавая</w:t>
      </w:r>
      <w:r>
        <w:t xml:space="preserve"> необходимость комплексного подхода к поощрению и защите всех прав человека и необходимость на более систематической основе учитывать аспекты, связанные с правом на развитие, во всех направлениях деятельности системы Организации Объединенных Наций, включая договорные органы и Совет по правам человека с его механизмами,</w:t>
      </w:r>
    </w:p>
    <w:p w14:paraId="65BD6CC9" w14:textId="77777777" w:rsidR="009E48F4" w:rsidRPr="00125777" w:rsidRDefault="009E48F4" w:rsidP="009E48F4">
      <w:pPr>
        <w:pStyle w:val="SingleTxtG"/>
        <w:ind w:firstLine="567"/>
      </w:pPr>
      <w:r>
        <w:rPr>
          <w:i/>
          <w:iCs/>
        </w:rPr>
        <w:t>подчеркивая</w:t>
      </w:r>
      <w:r>
        <w:t>, что ответственность за решение глобальных экономических и социальных проблем и устранение угроз международному миру и безопасности должна разделяться между государствами мира и осуществляться на многосторонней основе и что центральную роль в этом должна играть Организация Объединенных Наций как наиболее универсальная и самая представительная организация в мире,</w:t>
      </w:r>
    </w:p>
    <w:p w14:paraId="2F034592" w14:textId="77777777" w:rsidR="009E48F4" w:rsidRPr="00125777" w:rsidRDefault="009E48F4" w:rsidP="009E48F4">
      <w:pPr>
        <w:pStyle w:val="SingleTxtG"/>
        <w:ind w:firstLine="567"/>
      </w:pPr>
      <w:r w:rsidRPr="007B0845">
        <w:rPr>
          <w:i/>
        </w:rPr>
        <w:t>приветствуя</w:t>
      </w:r>
      <w:r>
        <w:t xml:space="preserve"> принятие Повестки дня в области устойчивого развития на период до 2030 года</w:t>
      </w:r>
      <w:r w:rsidRPr="00571D02">
        <w:rPr>
          <w:sz w:val="18"/>
          <w:szCs w:val="18"/>
          <w:vertAlign w:val="superscript"/>
        </w:rPr>
        <w:footnoteReference w:id="3"/>
      </w:r>
      <w:r>
        <w:t xml:space="preserve"> и средств ее осуществления и особо отмечая, что Повестка дня на период до 2030 года основывается на Декларации о праве на развитие и что право на развитие является жизненно важным условием для полной реализации </w:t>
      </w:r>
      <w:r w:rsidR="00B847A7">
        <w:t xml:space="preserve">Целей </w:t>
      </w:r>
      <w:r>
        <w:t>в области устойчивого развития,</w:t>
      </w:r>
    </w:p>
    <w:p w14:paraId="2B90B0C1" w14:textId="77777777" w:rsidR="009E48F4" w:rsidRPr="00125777" w:rsidRDefault="009E48F4" w:rsidP="009E48F4">
      <w:pPr>
        <w:pStyle w:val="SingleTxtG"/>
        <w:ind w:firstLine="567"/>
      </w:pPr>
      <w:r>
        <w:rPr>
          <w:i/>
          <w:iCs/>
        </w:rPr>
        <w:t>признавая</w:t>
      </w:r>
      <w:r>
        <w:t xml:space="preserve">, что достижение согласованных на международном уровне целей в области развития, включая невыполненные </w:t>
      </w:r>
      <w:r w:rsidR="002265B3">
        <w:t xml:space="preserve">цели </w:t>
      </w:r>
      <w:r>
        <w:t xml:space="preserve">в области развития, провозглашенные в Декларации тысячелетия, </w:t>
      </w:r>
      <w:r w:rsidR="002265B3">
        <w:t xml:space="preserve">Цели </w:t>
      </w:r>
      <w:r>
        <w:t>в области устойчивого развития и цели, связанные с изменением климата, требует эффективной согласованности и координации политики,</w:t>
      </w:r>
    </w:p>
    <w:p w14:paraId="68D9B739" w14:textId="77777777" w:rsidR="009E48F4" w:rsidRPr="00125777" w:rsidRDefault="009E48F4" w:rsidP="009E48F4">
      <w:pPr>
        <w:pStyle w:val="SingleTxtG"/>
        <w:ind w:firstLine="567"/>
      </w:pPr>
      <w:r>
        <w:rPr>
          <w:i/>
          <w:iCs/>
        </w:rPr>
        <w:t>признавая также</w:t>
      </w:r>
      <w:r>
        <w:t>, что голод и крайняя нищета во всех их формах и проявлениях являются серьезнейшими глобальными вызовами и что для их искоренения необходима коллективная воля международного сообщества, и в этой связи призывая международное сообщество способствовать достижению этой цели в соответствии с целями в области устойчивого развития,</w:t>
      </w:r>
    </w:p>
    <w:p w14:paraId="0357011E" w14:textId="77777777" w:rsidR="009E48F4" w:rsidRPr="00125777" w:rsidRDefault="009E48F4" w:rsidP="009E48F4">
      <w:pPr>
        <w:pStyle w:val="SingleTxtG"/>
        <w:ind w:firstLine="567"/>
      </w:pPr>
      <w:r>
        <w:rPr>
          <w:i/>
          <w:iCs/>
        </w:rPr>
        <w:t>признавая далее</w:t>
      </w:r>
      <w:r>
        <w:t xml:space="preserve">, что неравенство является одним из основных препятствий на пути реализации права на развитие как внутри стран, так и между странами, </w:t>
      </w:r>
    </w:p>
    <w:p w14:paraId="3BD29598" w14:textId="77777777" w:rsidR="009E48F4" w:rsidRPr="00871A37" w:rsidRDefault="009E48F4" w:rsidP="009E48F4">
      <w:pPr>
        <w:pStyle w:val="SingleTxtG"/>
        <w:ind w:firstLine="567"/>
      </w:pPr>
      <w:r>
        <w:rPr>
          <w:i/>
          <w:iCs/>
        </w:rPr>
        <w:t>признавая</w:t>
      </w:r>
      <w:r>
        <w:t xml:space="preserve">, что искоренение нищеты во всех ее формах и проявлениях, включая крайнюю нищету, является одной из важнейших составляющих деятельности по поощрению и реализации права на развитие, серьезнейшим глобальным вызовом и одним из необходимых условий устойчивого развития, которое требует многогранного и комплексного подхода, и вновь заявляя о необходимости добиваться </w:t>
      </w:r>
      <w:r>
        <w:lastRenderedPageBreak/>
        <w:t>устойчивого развития в трех его компонентах – экономическом, социальном и экологическом – сбалансированным и комплексным образом,</w:t>
      </w:r>
    </w:p>
    <w:p w14:paraId="18C1BCD1" w14:textId="77777777" w:rsidR="009E48F4" w:rsidRPr="00125777" w:rsidRDefault="009E48F4" w:rsidP="009E48F4">
      <w:pPr>
        <w:pStyle w:val="SingleTxtG"/>
        <w:ind w:firstLine="567"/>
      </w:pPr>
      <w:r>
        <w:rPr>
          <w:i/>
          <w:iCs/>
        </w:rPr>
        <w:t>выражая обеспокоенность</w:t>
      </w:r>
      <w:r>
        <w:t xml:space="preserve"> в связи с увеличением числа случаев нарушения и ущемления прав человека транснациональными корпорациями и другими коммерческими предприятиями, обращая особое внимание на необходимость обеспечения надлежащей защиты, в том числе судебной и правовой, для тех, чьи права человека были нарушены или ущемлены в результате деятельности таких структур, и особо указывая на тот факт, что эти структуры должны способствовать обеспечению средств осуществления для реализации права на развитие,</w:t>
      </w:r>
    </w:p>
    <w:p w14:paraId="5B75542C" w14:textId="77777777" w:rsidR="009E48F4" w:rsidRPr="00125777" w:rsidRDefault="009E48F4" w:rsidP="009E48F4">
      <w:pPr>
        <w:pStyle w:val="SingleTxtG"/>
        <w:ind w:firstLine="567"/>
      </w:pPr>
      <w:r>
        <w:rPr>
          <w:i/>
          <w:iCs/>
        </w:rPr>
        <w:t>особо отмечая</w:t>
      </w:r>
      <w:r>
        <w:t>, что все права человека и основные свободы, включая право на развитие, являются универсальными, неделимыми, взаимозависимыми и взаимосвязанными,</w:t>
      </w:r>
    </w:p>
    <w:p w14:paraId="3F2B094E" w14:textId="77777777" w:rsidR="009E48F4" w:rsidRPr="00125777" w:rsidRDefault="009E48F4" w:rsidP="009E48F4">
      <w:pPr>
        <w:pStyle w:val="SingleTxtG"/>
        <w:ind w:firstLine="567"/>
      </w:pPr>
      <w:r>
        <w:rPr>
          <w:i/>
          <w:iCs/>
        </w:rPr>
        <w:t>особо отмечая также</w:t>
      </w:r>
      <w:r>
        <w:t>, что осуществление права на развитие имеет принципиальное значение для полной реализации Повестки дня на период до 2030 года и должно занимать центральное место в работе по ее осуществлению,</w:t>
      </w:r>
    </w:p>
    <w:p w14:paraId="7110CFB2" w14:textId="77777777" w:rsidR="009E48F4" w:rsidRPr="00125777" w:rsidRDefault="009E48F4" w:rsidP="009E48F4">
      <w:pPr>
        <w:pStyle w:val="SingleTxtG"/>
        <w:ind w:firstLine="567"/>
      </w:pPr>
      <w:r>
        <w:rPr>
          <w:i/>
          <w:iCs/>
        </w:rPr>
        <w:t>обращая особое внимание</w:t>
      </w:r>
      <w:r>
        <w:t xml:space="preserve"> на то, что для успешного достижения </w:t>
      </w:r>
      <w:r w:rsidR="00150758">
        <w:t xml:space="preserve">Целей </w:t>
      </w:r>
      <w:r>
        <w:t>в области устойчивого развития потребуется укреплять новый, более справедливый и устойчивый национальный и международный порядок, а также поощрять и защищать все права человека и основные свободы,</w:t>
      </w:r>
    </w:p>
    <w:p w14:paraId="2CFCE21E" w14:textId="77777777" w:rsidR="009E48F4" w:rsidRPr="00125777" w:rsidRDefault="009E48F4" w:rsidP="009E48F4">
      <w:pPr>
        <w:pStyle w:val="SingleTxtG"/>
        <w:ind w:firstLine="567"/>
      </w:pPr>
      <w:r>
        <w:rPr>
          <w:i/>
          <w:iCs/>
        </w:rPr>
        <w:t>отмечая</w:t>
      </w:r>
      <w:r>
        <w:t xml:space="preserve"> взятое на себя рядом специализированных учреждений, фондов и программ Организации Объединенных Наций и других международных организаций обязательство превратить право на развитие в реальность для всех и в этой связи настоятельно призывая все соответствующие органы системы Организации Объединенных Наций и другие международные организации учитывать право на развитие в своих целях, стратегиях, программах и оперативной деятельности, а также в процессе развития и связанных с ним процессах, включая последующую деятельность в рамках четвертой Конференции Организации Объединенных Наций по наименее развитым странам,</w:t>
      </w:r>
    </w:p>
    <w:p w14:paraId="7C7B5583" w14:textId="77777777" w:rsidR="009E48F4" w:rsidRPr="00125777" w:rsidRDefault="009E48F4" w:rsidP="009E48F4">
      <w:pPr>
        <w:pStyle w:val="SingleTxtG"/>
        <w:ind w:firstLine="567"/>
      </w:pPr>
      <w:r>
        <w:rPr>
          <w:i/>
          <w:iCs/>
        </w:rPr>
        <w:t>подчеркивая</w:t>
      </w:r>
      <w:r>
        <w:t xml:space="preserve"> главную ответственность государств за создание национальных и международных условий, благоприятствующих реализации права на развитие,</w:t>
      </w:r>
    </w:p>
    <w:p w14:paraId="228C80C5" w14:textId="77777777" w:rsidR="009E48F4" w:rsidRPr="00125777" w:rsidRDefault="009E48F4" w:rsidP="009E48F4">
      <w:pPr>
        <w:pStyle w:val="SingleTxtG"/>
        <w:ind w:firstLine="567"/>
      </w:pPr>
      <w:r>
        <w:rPr>
          <w:i/>
          <w:iCs/>
        </w:rPr>
        <w:t>признавая</w:t>
      </w:r>
      <w:r>
        <w:t>, что государства-члены должны сотрудничать друг с другом в обеспечении развития и устранении сохраняющихся препятствий на пути развития, что международное сообщество должно содействовать эффективному международному сотрудничеству, в частности глобальному партнерству в интересах развития, в деле реализации права на развитие и устранения препятствий на пути развития и что для долговременного прогресса в осуществлении права на развитие требуются эффективные стратегии развития на национальном уровне, справедливые экономические отношения и благоприятный экономический климат на международном уровне,</w:t>
      </w:r>
    </w:p>
    <w:p w14:paraId="0334DAEA" w14:textId="77777777" w:rsidR="009E48F4" w:rsidRPr="00125777" w:rsidRDefault="009E48F4" w:rsidP="009E48F4">
      <w:pPr>
        <w:pStyle w:val="SingleTxtG"/>
        <w:ind w:firstLine="567"/>
      </w:pPr>
      <w:r>
        <w:rPr>
          <w:i/>
          <w:iCs/>
        </w:rPr>
        <w:t>настоятельно призывая</w:t>
      </w:r>
      <w:r>
        <w:t xml:space="preserve"> все государства-члены принимать конструктивное участие в обсуждениях в интересах полного осуществления Декларации о праве на развитие, с тем чтобы выйти из политического тупика, возникшего в Рабочей группе по праву на развитие,</w:t>
      </w:r>
    </w:p>
    <w:p w14:paraId="1DBEF237" w14:textId="77777777" w:rsidR="009E48F4" w:rsidRPr="00125777" w:rsidRDefault="009E48F4" w:rsidP="009E48F4">
      <w:pPr>
        <w:pStyle w:val="SingleTxtG"/>
        <w:ind w:firstLine="567"/>
      </w:pPr>
      <w:r>
        <w:rPr>
          <w:i/>
          <w:iCs/>
        </w:rPr>
        <w:t>вновь подтверждая</w:t>
      </w:r>
      <w:r>
        <w:t>, что празднование годовщин со дня принятия Декларации о праве на развитие открывает перед международным сообществом уникальную возможность демонстрировать и вновь подтверждать свою безоговорочную приверженность праву на развитие, признавая при этом то важное место, которое оно заслуженно занимает, и удваивая свои усилия по осуществлению этого права,</w:t>
      </w:r>
    </w:p>
    <w:p w14:paraId="415EEC18" w14:textId="77777777" w:rsidR="009E48F4" w:rsidRPr="00125777" w:rsidRDefault="009E48F4" w:rsidP="009E48F4">
      <w:pPr>
        <w:pStyle w:val="SingleTxtG"/>
        <w:ind w:firstLine="567"/>
      </w:pPr>
      <w:r>
        <w:rPr>
          <w:i/>
          <w:iCs/>
        </w:rPr>
        <w:t>подчеркивая</w:t>
      </w:r>
      <w:r>
        <w:t>, что в резолюции 48/141 Генеральной Ассамблеи от 20 декабря 1993 года Ассамблея постановила, что в обязанности Верховного комиссара Организации Объединенных Наций по правам человека входят, в частности, содействие и защита реализации права на развитие, а также обеспечение более активной поддержки усилий в этой области со стороны соответствующих органов системы Организации Объединенных Наций,</w:t>
      </w:r>
    </w:p>
    <w:p w14:paraId="71942377" w14:textId="77777777" w:rsidR="009E48F4" w:rsidRPr="00125777" w:rsidRDefault="009E48F4" w:rsidP="009E48F4">
      <w:pPr>
        <w:pStyle w:val="SingleTxtG"/>
        <w:ind w:firstLine="567"/>
      </w:pPr>
      <w:r>
        <w:rPr>
          <w:i/>
          <w:iCs/>
        </w:rPr>
        <w:lastRenderedPageBreak/>
        <w:t>признавая</w:t>
      </w:r>
      <w:r>
        <w:t xml:space="preserve"> потребность в независимых взглядах и экспертных рекомендациях, укрепляющих деятельность Рабочей группы по праву на развитие и поддерживающих усилия государств-членов по реализации в полном объеме права на развитие, в том числе в контексте достижения </w:t>
      </w:r>
      <w:r w:rsidR="00150758">
        <w:t xml:space="preserve">Целей </w:t>
      </w:r>
      <w:r>
        <w:t>в области устойчивого развития,</w:t>
      </w:r>
    </w:p>
    <w:p w14:paraId="5B2188C3" w14:textId="77777777" w:rsidR="009E48F4" w:rsidRPr="00125777" w:rsidRDefault="009E48F4" w:rsidP="009E48F4">
      <w:pPr>
        <w:pStyle w:val="SingleTxtG"/>
        <w:ind w:firstLine="567"/>
      </w:pPr>
      <w:r>
        <w:rPr>
          <w:i/>
          <w:iCs/>
        </w:rPr>
        <w:t>приветствуя</w:t>
      </w:r>
      <w:r>
        <w:t xml:space="preserve"> состоявшиеся на двадцатой сессии Рабочей группы по праву на развитие обсуждения по вопросу о том, каким образом имеющий обязательную юридическую силу документ позволит превратить право на развитие в реальность для всех путем создания на национальном и международном уровнях условий, благоприятствующих его реализации, и путем отмены любых мер, которые могут негативно сказаться на осуществлении права на развитие, согласно Уставу, Декларации о праве на развитие и другим соответствующим международным договорам и документам,</w:t>
      </w:r>
    </w:p>
    <w:p w14:paraId="3088767C" w14:textId="77777777" w:rsidR="009E48F4" w:rsidRPr="00125777" w:rsidRDefault="009E48F4" w:rsidP="009E48F4">
      <w:pPr>
        <w:pStyle w:val="SingleTxtG"/>
        <w:ind w:firstLine="567"/>
      </w:pPr>
      <w:r>
        <w:rPr>
          <w:i/>
          <w:iCs/>
        </w:rPr>
        <w:t>вновь подтверждая</w:t>
      </w:r>
      <w:r>
        <w:t xml:space="preserve"> резолюции Совета по правам человека 5/1 об институциональном строительстве Совета и 5/2 о кодексе поведения мандатариев специальных процедур Совета от 18 июня 2007 года и подчеркивая, что мандатарии должны выполнять свои обязанности в соответствии с этими резолюциями и приложениями к ним,</w:t>
      </w:r>
    </w:p>
    <w:p w14:paraId="7E363E1F" w14:textId="77777777" w:rsidR="009E48F4" w:rsidRPr="00125777" w:rsidRDefault="009E48F4" w:rsidP="009E48F4">
      <w:pPr>
        <w:pStyle w:val="SingleTxtG"/>
        <w:ind w:firstLine="567"/>
        <w:rPr>
          <w:iCs/>
        </w:rPr>
      </w:pPr>
      <w:r>
        <w:t>1.</w:t>
      </w:r>
      <w:r>
        <w:tab/>
      </w:r>
      <w:r>
        <w:rPr>
          <w:i/>
          <w:iCs/>
        </w:rPr>
        <w:t xml:space="preserve">вновь подтверждает </w:t>
      </w:r>
      <w:r>
        <w:t>свою приверженность делу обеспечения эффективного учета права на развитие в своей работе и работе своего механизма на систематической и транспарентной основе;</w:t>
      </w:r>
    </w:p>
    <w:p w14:paraId="01FA2B9E" w14:textId="77777777" w:rsidR="009E48F4" w:rsidRPr="00125777" w:rsidRDefault="009E48F4" w:rsidP="009E48F4">
      <w:pPr>
        <w:pStyle w:val="SingleTxtG"/>
        <w:ind w:firstLine="567"/>
      </w:pPr>
      <w:r>
        <w:t>2.</w:t>
      </w:r>
      <w:r>
        <w:tab/>
      </w:r>
      <w:r>
        <w:rPr>
          <w:i/>
          <w:iCs/>
        </w:rPr>
        <w:t xml:space="preserve">приветствует </w:t>
      </w:r>
      <w:r>
        <w:t>сводный доклад Генерального секретаря и Верховного комиссара Организации Объединенных Наций по правам человека по вопросу о праве на развитие</w:t>
      </w:r>
      <w:r w:rsidRPr="00571D02">
        <w:rPr>
          <w:sz w:val="18"/>
          <w:szCs w:val="18"/>
          <w:vertAlign w:val="superscript"/>
        </w:rPr>
        <w:footnoteReference w:id="4"/>
      </w:r>
      <w:r>
        <w:t>;</w:t>
      </w:r>
    </w:p>
    <w:p w14:paraId="756805B7" w14:textId="77777777" w:rsidR="009E48F4" w:rsidRPr="00125777" w:rsidRDefault="009E48F4" w:rsidP="009E48F4">
      <w:pPr>
        <w:pStyle w:val="SingleTxtG"/>
        <w:ind w:firstLine="567"/>
      </w:pPr>
      <w:r>
        <w:t>3.</w:t>
      </w:r>
      <w:r>
        <w:tab/>
      </w:r>
      <w:r>
        <w:rPr>
          <w:i/>
          <w:iCs/>
        </w:rPr>
        <w:t>просит</w:t>
      </w:r>
      <w:r>
        <w:t xml:space="preserve"> Верховного комиссара продолжать представлять Совету по правам человека ежегодный доклад о деятельности Управления Верховного комиссара, в том числе о межучрежденческой координации в рамках системы Организации Объединенных Наций, которая имеет непосредственное отношение к реализации права на развитие, давать анализ реализации этого права, принимая во внимание существующие вызовы в деле реализации права на развитие, выносить рекомендации в отношении того, как на них отвечать, и вносить конкретные предложения в поддержку усилий Рабочей группы по праву на развитие по выполнению возложенного на нее мандата;</w:t>
      </w:r>
    </w:p>
    <w:p w14:paraId="32B03BF7" w14:textId="77777777" w:rsidR="009E48F4" w:rsidRPr="00125777" w:rsidRDefault="009E48F4" w:rsidP="009E48F4">
      <w:pPr>
        <w:pStyle w:val="SingleTxtG"/>
        <w:ind w:firstLine="567"/>
      </w:pPr>
      <w:r>
        <w:t>4.</w:t>
      </w:r>
      <w:r>
        <w:tab/>
      </w:r>
      <w:r>
        <w:rPr>
          <w:i/>
          <w:iCs/>
        </w:rPr>
        <w:t>настоятельно призывает</w:t>
      </w:r>
      <w:r>
        <w:t xml:space="preserve"> Верховного комиссара при выполнении возложенных на нее обязанностей продолжать усилия по расширению поддержки поощрения и защиты реализации права на развитие с учетом Декларации о праве на развитие, всех резолюций Генеральной Ассамблеи, Комиссии по правам человека и Совета по правам человека о праве на развитие и согласованных выводов и рекомендаций Рабочей группы по праву на развитие;</w:t>
      </w:r>
    </w:p>
    <w:p w14:paraId="2DF92E4D" w14:textId="77777777" w:rsidR="009E48F4" w:rsidRPr="00125777" w:rsidRDefault="009E48F4" w:rsidP="009E48F4">
      <w:pPr>
        <w:pStyle w:val="SingleTxtG"/>
        <w:ind w:firstLine="567"/>
      </w:pPr>
      <w:r>
        <w:t>5.</w:t>
      </w:r>
      <w:r>
        <w:tab/>
      </w:r>
      <w:r>
        <w:rPr>
          <w:i/>
          <w:iCs/>
        </w:rPr>
        <w:t>просит</w:t>
      </w:r>
      <w:r>
        <w:t xml:space="preserve"> Управление Верховного комиссара в процессе осуществления Декларации о праве на развитие принимать достаточные меры по обеспечению сбалансированного и заметного выделения ресурсов и уделения должного внимания повышению уровня информированности о праве на развитие путем подготовки и осуществления значимых проектов, посвященных праву на развитие, в сотрудничестве со Специальным докладчиком по вопросу о праве на развитие, и регулярно представлять Совету по правам человека обновленную информацию по этим вопросам;</w:t>
      </w:r>
    </w:p>
    <w:p w14:paraId="4B7202F5" w14:textId="77777777" w:rsidR="009E48F4" w:rsidRPr="00125777" w:rsidRDefault="009E48F4" w:rsidP="009E48F4">
      <w:pPr>
        <w:pStyle w:val="SingleTxtG"/>
        <w:ind w:firstLine="567"/>
      </w:pPr>
      <w:r>
        <w:t>6.</w:t>
      </w:r>
      <w:r>
        <w:tab/>
      </w:r>
      <w:r>
        <w:rPr>
          <w:i/>
          <w:iCs/>
        </w:rPr>
        <w:t>признает</w:t>
      </w:r>
      <w:r>
        <w:t xml:space="preserve"> необходимость возобновления усилий по активизации обсуждений в рамках Рабочей группы по праву на развитие с целью обеспечить скорейшее выполнение ею своего мандата, сформулированного Комиссией по правам человека в ее резолюции 1998/72 и Советом по правам человека в его резолюции 4/4;</w:t>
      </w:r>
    </w:p>
    <w:p w14:paraId="6FE859AD" w14:textId="77777777" w:rsidR="009E48F4" w:rsidRPr="00125777" w:rsidRDefault="009E48F4" w:rsidP="009E48F4">
      <w:pPr>
        <w:pStyle w:val="SingleTxtG"/>
        <w:ind w:firstLine="567"/>
      </w:pPr>
      <w:r>
        <w:t>7.</w:t>
      </w:r>
      <w:r>
        <w:tab/>
      </w:r>
      <w:r>
        <w:rPr>
          <w:i/>
          <w:iCs/>
        </w:rPr>
        <w:t>подтверждает</w:t>
      </w:r>
      <w:r>
        <w:t xml:space="preserve"> необходимость усилий по обеспечению более широкого признания, практического осуществления и реализации права на развитие на </w:t>
      </w:r>
      <w:r>
        <w:lastRenderedPageBreak/>
        <w:t>международном уровне, настоятельно призывая все государства разработать на национальном уровне необходимую политику и принять меры, необходимые для осуществления права на развитие как неотъемлемой части всех прав человека и основных свобод;</w:t>
      </w:r>
    </w:p>
    <w:p w14:paraId="3FC53889" w14:textId="77777777" w:rsidR="009E48F4" w:rsidRPr="00125777" w:rsidRDefault="009E48F4" w:rsidP="009E48F4">
      <w:pPr>
        <w:pStyle w:val="SingleTxtG"/>
        <w:ind w:firstLine="567"/>
      </w:pPr>
      <w:r>
        <w:t>8.</w:t>
      </w:r>
      <w:r>
        <w:tab/>
      </w:r>
      <w:r>
        <w:rPr>
          <w:i/>
          <w:iCs/>
        </w:rPr>
        <w:t>приветствует</w:t>
      </w:r>
      <w:r>
        <w:t xml:space="preserve"> все торжественные мероприятия в ознаменование годовщин Декларации о праве на развитие, в частности состоявшиеся в 2016 году торжественные мероприятия в ознаменование ее тридцатой годовщины, в том числе ежегодное обсуждение в рамках дискуссионной группы высокого уровня вопроса об учете прав человека по теме «Повестка дня в области устойчивого развития на период до 2030 года и права человека с особым акцентом на право на развитие» в ходе тридцать первой сессии Совета по правам человека, обсуждение в рамках дискуссионной группы вопросов поощрения и защиты права на развитие на тридцать второй сессии Совета и обсуждения в ходе этапа заседаний высокого уровня Генеральной Ассамблеи в связи с тридцатой годовщиной Декларации, состоявшиеся на семьдесят первой сессии Ассамблеи, которые открыли перед государствами-членами уникальную возможность продемонстрировать и подтвердить свою политическую приверженность, уделить праву на развитие то большое внимание, которого оно заслуживает, и удвоить свои усилия, направленные на реализацию права на развитие;</w:t>
      </w:r>
      <w:bookmarkStart w:id="1" w:name="_Hlk19362499"/>
      <w:bookmarkEnd w:id="1"/>
    </w:p>
    <w:p w14:paraId="0C16AED3" w14:textId="77777777" w:rsidR="009E48F4" w:rsidRPr="00125777" w:rsidRDefault="009E48F4" w:rsidP="009E48F4">
      <w:pPr>
        <w:pStyle w:val="SingleTxtG"/>
        <w:ind w:firstLine="567"/>
      </w:pPr>
      <w:r>
        <w:t>9.</w:t>
      </w:r>
      <w:r>
        <w:tab/>
      </w:r>
      <w:r>
        <w:rPr>
          <w:i/>
          <w:iCs/>
        </w:rPr>
        <w:t>приветствует также</w:t>
      </w:r>
      <w:r>
        <w:t xml:space="preserve"> доклад Председателя-докладчика Рабочей группы по праву на развитие о работе ее двадцатой сессии</w:t>
      </w:r>
      <w:r w:rsidRPr="00571D02">
        <w:rPr>
          <w:sz w:val="18"/>
          <w:szCs w:val="18"/>
          <w:vertAlign w:val="superscript"/>
        </w:rPr>
        <w:footnoteReference w:id="5"/>
      </w:r>
      <w:r>
        <w:t>;</w:t>
      </w:r>
    </w:p>
    <w:p w14:paraId="5D3D79F7" w14:textId="77777777" w:rsidR="009E48F4" w:rsidRPr="00125777" w:rsidRDefault="009E48F4" w:rsidP="009E48F4">
      <w:pPr>
        <w:pStyle w:val="SingleTxtG"/>
        <w:ind w:firstLine="567"/>
      </w:pPr>
      <w:r>
        <w:t>10.</w:t>
      </w:r>
      <w:r>
        <w:tab/>
      </w:r>
      <w:r>
        <w:rPr>
          <w:i/>
          <w:iCs/>
        </w:rPr>
        <w:t>подчеркивает</w:t>
      </w:r>
      <w:r>
        <w:t xml:space="preserve"> важность основных принципов, которые изложены в выводах Рабочей группы по праву на развитие, сформулированных на ее третьей сессии</w:t>
      </w:r>
      <w:r>
        <w:rPr>
          <w:rStyle w:val="aa"/>
        </w:rPr>
        <w:footnoteReference w:id="6"/>
      </w:r>
      <w:r>
        <w:t>, и созвучны таким целям международных договоров по правам человека, как равенство, недискриминация, подотчетность, участие и международное сотрудничество, в качестве критически значимого элемента для учета права на развитие на национальном и международном уровнях, и особо указывает на важность принципов равноправия и транспарентности;</w:t>
      </w:r>
    </w:p>
    <w:p w14:paraId="1A7CE41B" w14:textId="77777777" w:rsidR="009E48F4" w:rsidRPr="00125777" w:rsidRDefault="009E48F4" w:rsidP="009E48F4">
      <w:pPr>
        <w:pStyle w:val="SingleTxtG"/>
        <w:ind w:firstLine="567"/>
      </w:pPr>
      <w:r>
        <w:t>11.</w:t>
      </w:r>
      <w:r>
        <w:tab/>
      </w:r>
      <w:r>
        <w:rPr>
          <w:i/>
          <w:iCs/>
        </w:rPr>
        <w:t>подчеркивает также</w:t>
      </w:r>
      <w:r>
        <w:t xml:space="preserve"> важность выполнения мандата Рабочей группы по праву на развитие и признает необходимость возобновления усилий по выходу из политического тупика, в котором находится сейчас Рабочая группа, и выполнения как можно скорее ее мандата, возложенного на нее Комиссией по правам человека в ее резолюции 1998/72 и Советом по правам человека в его резолюциях 4/4 и 39/9;</w:t>
      </w:r>
    </w:p>
    <w:p w14:paraId="44479E73" w14:textId="77777777" w:rsidR="009E48F4" w:rsidRPr="00125777" w:rsidRDefault="009E48F4" w:rsidP="009E48F4">
      <w:pPr>
        <w:pStyle w:val="SingleTxtG"/>
        <w:ind w:firstLine="567"/>
      </w:pPr>
      <w:r>
        <w:t>12.</w:t>
      </w:r>
      <w:r>
        <w:tab/>
      </w:r>
      <w:r>
        <w:rPr>
          <w:i/>
          <w:iCs/>
        </w:rPr>
        <w:t>приветствует</w:t>
      </w:r>
      <w:r>
        <w:t xml:space="preserve"> переизбрание Председателя-докладчика Рабочей группы по праву на развитие и его компетентное руководство обсуждениями в ходе двадцатой сессии и с нетерпением ожидает представления проекта имеющего обязательную юридическую силу документа о праве на развитие, как это предусмотрено Советом по правам человека в его резолюции 39/9;</w:t>
      </w:r>
      <w:bookmarkStart w:id="2" w:name="_Hlk19355779"/>
      <w:bookmarkEnd w:id="2"/>
    </w:p>
    <w:p w14:paraId="0A9675ED" w14:textId="77777777" w:rsidR="009E48F4" w:rsidRPr="00125777" w:rsidRDefault="009E48F4" w:rsidP="009E48F4">
      <w:pPr>
        <w:pStyle w:val="SingleTxtG"/>
        <w:ind w:firstLine="567"/>
      </w:pPr>
      <w:r>
        <w:t>13.</w:t>
      </w:r>
      <w:r>
        <w:tab/>
      </w:r>
      <w:r>
        <w:rPr>
          <w:i/>
          <w:iCs/>
        </w:rPr>
        <w:t xml:space="preserve">принимает к сведению </w:t>
      </w:r>
      <w:r>
        <w:t>представленный Рабочей группе на ее девятнадцатой сессии доклад о своде стандартов по осуществлению права на развитие, подготовленный Председателем-докладчиком Рабочей группы</w:t>
      </w:r>
      <w:r w:rsidRPr="00571D02">
        <w:rPr>
          <w:sz w:val="18"/>
          <w:szCs w:val="18"/>
          <w:vertAlign w:val="superscript"/>
        </w:rPr>
        <w:footnoteReference w:id="7"/>
      </w:r>
      <w:r>
        <w:t>, который служит полезной основой для дальнейших обсуждений вопроса об осуществлении и реализации права на развитие;</w:t>
      </w:r>
    </w:p>
    <w:p w14:paraId="4936B7E6" w14:textId="77777777" w:rsidR="009E48F4" w:rsidRPr="00125777" w:rsidRDefault="009E48F4" w:rsidP="009E48F4">
      <w:pPr>
        <w:pStyle w:val="SingleTxtG"/>
        <w:ind w:firstLine="567"/>
      </w:pPr>
      <w:r>
        <w:t>14.</w:t>
      </w:r>
      <w:r>
        <w:tab/>
      </w:r>
      <w:r>
        <w:rPr>
          <w:i/>
          <w:iCs/>
        </w:rPr>
        <w:t>отмечает</w:t>
      </w:r>
      <w:r>
        <w:t xml:space="preserve"> подготовленный секретариатом документ, который содержит представленные правительствами, группами правительств, региональными группами и заинтересованными сторонами замечания и соображения относительно критериев и оперативных подкритериев права на развитие</w:t>
      </w:r>
      <w:r w:rsidRPr="00571D02">
        <w:rPr>
          <w:sz w:val="18"/>
          <w:szCs w:val="18"/>
          <w:vertAlign w:val="superscript"/>
        </w:rPr>
        <w:footnoteReference w:id="8"/>
      </w:r>
      <w:r>
        <w:t>;</w:t>
      </w:r>
    </w:p>
    <w:p w14:paraId="5339D23D" w14:textId="77777777" w:rsidR="009E48F4" w:rsidRPr="00125777" w:rsidRDefault="009E48F4" w:rsidP="009E48F4">
      <w:pPr>
        <w:pStyle w:val="SingleTxtG"/>
        <w:ind w:firstLine="567"/>
      </w:pPr>
      <w:r>
        <w:t>15.</w:t>
      </w:r>
      <w:r>
        <w:tab/>
      </w:r>
      <w:r>
        <w:rPr>
          <w:i/>
          <w:iCs/>
        </w:rPr>
        <w:t>с признательностью отмечает</w:t>
      </w:r>
      <w:r>
        <w:t xml:space="preserve"> предложение Движения неприсоединившихся стран в отношении свода стандартов, касающегося </w:t>
      </w:r>
      <w:r>
        <w:lastRenderedPageBreak/>
        <w:t>осуществления и реализации права на развитие</w:t>
      </w:r>
      <w:r w:rsidRPr="00231EA4">
        <w:rPr>
          <w:vertAlign w:val="superscript"/>
        </w:rPr>
        <w:footnoteReference w:id="9"/>
      </w:r>
      <w:r>
        <w:t>, и дополнительные материалы к нему, направленные на окончательную доработку критериев и подкритериев права на развитие</w:t>
      </w:r>
      <w:r w:rsidRPr="00231EA4">
        <w:rPr>
          <w:vertAlign w:val="superscript"/>
        </w:rPr>
        <w:footnoteReference w:id="10"/>
      </w:r>
      <w:r>
        <w:t xml:space="preserve">; </w:t>
      </w:r>
    </w:p>
    <w:p w14:paraId="6C434646" w14:textId="77777777" w:rsidR="009E48F4" w:rsidRPr="00125777" w:rsidRDefault="009E48F4" w:rsidP="009E48F4">
      <w:pPr>
        <w:pStyle w:val="SingleTxtG"/>
        <w:ind w:firstLine="567"/>
      </w:pPr>
      <w:r>
        <w:t>16.</w:t>
      </w:r>
      <w:r>
        <w:tab/>
      </w:r>
      <w:r>
        <w:rPr>
          <w:i/>
          <w:iCs/>
        </w:rPr>
        <w:t>просит</w:t>
      </w:r>
      <w:r>
        <w:t xml:space="preserve"> Верховного комиссара привлечь экспертов и содействовать их участию в двадцать первой сессии Рабочей группы по праву на развитие, выносить рекомендации в качестве вклада в обсуждение вопросов разработки проекта имеющего обязательную юридическую силу документа о праве на развитие в рамках осуществления и реализации права на развитие, включая последствия, связанные с Повесткой дня на период до 2030 года, и ожидает возможного взаимодействия Рабочей группы с политическим форумом высокого уровня по вопросам устойчивого развития;</w:t>
      </w:r>
    </w:p>
    <w:p w14:paraId="6BEBDCA5" w14:textId="77777777" w:rsidR="009E48F4" w:rsidRPr="00125777" w:rsidRDefault="009E48F4" w:rsidP="009E48F4">
      <w:pPr>
        <w:pStyle w:val="SingleTxtG"/>
        <w:ind w:firstLine="567"/>
      </w:pPr>
      <w:r>
        <w:t>17.</w:t>
      </w:r>
      <w:r>
        <w:tab/>
      </w:r>
      <w:r>
        <w:rPr>
          <w:i/>
          <w:iCs/>
        </w:rPr>
        <w:t>приветствует</w:t>
      </w:r>
      <w:r>
        <w:t xml:space="preserve"> доклад Специального докладчика по вопросу о праве на развитие</w:t>
      </w:r>
      <w:r w:rsidRPr="00571D02">
        <w:rPr>
          <w:sz w:val="18"/>
          <w:szCs w:val="18"/>
          <w:vertAlign w:val="superscript"/>
        </w:rPr>
        <w:footnoteReference w:id="11"/>
      </w:r>
      <w:r>
        <w:t xml:space="preserve"> и просит его и впредь уделять особое внимание осуществлению права на развитие, которое способствует пользованию правами человека в полном объеме, в соответствии с его мандатом; </w:t>
      </w:r>
    </w:p>
    <w:p w14:paraId="527C9176" w14:textId="77777777" w:rsidR="009E48F4" w:rsidRPr="00125777" w:rsidRDefault="009E48F4" w:rsidP="009E48F4">
      <w:pPr>
        <w:pStyle w:val="SingleTxtG"/>
        <w:ind w:firstLine="567"/>
      </w:pPr>
      <w:r>
        <w:t>18.</w:t>
      </w:r>
      <w:r>
        <w:tab/>
      </w:r>
      <w:r>
        <w:rPr>
          <w:i/>
          <w:iCs/>
        </w:rPr>
        <w:t>подчеркивает,</w:t>
      </w:r>
      <w:r>
        <w:t xml:space="preserve"> что сотрудничество Юг–Юг не подменяет собой, а дополняет сотрудничество Север–Юг и, следовательно, не должно приводить к сокращению масштабов сотрудничества Север–Юг или препятствовать прогрессу в выполнении существующих обязательств по оказанию официальной помощи в целях развития, и призывает государства-члены и другие соответствующие заинтересованные стороны обеспечивать учет права на развитие при разработке, финансировании и осуществлении процессов сотрудничества;</w:t>
      </w:r>
    </w:p>
    <w:p w14:paraId="0FE54EE3" w14:textId="77777777" w:rsidR="009E48F4" w:rsidRPr="00125777" w:rsidRDefault="009E48F4" w:rsidP="009E48F4">
      <w:pPr>
        <w:pStyle w:val="SingleTxtG"/>
        <w:ind w:firstLine="567"/>
      </w:pPr>
      <w:r>
        <w:t>19.</w:t>
      </w:r>
      <w:r>
        <w:tab/>
      </w:r>
      <w:r>
        <w:rPr>
          <w:i/>
          <w:iCs/>
        </w:rPr>
        <w:t>приветствует</w:t>
      </w:r>
      <w:r>
        <w:t xml:space="preserve"> работу Специального докладчика по вопросу о праве на развитие, в частности консультации с государствами и региональные консультации, уже проведенные Специальным докладчиком по вопросу об осуществлении права на развитие; </w:t>
      </w:r>
    </w:p>
    <w:p w14:paraId="6B1006F8" w14:textId="77777777" w:rsidR="009E48F4" w:rsidRPr="00125777" w:rsidRDefault="009E48F4" w:rsidP="009E48F4">
      <w:pPr>
        <w:pStyle w:val="SingleTxtG"/>
        <w:ind w:firstLine="567"/>
      </w:pPr>
      <w:r>
        <w:t>20.</w:t>
      </w:r>
      <w:r>
        <w:tab/>
      </w:r>
      <w:r>
        <w:rPr>
          <w:i/>
          <w:iCs/>
        </w:rPr>
        <w:t>постановляет</w:t>
      </w:r>
      <w:r>
        <w:t>:</w:t>
      </w:r>
    </w:p>
    <w:p w14:paraId="60E85440" w14:textId="77777777" w:rsidR="009E48F4" w:rsidRPr="00125777" w:rsidRDefault="009E48F4" w:rsidP="009E48F4">
      <w:pPr>
        <w:pStyle w:val="SingleTxtG"/>
        <w:ind w:firstLine="567"/>
      </w:pPr>
      <w:r>
        <w:t>а)</w:t>
      </w:r>
      <w:r>
        <w:tab/>
        <w:t xml:space="preserve">продолжать принимать меры к тому, чтобы его повестка дня способствовала и благоприятствовала устойчивому развитию и достижению остающихся </w:t>
      </w:r>
      <w:r w:rsidR="00B847A7">
        <w:t xml:space="preserve">Целей </w:t>
      </w:r>
      <w:r>
        <w:t xml:space="preserve">в области развития, провозглашенных в Декларации тысячелетия, а также </w:t>
      </w:r>
      <w:r w:rsidR="00150758">
        <w:t xml:space="preserve">Целей </w:t>
      </w:r>
      <w:r>
        <w:t>в области устойчивого развития, и в этой связи добиваться того, чтобы право на развитие, закрепленное в пунктах 5 и 10 Венской декларации и Программы действий, заняло свое место на том же уровне и в том же ряду, что и все другие права человека и основные свободы;</w:t>
      </w:r>
    </w:p>
    <w:p w14:paraId="4BF4F457" w14:textId="77777777" w:rsidR="009E48F4" w:rsidRPr="00125777" w:rsidRDefault="009E48F4" w:rsidP="009E48F4">
      <w:pPr>
        <w:pStyle w:val="SingleTxtG"/>
        <w:ind w:firstLine="567"/>
      </w:pPr>
      <w:r>
        <w:t>b)</w:t>
      </w:r>
      <w:r>
        <w:tab/>
        <w:t>одобрить рекомендации Рабочей группы по праву на развитие, принятые на ее двадцатой сессии</w:t>
      </w:r>
      <w:r>
        <w:rPr>
          <w:rStyle w:val="aa"/>
        </w:rPr>
        <w:footnoteReference w:id="12"/>
      </w:r>
      <w:r>
        <w:t>;</w:t>
      </w:r>
    </w:p>
    <w:p w14:paraId="0F4E8653" w14:textId="77777777" w:rsidR="009E48F4" w:rsidRPr="00125777" w:rsidRDefault="009E48F4" w:rsidP="009E48F4">
      <w:pPr>
        <w:pStyle w:val="SingleTxtG"/>
        <w:ind w:firstLine="567"/>
      </w:pPr>
      <w:r>
        <w:t>c)</w:t>
      </w:r>
      <w:r>
        <w:tab/>
        <w:t xml:space="preserve">что Рабочая группа будет принимать во внимание все резолюции о праве на развитие, в частности резолюции Совета по правам человека 9/3, 36/9 от 28 сентября 2017 года и 39/9; </w:t>
      </w:r>
    </w:p>
    <w:p w14:paraId="5283D406" w14:textId="77777777" w:rsidR="009E48F4" w:rsidRPr="00125777" w:rsidRDefault="009E48F4" w:rsidP="009E48F4">
      <w:pPr>
        <w:pStyle w:val="SingleTxtG"/>
        <w:ind w:firstLine="567"/>
      </w:pPr>
      <w:r>
        <w:t>d)</w:t>
      </w:r>
      <w:r>
        <w:tab/>
        <w:t xml:space="preserve">что Рабочая группа предложит Специальному докладчику по вопросу о праве на развитие, в консультации с государствами-членами, представить свои соображения о деятельности Рабочей группы и соответствующих пунктах ее повестки дня на ее двадцать первой сессии; </w:t>
      </w:r>
    </w:p>
    <w:p w14:paraId="2669DB06" w14:textId="77777777" w:rsidR="009E48F4" w:rsidRPr="00125777" w:rsidRDefault="009E48F4" w:rsidP="009E48F4">
      <w:pPr>
        <w:pStyle w:val="SingleTxtG"/>
        <w:ind w:firstLine="567"/>
      </w:pPr>
      <w:r>
        <w:t>e)</w:t>
      </w:r>
      <w:r>
        <w:tab/>
        <w:t>что Председатель-докладчик Рабочей группы представит на ее двадцать первой сессии проект имеющего обязательную юридическую силу документа на основе обсуждений, состоявшихся в ходе двадцатой сессии Рабочей группы, и справочных материалов с предыдущих сессий Рабочей группы, который будет служить основой для предметных переговоров по проекту имеющего обязательную юридическую силу документа;</w:t>
      </w:r>
    </w:p>
    <w:p w14:paraId="46043DC9" w14:textId="77777777" w:rsidR="009E48F4" w:rsidRPr="00125777" w:rsidRDefault="009E48F4" w:rsidP="009E48F4">
      <w:pPr>
        <w:pStyle w:val="SingleTxtG"/>
        <w:ind w:firstLine="567"/>
      </w:pPr>
      <w:r>
        <w:lastRenderedPageBreak/>
        <w:t>f)</w:t>
      </w:r>
      <w:r>
        <w:tab/>
        <w:t>что Председатель-докладчик Рабочей группы проведет дальнейшие консультации со всеми государствами-членами, международными организациями, Специальным докладчиком по вопросу о праве на развитие, Управлением Верховного комиссара, учреждениями, региональными экономическими комиссиями и другими соответствующими организациями Организации Объединенных Наций по вопросу о разработке проекта имеющего обязательную юридическую силу документа с учетом обсуждений, состоявшихся на двадцатой сессии Рабочей группы, и выступлений приглашенных на нее экспертов;</w:t>
      </w:r>
    </w:p>
    <w:p w14:paraId="2BC3223C" w14:textId="77777777" w:rsidR="009E48F4" w:rsidRPr="00125777" w:rsidRDefault="009E48F4" w:rsidP="009E48F4">
      <w:pPr>
        <w:pStyle w:val="SingleTxtG"/>
        <w:ind w:firstLine="567"/>
      </w:pPr>
      <w:r>
        <w:t>g)</w:t>
      </w:r>
      <w:r>
        <w:tab/>
        <w:t>что Рабочая группа на ее двадцать первой сессии приступит к разработке проекта имеющего обязательную юридическую силу документа о праве на развитие на основе проекта, подготовленного Председателем-докладчиком в рамках коллективного взаимодействия;</w:t>
      </w:r>
    </w:p>
    <w:p w14:paraId="780525F2" w14:textId="77777777" w:rsidR="009E48F4" w:rsidRPr="00125777" w:rsidRDefault="009E48F4" w:rsidP="009E48F4">
      <w:pPr>
        <w:pStyle w:val="SingleTxtG"/>
        <w:ind w:firstLine="567"/>
      </w:pPr>
      <w:r>
        <w:t>21.</w:t>
      </w:r>
      <w:r>
        <w:tab/>
      </w:r>
      <w:r>
        <w:rPr>
          <w:i/>
          <w:iCs/>
        </w:rPr>
        <w:t>приветствует</w:t>
      </w:r>
      <w:r>
        <w:t xml:space="preserve"> работу Консультативного комитета Совета по правам человека по подготовке основанного на результатах исследования доклада по вопросу о важности принятия имеющего обязательную юридическую силу документа о праве на развитие и ожидает, что этот доклад будет представлен Совету на его сорок пятой сессии; </w:t>
      </w:r>
    </w:p>
    <w:p w14:paraId="788DA00F" w14:textId="77777777" w:rsidR="009E48F4" w:rsidRPr="00125777" w:rsidRDefault="009E48F4" w:rsidP="009E48F4">
      <w:pPr>
        <w:pStyle w:val="SingleTxtG"/>
        <w:ind w:firstLine="567"/>
      </w:pPr>
      <w:r>
        <w:t>22.</w:t>
      </w:r>
      <w:r>
        <w:tab/>
      </w:r>
      <w:r>
        <w:rPr>
          <w:i/>
          <w:iCs/>
        </w:rPr>
        <w:t>постановляет</w:t>
      </w:r>
      <w:r>
        <w:t xml:space="preserve"> продлить на три года мандат Специального докладчика по вопросу о праве на развитие в соответствии с положениями, изложенными в резолюции 33/14 Совета по правам человека от 29 сентября 2016 года;</w:t>
      </w:r>
    </w:p>
    <w:p w14:paraId="6C42560F" w14:textId="77777777" w:rsidR="009E48F4" w:rsidRPr="00125777" w:rsidRDefault="009E48F4" w:rsidP="009E48F4">
      <w:pPr>
        <w:pStyle w:val="SingleTxtG"/>
        <w:ind w:firstLine="567"/>
      </w:pPr>
      <w:r>
        <w:t>23.</w:t>
      </w:r>
      <w:r>
        <w:tab/>
      </w:r>
      <w:r>
        <w:rPr>
          <w:i/>
          <w:iCs/>
        </w:rPr>
        <w:t>просит</w:t>
      </w:r>
      <w:r>
        <w:t xml:space="preserve"> Управление Верховного комиссара продолжать уделять первоочередное внимание вопросу о праве на развитие, продолжать работу в этой области при всестороннем сотрудничестве со Специальным докладчиком по различным направлениям его деятельности и впредь оказывать Специальному докладчику любую помощь, необходимую для эффективного выполнения им своего мандата;</w:t>
      </w:r>
    </w:p>
    <w:p w14:paraId="47EC6BF8" w14:textId="77777777" w:rsidR="009E48F4" w:rsidRPr="00125777" w:rsidRDefault="009E48F4" w:rsidP="009E48F4">
      <w:pPr>
        <w:pStyle w:val="SingleTxtG"/>
        <w:ind w:firstLine="567"/>
      </w:pPr>
      <w:r>
        <w:t>24.</w:t>
      </w:r>
      <w:r>
        <w:tab/>
      </w:r>
      <w:r>
        <w:rPr>
          <w:i/>
          <w:iCs/>
        </w:rPr>
        <w:t>призывает</w:t>
      </w:r>
      <w:r>
        <w:t xml:space="preserve"> все правительства сотрудничать со Специальным докладчиком и помогать ему в решении поставленных перед ним задач, предоставлять запрашиваемую мандатарием любую необходимую информацию, если она имеется в наличии, и положительно реагировать на его просьбы о посещении их стран, с тем чтобы он мог эффективно выполнять свой мандат;</w:t>
      </w:r>
    </w:p>
    <w:p w14:paraId="53F6DFEF" w14:textId="77777777" w:rsidR="009E48F4" w:rsidRPr="00231EA4" w:rsidRDefault="009E48F4" w:rsidP="009E48F4">
      <w:pPr>
        <w:pStyle w:val="SingleTxtG"/>
        <w:ind w:firstLine="567"/>
      </w:pPr>
      <w:r>
        <w:t>25.</w:t>
      </w:r>
      <w:r>
        <w:tab/>
      </w:r>
      <w:r>
        <w:rPr>
          <w:i/>
          <w:iCs/>
        </w:rPr>
        <w:t xml:space="preserve">просит </w:t>
      </w:r>
      <w:r>
        <w:t xml:space="preserve">Специального докладчика участвовать в соответствующих международных диалогах и форумах по вопросам политики, касающихся осуществления Повестки дня на период до 2030 года, включая политический форум высокого уровня по вопросам устойчивого развития, финансирования в целях развития, изменения климата и снижения риска бедствий, для более полного учета права на развитие в рамках этих форумов и диалогов и просит государства-члены, международные организации, учреждения и региональные экономические комиссии и другие соответствующие организации Организации Объединенных Наций содействовать содержательному участию Специального докладчика в этих форумах и диалогах; </w:t>
      </w:r>
    </w:p>
    <w:p w14:paraId="40F9C1AB" w14:textId="77777777" w:rsidR="009E48F4" w:rsidRPr="00125777" w:rsidRDefault="009E48F4" w:rsidP="009E48F4">
      <w:pPr>
        <w:pStyle w:val="SingleTxtG"/>
        <w:ind w:firstLine="567"/>
      </w:pPr>
      <w:r>
        <w:t>26.</w:t>
      </w:r>
      <w:r>
        <w:tab/>
      </w:r>
      <w:r>
        <w:rPr>
          <w:i/>
          <w:iCs/>
        </w:rPr>
        <w:t>предлагает</w:t>
      </w:r>
      <w:r>
        <w:t xml:space="preserve"> Специальному докладчику оказывать государствам, международным финансовым и экономическим учреждениям и другим соответствующим структурам, корпоративному сектору и гражданскому обществу консультационную помощь в вопросах, касающихся мер по достижению целей и целевых показателей в связи со средствами осуществления Повестки дня на период до 2030 года, в интересах полной реализации права на развитие; </w:t>
      </w:r>
    </w:p>
    <w:p w14:paraId="4887A1E6" w14:textId="77777777" w:rsidR="009E48F4" w:rsidRPr="00125777" w:rsidRDefault="009E48F4" w:rsidP="009E48F4">
      <w:pPr>
        <w:pStyle w:val="SingleTxtG"/>
        <w:ind w:firstLine="567"/>
      </w:pPr>
      <w:r>
        <w:t>27.</w:t>
      </w:r>
      <w:r>
        <w:tab/>
      </w:r>
      <w:r>
        <w:rPr>
          <w:i/>
          <w:iCs/>
        </w:rPr>
        <w:t xml:space="preserve">постановляет </w:t>
      </w:r>
      <w:r>
        <w:t>организовывать начиная со своей сорок пятой сессии раз в два года обсуждение в рамках дискуссионной группы вопроса о праве на развитие с участием государств-членов, соответствующих органов</w:t>
      </w:r>
      <w:r w:rsidRPr="00A37AB0">
        <w:t xml:space="preserve"> </w:t>
      </w:r>
      <w:r>
        <w:t xml:space="preserve">и учреждений Организации Объединенных Наций и других соответствующих заинтересованных сторон, просит конференционные службы сделать это проводимое раз в два года обсуждение полностью доступным для лиц с инвалидностью, в том числе обеспечить наличие переводчиков жестового языка, и просит Управление Верховного комиссара </w:t>
      </w:r>
      <w:r>
        <w:lastRenderedPageBreak/>
        <w:t>подготовить доклад об этом обсуждении в рамках дискуссионной группы и представить его Совету по правам человека на его сорок шестой сессии;</w:t>
      </w:r>
    </w:p>
    <w:p w14:paraId="165ADA29" w14:textId="77777777" w:rsidR="009E48F4" w:rsidRPr="00125777" w:rsidRDefault="009E48F4" w:rsidP="009E48F4">
      <w:pPr>
        <w:pStyle w:val="SingleTxtG"/>
        <w:ind w:firstLine="567"/>
      </w:pPr>
      <w:r>
        <w:t>28.</w:t>
      </w:r>
      <w:r>
        <w:tab/>
      </w:r>
      <w:r>
        <w:rPr>
          <w:i/>
          <w:iCs/>
        </w:rPr>
        <w:t>просит</w:t>
      </w:r>
      <w:r>
        <w:t xml:space="preserve"> все специальные процедуры и другие правозащитные механизмы Совета по правам человека регулярно и систематически учитывать при выполнении своего мандата аспекты, связанные с правом на развитие;</w:t>
      </w:r>
    </w:p>
    <w:p w14:paraId="3670160F" w14:textId="77777777" w:rsidR="009E48F4" w:rsidRPr="00125777" w:rsidRDefault="009E48F4" w:rsidP="009E48F4">
      <w:pPr>
        <w:pStyle w:val="SingleTxtG"/>
        <w:ind w:firstLine="567"/>
      </w:pPr>
      <w:r>
        <w:t>29.</w:t>
      </w:r>
      <w:r>
        <w:tab/>
      </w:r>
      <w:r>
        <w:rPr>
          <w:i/>
          <w:iCs/>
        </w:rPr>
        <w:t>постановляет</w:t>
      </w:r>
      <w:r>
        <w:t xml:space="preserve"> в целях оказания помощи Совету по правам человека в осуществлении права на развитие создать вспомогательный экспертный механизм, обеспечивающий Совет тематической экспертизы по праву на развитие в целях поиска, выявления и распространения передовой практики среди государств-членов и содействия осуществлению права на развитие во всем мире;</w:t>
      </w:r>
    </w:p>
    <w:p w14:paraId="050B1C03" w14:textId="77777777" w:rsidR="009E48F4" w:rsidRPr="00125777" w:rsidRDefault="009E48F4" w:rsidP="009E48F4">
      <w:pPr>
        <w:pStyle w:val="SingleTxtG"/>
        <w:ind w:firstLine="567"/>
      </w:pPr>
      <w:r>
        <w:t>30.</w:t>
      </w:r>
      <w:r>
        <w:tab/>
      </w:r>
      <w:r>
        <w:rPr>
          <w:i/>
          <w:iCs/>
        </w:rPr>
        <w:t>постановляет также</w:t>
      </w:r>
      <w:r>
        <w:t xml:space="preserve">, что экспертный механизм будет состоять из пяти независимых экспертов, отбор которых осуществляется в соответствии с процедурой, установленной в пунктах 39–53 приложения к резолюции 5/1 Совета по правам человека; </w:t>
      </w:r>
    </w:p>
    <w:p w14:paraId="163E5B69" w14:textId="77777777" w:rsidR="009E48F4" w:rsidRPr="00125777" w:rsidRDefault="009E48F4" w:rsidP="009E48F4">
      <w:pPr>
        <w:pStyle w:val="SingleTxtG"/>
        <w:ind w:firstLine="567"/>
      </w:pPr>
      <w:r>
        <w:t>31.</w:t>
      </w:r>
      <w:r>
        <w:tab/>
      </w:r>
      <w:r>
        <w:rPr>
          <w:i/>
          <w:iCs/>
        </w:rPr>
        <w:t>постановляет далее</w:t>
      </w:r>
      <w:r>
        <w:t xml:space="preserve">, что члены экспертного механизма избираются на трехлетний срок и могут быть переизбраны еще на один срок; </w:t>
      </w:r>
    </w:p>
    <w:p w14:paraId="71458716" w14:textId="77777777" w:rsidR="009E48F4" w:rsidRPr="00125777" w:rsidRDefault="009E48F4" w:rsidP="009E48F4">
      <w:pPr>
        <w:pStyle w:val="SingleTxtG"/>
        <w:ind w:firstLine="567"/>
      </w:pPr>
      <w:r>
        <w:t>32.</w:t>
      </w:r>
      <w:r>
        <w:tab/>
      </w:r>
      <w:r w:rsidRPr="00654E24">
        <w:rPr>
          <w:i/>
        </w:rPr>
        <w:t>постановляет</w:t>
      </w:r>
      <w:r>
        <w:t>, что экспертный механизм будет ежегодно представлять Совету по правам человека доклад о своей работе, после чего будет проводиться интерактивный диалог с Советом;</w:t>
      </w:r>
    </w:p>
    <w:p w14:paraId="135C3CD3" w14:textId="77777777" w:rsidR="009E48F4" w:rsidRPr="00125777" w:rsidRDefault="009E48F4" w:rsidP="009E48F4">
      <w:pPr>
        <w:pStyle w:val="SingleTxtG"/>
        <w:ind w:firstLine="567"/>
      </w:pPr>
      <w:r>
        <w:t>33.</w:t>
      </w:r>
      <w:r>
        <w:tab/>
      </w:r>
      <w:r>
        <w:rPr>
          <w:i/>
          <w:iCs/>
        </w:rPr>
        <w:t>постановляет также</w:t>
      </w:r>
      <w:r>
        <w:t>, что экспертный механизм будет собираться один раз в год на три дня в Женеве и один раз в год на три дня в Нью-Йорке и что сессии могут состоять из открытых и закрытых заседаний;</w:t>
      </w:r>
    </w:p>
    <w:p w14:paraId="5496186F" w14:textId="77777777" w:rsidR="009E48F4" w:rsidRPr="00125777" w:rsidRDefault="009E48F4" w:rsidP="009E48F4">
      <w:pPr>
        <w:pStyle w:val="SingleTxtG"/>
      </w:pPr>
      <w:r>
        <w:tab/>
      </w:r>
      <w:r>
        <w:tab/>
        <w:t>34.</w:t>
      </w:r>
      <w:r>
        <w:tab/>
      </w:r>
      <w:r>
        <w:rPr>
          <w:i/>
          <w:iCs/>
        </w:rPr>
        <w:t>постановляет далее</w:t>
      </w:r>
      <w:r>
        <w:t xml:space="preserve">, что ежегодное совещание экспертного механизма должно быть открытым для участия в качестве наблюдателей государств, механизмов, органов и специализированных учреждений, фондов и программ Организации Объединенных Наций, межправительственных организаций, региональных организаций и механизмов в области прав человека, национальных правозащитных учреждений и других </w:t>
      </w:r>
      <w:r w:rsidRPr="009E48F4">
        <w:t>соответствующих</w:t>
      </w:r>
      <w:r>
        <w:t xml:space="preserve"> национальных органов, ученых и экспертов по вопросам развития и неправительственных организаций, имеющих консультативный статус при Экономическом и Социальном Совете;</w:t>
      </w:r>
    </w:p>
    <w:p w14:paraId="1D34337E" w14:textId="77777777" w:rsidR="009E48F4" w:rsidRPr="00125777" w:rsidRDefault="009E48F4" w:rsidP="009E48F4">
      <w:pPr>
        <w:pStyle w:val="SingleTxtG"/>
        <w:ind w:firstLine="567"/>
      </w:pPr>
      <w:r>
        <w:t>35.</w:t>
      </w:r>
      <w:r>
        <w:tab/>
      </w:r>
      <w:r>
        <w:rPr>
          <w:i/>
          <w:iCs/>
        </w:rPr>
        <w:t>призывает</w:t>
      </w:r>
      <w:r>
        <w:t xml:space="preserve"> соответствующие органы системы Организации Объединенных Наций, включая фонды, программы и специализированные учреждения Организации Объединенных Наций, согласно возложенным на них мандатам, соответствующие международные организации, включая Всемирную торговую организацию, и соответствующие заинтересованные стороны, в том числе организации гражданского общества, уделять должное внимание праву на развитие при осуществлении Повестки дня в области устойчивого развития на период до </w:t>
      </w:r>
      <w:r>
        <w:br/>
        <w:t>2030 года, вносить дальнейший вклад в деятельность Рабочей группы по праву на развитие и сотрудничать с Верховным комиссаром и Специальным докладчиком в деле выполнения их мандатов применительно к осуществлению права на развитие;</w:t>
      </w:r>
    </w:p>
    <w:p w14:paraId="76A82217" w14:textId="77777777" w:rsidR="009E48F4" w:rsidRPr="00125777" w:rsidRDefault="009E48F4" w:rsidP="009E48F4">
      <w:pPr>
        <w:pStyle w:val="SingleTxtG"/>
        <w:ind w:firstLine="567"/>
      </w:pPr>
      <w:r>
        <w:t>36.</w:t>
      </w:r>
      <w:r>
        <w:tab/>
      </w:r>
      <w:r>
        <w:rPr>
          <w:i/>
          <w:iCs/>
        </w:rPr>
        <w:t>постановляет</w:t>
      </w:r>
      <w:r>
        <w:t xml:space="preserve"> рассматривать вопрос о ходе осуществления настоящей резолюции в качестве приоритетного на своих будущих сессиях.</w:t>
      </w:r>
    </w:p>
    <w:p w14:paraId="2B30CAD6" w14:textId="77777777" w:rsidR="009E48F4" w:rsidRPr="000335D6" w:rsidRDefault="009E48F4" w:rsidP="009E48F4">
      <w:pPr>
        <w:pStyle w:val="SingleTxtG"/>
        <w:ind w:firstLine="567"/>
        <w:jc w:val="right"/>
        <w:rPr>
          <w:i/>
        </w:rPr>
      </w:pPr>
      <w:r>
        <w:rPr>
          <w:i/>
        </w:rPr>
        <w:t>40</w:t>
      </w:r>
      <w:r w:rsidRPr="000335D6">
        <w:rPr>
          <w:i/>
        </w:rPr>
        <w:t>-е заседание</w:t>
      </w:r>
      <w:r w:rsidRPr="000335D6">
        <w:rPr>
          <w:i/>
        </w:rPr>
        <w:br/>
        <w:t>2</w:t>
      </w:r>
      <w:r>
        <w:rPr>
          <w:i/>
        </w:rPr>
        <w:t>7</w:t>
      </w:r>
      <w:r w:rsidRPr="000335D6">
        <w:rPr>
          <w:i/>
        </w:rPr>
        <w:t xml:space="preserve"> </w:t>
      </w:r>
      <w:r>
        <w:rPr>
          <w:i/>
        </w:rPr>
        <w:t>сентября</w:t>
      </w:r>
      <w:r w:rsidRPr="000335D6">
        <w:rPr>
          <w:i/>
        </w:rPr>
        <w:t xml:space="preserve"> 201</w:t>
      </w:r>
      <w:r>
        <w:rPr>
          <w:i/>
        </w:rPr>
        <w:t>9</w:t>
      </w:r>
      <w:r w:rsidRPr="000335D6">
        <w:rPr>
          <w:i/>
        </w:rPr>
        <w:t xml:space="preserve"> года</w:t>
      </w:r>
    </w:p>
    <w:p w14:paraId="09E23E99" w14:textId="77777777" w:rsidR="009E48F4" w:rsidRPr="000335D6" w:rsidRDefault="009E48F4" w:rsidP="009E48F4">
      <w:pPr>
        <w:keepNext/>
        <w:keepLines/>
        <w:spacing w:after="120"/>
        <w:ind w:left="1134" w:right="1134"/>
        <w:jc w:val="both"/>
        <w:rPr>
          <w:rFonts w:eastAsia="SimSun"/>
          <w:lang w:eastAsia="ar-SA"/>
        </w:rPr>
      </w:pPr>
      <w:r w:rsidRPr="000335D6">
        <w:rPr>
          <w:rFonts w:eastAsia="SimSun"/>
          <w:lang w:eastAsia="ar-SA"/>
        </w:rPr>
        <w:t>[</w:t>
      </w:r>
      <w:r w:rsidRPr="000335D6">
        <w:rPr>
          <w:rFonts w:eastAsia="Times New Roman" w:cs="Times New Roman"/>
          <w:szCs w:val="20"/>
        </w:rPr>
        <w:t>Принята в результате заносимого в отчет о заседании голосования</w:t>
      </w:r>
      <w:r w:rsidRPr="000335D6">
        <w:rPr>
          <w:rFonts w:eastAsia="SimSun"/>
          <w:lang w:eastAsia="ar-SA"/>
        </w:rPr>
        <w:t xml:space="preserve"> 27 </w:t>
      </w:r>
      <w:r w:rsidRPr="000335D6">
        <w:rPr>
          <w:rFonts w:eastAsia="Times New Roman" w:cs="Times New Roman"/>
          <w:szCs w:val="20"/>
        </w:rPr>
        <w:t>голосами против</w:t>
      </w:r>
      <w:r w:rsidRPr="000335D6">
        <w:rPr>
          <w:rFonts w:eastAsia="SimSun"/>
          <w:lang w:eastAsia="ar-SA"/>
        </w:rPr>
        <w:t xml:space="preserve"> 1</w:t>
      </w:r>
      <w:r>
        <w:rPr>
          <w:rFonts w:eastAsia="SimSun"/>
          <w:lang w:eastAsia="ar-SA"/>
        </w:rPr>
        <w:t>3</w:t>
      </w:r>
      <w:r w:rsidRPr="000335D6">
        <w:rPr>
          <w:rFonts w:eastAsia="SimSun"/>
          <w:lang w:eastAsia="ar-SA"/>
        </w:rPr>
        <w:t xml:space="preserve"> при </w:t>
      </w:r>
      <w:r>
        <w:rPr>
          <w:rFonts w:eastAsia="SimSun"/>
          <w:lang w:eastAsia="ar-SA"/>
        </w:rPr>
        <w:t>7</w:t>
      </w:r>
      <w:r w:rsidRPr="000335D6">
        <w:rPr>
          <w:rFonts w:eastAsia="SimSun"/>
          <w:lang w:eastAsia="ar-SA"/>
        </w:rPr>
        <w:t xml:space="preserve"> </w:t>
      </w:r>
      <w:r w:rsidRPr="000335D6">
        <w:rPr>
          <w:rFonts w:eastAsia="Times New Roman" w:cs="Times New Roman"/>
          <w:szCs w:val="20"/>
        </w:rPr>
        <w:t>воздержавшихся</w:t>
      </w:r>
      <w:r w:rsidRPr="000335D6">
        <w:rPr>
          <w:rFonts w:eastAsia="SimSun" w:cs="Times New Roman"/>
          <w:szCs w:val="20"/>
          <w:lang w:eastAsia="ar-SA"/>
        </w:rPr>
        <w:t xml:space="preserve">. </w:t>
      </w:r>
      <w:r w:rsidRPr="000335D6">
        <w:rPr>
          <w:rFonts w:eastAsia="Times New Roman" w:cs="Times New Roman"/>
          <w:szCs w:val="20"/>
        </w:rPr>
        <w:t>Голоса распределились следующим образом</w:t>
      </w:r>
      <w:r w:rsidRPr="000335D6">
        <w:rPr>
          <w:rFonts w:eastAsia="SimSun"/>
          <w:lang w:eastAsia="ar-SA"/>
        </w:rPr>
        <w:t xml:space="preserve">: </w:t>
      </w:r>
    </w:p>
    <w:p w14:paraId="478838AA" w14:textId="77777777" w:rsidR="009E48F4" w:rsidRPr="000335D6" w:rsidRDefault="009E48F4" w:rsidP="009E48F4">
      <w:pPr>
        <w:keepNext/>
        <w:keepLines/>
        <w:ind w:left="1701" w:right="1134"/>
        <w:jc w:val="both"/>
        <w:rPr>
          <w:rFonts w:eastAsia="SimSun"/>
          <w:i/>
          <w:lang w:eastAsia="ar-SA"/>
        </w:rPr>
      </w:pPr>
      <w:r w:rsidRPr="000335D6">
        <w:rPr>
          <w:rFonts w:eastAsia="SimSun" w:cs="Times New Roman"/>
          <w:i/>
          <w:szCs w:val="20"/>
          <w:lang w:eastAsia="ar-SA"/>
        </w:rPr>
        <w:t>Голосовали за</w:t>
      </w:r>
      <w:r w:rsidRPr="000335D6">
        <w:rPr>
          <w:rFonts w:eastAsia="SimSun"/>
          <w:lang w:eastAsia="ar-SA"/>
        </w:rPr>
        <w:t>:</w:t>
      </w:r>
      <w:r w:rsidRPr="000335D6">
        <w:rPr>
          <w:rFonts w:eastAsia="SimSun"/>
          <w:i/>
          <w:lang w:eastAsia="ar-SA"/>
        </w:rPr>
        <w:t xml:space="preserve"> </w:t>
      </w:r>
    </w:p>
    <w:p w14:paraId="4FF2BDBB" w14:textId="77777777" w:rsidR="009E48F4" w:rsidRPr="000335D6" w:rsidRDefault="009E48F4" w:rsidP="009E48F4">
      <w:pPr>
        <w:spacing w:after="120"/>
        <w:ind w:left="2268" w:right="1134"/>
        <w:jc w:val="both"/>
        <w:rPr>
          <w:rFonts w:eastAsia="SimSun"/>
          <w:lang w:eastAsia="ar-SA"/>
        </w:rPr>
      </w:pPr>
      <w:r w:rsidRPr="000335D6">
        <w:rPr>
          <w:lang w:eastAsia="ar-SA"/>
        </w:rPr>
        <w:t>Ангола</w:t>
      </w:r>
      <w:r w:rsidRPr="000335D6">
        <w:rPr>
          <w:rFonts w:eastAsia="SimSun"/>
          <w:lang w:eastAsia="ar-SA"/>
        </w:rPr>
        <w:t xml:space="preserve">, </w:t>
      </w:r>
      <w:r>
        <w:rPr>
          <w:rFonts w:eastAsia="SimSun"/>
          <w:lang w:eastAsia="ar-SA"/>
        </w:rPr>
        <w:t xml:space="preserve">Афганистан, Багамские Острова, Бангладеш, Бахрейн, </w:t>
      </w:r>
      <w:r w:rsidRPr="000335D6">
        <w:rPr>
          <w:lang w:eastAsia="ar-SA"/>
        </w:rPr>
        <w:t>Бур</w:t>
      </w:r>
      <w:r>
        <w:rPr>
          <w:lang w:eastAsia="ar-SA"/>
        </w:rPr>
        <w:t>кина-Фасо</w:t>
      </w:r>
      <w:r w:rsidRPr="000335D6">
        <w:rPr>
          <w:lang w:eastAsia="ar-SA"/>
        </w:rPr>
        <w:t>, Демократическая Республика Конго</w:t>
      </w:r>
      <w:r w:rsidRPr="000335D6">
        <w:rPr>
          <w:rFonts w:eastAsia="SimSun"/>
          <w:lang w:eastAsia="ar-SA"/>
        </w:rPr>
        <w:t xml:space="preserve">, </w:t>
      </w:r>
      <w:r w:rsidRPr="000335D6">
        <w:rPr>
          <w:lang w:eastAsia="ar-SA"/>
        </w:rPr>
        <w:t xml:space="preserve">Египет, </w:t>
      </w:r>
      <w:r>
        <w:rPr>
          <w:lang w:eastAsia="ar-SA"/>
        </w:rPr>
        <w:t>Индия, И</w:t>
      </w:r>
      <w:r w:rsidRPr="000335D6">
        <w:rPr>
          <w:rFonts w:eastAsia="SimSun"/>
          <w:lang w:eastAsia="ar-SA"/>
        </w:rPr>
        <w:t xml:space="preserve">рак, </w:t>
      </w:r>
      <w:r>
        <w:rPr>
          <w:rFonts w:eastAsia="SimSun"/>
          <w:lang w:eastAsia="ar-SA"/>
        </w:rPr>
        <w:t xml:space="preserve">Камерун, </w:t>
      </w:r>
      <w:r w:rsidRPr="000335D6">
        <w:rPr>
          <w:lang w:eastAsia="ar-SA"/>
        </w:rPr>
        <w:t>Катар</w:t>
      </w:r>
      <w:r w:rsidRPr="000335D6">
        <w:rPr>
          <w:rFonts w:eastAsia="SimSun"/>
          <w:lang w:eastAsia="ar-SA"/>
        </w:rPr>
        <w:t xml:space="preserve">, </w:t>
      </w:r>
      <w:r w:rsidRPr="000335D6">
        <w:rPr>
          <w:lang w:eastAsia="ar-SA"/>
        </w:rPr>
        <w:t>Китай, Куба</w:t>
      </w:r>
      <w:r w:rsidRPr="000335D6">
        <w:rPr>
          <w:rFonts w:eastAsia="SimSun"/>
          <w:lang w:eastAsia="ar-SA"/>
        </w:rPr>
        <w:t>,</w:t>
      </w:r>
      <w:r w:rsidRPr="000335D6">
        <w:rPr>
          <w:lang w:eastAsia="ar-SA"/>
        </w:rPr>
        <w:t xml:space="preserve"> Непал, Нигерия, Пакистан</w:t>
      </w:r>
      <w:r w:rsidRPr="000335D6">
        <w:rPr>
          <w:rFonts w:eastAsia="SimSun"/>
          <w:lang w:eastAsia="ar-SA"/>
        </w:rPr>
        <w:t xml:space="preserve">, Руанда, </w:t>
      </w:r>
      <w:r w:rsidRPr="000335D6">
        <w:rPr>
          <w:lang w:eastAsia="ar-SA"/>
        </w:rPr>
        <w:t>Саудовская Аравия, Сенегал</w:t>
      </w:r>
      <w:r w:rsidRPr="000335D6">
        <w:rPr>
          <w:rFonts w:eastAsia="SimSun"/>
          <w:lang w:eastAsia="ar-SA"/>
        </w:rPr>
        <w:t xml:space="preserve">, </w:t>
      </w:r>
      <w:r>
        <w:rPr>
          <w:rFonts w:eastAsia="SimSun"/>
          <w:lang w:eastAsia="ar-SA"/>
        </w:rPr>
        <w:t xml:space="preserve">Сомали, </w:t>
      </w:r>
      <w:r w:rsidRPr="000335D6">
        <w:rPr>
          <w:rFonts w:eastAsia="SimSun"/>
          <w:lang w:eastAsia="ar-SA"/>
        </w:rPr>
        <w:t xml:space="preserve">Того, </w:t>
      </w:r>
      <w:r>
        <w:rPr>
          <w:rFonts w:eastAsia="SimSun"/>
          <w:lang w:eastAsia="ar-SA"/>
        </w:rPr>
        <w:t xml:space="preserve">Тунис, Фиджи, </w:t>
      </w:r>
      <w:r w:rsidRPr="000335D6">
        <w:rPr>
          <w:lang w:eastAsia="ar-SA"/>
        </w:rPr>
        <w:t>Филиппины, Э</w:t>
      </w:r>
      <w:r>
        <w:rPr>
          <w:lang w:eastAsia="ar-SA"/>
        </w:rPr>
        <w:t>ритрея</w:t>
      </w:r>
      <w:r w:rsidRPr="000335D6">
        <w:rPr>
          <w:lang w:eastAsia="ar-SA"/>
        </w:rPr>
        <w:t>, Южная Африка</w:t>
      </w:r>
      <w:r w:rsidRPr="000335D6">
        <w:rPr>
          <w:rFonts w:eastAsia="SimSun"/>
          <w:lang w:eastAsia="ar-SA"/>
        </w:rPr>
        <w:t xml:space="preserve">. </w:t>
      </w:r>
    </w:p>
    <w:p w14:paraId="2E657EF5" w14:textId="77777777" w:rsidR="009E48F4" w:rsidRDefault="009E48F4" w:rsidP="009E48F4">
      <w:pPr>
        <w:spacing w:line="240" w:lineRule="auto"/>
        <w:rPr>
          <w:rFonts w:eastAsia="SimSun" w:cs="Times New Roman"/>
          <w:i/>
          <w:szCs w:val="20"/>
          <w:lang w:eastAsia="ar-SA"/>
        </w:rPr>
      </w:pPr>
    </w:p>
    <w:p w14:paraId="06C4568C" w14:textId="77777777" w:rsidR="009E48F4" w:rsidRPr="000335D6" w:rsidRDefault="009E48F4" w:rsidP="009E48F4">
      <w:pPr>
        <w:ind w:left="1701" w:right="1134"/>
        <w:jc w:val="both"/>
        <w:rPr>
          <w:rFonts w:eastAsia="SimSun"/>
          <w:i/>
          <w:lang w:eastAsia="ar-SA"/>
        </w:rPr>
      </w:pPr>
      <w:r w:rsidRPr="000335D6">
        <w:rPr>
          <w:rFonts w:eastAsia="SimSun" w:cs="Times New Roman"/>
          <w:i/>
          <w:szCs w:val="20"/>
          <w:lang w:eastAsia="ar-SA"/>
        </w:rPr>
        <w:lastRenderedPageBreak/>
        <w:t>Голосовали против</w:t>
      </w:r>
      <w:r w:rsidRPr="000335D6">
        <w:rPr>
          <w:rFonts w:eastAsia="SimSun"/>
          <w:lang w:eastAsia="ar-SA"/>
        </w:rPr>
        <w:t>:</w:t>
      </w:r>
      <w:r w:rsidRPr="000335D6">
        <w:rPr>
          <w:rFonts w:eastAsia="SimSun"/>
          <w:i/>
          <w:lang w:eastAsia="ar-SA"/>
        </w:rPr>
        <w:t xml:space="preserve"> </w:t>
      </w:r>
    </w:p>
    <w:p w14:paraId="3538EEA9" w14:textId="77777777" w:rsidR="009E48F4" w:rsidRPr="000335D6" w:rsidRDefault="009E48F4" w:rsidP="009E48F4">
      <w:pPr>
        <w:spacing w:after="120"/>
        <w:ind w:left="2268" w:right="1134"/>
        <w:jc w:val="both"/>
        <w:rPr>
          <w:rFonts w:eastAsia="SimSun"/>
          <w:lang w:eastAsia="ar-SA"/>
        </w:rPr>
      </w:pPr>
      <w:r w:rsidRPr="000335D6">
        <w:rPr>
          <w:rFonts w:eastAsia="SimSun"/>
          <w:lang w:eastAsia="ar-SA"/>
        </w:rPr>
        <w:t xml:space="preserve">Австралия, </w:t>
      </w:r>
      <w:r>
        <w:rPr>
          <w:rFonts w:eastAsia="SimSun"/>
          <w:lang w:eastAsia="ar-SA"/>
        </w:rPr>
        <w:t>Австрия, Болгария,</w:t>
      </w:r>
      <w:r w:rsidRPr="000335D6">
        <w:rPr>
          <w:rFonts w:eastAsia="SimSun"/>
          <w:lang w:eastAsia="ar-SA"/>
        </w:rPr>
        <w:t xml:space="preserve"> Венгрия, </w:t>
      </w:r>
      <w:r>
        <w:rPr>
          <w:rFonts w:eastAsia="SimSun"/>
          <w:lang w:eastAsia="ar-SA"/>
        </w:rPr>
        <w:t xml:space="preserve">Дания, </w:t>
      </w:r>
      <w:r w:rsidRPr="000335D6">
        <w:rPr>
          <w:lang w:eastAsia="ar-SA"/>
        </w:rPr>
        <w:t>Испания</w:t>
      </w:r>
      <w:r w:rsidRPr="000335D6">
        <w:rPr>
          <w:rFonts w:eastAsia="SimSun"/>
          <w:lang w:eastAsia="ar-SA"/>
        </w:rPr>
        <w:t xml:space="preserve">, </w:t>
      </w:r>
      <w:r>
        <w:rPr>
          <w:rFonts w:eastAsia="SimSun"/>
          <w:lang w:eastAsia="ar-SA"/>
        </w:rPr>
        <w:t xml:space="preserve">Италия, </w:t>
      </w:r>
      <w:r w:rsidRPr="000335D6">
        <w:rPr>
          <w:rFonts w:eastAsia="SimSun"/>
          <w:lang w:eastAsia="ar-SA"/>
        </w:rPr>
        <w:t xml:space="preserve">Словакия, </w:t>
      </w:r>
      <w:r w:rsidRPr="000335D6">
        <w:rPr>
          <w:lang w:eastAsia="ar-SA"/>
        </w:rPr>
        <w:t>Соединенное Королевство Великобритании и Северной Ирландии</w:t>
      </w:r>
      <w:r w:rsidRPr="000335D6">
        <w:rPr>
          <w:rFonts w:eastAsia="SimSun"/>
          <w:lang w:eastAsia="ar-SA"/>
        </w:rPr>
        <w:t xml:space="preserve">, Украина, Хорватия, </w:t>
      </w:r>
      <w:r>
        <w:rPr>
          <w:rFonts w:eastAsia="SimSun"/>
          <w:lang w:eastAsia="ar-SA"/>
        </w:rPr>
        <w:t>Чехия, Япония</w:t>
      </w:r>
      <w:r w:rsidRPr="000335D6">
        <w:rPr>
          <w:rFonts w:eastAsia="SimSun"/>
          <w:lang w:eastAsia="ar-SA"/>
        </w:rPr>
        <w:t xml:space="preserve">. </w:t>
      </w:r>
    </w:p>
    <w:p w14:paraId="64288CE7" w14:textId="77777777" w:rsidR="009E48F4" w:rsidRPr="00E02B6A" w:rsidRDefault="009E48F4" w:rsidP="009E48F4">
      <w:pPr>
        <w:ind w:left="1701" w:right="1134"/>
        <w:jc w:val="both"/>
        <w:rPr>
          <w:rFonts w:eastAsia="SimSun"/>
          <w:i/>
          <w:lang w:eastAsia="ar-SA"/>
        </w:rPr>
      </w:pPr>
      <w:r w:rsidRPr="000335D6">
        <w:rPr>
          <w:i/>
          <w:lang w:eastAsia="ar-SA"/>
        </w:rPr>
        <w:t>Воздержались</w:t>
      </w:r>
      <w:r w:rsidRPr="00E02B6A">
        <w:rPr>
          <w:rFonts w:eastAsia="SimSun"/>
          <w:lang w:eastAsia="ar-SA"/>
        </w:rPr>
        <w:t>:</w:t>
      </w:r>
      <w:r w:rsidRPr="00E02B6A">
        <w:rPr>
          <w:rFonts w:eastAsia="SimSun"/>
          <w:i/>
          <w:lang w:eastAsia="ar-SA"/>
        </w:rPr>
        <w:t xml:space="preserve"> </w:t>
      </w:r>
    </w:p>
    <w:p w14:paraId="02B26D03" w14:textId="77777777" w:rsidR="009E48F4" w:rsidRPr="00E02B6A" w:rsidRDefault="009E48F4" w:rsidP="009E48F4">
      <w:pPr>
        <w:pStyle w:val="SingleTxtG"/>
        <w:ind w:left="1701" w:firstLine="567"/>
        <w:rPr>
          <w:rFonts w:eastAsia="SimSun"/>
          <w:lang w:eastAsia="ar-SA"/>
        </w:rPr>
      </w:pPr>
      <w:r>
        <w:rPr>
          <w:lang w:eastAsia="ar-SA"/>
        </w:rPr>
        <w:t xml:space="preserve">Аргентина, </w:t>
      </w:r>
      <w:r w:rsidRPr="000335D6">
        <w:rPr>
          <w:lang w:eastAsia="ar-SA"/>
        </w:rPr>
        <w:t>Бразилия</w:t>
      </w:r>
      <w:r w:rsidRPr="000335D6">
        <w:rPr>
          <w:rFonts w:eastAsia="SimSun"/>
          <w:lang w:eastAsia="ar-SA"/>
        </w:rPr>
        <w:t>,</w:t>
      </w:r>
      <w:r>
        <w:rPr>
          <w:rFonts w:eastAsia="SimSun"/>
          <w:lang w:eastAsia="ar-SA"/>
        </w:rPr>
        <w:t xml:space="preserve"> Исландия, </w:t>
      </w:r>
      <w:r w:rsidRPr="000335D6">
        <w:rPr>
          <w:rFonts w:eastAsia="SimSun"/>
          <w:lang w:eastAsia="ar-SA"/>
        </w:rPr>
        <w:t>Мексика, Перу</w:t>
      </w:r>
      <w:r>
        <w:rPr>
          <w:rFonts w:eastAsia="SimSun"/>
          <w:lang w:eastAsia="ar-SA"/>
        </w:rPr>
        <w:t>, Уругвай, Чили</w:t>
      </w:r>
      <w:r w:rsidR="00503183" w:rsidRPr="00E22AA0">
        <w:rPr>
          <w:rFonts w:eastAsia="SimSun"/>
          <w:lang w:eastAsia="ar-SA"/>
        </w:rPr>
        <w:t>.</w:t>
      </w:r>
      <w:r w:rsidRPr="00E02B6A">
        <w:rPr>
          <w:rFonts w:eastAsia="SimSun"/>
          <w:lang w:eastAsia="ar-SA"/>
        </w:rPr>
        <w:t>]</w:t>
      </w:r>
    </w:p>
    <w:p w14:paraId="120CBF92" w14:textId="77777777" w:rsidR="009E48F4" w:rsidRDefault="009E48F4" w:rsidP="009E48F4">
      <w:pPr>
        <w:pStyle w:val="SingleTxtGR"/>
        <w:suppressAutoHyphens/>
        <w:spacing w:before="240" w:after="0"/>
        <w:jc w:val="center"/>
        <w:rPr>
          <w:spacing w:val="0"/>
          <w:w w:val="100"/>
          <w:kern w:val="0"/>
          <w:u w:val="single"/>
        </w:rPr>
      </w:pPr>
      <w:r w:rsidRPr="000335D6">
        <w:rPr>
          <w:spacing w:val="0"/>
          <w:w w:val="100"/>
          <w:kern w:val="0"/>
          <w:u w:val="single"/>
        </w:rPr>
        <w:tab/>
      </w:r>
      <w:r w:rsidRPr="000335D6">
        <w:rPr>
          <w:spacing w:val="0"/>
          <w:w w:val="100"/>
          <w:kern w:val="0"/>
          <w:u w:val="single"/>
        </w:rPr>
        <w:tab/>
      </w:r>
      <w:r w:rsidRPr="000335D6">
        <w:rPr>
          <w:spacing w:val="0"/>
          <w:w w:val="100"/>
          <w:kern w:val="0"/>
          <w:u w:val="single"/>
        </w:rPr>
        <w:tab/>
      </w:r>
    </w:p>
    <w:p w14:paraId="0E1DEF5A" w14:textId="77777777" w:rsidR="00CB0692" w:rsidRPr="00E22AA0" w:rsidRDefault="00CB0692" w:rsidP="002E5067"/>
    <w:sectPr w:rsidR="00CB0692" w:rsidRPr="00E22AA0" w:rsidSect="009E48F4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4DD55DF" w14:textId="77777777" w:rsidR="007F702D" w:rsidRPr="00A312BC" w:rsidRDefault="007F702D" w:rsidP="00A312BC"/>
  </w:endnote>
  <w:endnote w:type="continuationSeparator" w:id="0">
    <w:p w14:paraId="3AF96C42" w14:textId="77777777" w:rsidR="007F702D" w:rsidRPr="00A312BC" w:rsidRDefault="007F702D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FE81458" w14:textId="77777777" w:rsidR="009E48F4" w:rsidRPr="009E48F4" w:rsidRDefault="009E48F4">
    <w:pPr>
      <w:pStyle w:val="a8"/>
    </w:pPr>
    <w:r w:rsidRPr="009E48F4">
      <w:rPr>
        <w:b/>
        <w:sz w:val="18"/>
      </w:rPr>
      <w:fldChar w:fldCharType="begin"/>
    </w:r>
    <w:r w:rsidRPr="009E48F4">
      <w:rPr>
        <w:b/>
        <w:sz w:val="18"/>
      </w:rPr>
      <w:instrText xml:space="preserve"> PAGE  \* MERGEFORMAT </w:instrText>
    </w:r>
    <w:r w:rsidRPr="009E48F4">
      <w:rPr>
        <w:b/>
        <w:sz w:val="18"/>
      </w:rPr>
      <w:fldChar w:fldCharType="separate"/>
    </w:r>
    <w:r w:rsidR="00984691">
      <w:rPr>
        <w:b/>
        <w:noProof/>
        <w:sz w:val="18"/>
      </w:rPr>
      <w:t>8</w:t>
    </w:r>
    <w:r w:rsidRPr="009E48F4">
      <w:rPr>
        <w:b/>
        <w:sz w:val="18"/>
      </w:rPr>
      <w:fldChar w:fldCharType="end"/>
    </w:r>
    <w:r>
      <w:rPr>
        <w:b/>
        <w:sz w:val="18"/>
      </w:rPr>
      <w:tab/>
    </w:r>
    <w:r>
      <w:t>GE.19-16831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C7DA337" w14:textId="77777777" w:rsidR="009E48F4" w:rsidRPr="009E48F4" w:rsidRDefault="009E48F4" w:rsidP="009E48F4">
    <w:pPr>
      <w:pStyle w:val="a8"/>
      <w:tabs>
        <w:tab w:val="clear" w:pos="9639"/>
        <w:tab w:val="right" w:pos="9638"/>
      </w:tabs>
      <w:rPr>
        <w:b/>
        <w:sz w:val="18"/>
      </w:rPr>
    </w:pPr>
    <w:r>
      <w:t>GE.19-16831</w:t>
    </w:r>
    <w:r>
      <w:tab/>
    </w:r>
    <w:r w:rsidRPr="009E48F4">
      <w:rPr>
        <w:b/>
        <w:sz w:val="18"/>
      </w:rPr>
      <w:fldChar w:fldCharType="begin"/>
    </w:r>
    <w:r w:rsidRPr="009E48F4">
      <w:rPr>
        <w:b/>
        <w:sz w:val="18"/>
      </w:rPr>
      <w:instrText xml:space="preserve"> PAGE  \* MERGEFORMAT </w:instrText>
    </w:r>
    <w:r w:rsidRPr="009E48F4">
      <w:rPr>
        <w:b/>
        <w:sz w:val="18"/>
      </w:rPr>
      <w:fldChar w:fldCharType="separate"/>
    </w:r>
    <w:r w:rsidR="00984691">
      <w:rPr>
        <w:b/>
        <w:noProof/>
        <w:sz w:val="18"/>
      </w:rPr>
      <w:t>9</w:t>
    </w:r>
    <w:r w:rsidRPr="009E48F4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E24F804" w14:textId="77777777" w:rsidR="00042B72" w:rsidRPr="009E48F4" w:rsidRDefault="009E48F4" w:rsidP="009E48F4">
    <w:pPr>
      <w:spacing w:before="120" w:line="240" w:lineRule="auto"/>
    </w:pPr>
    <w:r>
      <w:t>GE.</w:t>
    </w:r>
    <w:r w:rsidR="00DF71B9">
      <w:rPr>
        <w:b/>
        <w:noProof/>
        <w:lang w:eastAsia="ru-RU"/>
      </w:rPr>
      <w:drawing>
        <wp:anchor distT="0" distB="0" distL="114300" distR="114300" simplePos="0" relativeHeight="251658240" behindDoc="0" locked="0" layoutInCell="1" allowOverlap="1" wp14:anchorId="3989AB83" wp14:editId="718588D1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19-16831  (R)</w:t>
    </w:r>
    <w:r w:rsidR="00F65A45">
      <w:rPr>
        <w:lang w:val="en-US"/>
      </w:rPr>
      <w:t xml:space="preserve">  021019  021019</w:t>
    </w:r>
    <w:r>
      <w:br/>
    </w:r>
    <w:r w:rsidRPr="009E48F4">
      <w:rPr>
        <w:rFonts w:ascii="C39T30Lfz" w:hAnsi="C39T30Lfz"/>
        <w:kern w:val="14"/>
        <w:sz w:val="56"/>
      </w:rPr>
      <w:t></w:t>
    </w:r>
    <w:r w:rsidRPr="009E48F4">
      <w:rPr>
        <w:rFonts w:ascii="C39T30Lfz" w:hAnsi="C39T30Lfz"/>
        <w:kern w:val="14"/>
        <w:sz w:val="56"/>
      </w:rPr>
      <w:t></w:t>
    </w:r>
    <w:r w:rsidRPr="009E48F4">
      <w:rPr>
        <w:rFonts w:ascii="C39T30Lfz" w:hAnsi="C39T30Lfz"/>
        <w:kern w:val="14"/>
        <w:sz w:val="56"/>
      </w:rPr>
      <w:t></w:t>
    </w:r>
    <w:r w:rsidRPr="009E48F4">
      <w:rPr>
        <w:rFonts w:ascii="C39T30Lfz" w:hAnsi="C39T30Lfz"/>
        <w:kern w:val="14"/>
        <w:sz w:val="56"/>
      </w:rPr>
      <w:t></w:t>
    </w:r>
    <w:r w:rsidRPr="009E48F4">
      <w:rPr>
        <w:rFonts w:ascii="C39T30Lfz" w:hAnsi="C39T30Lfz"/>
        <w:kern w:val="14"/>
        <w:sz w:val="56"/>
      </w:rPr>
      <w:t></w:t>
    </w:r>
    <w:r w:rsidRPr="009E48F4">
      <w:rPr>
        <w:rFonts w:ascii="C39T30Lfz" w:hAnsi="C39T30Lfz"/>
        <w:kern w:val="14"/>
        <w:sz w:val="56"/>
      </w:rPr>
      <w:t></w:t>
    </w:r>
    <w:r w:rsidRPr="009E48F4">
      <w:rPr>
        <w:rFonts w:ascii="C39T30Lfz" w:hAnsi="C39T30Lfz"/>
        <w:kern w:val="14"/>
        <w:sz w:val="56"/>
      </w:rPr>
      <w:t></w:t>
    </w:r>
    <w:r w:rsidRPr="009E48F4">
      <w:rPr>
        <w:rFonts w:ascii="C39T30Lfz" w:hAnsi="C39T30Lfz"/>
        <w:kern w:val="14"/>
        <w:sz w:val="56"/>
      </w:rPr>
      <w:t></w:t>
    </w:r>
    <w:r w:rsidRPr="009E48F4">
      <w:rPr>
        <w:rFonts w:ascii="C39T30Lfz" w:hAnsi="C39T30Lfz"/>
        <w:kern w:val="14"/>
        <w:sz w:val="56"/>
      </w:rPr>
      <w:t></w:t>
    </w:r>
    <w:r>
      <w:rPr>
        <w:noProof/>
        <w:lang w:eastAsia="ru-RU"/>
      </w:rPr>
      <w:drawing>
        <wp:anchor distT="0" distB="0" distL="114300" distR="114300" simplePos="0" relativeHeight="251659264" behindDoc="0" locked="0" layoutInCell="1" allowOverlap="1" wp14:anchorId="2ADEBE07" wp14:editId="3E2CCF03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 descr="https://undocs.org/m2/QRCode.ashx?DS=A/HRC/RES/42/23&amp;Size=2&amp;Lang=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A/HRC/RES/42/23&amp;Size=2&amp;Lang=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9E9F87D" w14:textId="77777777" w:rsidR="007F702D" w:rsidRPr="001075E9" w:rsidRDefault="007F702D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183BDF95" w14:textId="77777777" w:rsidR="007F702D" w:rsidRDefault="007F702D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580E6FF8" w14:textId="77777777" w:rsidR="009E48F4" w:rsidRPr="00125777" w:rsidRDefault="009E48F4" w:rsidP="009E48F4">
      <w:pPr>
        <w:pStyle w:val="ad"/>
      </w:pPr>
      <w:r>
        <w:tab/>
      </w:r>
      <w:r w:rsidRPr="00231EA4">
        <w:rPr>
          <w:rStyle w:val="aa"/>
        </w:rPr>
        <w:footnoteRef/>
      </w:r>
      <w:r>
        <w:t xml:space="preserve"> </w:t>
      </w:r>
      <w:r>
        <w:tab/>
        <w:t>Резолюция 66/288 Генеральной Ассамблеи.</w:t>
      </w:r>
    </w:p>
  </w:footnote>
  <w:footnote w:id="2">
    <w:p w14:paraId="3CEA5AAE" w14:textId="77777777" w:rsidR="009E48F4" w:rsidRPr="00125777" w:rsidRDefault="009E48F4" w:rsidP="009E48F4">
      <w:pPr>
        <w:pStyle w:val="ad"/>
      </w:pPr>
      <w:r>
        <w:tab/>
      </w:r>
      <w:r>
        <w:rPr>
          <w:rStyle w:val="aa"/>
        </w:rPr>
        <w:footnoteRef/>
      </w:r>
      <w:r>
        <w:t xml:space="preserve"> </w:t>
      </w:r>
      <w:r>
        <w:tab/>
        <w:t>Резолюция 73/291 Генеральной Ассамблеи.</w:t>
      </w:r>
    </w:p>
  </w:footnote>
  <w:footnote w:id="3">
    <w:p w14:paraId="05A59A09" w14:textId="77777777" w:rsidR="009E48F4" w:rsidRPr="00125777" w:rsidRDefault="009E48F4" w:rsidP="009E48F4">
      <w:pPr>
        <w:pStyle w:val="ad"/>
        <w:widowControl w:val="0"/>
        <w:tabs>
          <w:tab w:val="clear" w:pos="1021"/>
          <w:tab w:val="right" w:pos="1020"/>
        </w:tabs>
      </w:pPr>
      <w:r>
        <w:tab/>
      </w:r>
      <w:r>
        <w:rPr>
          <w:rStyle w:val="aa"/>
        </w:rPr>
        <w:footnoteRef/>
      </w:r>
      <w:r>
        <w:tab/>
        <w:t xml:space="preserve">Резолюция 70/1 Генеральной Ассамблеи. </w:t>
      </w:r>
    </w:p>
  </w:footnote>
  <w:footnote w:id="4">
    <w:p w14:paraId="3D12F00F" w14:textId="77777777" w:rsidR="009E48F4" w:rsidRPr="00125777" w:rsidRDefault="009E48F4" w:rsidP="009E48F4">
      <w:pPr>
        <w:pStyle w:val="ad"/>
        <w:rPr>
          <w:b/>
          <w:bCs/>
        </w:rPr>
      </w:pPr>
      <w:r w:rsidRPr="001D28AC">
        <w:rPr>
          <w:b/>
          <w:bCs/>
        </w:rPr>
        <w:tab/>
      </w:r>
      <w:r w:rsidRPr="00571D02">
        <w:rPr>
          <w:rStyle w:val="aa"/>
        </w:rPr>
        <w:footnoteRef/>
      </w:r>
      <w:r>
        <w:tab/>
        <w:t>A/HRC/42/29.</w:t>
      </w:r>
    </w:p>
  </w:footnote>
  <w:footnote w:id="5">
    <w:p w14:paraId="1A905069" w14:textId="77777777" w:rsidR="009E48F4" w:rsidRPr="00125777" w:rsidRDefault="009E48F4" w:rsidP="009E48F4">
      <w:pPr>
        <w:pStyle w:val="ad"/>
        <w:widowControl w:val="0"/>
        <w:tabs>
          <w:tab w:val="clear" w:pos="1021"/>
          <w:tab w:val="right" w:pos="1020"/>
        </w:tabs>
        <w:rPr>
          <w:lang w:val="es-ES"/>
        </w:rPr>
      </w:pPr>
      <w:r>
        <w:tab/>
      </w:r>
      <w:r w:rsidRPr="001D28AC">
        <w:rPr>
          <w:rStyle w:val="aa"/>
        </w:rPr>
        <w:footnoteRef/>
      </w:r>
      <w:r w:rsidRPr="00125777">
        <w:rPr>
          <w:lang w:val="es-ES"/>
        </w:rPr>
        <w:tab/>
        <w:t xml:space="preserve">A/HRC/42/35 </w:t>
      </w:r>
      <w:r>
        <w:t>и</w:t>
      </w:r>
      <w:r w:rsidRPr="00125777">
        <w:rPr>
          <w:lang w:val="es-ES"/>
        </w:rPr>
        <w:t xml:space="preserve"> Corr.1. </w:t>
      </w:r>
    </w:p>
  </w:footnote>
  <w:footnote w:id="6">
    <w:p w14:paraId="2D698145" w14:textId="77777777" w:rsidR="009E48F4" w:rsidRPr="00125777" w:rsidRDefault="009E48F4" w:rsidP="009E48F4">
      <w:pPr>
        <w:pStyle w:val="ad"/>
        <w:rPr>
          <w:lang w:val="es-ES"/>
        </w:rPr>
      </w:pPr>
      <w:r w:rsidRPr="00125777">
        <w:rPr>
          <w:lang w:val="es-ES"/>
        </w:rPr>
        <w:tab/>
      </w:r>
      <w:r>
        <w:rPr>
          <w:rStyle w:val="aa"/>
        </w:rPr>
        <w:footnoteRef/>
      </w:r>
      <w:r w:rsidRPr="00125777">
        <w:rPr>
          <w:lang w:val="es-ES"/>
        </w:rPr>
        <w:t xml:space="preserve"> </w:t>
      </w:r>
      <w:r w:rsidRPr="00125777">
        <w:rPr>
          <w:lang w:val="es-ES"/>
        </w:rPr>
        <w:tab/>
      </w:r>
      <w:r>
        <w:t>См</w:t>
      </w:r>
      <w:r w:rsidRPr="00125777">
        <w:rPr>
          <w:lang w:val="es-ES"/>
        </w:rPr>
        <w:t>. E/CN.4/2002/28/Rev.1.</w:t>
      </w:r>
    </w:p>
  </w:footnote>
  <w:footnote w:id="7">
    <w:p w14:paraId="43910597" w14:textId="77777777" w:rsidR="009E48F4" w:rsidRPr="00D82FB9" w:rsidRDefault="009E48F4" w:rsidP="009E48F4">
      <w:pPr>
        <w:pStyle w:val="ad"/>
        <w:widowControl w:val="0"/>
        <w:tabs>
          <w:tab w:val="clear" w:pos="1021"/>
          <w:tab w:val="right" w:pos="1020"/>
        </w:tabs>
        <w:rPr>
          <w:lang w:val="en-US"/>
        </w:rPr>
      </w:pPr>
      <w:r w:rsidRPr="00125777">
        <w:rPr>
          <w:lang w:val="es-ES"/>
        </w:rPr>
        <w:tab/>
      </w:r>
      <w:r>
        <w:rPr>
          <w:rStyle w:val="aa"/>
        </w:rPr>
        <w:footnoteRef/>
      </w:r>
      <w:r w:rsidRPr="00D82FB9">
        <w:rPr>
          <w:lang w:val="en-US"/>
        </w:rPr>
        <w:tab/>
        <w:t>A/HRC/WG.2/17/2.</w:t>
      </w:r>
    </w:p>
  </w:footnote>
  <w:footnote w:id="8">
    <w:p w14:paraId="2D903D4F" w14:textId="77777777" w:rsidR="009E48F4" w:rsidRPr="00BA0DE5" w:rsidRDefault="009E48F4" w:rsidP="009E48F4">
      <w:pPr>
        <w:pStyle w:val="ad"/>
        <w:widowControl w:val="0"/>
        <w:tabs>
          <w:tab w:val="clear" w:pos="1021"/>
          <w:tab w:val="right" w:pos="1020"/>
        </w:tabs>
        <w:rPr>
          <w:lang w:val="en-US"/>
        </w:rPr>
      </w:pPr>
      <w:r w:rsidRPr="00D82FB9">
        <w:rPr>
          <w:lang w:val="en-US"/>
        </w:rPr>
        <w:tab/>
      </w:r>
      <w:r>
        <w:rPr>
          <w:rStyle w:val="aa"/>
        </w:rPr>
        <w:footnoteRef/>
      </w:r>
      <w:r w:rsidRPr="00125777">
        <w:rPr>
          <w:lang w:val="en-US"/>
        </w:rPr>
        <w:tab/>
        <w:t>A/HRC/WG.2/18/CRP.1.</w:t>
      </w:r>
    </w:p>
  </w:footnote>
  <w:footnote w:id="9">
    <w:p w14:paraId="118CD62B" w14:textId="77777777" w:rsidR="009E48F4" w:rsidRPr="00BA0DE5" w:rsidRDefault="009E48F4" w:rsidP="009E48F4">
      <w:pPr>
        <w:pStyle w:val="ad"/>
        <w:widowControl w:val="0"/>
        <w:tabs>
          <w:tab w:val="clear" w:pos="1021"/>
          <w:tab w:val="right" w:pos="1020"/>
        </w:tabs>
        <w:rPr>
          <w:lang w:val="en-US"/>
        </w:rPr>
      </w:pPr>
      <w:r w:rsidRPr="00125777">
        <w:rPr>
          <w:lang w:val="en-US"/>
        </w:rPr>
        <w:tab/>
      </w:r>
      <w:r>
        <w:rPr>
          <w:rStyle w:val="aa"/>
        </w:rPr>
        <w:footnoteRef/>
      </w:r>
      <w:r w:rsidRPr="00125777">
        <w:rPr>
          <w:lang w:val="en-US"/>
        </w:rPr>
        <w:tab/>
        <w:t>A/HRC/WG.2/18/G/1.</w:t>
      </w:r>
    </w:p>
  </w:footnote>
  <w:footnote w:id="10">
    <w:p w14:paraId="6300FA9F" w14:textId="77777777" w:rsidR="009E48F4" w:rsidRPr="00BA0DE5" w:rsidRDefault="009E48F4" w:rsidP="009E48F4">
      <w:pPr>
        <w:pStyle w:val="ad"/>
        <w:widowControl w:val="0"/>
        <w:tabs>
          <w:tab w:val="clear" w:pos="1021"/>
          <w:tab w:val="right" w:pos="1020"/>
        </w:tabs>
        <w:rPr>
          <w:lang w:val="en-US"/>
        </w:rPr>
      </w:pPr>
      <w:r w:rsidRPr="00125777">
        <w:rPr>
          <w:lang w:val="en-US"/>
        </w:rPr>
        <w:tab/>
      </w:r>
      <w:r>
        <w:rPr>
          <w:rStyle w:val="aa"/>
        </w:rPr>
        <w:footnoteRef/>
      </w:r>
      <w:r w:rsidRPr="00125777">
        <w:rPr>
          <w:lang w:val="en-US"/>
        </w:rPr>
        <w:tab/>
      </w:r>
      <w:r>
        <w:t>См</w:t>
      </w:r>
      <w:r w:rsidRPr="00125777">
        <w:rPr>
          <w:lang w:val="en-US"/>
        </w:rPr>
        <w:t>. A/HRC/WG.2/18/CRP.1.</w:t>
      </w:r>
    </w:p>
  </w:footnote>
  <w:footnote w:id="11">
    <w:p w14:paraId="379B9F25" w14:textId="77777777" w:rsidR="009E48F4" w:rsidRPr="00E22AA0" w:rsidRDefault="009E48F4" w:rsidP="009E48F4">
      <w:pPr>
        <w:pStyle w:val="ad"/>
        <w:widowControl w:val="0"/>
        <w:tabs>
          <w:tab w:val="clear" w:pos="1021"/>
          <w:tab w:val="right" w:pos="1020"/>
        </w:tabs>
        <w:rPr>
          <w:lang w:val="en-US"/>
        </w:rPr>
      </w:pPr>
      <w:r w:rsidRPr="00125777">
        <w:rPr>
          <w:b/>
          <w:bCs/>
          <w:lang w:val="en-US"/>
        </w:rPr>
        <w:tab/>
      </w:r>
      <w:r w:rsidRPr="00571D02">
        <w:rPr>
          <w:rStyle w:val="aa"/>
        </w:rPr>
        <w:footnoteRef/>
      </w:r>
      <w:r w:rsidRPr="00E22AA0">
        <w:rPr>
          <w:lang w:val="en-US"/>
        </w:rPr>
        <w:tab/>
        <w:t>A/HRC/42/38.</w:t>
      </w:r>
    </w:p>
  </w:footnote>
  <w:footnote w:id="12">
    <w:p w14:paraId="6835322B" w14:textId="77777777" w:rsidR="009E48F4" w:rsidRPr="0029270A" w:rsidRDefault="009E48F4" w:rsidP="009E48F4">
      <w:pPr>
        <w:pStyle w:val="ad"/>
        <w:rPr>
          <w:lang w:val="en-US"/>
        </w:rPr>
      </w:pPr>
      <w:r w:rsidRPr="00E22AA0">
        <w:rPr>
          <w:lang w:val="en-US"/>
        </w:rPr>
        <w:tab/>
      </w:r>
      <w:r>
        <w:rPr>
          <w:rStyle w:val="aa"/>
        </w:rPr>
        <w:footnoteRef/>
      </w:r>
      <w:r w:rsidRPr="00E22AA0">
        <w:rPr>
          <w:lang w:val="en-US"/>
        </w:rPr>
        <w:tab/>
      </w:r>
      <w:r>
        <w:t>См</w:t>
      </w:r>
      <w:r w:rsidRPr="00E22AA0">
        <w:rPr>
          <w:lang w:val="en-US"/>
        </w:rPr>
        <w:t xml:space="preserve">. </w:t>
      </w:r>
      <w:r>
        <w:rPr>
          <w:lang w:val="en-US"/>
        </w:rPr>
        <w:t>A/HRC/42/35</w:t>
      </w:r>
      <w:r w:rsidRPr="00E22AA0">
        <w:rPr>
          <w:lang w:val="en-US"/>
        </w:rPr>
        <w:t xml:space="preserve"> </w:t>
      </w:r>
      <w:r>
        <w:t>и</w:t>
      </w:r>
      <w:r w:rsidRPr="00E22AA0">
        <w:rPr>
          <w:lang w:val="en-US"/>
        </w:rPr>
        <w:t xml:space="preserve"> </w:t>
      </w:r>
      <w:r>
        <w:rPr>
          <w:lang w:val="en-US"/>
        </w:rPr>
        <w:t>Corr.1.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A678914" w14:textId="2DD59CE8" w:rsidR="009E48F4" w:rsidRPr="009E48F4" w:rsidRDefault="00984691">
    <w:pPr>
      <w:pStyle w:val="a5"/>
    </w:pPr>
    <w:fldSimple w:instr=" TITLE  \* MERGEFORMAT ">
      <w:r w:rsidR="00DD5DD0">
        <w:t>A/HRC/RES/42/23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D07FD03" w14:textId="1D03CEFF" w:rsidR="009E48F4" w:rsidRPr="009E48F4" w:rsidRDefault="00984691" w:rsidP="009E48F4">
    <w:pPr>
      <w:pStyle w:val="a5"/>
      <w:jc w:val="right"/>
    </w:pPr>
    <w:fldSimple w:instr=" TITLE  \* MERGEFORMAT ">
      <w:r w:rsidR="00DD5DD0">
        <w:t>A/HRC/RES/42/23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 w:numId="19">
    <w:abstractNumId w:val="15"/>
  </w:num>
  <w:num w:numId="20">
    <w:abstractNumId w:val="12"/>
  </w:num>
  <w:num w:numId="21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702D"/>
    <w:rsid w:val="00033EE1"/>
    <w:rsid w:val="00040272"/>
    <w:rsid w:val="00041EA6"/>
    <w:rsid w:val="00042B72"/>
    <w:rsid w:val="000558BD"/>
    <w:rsid w:val="000842B4"/>
    <w:rsid w:val="000B57E7"/>
    <w:rsid w:val="000B6373"/>
    <w:rsid w:val="000F09DF"/>
    <w:rsid w:val="000F61B2"/>
    <w:rsid w:val="001075E9"/>
    <w:rsid w:val="00150758"/>
    <w:rsid w:val="00180183"/>
    <w:rsid w:val="0018024D"/>
    <w:rsid w:val="0018649F"/>
    <w:rsid w:val="00196389"/>
    <w:rsid w:val="001B3EF6"/>
    <w:rsid w:val="001C7A89"/>
    <w:rsid w:val="002265B3"/>
    <w:rsid w:val="002501D7"/>
    <w:rsid w:val="002A2EFC"/>
    <w:rsid w:val="002C0E18"/>
    <w:rsid w:val="002D5AAC"/>
    <w:rsid w:val="002E5067"/>
    <w:rsid w:val="002F405F"/>
    <w:rsid w:val="002F7EEC"/>
    <w:rsid w:val="00301299"/>
    <w:rsid w:val="00305C08"/>
    <w:rsid w:val="00307FB6"/>
    <w:rsid w:val="00312B45"/>
    <w:rsid w:val="00317339"/>
    <w:rsid w:val="00322004"/>
    <w:rsid w:val="003334ED"/>
    <w:rsid w:val="003402C2"/>
    <w:rsid w:val="00381C24"/>
    <w:rsid w:val="003958D0"/>
    <w:rsid w:val="003B00E5"/>
    <w:rsid w:val="003B3FBC"/>
    <w:rsid w:val="00407B78"/>
    <w:rsid w:val="00424203"/>
    <w:rsid w:val="00452493"/>
    <w:rsid w:val="00454E07"/>
    <w:rsid w:val="00472C5C"/>
    <w:rsid w:val="00484B62"/>
    <w:rsid w:val="0050108D"/>
    <w:rsid w:val="00503183"/>
    <w:rsid w:val="00513081"/>
    <w:rsid w:val="00517901"/>
    <w:rsid w:val="00526683"/>
    <w:rsid w:val="00541726"/>
    <w:rsid w:val="005709E0"/>
    <w:rsid w:val="00572E19"/>
    <w:rsid w:val="005961C8"/>
    <w:rsid w:val="005D7914"/>
    <w:rsid w:val="005E2B41"/>
    <w:rsid w:val="005F0B42"/>
    <w:rsid w:val="00681A10"/>
    <w:rsid w:val="006A1ED8"/>
    <w:rsid w:val="006C2031"/>
    <w:rsid w:val="006C6883"/>
    <w:rsid w:val="006D461A"/>
    <w:rsid w:val="006F0B59"/>
    <w:rsid w:val="006F35EE"/>
    <w:rsid w:val="007021FF"/>
    <w:rsid w:val="00707123"/>
    <w:rsid w:val="00712895"/>
    <w:rsid w:val="00757357"/>
    <w:rsid w:val="00782C09"/>
    <w:rsid w:val="007D3BD5"/>
    <w:rsid w:val="007D5A02"/>
    <w:rsid w:val="007F702D"/>
    <w:rsid w:val="00825F8D"/>
    <w:rsid w:val="00834B71"/>
    <w:rsid w:val="0086445C"/>
    <w:rsid w:val="00865660"/>
    <w:rsid w:val="00894693"/>
    <w:rsid w:val="008A08D7"/>
    <w:rsid w:val="008B6909"/>
    <w:rsid w:val="008D261C"/>
    <w:rsid w:val="00906890"/>
    <w:rsid w:val="00911BE4"/>
    <w:rsid w:val="009275CF"/>
    <w:rsid w:val="00936A21"/>
    <w:rsid w:val="00951972"/>
    <w:rsid w:val="009604DF"/>
    <w:rsid w:val="009608F3"/>
    <w:rsid w:val="009675B6"/>
    <w:rsid w:val="00984691"/>
    <w:rsid w:val="009A24AC"/>
    <w:rsid w:val="009E48F4"/>
    <w:rsid w:val="00A01942"/>
    <w:rsid w:val="00A10122"/>
    <w:rsid w:val="00A312BC"/>
    <w:rsid w:val="00A84021"/>
    <w:rsid w:val="00A84D35"/>
    <w:rsid w:val="00A917B3"/>
    <w:rsid w:val="00AB4B51"/>
    <w:rsid w:val="00B10CC7"/>
    <w:rsid w:val="00B25BD7"/>
    <w:rsid w:val="00B539E7"/>
    <w:rsid w:val="00B62458"/>
    <w:rsid w:val="00B847A7"/>
    <w:rsid w:val="00BC18B2"/>
    <w:rsid w:val="00BD33EE"/>
    <w:rsid w:val="00BE0674"/>
    <w:rsid w:val="00C106D6"/>
    <w:rsid w:val="00C14F45"/>
    <w:rsid w:val="00C60F0C"/>
    <w:rsid w:val="00C805C9"/>
    <w:rsid w:val="00C92939"/>
    <w:rsid w:val="00CA1679"/>
    <w:rsid w:val="00CB0692"/>
    <w:rsid w:val="00CB151C"/>
    <w:rsid w:val="00CE5A1A"/>
    <w:rsid w:val="00CF55F6"/>
    <w:rsid w:val="00D2398E"/>
    <w:rsid w:val="00D32798"/>
    <w:rsid w:val="00D33D63"/>
    <w:rsid w:val="00D90028"/>
    <w:rsid w:val="00D90138"/>
    <w:rsid w:val="00DC2121"/>
    <w:rsid w:val="00DD5DD0"/>
    <w:rsid w:val="00DD78D1"/>
    <w:rsid w:val="00DF71B9"/>
    <w:rsid w:val="00E22AA0"/>
    <w:rsid w:val="00E71476"/>
    <w:rsid w:val="00E73F76"/>
    <w:rsid w:val="00EA2AAD"/>
    <w:rsid w:val="00EA2C9F"/>
    <w:rsid w:val="00EA420E"/>
    <w:rsid w:val="00EC27E8"/>
    <w:rsid w:val="00EC3F0F"/>
    <w:rsid w:val="00ED0BDA"/>
    <w:rsid w:val="00EF1360"/>
    <w:rsid w:val="00EF3220"/>
    <w:rsid w:val="00F43903"/>
    <w:rsid w:val="00F65A45"/>
    <w:rsid w:val="00F94155"/>
    <w:rsid w:val="00F9783F"/>
    <w:rsid w:val="00FD057A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2D609FC6"/>
  <w15:docId w15:val="{EA3FE9C7-4A5D-4424-81C2-23226A1798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EC27E8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BE0674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9604DF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9604D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9604D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9604D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9604DF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9604DF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9604DF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9604DF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9604D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DC212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BE0674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BE0674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BE0674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link w:val="SingleTxtGChar"/>
    <w:qFormat/>
    <w:rsid w:val="00DC2121"/>
    <w:pPr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BE0674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BE0674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BE0674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BE0674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BE0674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BE0674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DC212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BE0674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0674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BE0674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BE0674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BE0674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BE0674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BE0674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BE0674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BE0674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EC27E8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BE0674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BE0674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BE0674"/>
  </w:style>
  <w:style w:type="character" w:customStyle="1" w:styleId="af0">
    <w:name w:val="Текст концевой сноски Знак"/>
    <w:aliases w:val="2_G Знак"/>
    <w:basedOn w:val="a0"/>
    <w:link w:val="af"/>
    <w:rsid w:val="00BE0674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BE0674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BE0674"/>
    <w:rPr>
      <w:color w:val="0000FF" w:themeColor="hyperlink"/>
      <w:u w:val="none"/>
    </w:rPr>
  </w:style>
  <w:style w:type="character" w:styleId="af2">
    <w:name w:val="FollowedHyperlink"/>
    <w:basedOn w:val="a0"/>
    <w:rsid w:val="00BE0674"/>
    <w:rPr>
      <w:color w:val="800080" w:themeColor="followedHyperlink"/>
      <w:u w:val="none"/>
    </w:rPr>
  </w:style>
  <w:style w:type="paragraph" w:customStyle="1" w:styleId="HChGR">
    <w:name w:val="_ H _Ch_GR"/>
    <w:basedOn w:val="a"/>
    <w:next w:val="a"/>
    <w:qFormat/>
    <w:rsid w:val="009E48F4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rFonts w:eastAsia="Times New Roman" w:cs="Times New Roman"/>
      <w:b/>
      <w:spacing w:val="4"/>
      <w:w w:val="103"/>
      <w:kern w:val="14"/>
      <w:sz w:val="28"/>
      <w:szCs w:val="20"/>
      <w:lang w:eastAsia="ru-RU"/>
    </w:rPr>
  </w:style>
  <w:style w:type="paragraph" w:customStyle="1" w:styleId="SingleTxtGR">
    <w:name w:val="_ Single Txt_GR"/>
    <w:basedOn w:val="a"/>
    <w:qFormat/>
    <w:rsid w:val="009E48F4"/>
    <w:pPr>
      <w:tabs>
        <w:tab w:val="left" w:pos="1701"/>
        <w:tab w:val="left" w:pos="2268"/>
        <w:tab w:val="left" w:pos="2835"/>
        <w:tab w:val="left" w:pos="3402"/>
        <w:tab w:val="left" w:pos="3969"/>
      </w:tabs>
      <w:suppressAutoHyphens w:val="0"/>
      <w:spacing w:after="120"/>
      <w:ind w:left="1134" w:right="1134"/>
      <w:jc w:val="both"/>
    </w:pPr>
    <w:rPr>
      <w:rFonts w:eastAsia="Times New Roman" w:cs="Times New Roman"/>
      <w:spacing w:val="4"/>
      <w:w w:val="103"/>
      <w:kern w:val="14"/>
      <w:szCs w:val="20"/>
    </w:rPr>
  </w:style>
  <w:style w:type="character" w:customStyle="1" w:styleId="SingleTxtGChar">
    <w:name w:val="_ Single Txt_G Char"/>
    <w:link w:val="SingleTxtG"/>
    <w:rsid w:val="009E48F4"/>
    <w:rPr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B\A_HRC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A_HRC.dotm</Template>
  <TotalTime>1</TotalTime>
  <Pages>9</Pages>
  <Words>3467</Words>
  <Characters>23087</Characters>
  <Application>Microsoft Office Word</Application>
  <DocSecurity>0</DocSecurity>
  <Lines>412</Lines>
  <Paragraphs>94</Paragraphs>
  <ScaleCrop>false</ScaleCrop>
  <HeadingPairs>
    <vt:vector size="8" baseType="variant">
      <vt:variant>
        <vt:lpstr>Название</vt:lpstr>
      </vt:variant>
      <vt:variant>
        <vt:i4>1</vt:i4>
      </vt:variant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4" baseType="lpstr">
      <vt:lpstr>A/HRC/RES/42/23</vt:lpstr>
      <vt:lpstr>A/</vt:lpstr>
      <vt:lpstr>A/</vt:lpstr>
      <vt:lpstr>A/</vt:lpstr>
    </vt:vector>
  </TitlesOfParts>
  <Company>DCM</Company>
  <LinksUpToDate>false</LinksUpToDate>
  <CharactersWithSpaces>26475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A/HRC/RES/42/23</dc:title>
  <dc:subject/>
  <dc:creator>Tatiana SHARKINA</dc:creator>
  <cp:keywords/>
  <cp:lastModifiedBy>Ioulia Goussarova</cp:lastModifiedBy>
  <cp:revision>3</cp:revision>
  <cp:lastPrinted>2019-10-02T12:16:00Z</cp:lastPrinted>
  <dcterms:created xsi:type="dcterms:W3CDTF">2019-10-02T12:16:00Z</dcterms:created>
  <dcterms:modified xsi:type="dcterms:W3CDTF">2019-10-02T12:17:00Z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