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A36CE0" w:rsidP="00007B76">
            <w:pPr>
              <w:jc w:val="right"/>
            </w:pPr>
            <w:r w:rsidRPr="00A36CE0">
              <w:rPr>
                <w:sz w:val="40"/>
              </w:rPr>
              <w:t>A</w:t>
            </w:r>
            <w:r>
              <w:t>/HRC/</w:t>
            </w:r>
            <w:r w:rsidR="00007B76">
              <w:t>RES/</w:t>
            </w:r>
            <w:r w:rsidR="00E00D95">
              <w:t>3</w:t>
            </w:r>
            <w:r w:rsidR="00095DF3">
              <w:t>6</w:t>
            </w:r>
            <w:r>
              <w:t>/</w:t>
            </w:r>
            <w:r w:rsidR="00007B76">
              <w:t>15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124E85" w:rsidP="00C717E0">
            <w:pPr>
              <w:spacing w:before="120"/>
              <w:jc w:val="center"/>
            </w:pPr>
            <w:r>
              <w:rPr>
                <w:noProof/>
                <w:lang w:eastAsia="fr-CH"/>
              </w:rPr>
              <w:drawing>
                <wp:inline distT="0" distB="0" distL="0" distR="0" wp14:anchorId="5007814D" wp14:editId="4AF84CCD">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36CE0" w:rsidRDefault="00A36CE0" w:rsidP="00C717E0">
            <w:pPr>
              <w:spacing w:before="240"/>
            </w:pPr>
            <w:proofErr w:type="spellStart"/>
            <w:r>
              <w:t>Distr</w:t>
            </w:r>
            <w:proofErr w:type="spellEnd"/>
            <w:r>
              <w:t xml:space="preserve">. </w:t>
            </w:r>
            <w:r w:rsidR="00007B76">
              <w:t>générale</w:t>
            </w:r>
          </w:p>
          <w:p w:rsidR="00A36CE0" w:rsidRDefault="00832733" w:rsidP="00A36CE0">
            <w:pPr>
              <w:spacing w:line="240" w:lineRule="exact"/>
            </w:pPr>
            <w:r>
              <w:t>5</w:t>
            </w:r>
            <w:r w:rsidR="00007B76">
              <w:t xml:space="preserve"> octobre</w:t>
            </w:r>
            <w:r w:rsidR="00095DF3">
              <w:t xml:space="preserve"> </w:t>
            </w:r>
            <w:r w:rsidR="005B6DDD">
              <w:t>2017</w:t>
            </w:r>
          </w:p>
          <w:p w:rsidR="00A36CE0" w:rsidRDefault="00A36CE0" w:rsidP="00A36CE0">
            <w:pPr>
              <w:spacing w:line="240" w:lineRule="exact"/>
            </w:pPr>
          </w:p>
          <w:p w:rsidR="00057BC0" w:rsidRPr="00DB58B5" w:rsidRDefault="00FF1B1D" w:rsidP="00A36CE0">
            <w:pPr>
              <w:spacing w:line="240" w:lineRule="exact"/>
            </w:pPr>
            <w:r>
              <w:t>Original</w:t>
            </w:r>
            <w:r w:rsidR="00BD4240">
              <w:t> </w:t>
            </w:r>
            <w:r>
              <w:t>: français</w:t>
            </w:r>
          </w:p>
        </w:tc>
      </w:tr>
    </w:tbl>
    <w:p w:rsidR="00BA184E" w:rsidRPr="00BA184E" w:rsidRDefault="00BA184E" w:rsidP="001B6907">
      <w:pPr>
        <w:spacing w:before="120"/>
        <w:rPr>
          <w:b/>
          <w:sz w:val="24"/>
          <w:szCs w:val="24"/>
        </w:rPr>
      </w:pPr>
      <w:r w:rsidRPr="00BA184E">
        <w:rPr>
          <w:b/>
          <w:sz w:val="24"/>
          <w:szCs w:val="24"/>
        </w:rPr>
        <w:t>Conseil des droits de l</w:t>
      </w:r>
      <w:r w:rsidR="00CB177A">
        <w:rPr>
          <w:b/>
          <w:sz w:val="24"/>
          <w:szCs w:val="24"/>
        </w:rPr>
        <w:t>’</w:t>
      </w:r>
      <w:r w:rsidRPr="00BA184E">
        <w:rPr>
          <w:b/>
          <w:sz w:val="24"/>
          <w:szCs w:val="24"/>
        </w:rPr>
        <w:t>homme</w:t>
      </w:r>
    </w:p>
    <w:p w:rsidR="00594033" w:rsidRDefault="00B91B2C" w:rsidP="00981C83">
      <w:pPr>
        <w:rPr>
          <w:b/>
        </w:rPr>
      </w:pPr>
      <w:r>
        <w:rPr>
          <w:b/>
        </w:rPr>
        <w:t>Trente-</w:t>
      </w:r>
      <w:r w:rsidR="00095DF3">
        <w:rPr>
          <w:b/>
        </w:rPr>
        <w:t>six</w:t>
      </w:r>
      <w:r w:rsidR="005B6DDD">
        <w:rPr>
          <w:b/>
        </w:rPr>
        <w:t>ième</w:t>
      </w:r>
      <w:r w:rsidR="00A36CE0" w:rsidRPr="00CB177A">
        <w:rPr>
          <w:b/>
        </w:rPr>
        <w:t xml:space="preserve"> session</w:t>
      </w:r>
    </w:p>
    <w:p w:rsidR="004B2CF5" w:rsidRPr="004B2CF5" w:rsidRDefault="00095DF3" w:rsidP="00981C83">
      <w:r>
        <w:t>11</w:t>
      </w:r>
      <w:r w:rsidR="00177C9E">
        <w:t>-</w:t>
      </w:r>
      <w:r w:rsidR="0077043F">
        <w:t>2</w:t>
      </w:r>
      <w:r>
        <w:t>9</w:t>
      </w:r>
      <w:r w:rsidR="0077043F">
        <w:t xml:space="preserve"> </w:t>
      </w:r>
      <w:r>
        <w:t>septembre</w:t>
      </w:r>
      <w:r w:rsidR="0077043F">
        <w:t xml:space="preserve"> </w:t>
      </w:r>
      <w:r w:rsidR="004B2CF5">
        <w:t>2017</w:t>
      </w:r>
    </w:p>
    <w:p w:rsidR="00A36CE0" w:rsidRDefault="00471E56" w:rsidP="00981C83">
      <w:r>
        <w:t>Point 3</w:t>
      </w:r>
      <w:r w:rsidR="00A36CE0">
        <w:t xml:space="preserve"> de l</w:t>
      </w:r>
      <w:r w:rsidR="00CB177A">
        <w:t>’</w:t>
      </w:r>
      <w:r w:rsidR="00A36CE0">
        <w:t>ordre du jour</w:t>
      </w:r>
    </w:p>
    <w:p w:rsidR="00A36CE0" w:rsidRPr="0089409C" w:rsidRDefault="00007B76" w:rsidP="00C97501">
      <w:pPr>
        <w:pStyle w:val="HChG"/>
        <w:ind w:right="0"/>
        <w:jc w:val="center"/>
        <w:rPr>
          <w:lang w:val="fr-FR"/>
        </w:rPr>
      </w:pPr>
      <w:r>
        <w:rPr>
          <w:lang w:val="fr-FR"/>
        </w:rPr>
        <w:t>R</w:t>
      </w:r>
      <w:r w:rsidR="00A36CE0" w:rsidRPr="0089409C">
        <w:rPr>
          <w:lang w:val="fr-FR"/>
        </w:rPr>
        <w:t>ésolution</w:t>
      </w:r>
      <w:r>
        <w:rPr>
          <w:lang w:val="fr-FR"/>
        </w:rPr>
        <w:t xml:space="preserve"> adoptée </w:t>
      </w:r>
      <w:r w:rsidRPr="00007B76">
        <w:rPr>
          <w:lang w:val="fr-FR"/>
        </w:rPr>
        <w:t xml:space="preserve">par le </w:t>
      </w:r>
      <w:r>
        <w:rPr>
          <w:lang w:val="fr-FR"/>
        </w:rPr>
        <w:t>C</w:t>
      </w:r>
      <w:r w:rsidRPr="00007B76">
        <w:rPr>
          <w:lang w:val="fr-FR"/>
        </w:rPr>
        <w:t>onseil des droits de l’homme</w:t>
      </w:r>
      <w:r>
        <w:rPr>
          <w:lang w:val="fr-FR"/>
        </w:rPr>
        <w:t xml:space="preserve"> le 28 septembre 2017</w:t>
      </w:r>
    </w:p>
    <w:p w:rsidR="00A36CE0" w:rsidRPr="009B52B1" w:rsidRDefault="00E00D95" w:rsidP="00C97501">
      <w:pPr>
        <w:pStyle w:val="H1G"/>
        <w:tabs>
          <w:tab w:val="clear" w:pos="851"/>
        </w:tabs>
        <w:ind w:left="1985" w:hanging="851"/>
      </w:pPr>
      <w:r w:rsidRPr="00BD7F59">
        <w:rPr>
          <w:lang w:val="fr-FR"/>
        </w:rPr>
        <w:t>3</w:t>
      </w:r>
      <w:r w:rsidR="0089409C" w:rsidRPr="00BD7F59">
        <w:rPr>
          <w:lang w:val="fr-FR"/>
        </w:rPr>
        <w:t>6</w:t>
      </w:r>
      <w:r w:rsidRPr="00BD7F59">
        <w:rPr>
          <w:lang w:val="fr-FR"/>
        </w:rPr>
        <w:t>/</w:t>
      </w:r>
      <w:r w:rsidR="00007B76">
        <w:rPr>
          <w:lang w:val="fr-FR"/>
        </w:rPr>
        <w:t>15.</w:t>
      </w:r>
      <w:r w:rsidRPr="00BD7F59">
        <w:rPr>
          <w:lang w:val="fr-FR"/>
        </w:rPr>
        <w:tab/>
      </w:r>
      <w:r w:rsidR="007D0968" w:rsidRPr="007D0968">
        <w:rPr>
          <w:bCs/>
          <w:lang w:val="fr-FR"/>
        </w:rPr>
        <w:t>Mandat du Rapporteur spécial sur les incidences sur les droits de l’homme de la gestion et de l’élimination écologiquement rationnelles des produits et déchets dangereux</w:t>
      </w:r>
    </w:p>
    <w:p w:rsidR="00A36CE0" w:rsidRDefault="00CB177A" w:rsidP="00E00D95">
      <w:pPr>
        <w:pStyle w:val="SingleTxtG"/>
        <w:ind w:firstLine="567"/>
      </w:pPr>
      <w:r w:rsidRPr="00E00D95">
        <w:rPr>
          <w:i/>
        </w:rPr>
        <w:t>Le Conseil des droits de l’homme</w:t>
      </w:r>
      <w:r>
        <w:t>,</w:t>
      </w:r>
    </w:p>
    <w:p w:rsidR="00026276" w:rsidRPr="00026276" w:rsidRDefault="00026276" w:rsidP="00260D39">
      <w:pPr>
        <w:pStyle w:val="SingleTxtG"/>
        <w:ind w:firstLine="567"/>
      </w:pPr>
      <w:r w:rsidRPr="00026276">
        <w:rPr>
          <w:i/>
        </w:rPr>
        <w:t>Guidé</w:t>
      </w:r>
      <w:r w:rsidRPr="00026276">
        <w:t xml:space="preserve"> par la Charte des Nations Unies, la Déclaration universelle des droits de l’homme, le Pacte international relatif aux droits économiques, sociaux et culturels, le Pacte international relatif aux droits civils et politiques, la Déclaration et le Programme d’action de Vienne et la Déclaration sur le </w:t>
      </w:r>
      <w:r w:rsidR="006C0DBA">
        <w:t>d</w:t>
      </w:r>
      <w:r w:rsidR="006C0DBA" w:rsidRPr="00026276">
        <w:t xml:space="preserve">roit </w:t>
      </w:r>
      <w:r w:rsidRPr="00026276">
        <w:t xml:space="preserve">au </w:t>
      </w:r>
      <w:r w:rsidR="006C0DBA">
        <w:t>d</w:t>
      </w:r>
      <w:r w:rsidR="006C0DBA" w:rsidRPr="00026276">
        <w:t>éveloppemen</w:t>
      </w:r>
      <w:r w:rsidR="006C0DBA">
        <w:t>t</w:t>
      </w:r>
      <w:r>
        <w:t>,</w:t>
      </w:r>
    </w:p>
    <w:p w:rsidR="00026276" w:rsidRPr="00026276" w:rsidRDefault="00026276" w:rsidP="00260D39">
      <w:pPr>
        <w:pStyle w:val="SingleTxtG"/>
        <w:ind w:firstLine="567"/>
      </w:pPr>
      <w:r w:rsidRPr="00026276">
        <w:rPr>
          <w:i/>
        </w:rPr>
        <w:t>Gardant à l’esprit</w:t>
      </w:r>
      <w:r w:rsidRPr="00026276">
        <w:t xml:space="preserve"> le paragraphe 6 de la résolution 60/251 de l’Assemblée générale en date du 15 </w:t>
      </w:r>
      <w:r>
        <w:t>mars 2006,</w:t>
      </w:r>
    </w:p>
    <w:p w:rsidR="00026276" w:rsidRPr="00026276" w:rsidRDefault="00026276" w:rsidP="00260D39">
      <w:pPr>
        <w:pStyle w:val="SingleTxtG"/>
        <w:ind w:firstLine="567"/>
      </w:pPr>
      <w:r w:rsidRPr="00026276">
        <w:rPr>
          <w:i/>
        </w:rPr>
        <w:t>Rappelant</w:t>
      </w:r>
      <w:r w:rsidRPr="00026276">
        <w:t xml:space="preserve"> ses résolutions 5/1 sur la mise en place des institutions du Conseil et 5/2 sur le Code de conduite pour les titulaires de mandat au titre des procédures spéciales du Conseil, du 18 juin 2007, et soulignant que les titulaires de mandat doivent s’acquitter de leurs obligations conformément à ces résolutions et à le</w:t>
      </w:r>
      <w:r>
        <w:t>urs annexes,</w:t>
      </w:r>
    </w:p>
    <w:p w:rsidR="00026276" w:rsidRPr="00026276" w:rsidRDefault="00026276" w:rsidP="00260D39">
      <w:pPr>
        <w:pStyle w:val="SingleTxtG"/>
        <w:ind w:firstLine="567"/>
      </w:pPr>
      <w:r w:rsidRPr="00026276">
        <w:rPr>
          <w:i/>
        </w:rPr>
        <w:t>Rappelant également</w:t>
      </w:r>
      <w:r w:rsidRPr="00026276">
        <w:t xml:space="preserve"> ses résolutions </w:t>
      </w:r>
      <w:r w:rsidR="007B3F2A" w:rsidRPr="00026276">
        <w:t>9/1 du 24 septembre 2008</w:t>
      </w:r>
      <w:r w:rsidR="007B3F2A">
        <w:t>,</w:t>
      </w:r>
      <w:r w:rsidR="007B3F2A" w:rsidRPr="00026276">
        <w:t xml:space="preserve"> 18/11 du 2</w:t>
      </w:r>
      <w:r w:rsidR="007B3F2A">
        <w:t>9</w:t>
      </w:r>
      <w:r w:rsidR="007B3F2A" w:rsidRPr="00026276">
        <w:t xml:space="preserve"> septembre 2011, 21/17 du 27</w:t>
      </w:r>
      <w:r w:rsidR="007B3F2A">
        <w:t> </w:t>
      </w:r>
      <w:r w:rsidR="007B3F2A" w:rsidRPr="00026276">
        <w:t xml:space="preserve">septembre 2012, </w:t>
      </w:r>
      <w:r w:rsidRPr="00026276">
        <w:t>27/</w:t>
      </w:r>
      <w:r w:rsidR="00B94CD5">
        <w:t>2</w:t>
      </w:r>
      <w:r w:rsidR="00B94CD5" w:rsidRPr="00026276">
        <w:t xml:space="preserve">3 </w:t>
      </w:r>
      <w:r w:rsidRPr="00026276">
        <w:t xml:space="preserve">du </w:t>
      </w:r>
      <w:r w:rsidR="00B94CD5" w:rsidRPr="00026276">
        <w:t>2</w:t>
      </w:r>
      <w:r w:rsidR="00B94CD5">
        <w:t>6</w:t>
      </w:r>
      <w:r w:rsidR="00B94CD5" w:rsidRPr="00026276">
        <w:t xml:space="preserve"> </w:t>
      </w:r>
      <w:r w:rsidRPr="00026276">
        <w:t>septembre 2014 et toutes les résolutions de la Commission des droits de l’homme sur la question</w:t>
      </w:r>
      <w:r>
        <w:t>,</w:t>
      </w:r>
    </w:p>
    <w:p w:rsidR="00026276" w:rsidRPr="00026276" w:rsidRDefault="00026276" w:rsidP="00260D39">
      <w:pPr>
        <w:pStyle w:val="SingleTxtG"/>
        <w:ind w:firstLine="567"/>
      </w:pPr>
      <w:r w:rsidRPr="00026276">
        <w:rPr>
          <w:i/>
        </w:rPr>
        <w:t xml:space="preserve">Rappelant </w:t>
      </w:r>
      <w:r w:rsidR="001031B8">
        <w:rPr>
          <w:i/>
        </w:rPr>
        <w:t>en outre</w:t>
      </w:r>
      <w:r w:rsidR="001031B8" w:rsidRPr="00026276">
        <w:t xml:space="preserve"> </w:t>
      </w:r>
      <w:r w:rsidRPr="00026276">
        <w:t xml:space="preserve">la résolution 70/1 de l’Assemblée </w:t>
      </w:r>
      <w:r w:rsidR="001031B8">
        <w:t>g</w:t>
      </w:r>
      <w:r w:rsidR="001031B8" w:rsidRPr="00026276">
        <w:t xml:space="preserve">énérale </w:t>
      </w:r>
      <w:r w:rsidR="002E6A88">
        <w:t xml:space="preserve">du 25 septembre 2015 </w:t>
      </w:r>
      <w:r w:rsidRPr="00026276">
        <w:t>et accueillant favorablement l</w:t>
      </w:r>
      <w:r w:rsidR="00E30BAB">
        <w:t>’</w:t>
      </w:r>
      <w:r w:rsidRPr="00026276">
        <w:t>adoption d</w:t>
      </w:r>
      <w:r w:rsidR="009E235F">
        <w:t>u Programme</w:t>
      </w:r>
      <w:r w:rsidR="00E30BAB">
        <w:t xml:space="preserve"> de développement durable</w:t>
      </w:r>
      <w:r w:rsidRPr="00026276">
        <w:t xml:space="preserve"> </w:t>
      </w:r>
      <w:r w:rsidR="002C292F">
        <w:t xml:space="preserve">à l’horizon </w:t>
      </w:r>
      <w:r w:rsidRPr="00026276">
        <w:t xml:space="preserve">2030, y compris </w:t>
      </w:r>
      <w:r w:rsidR="00E30BAB" w:rsidRPr="00026276">
        <w:t>l’</w:t>
      </w:r>
      <w:r w:rsidR="00E30BAB">
        <w:t>o</w:t>
      </w:r>
      <w:r w:rsidR="00E30BAB" w:rsidRPr="00026276">
        <w:t xml:space="preserve">bjectif </w:t>
      </w:r>
      <w:r w:rsidRPr="00026276">
        <w:t>12</w:t>
      </w:r>
      <w:r w:rsidR="00E30BAB">
        <w:t>,</w:t>
      </w:r>
      <w:r w:rsidRPr="00026276">
        <w:t xml:space="preserve"> </w:t>
      </w:r>
      <w:r w:rsidR="00E30BAB">
        <w:t>c</w:t>
      </w:r>
      <w:r w:rsidRPr="00026276">
        <w:t xml:space="preserve">ible 4, pour réaliser, </w:t>
      </w:r>
      <w:r w:rsidR="00B275C1">
        <w:t>d’ici à</w:t>
      </w:r>
      <w:r w:rsidR="00B275C1" w:rsidRPr="00026276">
        <w:t xml:space="preserve"> </w:t>
      </w:r>
      <w:r w:rsidRPr="00026276">
        <w:t>2020, la gestion écologiquement rationnelle des produits et déchets dangereux pendant toute leur durée de vie, conformément aux normes internationales</w:t>
      </w:r>
      <w:r w:rsidR="00E30BAB">
        <w:t>,</w:t>
      </w:r>
      <w:r w:rsidRPr="00026276">
        <w:t xml:space="preserve"> et affirmant les liens et la nature intégrée de tous les </w:t>
      </w:r>
      <w:r w:rsidR="00E30BAB">
        <w:t>o</w:t>
      </w:r>
      <w:r w:rsidRPr="00026276">
        <w:t xml:space="preserve">bjectifs de </w:t>
      </w:r>
      <w:r w:rsidR="00E30BAB">
        <w:t>d</w:t>
      </w:r>
      <w:r w:rsidRPr="00026276">
        <w:t>éveloppement durable</w:t>
      </w:r>
      <w:r>
        <w:t>,</w:t>
      </w:r>
    </w:p>
    <w:p w:rsidR="00026276" w:rsidRPr="00026276" w:rsidRDefault="00026276" w:rsidP="00260D39">
      <w:pPr>
        <w:pStyle w:val="SingleTxtG"/>
        <w:ind w:firstLine="567"/>
      </w:pPr>
      <w:r>
        <w:t>1.</w:t>
      </w:r>
      <w:r>
        <w:tab/>
      </w:r>
      <w:r w:rsidRPr="00026276">
        <w:rPr>
          <w:i/>
        </w:rPr>
        <w:t>Se félicite</w:t>
      </w:r>
      <w:r w:rsidRPr="00026276">
        <w:t xml:space="preserve"> du travail du Rapporteur </w:t>
      </w:r>
      <w:r w:rsidR="00D0203A">
        <w:t>s</w:t>
      </w:r>
      <w:r w:rsidR="00D0203A" w:rsidRPr="00026276">
        <w:t xml:space="preserve">pécial </w:t>
      </w:r>
      <w:r w:rsidRPr="00026276">
        <w:t xml:space="preserve">sur les incidences sur les droits de l’homme de la gestion et de l’élimination écologiquement rationnelles des produits et </w:t>
      </w:r>
      <w:r w:rsidRPr="00026276">
        <w:lastRenderedPageBreak/>
        <w:t>déchets dangereux</w:t>
      </w:r>
      <w:r w:rsidR="00C90663" w:rsidRPr="00C90663">
        <w:t xml:space="preserve"> </w:t>
      </w:r>
      <w:r w:rsidR="00C90663" w:rsidRPr="00026276">
        <w:t>dans le cadre de son mandat et prend note de son rapport</w:t>
      </w:r>
      <w:r w:rsidRPr="00026276">
        <w:t xml:space="preserve"> présenté à la trente-sixième session du</w:t>
      </w:r>
      <w:r>
        <w:t xml:space="preserve"> Conseil</w:t>
      </w:r>
      <w:r w:rsidR="00C90663">
        <w:rPr>
          <w:rStyle w:val="Appelnotedebasdep"/>
        </w:rPr>
        <w:footnoteReference w:id="2"/>
      </w:r>
      <w:r w:rsidR="001031B8">
        <w:t> </w:t>
      </w:r>
      <w:r>
        <w:t>;</w:t>
      </w:r>
    </w:p>
    <w:p w:rsidR="00026276" w:rsidRPr="00026276" w:rsidRDefault="00026276" w:rsidP="00260D39">
      <w:pPr>
        <w:pStyle w:val="SingleTxtG"/>
        <w:ind w:firstLine="567"/>
      </w:pPr>
      <w:r>
        <w:t>2.</w:t>
      </w:r>
      <w:r>
        <w:tab/>
      </w:r>
      <w:r w:rsidRPr="00026276">
        <w:rPr>
          <w:i/>
        </w:rPr>
        <w:t>Prend note</w:t>
      </w:r>
      <w:r w:rsidRPr="00026276">
        <w:t xml:space="preserve"> de l’élaboration </w:t>
      </w:r>
      <w:r w:rsidR="00C90663" w:rsidRPr="00026276">
        <w:t xml:space="preserve">par le Rapporteur spécial </w:t>
      </w:r>
      <w:r w:rsidRPr="00026276">
        <w:t xml:space="preserve">des lignes directrices </w:t>
      </w:r>
      <w:r w:rsidR="00C90663">
        <w:t xml:space="preserve">sur les bonnes pratiques, présentées dans son rapport, </w:t>
      </w:r>
      <w:r w:rsidRPr="00026276">
        <w:t>et demande au Rapporteur spécial, dans le cadre de son mandat, de continuer à fournir des informations détaillées et actualisées sur les conséquences néfastes que la gestion et l’élimination illicites des produits et déchets dangereux peuvent avoir sur la pleine jouissance d</w:t>
      </w:r>
      <w:r>
        <w:t>es droits de l’homme</w:t>
      </w:r>
      <w:r w:rsidR="001031B8">
        <w:t> </w:t>
      </w:r>
      <w:r>
        <w:t>;</w:t>
      </w:r>
    </w:p>
    <w:p w:rsidR="00026276" w:rsidRPr="00026276" w:rsidRDefault="00026276" w:rsidP="00260D39">
      <w:pPr>
        <w:pStyle w:val="SingleTxtG"/>
        <w:ind w:firstLine="567"/>
      </w:pPr>
      <w:r>
        <w:t>3.</w:t>
      </w:r>
      <w:r>
        <w:tab/>
      </w:r>
      <w:r w:rsidRPr="00026276">
        <w:rPr>
          <w:i/>
        </w:rPr>
        <w:t>Décide</w:t>
      </w:r>
      <w:r w:rsidRPr="00026276">
        <w:t xml:space="preserve"> de proroger le mandat du Rapporteur spécial pour une période de trois ans et invite celui-ci à </w:t>
      </w:r>
      <w:r w:rsidR="00D05F58">
        <w:t xml:space="preserve">lui </w:t>
      </w:r>
      <w:r w:rsidRPr="00026276">
        <w:t>faire rapport conformément à son programme de travail et une foi</w:t>
      </w:r>
      <w:r>
        <w:t>s par an à l’Assemblée générale</w:t>
      </w:r>
      <w:r w:rsidR="001031B8">
        <w:t> </w:t>
      </w:r>
      <w:r w:rsidRPr="00026276">
        <w:t>;</w:t>
      </w:r>
    </w:p>
    <w:p w:rsidR="00026276" w:rsidRPr="00026276" w:rsidRDefault="00026276" w:rsidP="00260D39">
      <w:pPr>
        <w:pStyle w:val="SingleTxtG"/>
        <w:ind w:firstLine="567"/>
      </w:pPr>
      <w:r>
        <w:t>4.</w:t>
      </w:r>
      <w:r>
        <w:tab/>
      </w:r>
      <w:r w:rsidRPr="00026276">
        <w:rPr>
          <w:i/>
        </w:rPr>
        <w:t>Encourage</w:t>
      </w:r>
      <w:r w:rsidRPr="00026276">
        <w:t xml:space="preserve"> le Rapporteur spécial à poursuivre son étroite coopération avec le Programme des Nations Unies pour l’environnement, </w:t>
      </w:r>
      <w:r w:rsidR="00315924">
        <w:t xml:space="preserve">avec </w:t>
      </w:r>
      <w:r w:rsidRPr="00026276">
        <w:t>les institutions spécialisées compétentes des Nations Unies</w:t>
      </w:r>
      <w:r w:rsidR="00A21A58">
        <w:t>,</w:t>
      </w:r>
      <w:r w:rsidRPr="00026276">
        <w:t xml:space="preserve"> telles que l’Organisation mondiale de la Santé et l’Organisation internationale du Travail, et avec les secrétariats des conventions environnementales internationales, en vue d’incorporer les droits de l’homme dans leurs travaux et d’éviter les chevauchements d’a</w:t>
      </w:r>
      <w:r>
        <w:t>ctivités</w:t>
      </w:r>
      <w:r w:rsidR="001031B8">
        <w:t> </w:t>
      </w:r>
      <w:r w:rsidRPr="00026276">
        <w:t>;</w:t>
      </w:r>
    </w:p>
    <w:p w:rsidR="00026276" w:rsidRPr="00026276" w:rsidRDefault="00026276" w:rsidP="00260D39">
      <w:pPr>
        <w:pStyle w:val="SingleTxtG"/>
        <w:ind w:firstLine="567"/>
      </w:pPr>
      <w:r>
        <w:t>5.</w:t>
      </w:r>
      <w:r>
        <w:tab/>
      </w:r>
      <w:r w:rsidRPr="00026276">
        <w:rPr>
          <w:i/>
        </w:rPr>
        <w:t>Exhorte</w:t>
      </w:r>
      <w:r w:rsidRPr="00026276">
        <w:t xml:space="preserve"> le Rapporteur spécial à poursuivre les consultations avec les organes et organismes des Nations Unies compétents ainsi qu’avec les secrétariats des conventions internationales pertinentes, dans une approche multidisciplinaire et approfondie des problèmes existants, en vue d’identifier des solutions durables en matière de gestion de ces produits et déchets afin de présenter au Conseil, en fonction de son programme, des rapports annuels sur la mise en œuvre des résolutions qu</w:t>
      </w:r>
      <w:r w:rsidR="00147319">
        <w:t>’</w:t>
      </w:r>
      <w:r w:rsidRPr="00026276">
        <w:t>il a adoptées, ainsi que des recommandations et des propositions concrètes sur les mesures qui devraient immédiatement être prises pour remédier aux incidences néfastes sur les droits de l</w:t>
      </w:r>
      <w:r w:rsidR="00147319">
        <w:t>’</w:t>
      </w:r>
      <w:r w:rsidRPr="00026276">
        <w:t>homme des produits et déchets d</w:t>
      </w:r>
      <w:r>
        <w:t>angereux</w:t>
      </w:r>
      <w:r w:rsidR="001031B8">
        <w:t> </w:t>
      </w:r>
      <w:r w:rsidRPr="00026276">
        <w:t>;</w:t>
      </w:r>
    </w:p>
    <w:p w:rsidR="00026276" w:rsidRPr="00026276" w:rsidRDefault="00026276" w:rsidP="00260D39">
      <w:pPr>
        <w:pStyle w:val="SingleTxtG"/>
        <w:ind w:firstLine="567"/>
      </w:pPr>
      <w:r>
        <w:t>6.</w:t>
      </w:r>
      <w:r>
        <w:tab/>
      </w:r>
      <w:r w:rsidRPr="00026276">
        <w:rPr>
          <w:i/>
        </w:rPr>
        <w:t>Encourage</w:t>
      </w:r>
      <w:r w:rsidRPr="00026276">
        <w:t xml:space="preserve"> tous les </w:t>
      </w:r>
      <w:r w:rsidR="001031B8">
        <w:t>É</w:t>
      </w:r>
      <w:r w:rsidRPr="00026276">
        <w:t>tats, les organismes des Nations Unies et les autres organisations internationales pertinentes, les acteurs de la société civile, dont les organisations non gouvernementales, ainsi que le secteur public et le secteur privé, et toutes les autres parties prenantes concernées à s’engager dans un processus de consultations, de dialogue et de coopérat</w:t>
      </w:r>
      <w:r w:rsidR="007B1125">
        <w:t xml:space="preserve">ion avec le Rapporteur </w:t>
      </w:r>
      <w:r w:rsidR="00255093">
        <w:t>s</w:t>
      </w:r>
      <w:r w:rsidR="007B1125">
        <w:t xml:space="preserve">pécial </w:t>
      </w:r>
      <w:r w:rsidRPr="00026276">
        <w:t>en vue de lui permettre d’actualiser les lignes directrices sur les bonnes pratiques pour soutenir la pleine jouissance des droits de l</w:t>
      </w:r>
      <w:r w:rsidR="00D54286">
        <w:t>’</w:t>
      </w:r>
      <w:r w:rsidRPr="00026276">
        <w:t>homme par la gestion et l’élimination écologiquement rationnelles des produits et déchets dangereux, à l’issue de son mandat</w:t>
      </w:r>
      <w:r w:rsidR="001031B8">
        <w:t> </w:t>
      </w:r>
      <w:r w:rsidR="00222CE3">
        <w:t>;</w:t>
      </w:r>
    </w:p>
    <w:p w:rsidR="00026276" w:rsidRPr="00026276" w:rsidRDefault="00026276" w:rsidP="00260D39">
      <w:pPr>
        <w:pStyle w:val="SingleTxtG"/>
        <w:ind w:firstLine="567"/>
      </w:pPr>
      <w:r>
        <w:t>7.</w:t>
      </w:r>
      <w:r>
        <w:tab/>
      </w:r>
      <w:r w:rsidRPr="00026276">
        <w:rPr>
          <w:i/>
        </w:rPr>
        <w:t>Prie</w:t>
      </w:r>
      <w:r w:rsidRPr="00026276">
        <w:t xml:space="preserve"> le Rapporteur spécial d’informer les États, les organismes des Nations Unies et les autres organisations internationales pertinentes, la société civile et les autres parties prenantes </w:t>
      </w:r>
      <w:r w:rsidR="00A851F4">
        <w:t>d</w:t>
      </w:r>
      <w:r w:rsidRPr="00026276">
        <w:t>es incidences sur les droits de l’homme de la gestion et de l’élimination écologiquement rationnelles des produits et déchets dangereux, y compris dans la mise en œuvre d</w:t>
      </w:r>
      <w:r w:rsidR="002C292F">
        <w:t>u Programme de</w:t>
      </w:r>
      <w:r w:rsidRPr="00026276">
        <w:t xml:space="preserve"> développement durable</w:t>
      </w:r>
      <w:r w:rsidR="002C292F">
        <w:t xml:space="preserve"> à l’horizon 2030</w:t>
      </w:r>
      <w:r w:rsidR="00A851F4">
        <w:t>,</w:t>
      </w:r>
      <w:r w:rsidRPr="00026276">
        <w:t xml:space="preserve"> de solliciter les </w:t>
      </w:r>
      <w:r w:rsidR="00A5526B">
        <w:t>avis</w:t>
      </w:r>
      <w:r w:rsidR="00A5526B" w:rsidRPr="00026276">
        <w:t xml:space="preserve"> </w:t>
      </w:r>
      <w:r w:rsidRPr="00026276">
        <w:t>et contributions des gouvernements, des organismes des Nations Unies et d’autres organisations internationales pertinentes, de la société civile et des autres parties prenantes concernées dans le cadre de son mandat</w:t>
      </w:r>
      <w:r w:rsidR="00A5526B">
        <w:t>,</w:t>
      </w:r>
      <w:r w:rsidR="007B1125">
        <w:t xml:space="preserve"> </w:t>
      </w:r>
      <w:r w:rsidRPr="00026276">
        <w:t>et d’examiner les efforts nationaux, régionaux et internationaux relatifs aux objectifs d</w:t>
      </w:r>
      <w:r w:rsidR="00332B5E">
        <w:t>e</w:t>
      </w:r>
      <w:r w:rsidRPr="00026276">
        <w:t xml:space="preserve"> développe</w:t>
      </w:r>
      <w:r w:rsidR="00332B5E">
        <w:t>me</w:t>
      </w:r>
      <w:r w:rsidRPr="00026276">
        <w:t>nt durable et de mener des recherches thématiques sur la mise en œuvre effecti</w:t>
      </w:r>
      <w:r>
        <w:t>ve d</w:t>
      </w:r>
      <w:r w:rsidR="00532192">
        <w:t>u Programme</w:t>
      </w:r>
      <w:r w:rsidR="00D54286">
        <w:t xml:space="preserve"> </w:t>
      </w:r>
      <w:r>
        <w:t>2030</w:t>
      </w:r>
      <w:r w:rsidR="001031B8">
        <w:t> </w:t>
      </w:r>
      <w:r>
        <w:t>;</w:t>
      </w:r>
    </w:p>
    <w:p w:rsidR="00026276" w:rsidRPr="00026276" w:rsidRDefault="00026276" w:rsidP="00260D39">
      <w:pPr>
        <w:pStyle w:val="SingleTxtG"/>
        <w:ind w:firstLine="567"/>
      </w:pPr>
      <w:r>
        <w:t>8.</w:t>
      </w:r>
      <w:r>
        <w:tab/>
      </w:r>
      <w:r w:rsidRPr="00026276">
        <w:rPr>
          <w:i/>
        </w:rPr>
        <w:t>Encourage</w:t>
      </w:r>
      <w:r w:rsidRPr="00026276">
        <w:t xml:space="preserve"> le Rapporteur spécial, agissant dans le cadre de son mandat, avec l’appui et le concours du Haut-Commissariat des Nations Unies aux droits de l’homme, à continuer de donner comme il convient aux gouvernements la possibilité de réagir aux </w:t>
      </w:r>
      <w:r w:rsidRPr="00026276">
        <w:lastRenderedPageBreak/>
        <w:t>allégations qui lui sont communiquées et qu’il mentionne dans son rapport, et à rendre compte de leurs observations dans son rappo</w:t>
      </w:r>
      <w:r>
        <w:t>rt au Conseil</w:t>
      </w:r>
      <w:r w:rsidR="001031B8">
        <w:t> </w:t>
      </w:r>
      <w:r>
        <w:t>;</w:t>
      </w:r>
    </w:p>
    <w:p w:rsidR="00026276" w:rsidRPr="00026276" w:rsidRDefault="00026276" w:rsidP="00260D39">
      <w:pPr>
        <w:pStyle w:val="SingleTxtG"/>
        <w:ind w:firstLine="567"/>
      </w:pPr>
      <w:r>
        <w:t>9.</w:t>
      </w:r>
      <w:r>
        <w:tab/>
      </w:r>
      <w:r w:rsidRPr="00026276">
        <w:rPr>
          <w:i/>
        </w:rPr>
        <w:t>Réitère</w:t>
      </w:r>
      <w:r w:rsidRPr="00026276">
        <w:t xml:space="preserve"> son appel aux États et aux autres parties prenantes </w:t>
      </w:r>
      <w:r w:rsidR="00C63EC4">
        <w:t>à</w:t>
      </w:r>
      <w:r w:rsidRPr="00026276">
        <w:t xml:space="preserve"> faciliter le travail du Rapporteur spécial en lui communiquant des informations et en l’invitant à se rendre sur </w:t>
      </w:r>
      <w:r>
        <w:t>leur territoire</w:t>
      </w:r>
      <w:r w:rsidR="001031B8">
        <w:t> </w:t>
      </w:r>
      <w:r w:rsidRPr="00026276">
        <w:t>;</w:t>
      </w:r>
    </w:p>
    <w:p w:rsidR="00026276" w:rsidRPr="00026276" w:rsidRDefault="00026276" w:rsidP="00260D39">
      <w:pPr>
        <w:pStyle w:val="SingleTxtG"/>
        <w:ind w:firstLine="567"/>
      </w:pPr>
      <w:r>
        <w:t>10.</w:t>
      </w:r>
      <w:r>
        <w:tab/>
      </w:r>
      <w:r w:rsidRPr="00026276">
        <w:rPr>
          <w:i/>
        </w:rPr>
        <w:t xml:space="preserve">Réitère </w:t>
      </w:r>
      <w:r w:rsidRPr="00026276">
        <w:t xml:space="preserve">son appel au Secrétaire général et au Haut-Commissaire </w:t>
      </w:r>
      <w:r w:rsidR="002C292F">
        <w:t xml:space="preserve">des Nations Unies </w:t>
      </w:r>
      <w:r w:rsidR="004C080D">
        <w:t xml:space="preserve">aux droits de l’homme </w:t>
      </w:r>
      <w:r w:rsidRPr="00026276">
        <w:t xml:space="preserve">en vue de fournir au Rapporteur spécial toute l’aide </w:t>
      </w:r>
      <w:r w:rsidR="00FA1B70">
        <w:t>dont il a besoin</w:t>
      </w:r>
      <w:r w:rsidR="00FA1B70" w:rsidRPr="00026276">
        <w:t xml:space="preserve"> </w:t>
      </w:r>
      <w:r w:rsidRPr="00026276">
        <w:t>pour s’acquitter convenablement de son mandat</w:t>
      </w:r>
      <w:r w:rsidR="001031B8">
        <w:t> </w:t>
      </w:r>
      <w:r w:rsidRPr="00026276">
        <w:t>;</w:t>
      </w:r>
    </w:p>
    <w:p w:rsidR="007D0968" w:rsidRDefault="00026276" w:rsidP="00260D39">
      <w:pPr>
        <w:pStyle w:val="SingleTxtG"/>
        <w:ind w:firstLine="567"/>
      </w:pPr>
      <w:r>
        <w:t>11.</w:t>
      </w:r>
      <w:r>
        <w:tab/>
      </w:r>
      <w:r w:rsidRPr="00026276">
        <w:rPr>
          <w:i/>
        </w:rPr>
        <w:t>Décide</w:t>
      </w:r>
      <w:r w:rsidRPr="00026276">
        <w:t xml:space="preserve"> de poursuivre l’examen de la question au titre du même point de l’ordre du jour, conformément à son programme de travail.</w:t>
      </w:r>
    </w:p>
    <w:p w:rsidR="00007B76" w:rsidRPr="008402D4" w:rsidRDefault="00007B76" w:rsidP="00007B76">
      <w:pPr>
        <w:pStyle w:val="SingleTxtG"/>
        <w:jc w:val="right"/>
        <w:rPr>
          <w:i/>
          <w:lang w:val="fr-FR"/>
        </w:rPr>
      </w:pPr>
      <w:r w:rsidRPr="008402D4">
        <w:rPr>
          <w:i/>
          <w:lang w:val="fr-FR"/>
        </w:rPr>
        <w:t>3</w:t>
      </w:r>
      <w:r>
        <w:rPr>
          <w:i/>
          <w:lang w:val="fr-FR"/>
        </w:rPr>
        <w:t>9</w:t>
      </w:r>
      <w:r w:rsidRPr="002D6C57">
        <w:rPr>
          <w:i/>
          <w:vertAlign w:val="superscript"/>
          <w:lang w:val="fr-FR"/>
        </w:rPr>
        <w:t>e</w:t>
      </w:r>
      <w:r>
        <w:rPr>
          <w:i/>
          <w:lang w:val="fr-FR"/>
        </w:rPr>
        <w:t xml:space="preserve"> </w:t>
      </w:r>
      <w:r w:rsidRPr="008402D4">
        <w:rPr>
          <w:i/>
          <w:lang w:val="fr-FR"/>
        </w:rPr>
        <w:t>séance</w:t>
      </w:r>
      <w:r w:rsidRPr="008402D4">
        <w:rPr>
          <w:i/>
          <w:lang w:val="fr-FR"/>
        </w:rPr>
        <w:br/>
        <w:t>2</w:t>
      </w:r>
      <w:r>
        <w:rPr>
          <w:i/>
          <w:lang w:val="fr-FR"/>
        </w:rPr>
        <w:t>8 septembre</w:t>
      </w:r>
      <w:r w:rsidRPr="008402D4">
        <w:rPr>
          <w:i/>
          <w:lang w:val="fr-FR"/>
        </w:rPr>
        <w:t xml:space="preserve"> 2017</w:t>
      </w:r>
    </w:p>
    <w:p w:rsidR="00007B76" w:rsidRPr="00026276" w:rsidRDefault="00007B76" w:rsidP="00C97501">
      <w:pPr>
        <w:pStyle w:val="SingleTxtG"/>
      </w:pPr>
      <w:r w:rsidRPr="00562B68">
        <w:t>[Adoptée sans vote.]</w:t>
      </w:r>
    </w:p>
    <w:p w:rsidR="00FF1B1D" w:rsidRPr="00A73287" w:rsidRDefault="00A73287" w:rsidP="00A73287">
      <w:pPr>
        <w:pStyle w:val="SingleTxtG"/>
        <w:spacing w:before="240" w:after="0"/>
        <w:jc w:val="center"/>
        <w:rPr>
          <w:u w:val="single"/>
        </w:rPr>
      </w:pPr>
      <w:r>
        <w:rPr>
          <w:u w:val="single"/>
        </w:rPr>
        <w:tab/>
      </w:r>
      <w:r>
        <w:rPr>
          <w:u w:val="single"/>
        </w:rPr>
        <w:tab/>
      </w:r>
      <w:r>
        <w:rPr>
          <w:u w:val="single"/>
        </w:rPr>
        <w:tab/>
      </w:r>
    </w:p>
    <w:sectPr w:rsidR="00FF1B1D" w:rsidRPr="00A73287" w:rsidSect="00A36CE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4C9" w:rsidRDefault="003414C9"/>
  </w:endnote>
  <w:endnote w:type="continuationSeparator" w:id="0">
    <w:p w:rsidR="003414C9" w:rsidRDefault="003414C9"/>
  </w:endnote>
  <w:endnote w:type="continuationNotice" w:id="1">
    <w:p w:rsidR="003414C9" w:rsidRPr="00770C75" w:rsidRDefault="003414C9" w:rsidP="00770C7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CE0" w:rsidRPr="00A36CE0" w:rsidRDefault="00A36CE0" w:rsidP="008D2ECB">
    <w:pPr>
      <w:pStyle w:val="Pieddepage"/>
      <w:tabs>
        <w:tab w:val="right" w:pos="9638"/>
      </w:tabs>
    </w:pPr>
    <w:r w:rsidRPr="00A36CE0">
      <w:rPr>
        <w:b/>
        <w:sz w:val="18"/>
      </w:rPr>
      <w:fldChar w:fldCharType="begin"/>
    </w:r>
    <w:r w:rsidRPr="00A36CE0">
      <w:rPr>
        <w:b/>
        <w:sz w:val="18"/>
      </w:rPr>
      <w:instrText xml:space="preserve"> PAGE  \* MERGEFORMAT </w:instrText>
    </w:r>
    <w:r w:rsidRPr="00A36CE0">
      <w:rPr>
        <w:b/>
        <w:sz w:val="18"/>
      </w:rPr>
      <w:fldChar w:fldCharType="separate"/>
    </w:r>
    <w:r w:rsidR="00665B37">
      <w:rPr>
        <w:b/>
        <w:noProof/>
        <w:sz w:val="18"/>
      </w:rPr>
      <w:t>2</w:t>
    </w:r>
    <w:r w:rsidRPr="00A36CE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CE0" w:rsidRPr="00A36CE0" w:rsidRDefault="00A36CE0" w:rsidP="006E3DE4">
    <w:pPr>
      <w:pStyle w:val="Pieddepage"/>
      <w:tabs>
        <w:tab w:val="right" w:pos="9638"/>
      </w:tabs>
      <w:jc w:val="right"/>
      <w:rPr>
        <w:b/>
        <w:sz w:val="18"/>
      </w:rPr>
    </w:pPr>
    <w:r w:rsidRPr="00A36CE0">
      <w:rPr>
        <w:b/>
        <w:sz w:val="18"/>
      </w:rPr>
      <w:fldChar w:fldCharType="begin"/>
    </w:r>
    <w:r w:rsidRPr="00A36CE0">
      <w:rPr>
        <w:b/>
        <w:sz w:val="18"/>
      </w:rPr>
      <w:instrText xml:space="preserve"> PAGE  \* MERGEFORMAT </w:instrText>
    </w:r>
    <w:r w:rsidRPr="00A36CE0">
      <w:rPr>
        <w:b/>
        <w:sz w:val="18"/>
      </w:rPr>
      <w:fldChar w:fldCharType="separate"/>
    </w:r>
    <w:r w:rsidR="00665B37">
      <w:rPr>
        <w:b/>
        <w:noProof/>
        <w:sz w:val="18"/>
      </w:rPr>
      <w:t>3</w:t>
    </w:r>
    <w:r w:rsidRPr="00A36C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1A1" w:rsidRPr="00E911A1" w:rsidRDefault="00E911A1">
    <w:pPr>
      <w:pStyle w:val="Pieddepage"/>
      <w:rPr>
        <w:rFonts w:ascii="C39T30Lfz" w:hAnsi="C39T30Lfz"/>
        <w:sz w:val="56"/>
      </w:rPr>
    </w:pPr>
    <w:r>
      <w:rPr>
        <w:noProof/>
        <w:lang w:eastAsia="fr-CH"/>
      </w:rPr>
      <w:drawing>
        <wp:anchor distT="0" distB="0" distL="114300" distR="114300" simplePos="0" relativeHeight="251657728" behindDoc="0" locked="0" layoutInCell="1" allowOverlap="0" wp14:anchorId="6A1DFBAC" wp14:editId="1B4CF4F1">
          <wp:simplePos x="0" y="0"/>
          <wp:positionH relativeFrom="margin">
            <wp:posOffset>4319905</wp:posOffset>
          </wp:positionH>
          <wp:positionV relativeFrom="margin">
            <wp:posOffset>8350250</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800" behindDoc="0" locked="0" layoutInCell="1" allowOverlap="1">
          <wp:simplePos x="0" y="0"/>
          <wp:positionH relativeFrom="column">
            <wp:posOffset>5473700</wp:posOffset>
          </wp:positionH>
          <wp:positionV relativeFrom="paragraph">
            <wp:posOffset>12700</wp:posOffset>
          </wp:positionV>
          <wp:extent cx="638175" cy="638175"/>
          <wp:effectExtent l="0" t="0" r="9525" b="9525"/>
          <wp:wrapNone/>
          <wp:docPr id="2" name="Image 1" descr="https://undocs.org/m2/QRCode.ashx?DS=A/HRC/RES/36/1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1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t>17-17513</w:t>
    </w:r>
    <w:r>
      <w:rPr>
        <w:sz w:val="20"/>
      </w:rPr>
      <w:t xml:space="preserve">  (F)</w:t>
    </w:r>
    <w:r>
      <w:br/>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r w:rsidRPr="00E911A1">
      <w:rPr>
        <w:rFonts w:ascii="C39T30Lfz" w:hAnsi="C39T30Lfz"/>
        <w:sz w:val="56"/>
      </w:rPr>
      <w:t></w:t>
    </w: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4C9" w:rsidRPr="00D27D5E" w:rsidRDefault="003414C9" w:rsidP="00D27D5E">
      <w:pPr>
        <w:tabs>
          <w:tab w:val="right" w:pos="2155"/>
        </w:tabs>
        <w:spacing w:after="80"/>
        <w:ind w:left="680"/>
        <w:rPr>
          <w:u w:val="single"/>
        </w:rPr>
      </w:pPr>
      <w:r>
        <w:rPr>
          <w:u w:val="single"/>
        </w:rPr>
        <w:tab/>
      </w:r>
    </w:p>
  </w:footnote>
  <w:footnote w:type="continuationSeparator" w:id="0">
    <w:p w:rsidR="003414C9" w:rsidRPr="001D7014" w:rsidRDefault="003414C9" w:rsidP="001D7014">
      <w:pPr>
        <w:tabs>
          <w:tab w:val="right" w:pos="2155"/>
        </w:tabs>
        <w:spacing w:after="80"/>
        <w:ind w:left="680"/>
        <w:rPr>
          <w:u w:val="single"/>
        </w:rPr>
      </w:pPr>
      <w:r w:rsidRPr="001D7014">
        <w:rPr>
          <w:u w:val="single"/>
        </w:rPr>
        <w:tab/>
      </w:r>
    </w:p>
  </w:footnote>
  <w:footnote w:type="continuationNotice" w:id="1">
    <w:p w:rsidR="003414C9" w:rsidRPr="00770C75" w:rsidRDefault="003414C9" w:rsidP="00770C75">
      <w:pPr>
        <w:spacing w:line="240" w:lineRule="auto"/>
        <w:rPr>
          <w:sz w:val="2"/>
          <w:szCs w:val="2"/>
        </w:rPr>
      </w:pPr>
    </w:p>
  </w:footnote>
  <w:footnote w:id="2">
    <w:p w:rsidR="00C90663" w:rsidRPr="003D7941" w:rsidRDefault="00C90663" w:rsidP="00C90663">
      <w:pPr>
        <w:pStyle w:val="Notedebasdepage"/>
        <w:rPr>
          <w:lang w:val="fr-FR"/>
        </w:rPr>
      </w:pPr>
      <w:r>
        <w:tab/>
      </w:r>
      <w:r>
        <w:rPr>
          <w:rStyle w:val="Appelnotedebasdep"/>
        </w:rPr>
        <w:footnoteRef/>
      </w:r>
      <w:r>
        <w:tab/>
      </w:r>
      <w:r>
        <w:rPr>
          <w:lang w:val="fr-FR"/>
        </w:rPr>
        <w:t>A/HRC/36/41.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CE0" w:rsidRPr="00A36CE0" w:rsidRDefault="000B71F6">
    <w:pPr>
      <w:pStyle w:val="En-tte"/>
    </w:pPr>
    <w:r>
      <w:t>A/HRC/</w:t>
    </w:r>
    <w:r w:rsidR="00007B76">
      <w:t>RES/</w:t>
    </w:r>
    <w:r w:rsidR="00AB5BF9">
      <w:t>3</w:t>
    </w:r>
    <w:r w:rsidR="00095DF3">
      <w:t>6</w:t>
    </w:r>
    <w:r w:rsidR="00FF1B1D">
      <w:t>/</w:t>
    </w:r>
    <w:r w:rsidR="00007B76">
      <w:t>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CE0" w:rsidRPr="00A36CE0" w:rsidRDefault="00A36CE0" w:rsidP="00A36CE0">
    <w:pPr>
      <w:pStyle w:val="En-tte"/>
      <w:jc w:val="right"/>
    </w:pPr>
    <w:r>
      <w:t>A/HRC/</w:t>
    </w:r>
    <w:r w:rsidR="00007B76">
      <w:t>RES/</w:t>
    </w:r>
    <w:r w:rsidR="00AB5BF9">
      <w:t>3</w:t>
    </w:r>
    <w:r w:rsidR="00026276">
      <w:t>6</w:t>
    </w:r>
    <w:r w:rsidR="00FF1B1D">
      <w:t>/</w:t>
    </w:r>
    <w:r w:rsidR="00007B76">
      <w:t>15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1A1" w:rsidRDefault="00E911A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4C8BD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A809B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C4AC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5766A3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4964F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8942E7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C681A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A24AB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73203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50CA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C11AB8"/>
    <w:multiLevelType w:val="multilevel"/>
    <w:tmpl w:val="664CED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E592424"/>
    <w:multiLevelType w:val="multilevel"/>
    <w:tmpl w:val="53D0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F9293A"/>
    <w:multiLevelType w:val="multilevel"/>
    <w:tmpl w:val="A4CA7EE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1378FD"/>
    <w:multiLevelType w:val="multilevel"/>
    <w:tmpl w:val="983800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5"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9241100"/>
    <w:multiLevelType w:val="multilevel"/>
    <w:tmpl w:val="9D1A5D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753415"/>
    <w:multiLevelType w:val="multilevel"/>
    <w:tmpl w:val="9364C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645D4C"/>
    <w:multiLevelType w:val="multilevel"/>
    <w:tmpl w:val="CA8E3F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E76794"/>
    <w:multiLevelType w:val="multilevel"/>
    <w:tmpl w:val="D640E0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72E457D2"/>
    <w:multiLevelType w:val="multilevel"/>
    <w:tmpl w:val="A4B891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E27A6D"/>
    <w:multiLevelType w:val="multilevel"/>
    <w:tmpl w:val="DD1AD6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6"/>
  </w:num>
  <w:num w:numId="2">
    <w:abstractNumId w:val="1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25"/>
  </w:num>
  <w:num w:numId="15">
    <w:abstractNumId w:val="22"/>
  </w:num>
  <w:num w:numId="16">
    <w:abstractNumId w:val="21"/>
  </w:num>
  <w:num w:numId="17">
    <w:abstractNumId w:val="16"/>
  </w:num>
  <w:num w:numId="18">
    <w:abstractNumId w:val="21"/>
  </w:num>
  <w:num w:numId="19">
    <w:abstractNumId w:val="16"/>
  </w:num>
  <w:num w:numId="20">
    <w:abstractNumId w:val="11"/>
  </w:num>
  <w:num w:numId="21">
    <w:abstractNumId w:val="17"/>
    <w:lvlOverride w:ilvl="0">
      <w:lvl w:ilvl="0">
        <w:numFmt w:val="decimal"/>
        <w:lvlText w:val="%1."/>
        <w:lvlJc w:val="left"/>
      </w:lvl>
    </w:lvlOverride>
  </w:num>
  <w:num w:numId="22">
    <w:abstractNumId w:val="20"/>
    <w:lvlOverride w:ilvl="0">
      <w:lvl w:ilvl="0">
        <w:numFmt w:val="decimal"/>
        <w:lvlText w:val="%1."/>
        <w:lvlJc w:val="left"/>
      </w:lvl>
    </w:lvlOverride>
  </w:num>
  <w:num w:numId="23">
    <w:abstractNumId w:val="19"/>
    <w:lvlOverride w:ilvl="0">
      <w:lvl w:ilvl="0">
        <w:numFmt w:val="decimal"/>
        <w:lvlText w:val="%1."/>
        <w:lvlJc w:val="left"/>
      </w:lvl>
    </w:lvlOverride>
  </w:num>
  <w:num w:numId="24">
    <w:abstractNumId w:val="24"/>
    <w:lvlOverride w:ilvl="0">
      <w:lvl w:ilvl="0">
        <w:numFmt w:val="decimal"/>
        <w:lvlText w:val="%1."/>
        <w:lvlJc w:val="left"/>
      </w:lvl>
    </w:lvlOverride>
  </w:num>
  <w:num w:numId="25">
    <w:abstractNumId w:val="18"/>
    <w:lvlOverride w:ilvl="0">
      <w:lvl w:ilvl="0">
        <w:numFmt w:val="decimal"/>
        <w:lvlText w:val="%1."/>
        <w:lvlJc w:val="left"/>
      </w:lvl>
    </w:lvlOverride>
  </w:num>
  <w:num w:numId="26">
    <w:abstractNumId w:val="13"/>
    <w:lvlOverride w:ilvl="0">
      <w:lvl w:ilvl="0">
        <w:numFmt w:val="decimal"/>
        <w:lvlText w:val="%1."/>
        <w:lvlJc w:val="left"/>
      </w:lvl>
    </w:lvlOverride>
  </w:num>
  <w:num w:numId="27">
    <w:abstractNumId w:val="12"/>
    <w:lvlOverride w:ilvl="0">
      <w:lvl w:ilvl="0">
        <w:numFmt w:val="decimal"/>
        <w:lvlText w:val="%1."/>
        <w:lvlJc w:val="left"/>
      </w:lvl>
    </w:lvlOverride>
  </w:num>
  <w:num w:numId="28">
    <w:abstractNumId w:val="10"/>
    <w:lvlOverride w:ilvl="0">
      <w:lvl w:ilvl="0">
        <w:numFmt w:val="decimal"/>
        <w:lvlText w:val="%1."/>
        <w:lvlJc w:val="left"/>
      </w:lvl>
    </w:lvlOverride>
  </w:num>
  <w:num w:numId="29">
    <w:abstractNumId w:val="23"/>
    <w:lvlOverride w:ilvl="0">
      <w:lvl w:ilvl="0">
        <w:numFmt w:val="decimal"/>
        <w:lvlText w:val="%1."/>
        <w:lvlJc w:val="left"/>
      </w:lvl>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n-GB" w:vendorID="64" w:dllVersion="131077" w:nlCheck="1" w:checkStyle="1"/>
  <w:activeWritingStyle w:appName="MSWord" w:lang="fr-CH" w:vendorID="64" w:dllVersion="131078" w:nlCheck="1" w:checkStyle="0"/>
  <w:activeWritingStyle w:appName="MSWord" w:lang="en-GB" w:vendorID="64" w:dllVersion="131078" w:nlCheck="1" w:checkStyle="0"/>
  <w:activeWritingStyle w:appName="MSWord" w:lang="fr-FR" w:vendorID="64" w:dllVersion="131078" w:nlCheck="1" w:checkStyle="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752"/>
    <w:rsid w:val="00007B76"/>
    <w:rsid w:val="00016AC5"/>
    <w:rsid w:val="00026276"/>
    <w:rsid w:val="00053654"/>
    <w:rsid w:val="00057BC0"/>
    <w:rsid w:val="000675FE"/>
    <w:rsid w:val="00094CFE"/>
    <w:rsid w:val="00095DF3"/>
    <w:rsid w:val="000A18A8"/>
    <w:rsid w:val="000A2383"/>
    <w:rsid w:val="000A63CB"/>
    <w:rsid w:val="000B058F"/>
    <w:rsid w:val="000B71F6"/>
    <w:rsid w:val="000C570B"/>
    <w:rsid w:val="000D22FA"/>
    <w:rsid w:val="000E03D2"/>
    <w:rsid w:val="000F41F2"/>
    <w:rsid w:val="001031B8"/>
    <w:rsid w:val="00124E85"/>
    <w:rsid w:val="00133B7A"/>
    <w:rsid w:val="001370FA"/>
    <w:rsid w:val="00143AB5"/>
    <w:rsid w:val="00147319"/>
    <w:rsid w:val="0014763D"/>
    <w:rsid w:val="00153B2E"/>
    <w:rsid w:val="00156A87"/>
    <w:rsid w:val="00160540"/>
    <w:rsid w:val="00170BBF"/>
    <w:rsid w:val="00174793"/>
    <w:rsid w:val="0017503B"/>
    <w:rsid w:val="00177C9E"/>
    <w:rsid w:val="00191061"/>
    <w:rsid w:val="001916E1"/>
    <w:rsid w:val="00192EEB"/>
    <w:rsid w:val="001A0CC5"/>
    <w:rsid w:val="001A20FB"/>
    <w:rsid w:val="001B6907"/>
    <w:rsid w:val="001B6DCE"/>
    <w:rsid w:val="001C6647"/>
    <w:rsid w:val="001D7014"/>
    <w:rsid w:val="001E12B7"/>
    <w:rsid w:val="001E3FEB"/>
    <w:rsid w:val="001E4A02"/>
    <w:rsid w:val="001F7D03"/>
    <w:rsid w:val="00217DB9"/>
    <w:rsid w:val="00222CE3"/>
    <w:rsid w:val="002406A5"/>
    <w:rsid w:val="00245F2B"/>
    <w:rsid w:val="00255093"/>
    <w:rsid w:val="00260D39"/>
    <w:rsid w:val="00261E81"/>
    <w:rsid w:val="002659F1"/>
    <w:rsid w:val="00270752"/>
    <w:rsid w:val="00286039"/>
    <w:rsid w:val="00286B59"/>
    <w:rsid w:val="00286F7E"/>
    <w:rsid w:val="00287E79"/>
    <w:rsid w:val="002928F9"/>
    <w:rsid w:val="002A5D07"/>
    <w:rsid w:val="002C292F"/>
    <w:rsid w:val="002D6D59"/>
    <w:rsid w:val="002E6A88"/>
    <w:rsid w:val="002E7366"/>
    <w:rsid w:val="003016B7"/>
    <w:rsid w:val="00315924"/>
    <w:rsid w:val="00316DCD"/>
    <w:rsid w:val="00330A4C"/>
    <w:rsid w:val="00332B5E"/>
    <w:rsid w:val="003414C9"/>
    <w:rsid w:val="003515AA"/>
    <w:rsid w:val="00374106"/>
    <w:rsid w:val="00375577"/>
    <w:rsid w:val="0037787B"/>
    <w:rsid w:val="0038300B"/>
    <w:rsid w:val="00393FE6"/>
    <w:rsid w:val="003976D5"/>
    <w:rsid w:val="003C58C6"/>
    <w:rsid w:val="003D3AE8"/>
    <w:rsid w:val="003D6C68"/>
    <w:rsid w:val="003D7941"/>
    <w:rsid w:val="003E75FD"/>
    <w:rsid w:val="003E7668"/>
    <w:rsid w:val="00400400"/>
    <w:rsid w:val="004159D0"/>
    <w:rsid w:val="0042469E"/>
    <w:rsid w:val="00446116"/>
    <w:rsid w:val="00471E56"/>
    <w:rsid w:val="00481744"/>
    <w:rsid w:val="00487AAC"/>
    <w:rsid w:val="004B2CF5"/>
    <w:rsid w:val="004B2F4D"/>
    <w:rsid w:val="004C080D"/>
    <w:rsid w:val="004D51FF"/>
    <w:rsid w:val="004E491B"/>
    <w:rsid w:val="004E5FB2"/>
    <w:rsid w:val="00503619"/>
    <w:rsid w:val="005041F5"/>
    <w:rsid w:val="00507558"/>
    <w:rsid w:val="005262CA"/>
    <w:rsid w:val="00532192"/>
    <w:rsid w:val="00567F0F"/>
    <w:rsid w:val="00571F41"/>
    <w:rsid w:val="005806EC"/>
    <w:rsid w:val="00594033"/>
    <w:rsid w:val="005B6DDD"/>
    <w:rsid w:val="005D40D4"/>
    <w:rsid w:val="005E3021"/>
    <w:rsid w:val="005E5D1F"/>
    <w:rsid w:val="00604E56"/>
    <w:rsid w:val="00612D48"/>
    <w:rsid w:val="00616B45"/>
    <w:rsid w:val="00635D66"/>
    <w:rsid w:val="006439EC"/>
    <w:rsid w:val="00653848"/>
    <w:rsid w:val="00654D6A"/>
    <w:rsid w:val="0066166E"/>
    <w:rsid w:val="0066280D"/>
    <w:rsid w:val="00665B37"/>
    <w:rsid w:val="006739B9"/>
    <w:rsid w:val="006905E8"/>
    <w:rsid w:val="006A521F"/>
    <w:rsid w:val="006B4590"/>
    <w:rsid w:val="006C0DBA"/>
    <w:rsid w:val="006C3181"/>
    <w:rsid w:val="006C340C"/>
    <w:rsid w:val="006D46CC"/>
    <w:rsid w:val="006E0516"/>
    <w:rsid w:val="006E3DE4"/>
    <w:rsid w:val="006E4056"/>
    <w:rsid w:val="006F0B04"/>
    <w:rsid w:val="0070347C"/>
    <w:rsid w:val="00716592"/>
    <w:rsid w:val="007170F0"/>
    <w:rsid w:val="00723264"/>
    <w:rsid w:val="00743F9E"/>
    <w:rsid w:val="00757560"/>
    <w:rsid w:val="00757B26"/>
    <w:rsid w:val="007602DF"/>
    <w:rsid w:val="0077043F"/>
    <w:rsid w:val="00770C75"/>
    <w:rsid w:val="00774177"/>
    <w:rsid w:val="00774E57"/>
    <w:rsid w:val="00785BA2"/>
    <w:rsid w:val="00786ACC"/>
    <w:rsid w:val="007A02D1"/>
    <w:rsid w:val="007B1125"/>
    <w:rsid w:val="007B3F2A"/>
    <w:rsid w:val="007C2C4F"/>
    <w:rsid w:val="007D0968"/>
    <w:rsid w:val="007D30F7"/>
    <w:rsid w:val="007E7740"/>
    <w:rsid w:val="007F498D"/>
    <w:rsid w:val="0081197C"/>
    <w:rsid w:val="00831448"/>
    <w:rsid w:val="00832733"/>
    <w:rsid w:val="00832C31"/>
    <w:rsid w:val="008353D6"/>
    <w:rsid w:val="008436E3"/>
    <w:rsid w:val="00844750"/>
    <w:rsid w:val="0087266B"/>
    <w:rsid w:val="008816F5"/>
    <w:rsid w:val="00890495"/>
    <w:rsid w:val="008921DD"/>
    <w:rsid w:val="0089409C"/>
    <w:rsid w:val="0089595B"/>
    <w:rsid w:val="008A09C6"/>
    <w:rsid w:val="008A54DE"/>
    <w:rsid w:val="008D2ECB"/>
    <w:rsid w:val="008D7C08"/>
    <w:rsid w:val="008E7FAE"/>
    <w:rsid w:val="008F5388"/>
    <w:rsid w:val="00906533"/>
    <w:rsid w:val="00911BF7"/>
    <w:rsid w:val="009155EE"/>
    <w:rsid w:val="0094144D"/>
    <w:rsid w:val="009509BF"/>
    <w:rsid w:val="00954624"/>
    <w:rsid w:val="00956748"/>
    <w:rsid w:val="0096053B"/>
    <w:rsid w:val="00973FFD"/>
    <w:rsid w:val="00977EC8"/>
    <w:rsid w:val="00981C83"/>
    <w:rsid w:val="009A4D78"/>
    <w:rsid w:val="009B52B1"/>
    <w:rsid w:val="009B5609"/>
    <w:rsid w:val="009C410E"/>
    <w:rsid w:val="009C54EB"/>
    <w:rsid w:val="009D3A8C"/>
    <w:rsid w:val="009E235F"/>
    <w:rsid w:val="009E7956"/>
    <w:rsid w:val="009F1C49"/>
    <w:rsid w:val="009F28D3"/>
    <w:rsid w:val="009F450E"/>
    <w:rsid w:val="00A21A58"/>
    <w:rsid w:val="00A2492E"/>
    <w:rsid w:val="00A36CE0"/>
    <w:rsid w:val="00A44196"/>
    <w:rsid w:val="00A533A8"/>
    <w:rsid w:val="00A5526B"/>
    <w:rsid w:val="00A6127E"/>
    <w:rsid w:val="00A63BBD"/>
    <w:rsid w:val="00A704DE"/>
    <w:rsid w:val="00A73287"/>
    <w:rsid w:val="00A7632A"/>
    <w:rsid w:val="00A851F4"/>
    <w:rsid w:val="00A87204"/>
    <w:rsid w:val="00AB5BF9"/>
    <w:rsid w:val="00AC47AD"/>
    <w:rsid w:val="00AC7977"/>
    <w:rsid w:val="00AD0DF1"/>
    <w:rsid w:val="00AE0E05"/>
    <w:rsid w:val="00AE352C"/>
    <w:rsid w:val="00AF3F41"/>
    <w:rsid w:val="00B06BE7"/>
    <w:rsid w:val="00B070DA"/>
    <w:rsid w:val="00B2640A"/>
    <w:rsid w:val="00B26E01"/>
    <w:rsid w:val="00B275C1"/>
    <w:rsid w:val="00B305CF"/>
    <w:rsid w:val="00B32E2D"/>
    <w:rsid w:val="00B41432"/>
    <w:rsid w:val="00B61990"/>
    <w:rsid w:val="00B655C8"/>
    <w:rsid w:val="00B712C5"/>
    <w:rsid w:val="00B80E45"/>
    <w:rsid w:val="00B81F3F"/>
    <w:rsid w:val="00B8776F"/>
    <w:rsid w:val="00B91B2C"/>
    <w:rsid w:val="00B93942"/>
    <w:rsid w:val="00B94CD5"/>
    <w:rsid w:val="00B952B3"/>
    <w:rsid w:val="00BA184E"/>
    <w:rsid w:val="00BD04EC"/>
    <w:rsid w:val="00BD4240"/>
    <w:rsid w:val="00BD7F59"/>
    <w:rsid w:val="00BE28D3"/>
    <w:rsid w:val="00BF0556"/>
    <w:rsid w:val="00C261F8"/>
    <w:rsid w:val="00C63EC4"/>
    <w:rsid w:val="00C717E0"/>
    <w:rsid w:val="00C73929"/>
    <w:rsid w:val="00C90663"/>
    <w:rsid w:val="00C919A2"/>
    <w:rsid w:val="00C947F1"/>
    <w:rsid w:val="00C97501"/>
    <w:rsid w:val="00CA04BE"/>
    <w:rsid w:val="00CB177A"/>
    <w:rsid w:val="00CD1A71"/>
    <w:rsid w:val="00CD1FBB"/>
    <w:rsid w:val="00CE5AFE"/>
    <w:rsid w:val="00CE7127"/>
    <w:rsid w:val="00CE76CE"/>
    <w:rsid w:val="00CF6426"/>
    <w:rsid w:val="00CF6637"/>
    <w:rsid w:val="00D016B5"/>
    <w:rsid w:val="00D0203A"/>
    <w:rsid w:val="00D034F1"/>
    <w:rsid w:val="00D037E5"/>
    <w:rsid w:val="00D05F58"/>
    <w:rsid w:val="00D27D5E"/>
    <w:rsid w:val="00D34CC9"/>
    <w:rsid w:val="00D42E42"/>
    <w:rsid w:val="00D54286"/>
    <w:rsid w:val="00D6279E"/>
    <w:rsid w:val="00D67491"/>
    <w:rsid w:val="00D94923"/>
    <w:rsid w:val="00DB04EE"/>
    <w:rsid w:val="00DE6D90"/>
    <w:rsid w:val="00DE708E"/>
    <w:rsid w:val="00DF002F"/>
    <w:rsid w:val="00E00D95"/>
    <w:rsid w:val="00E0244D"/>
    <w:rsid w:val="00E03BEC"/>
    <w:rsid w:val="00E241BD"/>
    <w:rsid w:val="00E30BAB"/>
    <w:rsid w:val="00E42548"/>
    <w:rsid w:val="00E56A85"/>
    <w:rsid w:val="00E66965"/>
    <w:rsid w:val="00E70429"/>
    <w:rsid w:val="00E81E94"/>
    <w:rsid w:val="00E82607"/>
    <w:rsid w:val="00E844BF"/>
    <w:rsid w:val="00E85AAB"/>
    <w:rsid w:val="00E911A1"/>
    <w:rsid w:val="00E92AB9"/>
    <w:rsid w:val="00E977E3"/>
    <w:rsid w:val="00ED42ED"/>
    <w:rsid w:val="00EF327E"/>
    <w:rsid w:val="00F22103"/>
    <w:rsid w:val="00F25A24"/>
    <w:rsid w:val="00F32C67"/>
    <w:rsid w:val="00F52A62"/>
    <w:rsid w:val="00F71F90"/>
    <w:rsid w:val="00FA1B70"/>
    <w:rsid w:val="00FA5A79"/>
    <w:rsid w:val="00FB0BFE"/>
    <w:rsid w:val="00FB0DAA"/>
    <w:rsid w:val="00FB4C51"/>
    <w:rsid w:val="00FC652B"/>
    <w:rsid w:val="00FD3DB5"/>
    <w:rsid w:val="00FF1B1D"/>
    <w:rsid w:val="00FF1DBD"/>
    <w:rsid w:val="00FF37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oNotEmbedSmartTags/>
  <w:decimalSymbol w:val=","/>
  <w:listSeparator w:val=";"/>
  <w14:docId w14:val="725D73E6"/>
  <w15:docId w15:val="{5B4ACDF5-3A59-41E8-B186-D057F2447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0F7"/>
    <w:pPr>
      <w:suppressAutoHyphens/>
      <w:spacing w:line="240" w:lineRule="atLeast"/>
    </w:pPr>
    <w:rPr>
      <w:lang w:val="fr-CH" w:eastAsia="en-US"/>
    </w:rPr>
  </w:style>
  <w:style w:type="paragraph" w:styleId="Titre1">
    <w:name w:val="heading 1"/>
    <w:aliases w:val="Table_G"/>
    <w:basedOn w:val="SingleTxtG"/>
    <w:next w:val="SingleTxtG"/>
    <w:qFormat/>
    <w:rsid w:val="00217DB9"/>
    <w:pPr>
      <w:keepNext/>
      <w:keepLines/>
      <w:spacing w:after="0" w:line="240" w:lineRule="auto"/>
      <w:ind w:right="0"/>
      <w:jc w:val="left"/>
      <w:outlineLvl w:val="0"/>
    </w:pPr>
  </w:style>
  <w:style w:type="paragraph" w:styleId="Titre2">
    <w:name w:val="heading 2"/>
    <w:basedOn w:val="Normal"/>
    <w:next w:val="Normal"/>
    <w:qFormat/>
    <w:rsid w:val="007D30F7"/>
    <w:pPr>
      <w:outlineLvl w:val="1"/>
    </w:pPr>
  </w:style>
  <w:style w:type="paragraph" w:styleId="Titre3">
    <w:name w:val="heading 3"/>
    <w:basedOn w:val="Normal"/>
    <w:next w:val="Normal"/>
    <w:qFormat/>
    <w:rsid w:val="007D30F7"/>
    <w:pPr>
      <w:outlineLvl w:val="2"/>
    </w:pPr>
  </w:style>
  <w:style w:type="paragraph" w:styleId="Titre4">
    <w:name w:val="heading 4"/>
    <w:basedOn w:val="Normal"/>
    <w:next w:val="Normal"/>
    <w:qFormat/>
    <w:rsid w:val="007D30F7"/>
    <w:pPr>
      <w:outlineLvl w:val="3"/>
    </w:pPr>
  </w:style>
  <w:style w:type="paragraph" w:styleId="Titre5">
    <w:name w:val="heading 5"/>
    <w:basedOn w:val="Normal"/>
    <w:next w:val="Normal"/>
    <w:qFormat/>
    <w:rsid w:val="007D30F7"/>
    <w:pPr>
      <w:outlineLvl w:val="4"/>
    </w:pPr>
  </w:style>
  <w:style w:type="paragraph" w:styleId="Titre6">
    <w:name w:val="heading 6"/>
    <w:basedOn w:val="Normal"/>
    <w:next w:val="Normal"/>
    <w:qFormat/>
    <w:rsid w:val="007D30F7"/>
    <w:pPr>
      <w:outlineLvl w:val="5"/>
    </w:pPr>
  </w:style>
  <w:style w:type="paragraph" w:styleId="Titre7">
    <w:name w:val="heading 7"/>
    <w:basedOn w:val="Normal"/>
    <w:next w:val="Normal"/>
    <w:qFormat/>
    <w:rsid w:val="007D30F7"/>
    <w:pPr>
      <w:outlineLvl w:val="6"/>
    </w:pPr>
  </w:style>
  <w:style w:type="paragraph" w:styleId="Titre8">
    <w:name w:val="heading 8"/>
    <w:basedOn w:val="Normal"/>
    <w:next w:val="Normal"/>
    <w:qFormat/>
    <w:rsid w:val="007D30F7"/>
    <w:pPr>
      <w:outlineLvl w:val="7"/>
    </w:pPr>
  </w:style>
  <w:style w:type="paragraph" w:styleId="Titre9">
    <w:name w:val="heading 9"/>
    <w:basedOn w:val="Normal"/>
    <w:next w:val="Normal"/>
    <w:qFormat/>
    <w:rsid w:val="007D30F7"/>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Appelnotedebasdep">
    <w:name w:val="footnote reference"/>
    <w:aliases w:val="4_G"/>
    <w:rsid w:val="007D30F7"/>
    <w:rPr>
      <w:rFonts w:ascii="Times New Roman" w:hAnsi="Times New Roman"/>
      <w:sz w:val="18"/>
      <w:vertAlign w:val="superscript"/>
      <w:lang w:val="fr-CH"/>
    </w:rPr>
  </w:style>
  <w:style w:type="character" w:styleId="Appeldenotedefin">
    <w:name w:val="endnote reference"/>
    <w:aliases w:val="1_G"/>
    <w:basedOn w:val="Appelnotedebasdep"/>
    <w:rsid w:val="007D30F7"/>
    <w:rPr>
      <w:rFonts w:ascii="Times New Roman" w:hAnsi="Times New Roman"/>
      <w:sz w:val="18"/>
      <w:vertAlign w:val="superscript"/>
      <w:lang w:val="fr-CH"/>
    </w:rPr>
  </w:style>
  <w:style w:type="paragraph" w:styleId="En-tte">
    <w:name w:val="header"/>
    <w:aliases w:val="6_G"/>
    <w:basedOn w:val="Normal"/>
    <w:next w:val="Normal"/>
    <w:rsid w:val="007D30F7"/>
    <w:pPr>
      <w:pBdr>
        <w:bottom w:val="single" w:sz="4" w:space="4" w:color="auto"/>
      </w:pBdr>
      <w:spacing w:line="240" w:lineRule="auto"/>
    </w:pPr>
    <w:rPr>
      <w:b/>
      <w:sz w:val="18"/>
    </w:rPr>
  </w:style>
  <w:style w:type="paragraph" w:styleId="Notedebasdepage">
    <w:name w:val="footnote text"/>
    <w:aliases w:val="5_G"/>
    <w:basedOn w:val="Normal"/>
    <w:rsid w:val="00F22103"/>
    <w:pPr>
      <w:tabs>
        <w:tab w:val="right" w:pos="1021"/>
      </w:tabs>
      <w:spacing w:line="220" w:lineRule="exact"/>
      <w:ind w:left="1134" w:right="1134" w:hanging="1134"/>
    </w:pPr>
    <w:rPr>
      <w:sz w:val="18"/>
    </w:rPr>
  </w:style>
  <w:style w:type="paragraph" w:styleId="Notedefin">
    <w:name w:val="endnote text"/>
    <w:aliases w:val="2_G"/>
    <w:basedOn w:val="Notedebasdepage"/>
    <w:rsid w:val="00F22103"/>
  </w:style>
  <w:style w:type="character" w:styleId="Numrodepage">
    <w:name w:val="page number"/>
    <w:aliases w:val="7_G"/>
    <w:rsid w:val="007D30F7"/>
    <w:rPr>
      <w:rFonts w:ascii="Times New Roman" w:hAnsi="Times New Roman"/>
      <w:b/>
      <w:sz w:val="18"/>
      <w:lang w:val="fr-CH"/>
    </w:rPr>
  </w:style>
  <w:style w:type="paragraph" w:styleId="Pieddepage">
    <w:name w:val="footer"/>
    <w:aliases w:val="3_G"/>
    <w:basedOn w:val="Normal"/>
    <w:next w:val="Normal"/>
    <w:rsid w:val="007D30F7"/>
    <w:pPr>
      <w:spacing w:line="240" w:lineRule="auto"/>
    </w:pPr>
    <w:rPr>
      <w:sz w:val="16"/>
    </w:rPr>
  </w:style>
  <w:style w:type="character" w:styleId="Lienhypertexte">
    <w:name w:val="Hyperlink"/>
    <w:rsid w:val="00503619"/>
    <w:rPr>
      <w:color w:val="auto"/>
      <w:u w:val="none"/>
    </w:rPr>
  </w:style>
  <w:style w:type="character" w:styleId="Lienhypertextesuivivisit">
    <w:name w:val="FollowedHyperlink"/>
    <w:rsid w:val="00503619"/>
    <w:rPr>
      <w:color w:val="auto"/>
      <w:u w:val="none"/>
    </w:rPr>
  </w:style>
  <w:style w:type="character" w:customStyle="1" w:styleId="H1GChar">
    <w:name w:val="_ H_1_G Char"/>
    <w:link w:val="H1G"/>
    <w:rsid w:val="00E00D95"/>
    <w:rPr>
      <w:b/>
      <w:sz w:val="24"/>
      <w:lang w:val="fr-CH" w:eastAsia="en-US"/>
    </w:rPr>
  </w:style>
  <w:style w:type="paragraph" w:styleId="Textedebulles">
    <w:name w:val="Balloon Text"/>
    <w:basedOn w:val="Normal"/>
    <w:link w:val="TextedebullesCar"/>
    <w:semiHidden/>
    <w:unhideWhenUsed/>
    <w:rsid w:val="00124E85"/>
    <w:pPr>
      <w:spacing w:line="240" w:lineRule="auto"/>
    </w:pPr>
    <w:rPr>
      <w:rFonts w:ascii="Segoe UI" w:hAnsi="Segoe UI" w:cs="Segoe UI"/>
      <w:sz w:val="18"/>
      <w:szCs w:val="18"/>
    </w:rPr>
  </w:style>
  <w:style w:type="character" w:customStyle="1" w:styleId="TextedebullesCar">
    <w:name w:val="Texte de bulles Car"/>
    <w:basedOn w:val="Policepardfaut"/>
    <w:link w:val="Textedebulles"/>
    <w:semiHidden/>
    <w:rsid w:val="00124E85"/>
    <w:rPr>
      <w:rFonts w:ascii="Segoe UI" w:hAnsi="Segoe UI" w:cs="Segoe UI"/>
      <w:sz w:val="18"/>
      <w:szCs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DCB52-D096-4303-8550-5BB5C6329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Template>
  <TotalTime>1</TotalTime>
  <Pages>3</Pages>
  <Words>1021</Words>
  <Characters>5616</Characters>
  <Application>Microsoft Office Word</Application>
  <DocSecurity>0</DocSecurity>
  <Lines>46</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A/HRC/36/L.32</vt:lpstr>
      <vt:lpstr>A/HRC/36/L.32</vt:lpstr>
    </vt:vector>
  </TitlesOfParts>
  <Company>CSD</Company>
  <LinksUpToDate>false</LinksUpToDate>
  <CharactersWithSpaces>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A/HRC/RES/36/15</dc:title>
  <dc:subject>qrcode</dc:subject>
  <dc:creator>dvx</dc:creator>
  <cp:keywords/>
  <dc:description/>
  <cp:lastModifiedBy>Christine DEVOUASSOUX</cp:lastModifiedBy>
  <cp:revision>3</cp:revision>
  <cp:lastPrinted>2017-10-10T10:42:00Z</cp:lastPrinted>
  <dcterms:created xsi:type="dcterms:W3CDTF">2017-10-10T10:42:00Z</dcterms:created>
  <dcterms:modified xsi:type="dcterms:W3CDTF">2017-10-10T10:43:00Z</dcterms:modified>
</cp:coreProperties>
</file>