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40414</w:t>
                  </w:r>
                  <w:r>
                    <w:rPr>
                      <w:lang w:val="en-US"/>
                    </w:rPr>
                    <w:fldChar w:fldCharType="end"/>
                  </w:r>
                  <w:r>
                    <w:rPr>
                      <w:lang w:val="en-US"/>
                    </w:rPr>
                    <w:t xml:space="preserve">   (R)</w:t>
                  </w:r>
                  <w:r>
                    <w:t xml:space="preserve">    280405    290408</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89107"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E/1990/6/Add.38</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15 February 2005</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rPr>
                <w:lang w:val="en-US"/>
              </w:rPr>
              <w:instrText xml:space="preserve"> FORMDROPDOWN </w:instrText>
            </w:r>
            <w:r>
              <w:rPr>
                <w:lang w:val="en-US"/>
              </w:rPr>
            </w:r>
            <w:r>
              <w:rPr>
                <w:lang w:val="en-US"/>
              </w:rPr>
              <w:fldChar w:fldCharType="end"/>
            </w:r>
            <w:bookmarkEnd w:id="4"/>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r>
        <w:t>Основная сессия 2005 года</w:t>
      </w:r>
    </w:p>
    <w:p w:rsidR="00000000" w:rsidRDefault="00000000">
      <w:pPr>
        <w:rPr>
          <w:lang w:val="en-US"/>
        </w:rPr>
      </w:pPr>
    </w:p>
    <w:p w:rsidR="00000000" w:rsidRDefault="00000000">
      <w:pPr>
        <w:rPr>
          <w:lang w:val="en-US"/>
        </w:rPr>
      </w:pPr>
    </w:p>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Вторые периодические доклады, представляемые государствами-участниками в</w:t>
      </w:r>
      <w:r>
        <w:rPr>
          <w:b/>
          <w:bCs/>
          <w:lang w:val="en-US"/>
        </w:rPr>
        <w:t> </w:t>
      </w:r>
      <w:r>
        <w:rPr>
          <w:b/>
          <w:bCs/>
        </w:rPr>
        <w:t>соответствии со статьями 16 и 17 Пакта</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pPr>
      <w:r>
        <w:rPr>
          <w:b/>
          <w:bCs/>
        </w:rPr>
        <w:t>ЛИВИЙСКАЯ АРАБСКАЯ ДЖАМАХИРИЯ</w:t>
      </w:r>
      <w:r>
        <w:rPr>
          <w:rStyle w:val="FootnoteReference"/>
          <w:b w:val="0"/>
          <w:bCs/>
        </w:rPr>
        <w:footnoteReference w:customMarkFollows="1" w:id="1"/>
        <w:sym w:font="Symbol" w:char="F02A"/>
      </w:r>
    </w:p>
    <w:p w:rsidR="00000000" w:rsidRDefault="00000000">
      <w:pPr>
        <w:jc w:val="center"/>
      </w:pPr>
    </w:p>
    <w:p w:rsidR="00000000" w:rsidRDefault="00000000">
      <w:pPr>
        <w:jc w:val="center"/>
      </w:pPr>
    </w:p>
    <w:p w:rsidR="00000000" w:rsidRDefault="00000000">
      <w:pPr>
        <w:tabs>
          <w:tab w:val="clear" w:pos="6237"/>
          <w:tab w:val="left" w:pos="6379"/>
        </w:tabs>
      </w:pPr>
      <w:r>
        <w:tab/>
      </w:r>
      <w:r>
        <w:tab/>
      </w:r>
      <w:r>
        <w:tab/>
      </w:r>
      <w:r>
        <w:tab/>
      </w:r>
      <w:r>
        <w:tab/>
        <w:t>[Язык оригинала:  арабский]</w:t>
      </w:r>
    </w:p>
    <w:p w:rsidR="00000000" w:rsidRDefault="00000000">
      <w:pPr>
        <w:tabs>
          <w:tab w:val="clear" w:pos="6237"/>
          <w:tab w:val="left" w:pos="6379"/>
        </w:tabs>
        <w:rPr>
          <w:lang w:val="en-US"/>
        </w:rPr>
      </w:pPr>
      <w:r>
        <w:tab/>
      </w:r>
      <w:r>
        <w:tab/>
      </w:r>
      <w:r>
        <w:tab/>
      </w:r>
      <w:r>
        <w:tab/>
      </w:r>
      <w:r>
        <w:tab/>
      </w:r>
      <w:r>
        <w:rPr>
          <w:lang w:val="en-US"/>
        </w:rPr>
        <w:t>[</w:t>
      </w:r>
      <w:r>
        <w:t>4 июня 2004 года</w:t>
      </w:r>
      <w:r>
        <w:rPr>
          <w:lang w:val="en-US"/>
        </w:rPr>
        <w:t>]</w:t>
      </w:r>
    </w:p>
    <w:p w:rsidR="00000000" w:rsidRDefault="00000000">
      <w:pPr>
        <w:rPr>
          <w:lang w:val="en-US"/>
        </w:rPr>
      </w:pPr>
    </w:p>
    <w:p w:rsidR="00000000" w:rsidRDefault="00000000">
      <w:pPr>
        <w:jc w:val="center"/>
        <w:rPr>
          <w:b/>
          <w:bCs/>
        </w:rPr>
      </w:pPr>
      <w:r>
        <w:br w:type="page"/>
      </w:r>
      <w:r>
        <w:rPr>
          <w:b/>
          <w:bCs/>
        </w:rPr>
        <w:t>СОДЕРЖАНИЕ</w:t>
      </w:r>
    </w:p>
    <w:p w:rsidR="00000000" w:rsidRDefault="00000000">
      <w:pPr>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tabs>
          <w:tab w:val="clear" w:pos="1701"/>
          <w:tab w:val="clear" w:pos="2268"/>
          <w:tab w:val="clear" w:pos="6237"/>
          <w:tab w:val="right" w:leader="dot" w:pos="7172"/>
          <w:tab w:val="center" w:pos="8039"/>
          <w:tab w:val="right" w:pos="9072"/>
        </w:tabs>
      </w:pPr>
      <w:r>
        <w:tab/>
        <w:t>Введение</w:t>
      </w:r>
      <w:r>
        <w:tab/>
      </w:r>
      <w:r>
        <w:tab/>
        <w:t>1 - 4</w:t>
      </w:r>
      <w:r>
        <w:tab/>
        <w:t>4</w:t>
      </w:r>
    </w:p>
    <w:p w:rsidR="00000000" w:rsidRDefault="00000000">
      <w:pPr>
        <w:tabs>
          <w:tab w:val="clear" w:pos="1701"/>
          <w:tab w:val="clear" w:pos="2268"/>
          <w:tab w:val="clear" w:pos="6237"/>
          <w:tab w:val="right" w:leader="dot" w:pos="7172"/>
          <w:tab w:val="center" w:pos="8039"/>
          <w:tab w:val="right" w:pos="9072"/>
        </w:tabs>
      </w:pPr>
    </w:p>
    <w:p w:rsidR="00000000" w:rsidRDefault="00000000">
      <w:pPr>
        <w:tabs>
          <w:tab w:val="clear" w:pos="6237"/>
          <w:tab w:val="decimal" w:pos="567"/>
          <w:tab w:val="right" w:leader="dot" w:pos="7172"/>
          <w:tab w:val="center" w:pos="8039"/>
          <w:tab w:val="right" w:pos="9072"/>
        </w:tabs>
      </w:pPr>
      <w:r>
        <w:tab/>
        <w:t>I.</w:t>
      </w:r>
      <w:r>
        <w:tab/>
        <w:t>ОБЩАЯ ИНФОРМАЦИЯ</w:t>
      </w:r>
      <w:r>
        <w:tab/>
      </w:r>
      <w:r>
        <w:tab/>
        <w:t xml:space="preserve">  5 - 11</w:t>
      </w:r>
      <w:r>
        <w:tab/>
        <w:t>4</w:t>
      </w:r>
    </w:p>
    <w:p w:rsidR="00000000" w:rsidRDefault="00000000">
      <w:pPr>
        <w:tabs>
          <w:tab w:val="clear" w:pos="6237"/>
          <w:tab w:val="decimal" w:pos="567"/>
          <w:tab w:val="right" w:leader="dot" w:pos="7172"/>
          <w:tab w:val="center" w:pos="8039"/>
          <w:tab w:val="right" w:pos="9072"/>
        </w:tabs>
      </w:pPr>
    </w:p>
    <w:p w:rsidR="00000000" w:rsidRDefault="00000000">
      <w:pPr>
        <w:tabs>
          <w:tab w:val="clear" w:pos="6237"/>
          <w:tab w:val="decimal" w:pos="567"/>
          <w:tab w:val="right" w:leader="dot" w:pos="7172"/>
          <w:tab w:val="center" w:pos="8039"/>
          <w:tab w:val="right" w:pos="9072"/>
        </w:tabs>
      </w:pPr>
      <w:r>
        <w:tab/>
      </w:r>
      <w:r>
        <w:tab/>
        <w:t>А.</w:t>
      </w:r>
      <w:r>
        <w:tab/>
        <w:t>Географическое положение и народонаселение</w:t>
      </w:r>
      <w:r>
        <w:tab/>
      </w:r>
      <w:r>
        <w:tab/>
        <w:t>5</w:t>
      </w:r>
      <w:r>
        <w:tab/>
        <w:t>4</w:t>
      </w:r>
    </w:p>
    <w:p w:rsidR="00000000" w:rsidRDefault="00000000">
      <w:pPr>
        <w:tabs>
          <w:tab w:val="clear" w:pos="6237"/>
          <w:tab w:val="decimal" w:pos="567"/>
          <w:tab w:val="right" w:leader="dot" w:pos="7172"/>
          <w:tab w:val="center" w:pos="8039"/>
          <w:tab w:val="right" w:pos="9072"/>
        </w:tabs>
      </w:pPr>
    </w:p>
    <w:p w:rsidR="00000000" w:rsidRDefault="00000000">
      <w:pPr>
        <w:tabs>
          <w:tab w:val="clear" w:pos="6237"/>
          <w:tab w:val="decimal" w:pos="567"/>
          <w:tab w:val="right" w:leader="dot" w:pos="7172"/>
          <w:tab w:val="center" w:pos="8039"/>
          <w:tab w:val="right" w:pos="9072"/>
        </w:tabs>
      </w:pPr>
      <w:r>
        <w:tab/>
      </w:r>
      <w:r>
        <w:tab/>
        <w:t>В.</w:t>
      </w:r>
      <w:r>
        <w:tab/>
        <w:t>Политическая система</w:t>
      </w:r>
      <w:r>
        <w:tab/>
      </w:r>
      <w:r>
        <w:tab/>
        <w:t>6</w:t>
      </w:r>
      <w:r>
        <w:tab/>
        <w:t>5</w:t>
      </w:r>
    </w:p>
    <w:p w:rsidR="00000000" w:rsidRDefault="00000000">
      <w:pPr>
        <w:tabs>
          <w:tab w:val="clear" w:pos="6237"/>
          <w:tab w:val="decimal" w:pos="567"/>
          <w:tab w:val="right" w:leader="dot" w:pos="7172"/>
          <w:tab w:val="center" w:pos="8039"/>
          <w:tab w:val="right" w:pos="9072"/>
        </w:tabs>
      </w:pPr>
    </w:p>
    <w:p w:rsidR="00000000" w:rsidRDefault="00000000">
      <w:pPr>
        <w:tabs>
          <w:tab w:val="clear" w:pos="6237"/>
          <w:tab w:val="decimal" w:pos="567"/>
          <w:tab w:val="right" w:leader="dot" w:pos="7172"/>
          <w:tab w:val="center" w:pos="8039"/>
          <w:tab w:val="right" w:pos="9072"/>
        </w:tabs>
      </w:pPr>
      <w:r>
        <w:tab/>
      </w:r>
      <w:r>
        <w:tab/>
        <w:t>С.</w:t>
      </w:r>
      <w:r>
        <w:tab/>
        <w:t>Особенности экономики</w:t>
      </w:r>
      <w:r>
        <w:tab/>
      </w:r>
      <w:r>
        <w:tab/>
        <w:t xml:space="preserve">  7 - 11</w:t>
      </w:r>
      <w:r>
        <w:tab/>
        <w:t>5</w:t>
      </w:r>
    </w:p>
    <w:p w:rsidR="00000000" w:rsidRDefault="00000000">
      <w:pPr>
        <w:tabs>
          <w:tab w:val="clear" w:pos="6237"/>
          <w:tab w:val="decimal" w:pos="567"/>
          <w:tab w:val="right" w:leader="dot" w:pos="7172"/>
          <w:tab w:val="center" w:pos="8039"/>
          <w:tab w:val="right" w:pos="9072"/>
        </w:tabs>
      </w:pPr>
    </w:p>
    <w:p w:rsidR="00000000" w:rsidRDefault="00000000">
      <w:pPr>
        <w:tabs>
          <w:tab w:val="clear" w:pos="6237"/>
          <w:tab w:val="decimal" w:pos="567"/>
          <w:tab w:val="right" w:leader="dot" w:pos="7172"/>
          <w:tab w:val="center" w:pos="8039"/>
          <w:tab w:val="right" w:pos="9072"/>
        </w:tabs>
      </w:pPr>
      <w:r>
        <w:tab/>
        <w:t>II.</w:t>
      </w:r>
      <w:r>
        <w:tab/>
        <w:t>ОСУЩЕСТВЛЕНИЕ ПАКТА</w:t>
      </w:r>
      <w:r>
        <w:tab/>
      </w:r>
      <w:r>
        <w:tab/>
        <w:t xml:space="preserve"> 12 - 145</w:t>
      </w:r>
      <w:r>
        <w:tab/>
        <w:t>9</w:t>
      </w:r>
    </w:p>
    <w:p w:rsidR="00000000" w:rsidRDefault="00000000">
      <w:pPr>
        <w:tabs>
          <w:tab w:val="clear" w:pos="6237"/>
          <w:tab w:val="decimal" w:pos="567"/>
          <w:tab w:val="right" w:leader="dot" w:pos="7172"/>
          <w:tab w:val="center" w:pos="8039"/>
          <w:tab w:val="right" w:pos="9072"/>
        </w:tabs>
      </w:pPr>
    </w:p>
    <w:p w:rsidR="00000000" w:rsidRDefault="00000000">
      <w:pPr>
        <w:tabs>
          <w:tab w:val="clear" w:pos="2268"/>
          <w:tab w:val="clear" w:pos="6237"/>
          <w:tab w:val="decimal" w:pos="567"/>
          <w:tab w:val="left" w:pos="2366"/>
          <w:tab w:val="right" w:leader="dot" w:pos="7172"/>
          <w:tab w:val="center" w:pos="8039"/>
          <w:tab w:val="right" w:pos="9072"/>
        </w:tabs>
      </w:pPr>
      <w:r>
        <w:tab/>
      </w:r>
      <w:r>
        <w:tab/>
        <w:t>Статья 1 -</w:t>
      </w:r>
      <w:r>
        <w:tab/>
        <w:t>Право на самоопределение</w:t>
      </w:r>
      <w:r>
        <w:tab/>
      </w:r>
      <w:r>
        <w:tab/>
        <w:t>12</w:t>
      </w:r>
      <w:r>
        <w:tab/>
        <w:t>9</w:t>
      </w:r>
    </w:p>
    <w:p w:rsidR="00000000" w:rsidRDefault="00000000">
      <w:pPr>
        <w:tabs>
          <w:tab w:val="clear" w:pos="2268"/>
          <w:tab w:val="clear" w:pos="6237"/>
          <w:tab w:val="decimal" w:pos="567"/>
          <w:tab w:val="left" w:pos="2366"/>
          <w:tab w:val="right" w:leader="dot" w:pos="7172"/>
          <w:tab w:val="center" w:pos="8039"/>
          <w:tab w:val="right" w:pos="9072"/>
        </w:tabs>
      </w:pPr>
    </w:p>
    <w:p w:rsidR="00000000" w:rsidRDefault="00000000">
      <w:pPr>
        <w:tabs>
          <w:tab w:val="clear" w:pos="2268"/>
          <w:tab w:val="clear" w:pos="6237"/>
          <w:tab w:val="decimal" w:pos="567"/>
          <w:tab w:val="left" w:pos="2366"/>
          <w:tab w:val="right" w:leader="dot" w:pos="7172"/>
          <w:tab w:val="center" w:pos="8039"/>
          <w:tab w:val="right" w:pos="9072"/>
        </w:tabs>
      </w:pPr>
      <w:r>
        <w:tab/>
      </w:r>
      <w:r>
        <w:tab/>
        <w:t>Статья 2 -</w:t>
      </w:r>
      <w:r>
        <w:tab/>
        <w:t xml:space="preserve">Права граждан и лиц, не являющихся </w:t>
      </w:r>
    </w:p>
    <w:p w:rsidR="00000000" w:rsidRDefault="00000000">
      <w:pPr>
        <w:tabs>
          <w:tab w:val="clear" w:pos="2268"/>
          <w:tab w:val="clear" w:pos="6237"/>
          <w:tab w:val="decimal" w:pos="567"/>
          <w:tab w:val="left" w:pos="2366"/>
          <w:tab w:val="right" w:leader="dot" w:pos="7172"/>
          <w:tab w:val="center" w:pos="8039"/>
          <w:tab w:val="right" w:pos="9072"/>
        </w:tabs>
      </w:pPr>
      <w:r>
        <w:tab/>
      </w:r>
      <w:r>
        <w:tab/>
      </w:r>
      <w:r>
        <w:tab/>
      </w:r>
      <w:r>
        <w:tab/>
        <w:t>гражданами</w:t>
      </w:r>
      <w:r>
        <w:tab/>
      </w:r>
      <w:r>
        <w:tab/>
        <w:t>13</w:t>
      </w:r>
      <w:r>
        <w:tab/>
        <w:t>9</w:t>
      </w:r>
    </w:p>
    <w:p w:rsidR="00000000" w:rsidRDefault="00000000">
      <w:pPr>
        <w:tabs>
          <w:tab w:val="clear" w:pos="2268"/>
          <w:tab w:val="clear" w:pos="6237"/>
          <w:tab w:val="decimal" w:pos="567"/>
          <w:tab w:val="left" w:pos="2366"/>
          <w:tab w:val="right" w:leader="dot" w:pos="7172"/>
          <w:tab w:val="center" w:pos="8039"/>
          <w:tab w:val="right" w:pos="9072"/>
        </w:tabs>
      </w:pPr>
    </w:p>
    <w:p w:rsidR="00000000" w:rsidRDefault="00000000">
      <w:pPr>
        <w:tabs>
          <w:tab w:val="clear" w:pos="2268"/>
          <w:tab w:val="clear" w:pos="6237"/>
          <w:tab w:val="decimal" w:pos="567"/>
          <w:tab w:val="left" w:pos="2366"/>
          <w:tab w:val="right" w:leader="dot" w:pos="7172"/>
          <w:tab w:val="center" w:pos="8039"/>
          <w:tab w:val="right" w:pos="9072"/>
        </w:tabs>
      </w:pPr>
      <w:r>
        <w:tab/>
      </w:r>
      <w:r>
        <w:tab/>
        <w:t>Статья 3 -</w:t>
      </w:r>
      <w:r>
        <w:tab/>
        <w:t>Равноправие мужчин и женщин</w:t>
      </w:r>
      <w:r>
        <w:tab/>
      </w:r>
      <w:r>
        <w:tab/>
        <w:t>14</w:t>
      </w:r>
      <w:r>
        <w:tab/>
        <w:t>9</w:t>
      </w:r>
    </w:p>
    <w:p w:rsidR="00000000" w:rsidRDefault="00000000">
      <w:pPr>
        <w:tabs>
          <w:tab w:val="clear" w:pos="2268"/>
          <w:tab w:val="clear" w:pos="6237"/>
          <w:tab w:val="decimal" w:pos="567"/>
          <w:tab w:val="left" w:pos="2366"/>
          <w:tab w:val="right" w:leader="dot" w:pos="7172"/>
          <w:tab w:val="center" w:pos="8039"/>
          <w:tab w:val="right" w:pos="9072"/>
        </w:tabs>
      </w:pPr>
    </w:p>
    <w:p w:rsidR="00000000" w:rsidRDefault="00000000">
      <w:pPr>
        <w:tabs>
          <w:tab w:val="clear" w:pos="2268"/>
          <w:tab w:val="clear" w:pos="6237"/>
          <w:tab w:val="decimal" w:pos="567"/>
          <w:tab w:val="left" w:pos="2366"/>
          <w:tab w:val="right" w:leader="dot" w:pos="7172"/>
          <w:tab w:val="center" w:pos="8039"/>
          <w:tab w:val="right" w:pos="9072"/>
        </w:tabs>
      </w:pPr>
      <w:r>
        <w:tab/>
      </w:r>
      <w:r>
        <w:tab/>
        <w:t>Статья 4 -</w:t>
      </w:r>
      <w:r>
        <w:tab/>
        <w:t>Пользование всеми основными правами</w:t>
      </w:r>
      <w:r>
        <w:tab/>
      </w:r>
      <w:r>
        <w:tab/>
        <w:t>15 - 16</w:t>
      </w:r>
      <w:r>
        <w:tab/>
        <w:t>9</w:t>
      </w:r>
    </w:p>
    <w:p w:rsidR="00000000" w:rsidRDefault="00000000">
      <w:pPr>
        <w:tabs>
          <w:tab w:val="clear" w:pos="2268"/>
          <w:tab w:val="clear" w:pos="6237"/>
          <w:tab w:val="decimal" w:pos="567"/>
          <w:tab w:val="left" w:pos="2366"/>
          <w:tab w:val="right" w:leader="dot" w:pos="7172"/>
          <w:tab w:val="center" w:pos="8039"/>
          <w:tab w:val="right" w:pos="9072"/>
        </w:tabs>
      </w:pPr>
    </w:p>
    <w:p w:rsidR="00000000" w:rsidRDefault="00000000">
      <w:pPr>
        <w:tabs>
          <w:tab w:val="clear" w:pos="2268"/>
          <w:tab w:val="clear" w:pos="6237"/>
          <w:tab w:val="decimal" w:pos="567"/>
          <w:tab w:val="left" w:pos="2366"/>
          <w:tab w:val="right" w:leader="dot" w:pos="7172"/>
          <w:tab w:val="center" w:pos="8039"/>
          <w:tab w:val="right" w:pos="9072"/>
        </w:tabs>
      </w:pPr>
      <w:r>
        <w:tab/>
      </w:r>
      <w:r>
        <w:tab/>
        <w:t>Статья 5 -</w:t>
      </w:r>
      <w:r>
        <w:tab/>
        <w:t>Верховенство международного права</w:t>
      </w:r>
      <w:r>
        <w:tab/>
      </w:r>
      <w:r>
        <w:tab/>
        <w:t>17</w:t>
      </w:r>
      <w:r>
        <w:tab/>
        <w:t>9</w:t>
      </w:r>
    </w:p>
    <w:p w:rsidR="00000000" w:rsidRDefault="00000000">
      <w:pPr>
        <w:tabs>
          <w:tab w:val="clear" w:pos="2268"/>
          <w:tab w:val="clear" w:pos="6237"/>
          <w:tab w:val="decimal" w:pos="567"/>
          <w:tab w:val="left" w:pos="2366"/>
          <w:tab w:val="right" w:leader="dot" w:pos="7172"/>
          <w:tab w:val="center" w:pos="8039"/>
          <w:tab w:val="right" w:pos="9072"/>
        </w:tabs>
      </w:pPr>
    </w:p>
    <w:p w:rsidR="00000000" w:rsidRDefault="00000000">
      <w:pPr>
        <w:tabs>
          <w:tab w:val="clear" w:pos="2268"/>
          <w:tab w:val="clear" w:pos="6237"/>
          <w:tab w:val="decimal" w:pos="567"/>
          <w:tab w:val="left" w:pos="2366"/>
          <w:tab w:val="right" w:leader="dot" w:pos="7172"/>
          <w:tab w:val="center" w:pos="8039"/>
          <w:tab w:val="right" w:pos="9072"/>
        </w:tabs>
      </w:pPr>
      <w:r>
        <w:tab/>
      </w:r>
      <w:r>
        <w:tab/>
        <w:t>Статья 6 -</w:t>
      </w:r>
      <w:r>
        <w:tab/>
        <w:t>Право на труд</w:t>
      </w:r>
      <w:r>
        <w:tab/>
      </w:r>
      <w:r>
        <w:tab/>
        <w:t>18 - 21</w:t>
      </w:r>
      <w:r>
        <w:tab/>
        <w:t>10</w:t>
      </w:r>
    </w:p>
    <w:p w:rsidR="00000000" w:rsidRDefault="00000000">
      <w:pPr>
        <w:tabs>
          <w:tab w:val="clear" w:pos="2268"/>
          <w:tab w:val="clear" w:pos="6237"/>
          <w:tab w:val="decimal" w:pos="567"/>
          <w:tab w:val="left" w:pos="2366"/>
          <w:tab w:val="right" w:leader="dot" w:pos="7172"/>
          <w:tab w:val="center" w:pos="8039"/>
          <w:tab w:val="right" w:pos="9072"/>
        </w:tabs>
      </w:pPr>
    </w:p>
    <w:p w:rsidR="00000000" w:rsidRDefault="00000000">
      <w:pPr>
        <w:tabs>
          <w:tab w:val="clear" w:pos="2268"/>
          <w:tab w:val="clear" w:pos="6237"/>
          <w:tab w:val="decimal" w:pos="567"/>
          <w:tab w:val="left" w:pos="2366"/>
          <w:tab w:val="right" w:leader="dot" w:pos="7172"/>
          <w:tab w:val="center" w:pos="8039"/>
          <w:tab w:val="right" w:pos="9072"/>
        </w:tabs>
      </w:pPr>
      <w:r>
        <w:tab/>
      </w:r>
      <w:r>
        <w:tab/>
        <w:t>Статья 7 -</w:t>
      </w:r>
      <w:r>
        <w:tab/>
        <w:t>Право на справедливое вознаграждение</w:t>
      </w:r>
      <w:r>
        <w:tab/>
      </w:r>
      <w:r>
        <w:tab/>
        <w:t>22 - 29</w:t>
      </w:r>
      <w:r>
        <w:tab/>
        <w:t>13</w:t>
      </w:r>
    </w:p>
    <w:p w:rsidR="00000000" w:rsidRDefault="00000000">
      <w:pPr>
        <w:tabs>
          <w:tab w:val="clear" w:pos="2268"/>
          <w:tab w:val="clear" w:pos="6237"/>
          <w:tab w:val="decimal" w:pos="567"/>
          <w:tab w:val="left" w:pos="2366"/>
          <w:tab w:val="right" w:leader="dot" w:pos="7172"/>
          <w:tab w:val="center" w:pos="8039"/>
          <w:tab w:val="right" w:pos="9072"/>
        </w:tabs>
      </w:pPr>
    </w:p>
    <w:p w:rsidR="00000000" w:rsidRDefault="00000000">
      <w:pPr>
        <w:tabs>
          <w:tab w:val="clear" w:pos="2268"/>
          <w:tab w:val="clear" w:pos="6237"/>
          <w:tab w:val="decimal" w:pos="567"/>
          <w:tab w:val="left" w:pos="2366"/>
          <w:tab w:val="right" w:leader="dot" w:pos="7172"/>
          <w:tab w:val="center" w:pos="8039"/>
          <w:tab w:val="right" w:pos="9072"/>
        </w:tabs>
      </w:pPr>
      <w:r>
        <w:tab/>
      </w:r>
      <w:r>
        <w:tab/>
        <w:t>Статья 8 -</w:t>
      </w:r>
      <w:r>
        <w:tab/>
        <w:t>Право на создание профессиональных союзов</w:t>
      </w:r>
    </w:p>
    <w:p w:rsidR="00000000" w:rsidRDefault="00000000">
      <w:pPr>
        <w:tabs>
          <w:tab w:val="clear" w:pos="2268"/>
          <w:tab w:val="clear" w:pos="6237"/>
          <w:tab w:val="decimal" w:pos="567"/>
          <w:tab w:val="left" w:pos="2366"/>
          <w:tab w:val="right" w:leader="dot" w:pos="7172"/>
          <w:tab w:val="center" w:pos="8039"/>
          <w:tab w:val="right" w:pos="9072"/>
        </w:tabs>
      </w:pPr>
      <w:r>
        <w:tab/>
      </w:r>
      <w:r>
        <w:tab/>
      </w:r>
      <w:r>
        <w:tab/>
      </w:r>
      <w:r>
        <w:tab/>
        <w:t>и федераций профессиональных союзов</w:t>
      </w:r>
      <w:r>
        <w:tab/>
      </w:r>
      <w:r>
        <w:tab/>
        <w:t>30 - 33</w:t>
      </w:r>
      <w:r>
        <w:tab/>
        <w:t>14</w:t>
      </w:r>
    </w:p>
    <w:p w:rsidR="00000000" w:rsidRDefault="00000000">
      <w:pPr>
        <w:tabs>
          <w:tab w:val="clear" w:pos="2268"/>
          <w:tab w:val="clear" w:pos="6237"/>
          <w:tab w:val="decimal" w:pos="567"/>
          <w:tab w:val="left" w:pos="2366"/>
          <w:tab w:val="right" w:leader="dot" w:pos="7172"/>
          <w:tab w:val="center" w:pos="8039"/>
          <w:tab w:val="right" w:pos="9072"/>
        </w:tabs>
      </w:pPr>
    </w:p>
    <w:p w:rsidR="00000000" w:rsidRDefault="00000000">
      <w:pPr>
        <w:tabs>
          <w:tab w:val="clear" w:pos="2268"/>
          <w:tab w:val="clear" w:pos="6237"/>
          <w:tab w:val="decimal" w:pos="567"/>
          <w:tab w:val="left" w:pos="2366"/>
          <w:tab w:val="right" w:leader="dot" w:pos="7172"/>
          <w:tab w:val="center" w:pos="8039"/>
          <w:tab w:val="right" w:pos="9072"/>
        </w:tabs>
      </w:pPr>
      <w:r>
        <w:tab/>
      </w:r>
      <w:r>
        <w:tab/>
        <w:t>Статья 9 -</w:t>
      </w:r>
      <w:r>
        <w:tab/>
        <w:t>Право на социальное обеспечение</w:t>
      </w:r>
      <w:r>
        <w:tab/>
      </w:r>
      <w:r>
        <w:tab/>
        <w:t>34 - 44</w:t>
      </w:r>
      <w:r>
        <w:tab/>
        <w:t>16</w:t>
      </w:r>
    </w:p>
    <w:p w:rsidR="00000000" w:rsidRDefault="00000000">
      <w:pPr>
        <w:tabs>
          <w:tab w:val="clear" w:pos="2268"/>
          <w:tab w:val="clear" w:pos="6237"/>
          <w:tab w:val="decimal" w:pos="567"/>
          <w:tab w:val="left" w:pos="2366"/>
          <w:tab w:val="right" w:leader="dot" w:pos="7172"/>
          <w:tab w:val="center" w:pos="8039"/>
          <w:tab w:val="right" w:pos="9072"/>
        </w:tabs>
      </w:pPr>
    </w:p>
    <w:p w:rsidR="00000000" w:rsidRDefault="00000000">
      <w:pPr>
        <w:tabs>
          <w:tab w:val="clear" w:pos="2268"/>
          <w:tab w:val="clear" w:pos="6237"/>
          <w:tab w:val="decimal" w:pos="567"/>
          <w:tab w:val="left" w:pos="2366"/>
          <w:tab w:val="right" w:leader="dot" w:pos="7172"/>
          <w:tab w:val="center" w:pos="8039"/>
          <w:tab w:val="right" w:pos="9072"/>
        </w:tabs>
      </w:pPr>
      <w:r>
        <w:tab/>
      </w:r>
      <w:r>
        <w:tab/>
        <w:t>Статья 10 -</w:t>
      </w:r>
      <w:r>
        <w:tab/>
        <w:t xml:space="preserve">Право на охрану семьи, а также матерей </w:t>
      </w:r>
    </w:p>
    <w:p w:rsidR="00000000" w:rsidRDefault="00000000">
      <w:pPr>
        <w:tabs>
          <w:tab w:val="clear" w:pos="2268"/>
          <w:tab w:val="clear" w:pos="6237"/>
          <w:tab w:val="decimal" w:pos="567"/>
          <w:tab w:val="left" w:pos="2366"/>
          <w:tab w:val="right" w:leader="dot" w:pos="7172"/>
          <w:tab w:val="center" w:pos="8039"/>
          <w:tab w:val="right" w:pos="9072"/>
        </w:tabs>
      </w:pPr>
      <w:r>
        <w:tab/>
      </w:r>
      <w:r>
        <w:tab/>
      </w:r>
      <w:r>
        <w:tab/>
      </w:r>
      <w:r>
        <w:tab/>
        <w:t>и детей</w:t>
      </w:r>
      <w:r>
        <w:tab/>
      </w:r>
      <w:r>
        <w:tab/>
        <w:t>45 - 52</w:t>
      </w:r>
      <w:r>
        <w:tab/>
        <w:t>18</w:t>
      </w:r>
    </w:p>
    <w:p w:rsidR="00000000" w:rsidRDefault="00000000">
      <w:pPr>
        <w:tabs>
          <w:tab w:val="clear" w:pos="2268"/>
          <w:tab w:val="clear" w:pos="6237"/>
          <w:tab w:val="decimal" w:pos="567"/>
          <w:tab w:val="left" w:pos="2366"/>
          <w:tab w:val="right" w:leader="dot" w:pos="7172"/>
          <w:tab w:val="center" w:pos="8039"/>
          <w:tab w:val="right" w:pos="9072"/>
        </w:tabs>
      </w:pPr>
    </w:p>
    <w:p w:rsidR="00000000" w:rsidRDefault="00000000">
      <w:pPr>
        <w:tabs>
          <w:tab w:val="right" w:pos="9072"/>
        </w:tabs>
        <w:jc w:val="center"/>
      </w:pPr>
      <w:r>
        <w:rPr>
          <w:b/>
          <w:bCs/>
        </w:rPr>
        <w:t>СОДЕРЖАНИЕ</w:t>
      </w:r>
      <w:r>
        <w:rPr>
          <w:b/>
          <w:bCs/>
          <w:lang w:val="en-US"/>
        </w:rPr>
        <w:t xml:space="preserve"> </w:t>
      </w:r>
      <w:r>
        <w:rPr>
          <w:lang w:val="en-US"/>
        </w:rPr>
        <w:t>(</w:t>
      </w:r>
      <w:r>
        <w:rPr>
          <w:u w:val="single"/>
        </w:rPr>
        <w:t>продолжение</w:t>
      </w:r>
      <w:r>
        <w:t>)</w:t>
      </w:r>
    </w:p>
    <w:p w:rsidR="00000000" w:rsidRDefault="00000000">
      <w:pPr>
        <w:tabs>
          <w:tab w:val="right" w:pos="9072"/>
        </w:tabs>
        <w:jc w:val="center"/>
      </w:pPr>
    </w:p>
    <w:p w:rsidR="00000000" w:rsidRDefault="00000000">
      <w:pPr>
        <w:tabs>
          <w:tab w:val="clear" w:pos="6237"/>
          <w:tab w:val="center" w:pos="8039"/>
          <w:tab w:val="right" w:pos="907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right" w:pos="9072"/>
        </w:tabs>
      </w:pPr>
    </w:p>
    <w:p w:rsidR="00000000" w:rsidRDefault="00000000">
      <w:pPr>
        <w:tabs>
          <w:tab w:val="clear" w:pos="2268"/>
          <w:tab w:val="clear" w:pos="6237"/>
          <w:tab w:val="decimal" w:pos="567"/>
          <w:tab w:val="left" w:pos="2366"/>
          <w:tab w:val="right" w:leader="dot" w:pos="7172"/>
          <w:tab w:val="center" w:pos="8039"/>
          <w:tab w:val="right" w:pos="9072"/>
        </w:tabs>
      </w:pPr>
      <w:r>
        <w:tab/>
      </w:r>
      <w:r>
        <w:tab/>
        <w:t>Статья 11 -</w:t>
      </w:r>
      <w:r>
        <w:tab/>
        <w:t>Право на питание, одежду и жилище (право</w:t>
      </w:r>
    </w:p>
    <w:p w:rsidR="00000000" w:rsidRDefault="00000000">
      <w:pPr>
        <w:tabs>
          <w:tab w:val="clear" w:pos="2268"/>
          <w:tab w:val="clear" w:pos="6237"/>
          <w:tab w:val="decimal" w:pos="567"/>
          <w:tab w:val="left" w:pos="2366"/>
          <w:tab w:val="right" w:leader="dot" w:pos="7172"/>
          <w:tab w:val="center" w:pos="8039"/>
          <w:tab w:val="right" w:pos="9072"/>
        </w:tabs>
      </w:pPr>
      <w:r>
        <w:tab/>
      </w:r>
      <w:r>
        <w:tab/>
      </w:r>
      <w:r>
        <w:tab/>
      </w:r>
      <w:r>
        <w:tab/>
        <w:t>на достаточный жизненный уровень)</w:t>
      </w:r>
      <w:r>
        <w:tab/>
      </w:r>
      <w:r>
        <w:tab/>
        <w:t>53 - 84</w:t>
      </w:r>
      <w:r>
        <w:tab/>
        <w:t>21</w:t>
      </w:r>
    </w:p>
    <w:p w:rsidR="00000000" w:rsidRDefault="00000000">
      <w:pPr>
        <w:tabs>
          <w:tab w:val="clear" w:pos="2268"/>
          <w:tab w:val="clear" w:pos="6237"/>
          <w:tab w:val="decimal" w:pos="567"/>
          <w:tab w:val="left" w:pos="2366"/>
          <w:tab w:val="right" w:leader="dot" w:pos="7172"/>
          <w:tab w:val="center" w:pos="8039"/>
          <w:tab w:val="right" w:pos="9072"/>
        </w:tabs>
      </w:pPr>
    </w:p>
    <w:p w:rsidR="00000000" w:rsidRDefault="00000000">
      <w:pPr>
        <w:tabs>
          <w:tab w:val="clear" w:pos="2268"/>
          <w:tab w:val="clear" w:pos="6237"/>
          <w:tab w:val="decimal" w:pos="567"/>
          <w:tab w:val="left" w:pos="2366"/>
          <w:tab w:val="right" w:leader="dot" w:pos="7172"/>
          <w:tab w:val="center" w:pos="8039"/>
          <w:tab w:val="right" w:pos="9072"/>
        </w:tabs>
      </w:pPr>
      <w:r>
        <w:tab/>
      </w:r>
      <w:r>
        <w:tab/>
        <w:t>Статья 12 -</w:t>
      </w:r>
      <w:r>
        <w:tab/>
        <w:t>Право на наивысший достижимый уровень</w:t>
      </w:r>
    </w:p>
    <w:p w:rsidR="00000000" w:rsidRDefault="00000000">
      <w:pPr>
        <w:tabs>
          <w:tab w:val="clear" w:pos="2268"/>
          <w:tab w:val="clear" w:pos="6237"/>
          <w:tab w:val="decimal" w:pos="567"/>
          <w:tab w:val="left" w:pos="2366"/>
          <w:tab w:val="right" w:leader="dot" w:pos="7172"/>
          <w:tab w:val="center" w:pos="8039"/>
          <w:tab w:val="right" w:pos="9072"/>
        </w:tabs>
      </w:pPr>
      <w:r>
        <w:tab/>
      </w:r>
      <w:r>
        <w:tab/>
      </w:r>
      <w:r>
        <w:tab/>
      </w:r>
      <w:r>
        <w:tab/>
        <w:t>физического и психического здоровья</w:t>
      </w:r>
      <w:r>
        <w:tab/>
      </w:r>
      <w:r>
        <w:tab/>
        <w:t xml:space="preserve"> 85 - 118</w:t>
      </w:r>
      <w:r>
        <w:tab/>
        <w:t>30</w:t>
      </w:r>
    </w:p>
    <w:p w:rsidR="00000000" w:rsidRDefault="00000000">
      <w:pPr>
        <w:tabs>
          <w:tab w:val="clear" w:pos="2268"/>
          <w:tab w:val="clear" w:pos="6237"/>
          <w:tab w:val="decimal" w:pos="567"/>
          <w:tab w:val="left" w:pos="2366"/>
          <w:tab w:val="right" w:leader="dot" w:pos="7172"/>
          <w:tab w:val="center" w:pos="8039"/>
          <w:tab w:val="right" w:pos="9072"/>
        </w:tabs>
      </w:pPr>
    </w:p>
    <w:p w:rsidR="00000000" w:rsidRDefault="00000000">
      <w:pPr>
        <w:tabs>
          <w:tab w:val="clear" w:pos="2268"/>
          <w:tab w:val="clear" w:pos="6237"/>
          <w:tab w:val="decimal" w:pos="567"/>
          <w:tab w:val="left" w:pos="2366"/>
          <w:tab w:val="right" w:leader="dot" w:pos="7172"/>
          <w:tab w:val="center" w:pos="8039"/>
          <w:tab w:val="right" w:pos="9072"/>
        </w:tabs>
      </w:pPr>
      <w:r>
        <w:tab/>
      </w:r>
      <w:r>
        <w:tab/>
        <w:t>Статья 13 -</w:t>
      </w:r>
      <w:r>
        <w:tab/>
        <w:t>Право на образование и обучение</w:t>
      </w:r>
      <w:r>
        <w:tab/>
      </w:r>
      <w:r>
        <w:tab/>
        <w:t>119</w:t>
      </w:r>
      <w:r>
        <w:tab/>
        <w:t>41</w:t>
      </w:r>
    </w:p>
    <w:p w:rsidR="00000000" w:rsidRDefault="00000000">
      <w:pPr>
        <w:tabs>
          <w:tab w:val="clear" w:pos="2268"/>
          <w:tab w:val="clear" w:pos="6237"/>
          <w:tab w:val="decimal" w:pos="567"/>
          <w:tab w:val="left" w:pos="2366"/>
          <w:tab w:val="right" w:leader="dot" w:pos="7172"/>
          <w:tab w:val="center" w:pos="8039"/>
          <w:tab w:val="right" w:pos="9072"/>
        </w:tabs>
      </w:pPr>
    </w:p>
    <w:p w:rsidR="00000000" w:rsidRDefault="00000000">
      <w:pPr>
        <w:tabs>
          <w:tab w:val="clear" w:pos="2268"/>
          <w:tab w:val="clear" w:pos="6237"/>
          <w:tab w:val="decimal" w:pos="567"/>
          <w:tab w:val="left" w:pos="2366"/>
          <w:tab w:val="right" w:leader="dot" w:pos="7172"/>
          <w:tab w:val="center" w:pos="8039"/>
          <w:tab w:val="right" w:pos="9072"/>
        </w:tabs>
      </w:pPr>
      <w:r>
        <w:tab/>
      </w:r>
      <w:r>
        <w:tab/>
        <w:t>Статья 14 -</w:t>
      </w:r>
      <w:r>
        <w:tab/>
        <w:t>Право на образование</w:t>
      </w:r>
      <w:r>
        <w:tab/>
      </w:r>
      <w:r>
        <w:tab/>
        <w:t>120</w:t>
      </w:r>
      <w:r>
        <w:tab/>
        <w:t>42</w:t>
      </w:r>
    </w:p>
    <w:p w:rsidR="00000000" w:rsidRDefault="00000000">
      <w:pPr>
        <w:tabs>
          <w:tab w:val="clear" w:pos="2268"/>
          <w:tab w:val="clear" w:pos="6237"/>
          <w:tab w:val="decimal" w:pos="567"/>
          <w:tab w:val="left" w:pos="2366"/>
          <w:tab w:val="right" w:leader="dot" w:pos="7172"/>
          <w:tab w:val="center" w:pos="8039"/>
          <w:tab w:val="right" w:pos="9072"/>
        </w:tabs>
      </w:pPr>
    </w:p>
    <w:p w:rsidR="00000000" w:rsidRDefault="00000000">
      <w:pPr>
        <w:tabs>
          <w:tab w:val="clear" w:pos="2268"/>
          <w:tab w:val="clear" w:pos="6237"/>
          <w:tab w:val="decimal" w:pos="567"/>
          <w:tab w:val="left" w:pos="2366"/>
          <w:tab w:val="right" w:leader="dot" w:pos="7172"/>
          <w:tab w:val="center" w:pos="8039"/>
          <w:tab w:val="right" w:pos="9072"/>
        </w:tabs>
      </w:pPr>
      <w:r>
        <w:tab/>
      </w:r>
      <w:r>
        <w:tab/>
        <w:t>Статья 15 -</w:t>
      </w:r>
      <w:r>
        <w:tab/>
        <w:t>Право на культуру</w:t>
      </w:r>
      <w:r>
        <w:tab/>
      </w:r>
      <w:r>
        <w:tab/>
        <w:t>121 - 145</w:t>
      </w:r>
      <w:r>
        <w:tab/>
        <w:t>42</w:t>
      </w:r>
    </w:p>
    <w:p w:rsidR="00000000" w:rsidRDefault="00000000">
      <w:pPr>
        <w:tabs>
          <w:tab w:val="clear" w:pos="2268"/>
          <w:tab w:val="clear" w:pos="6237"/>
          <w:tab w:val="decimal" w:pos="567"/>
          <w:tab w:val="left" w:pos="2366"/>
          <w:tab w:val="right" w:leader="dot" w:pos="7172"/>
          <w:tab w:val="center" w:pos="8039"/>
          <w:tab w:val="right" w:pos="9072"/>
        </w:tabs>
      </w:pPr>
    </w:p>
    <w:p w:rsidR="00000000" w:rsidRDefault="00000000">
      <w:pPr>
        <w:tabs>
          <w:tab w:val="clear" w:pos="2268"/>
          <w:tab w:val="clear" w:pos="6237"/>
          <w:tab w:val="decimal" w:pos="567"/>
          <w:tab w:val="right" w:leader="dot" w:pos="8222"/>
          <w:tab w:val="right" w:pos="9072"/>
        </w:tabs>
      </w:pPr>
      <w:r>
        <w:t>Список источников</w:t>
      </w:r>
      <w:r>
        <w:tab/>
      </w:r>
      <w:r>
        <w:tab/>
        <w:t>48</w:t>
      </w:r>
    </w:p>
    <w:p w:rsidR="00000000" w:rsidRDefault="00000000">
      <w:pPr>
        <w:tabs>
          <w:tab w:val="clear" w:pos="2268"/>
          <w:tab w:val="clear" w:pos="6237"/>
          <w:tab w:val="decimal" w:pos="567"/>
          <w:tab w:val="left" w:pos="2366"/>
          <w:tab w:val="right" w:leader="dot" w:pos="7172"/>
          <w:tab w:val="center" w:pos="8039"/>
          <w:tab w:val="right" w:pos="9072"/>
        </w:tabs>
      </w:pPr>
    </w:p>
    <w:p w:rsidR="00000000" w:rsidRDefault="00000000">
      <w:pPr>
        <w:tabs>
          <w:tab w:val="clear" w:pos="2268"/>
          <w:tab w:val="clear" w:pos="6237"/>
          <w:tab w:val="decimal" w:pos="567"/>
          <w:tab w:val="left" w:pos="2366"/>
          <w:tab w:val="right" w:leader="dot" w:pos="8222"/>
          <w:tab w:val="right" w:pos="9072"/>
        </w:tabs>
      </w:pPr>
      <w:r>
        <w:t>Члены подготовительного комитета</w:t>
      </w:r>
      <w:r>
        <w:tab/>
      </w:r>
      <w:r>
        <w:tab/>
        <w:t>50</w:t>
      </w:r>
    </w:p>
    <w:p w:rsidR="00000000" w:rsidRDefault="00000000">
      <w:pPr>
        <w:tabs>
          <w:tab w:val="clear" w:pos="2268"/>
          <w:tab w:val="clear" w:pos="6237"/>
          <w:tab w:val="decimal" w:pos="567"/>
          <w:tab w:val="left" w:pos="2366"/>
          <w:tab w:val="right" w:leader="dot" w:pos="7172"/>
          <w:tab w:val="center" w:pos="8039"/>
          <w:tab w:val="center" w:pos="9122"/>
        </w:tabs>
      </w:pPr>
    </w:p>
    <w:p w:rsidR="00000000" w:rsidRDefault="00000000">
      <w:pPr>
        <w:tabs>
          <w:tab w:val="clear" w:pos="2268"/>
          <w:tab w:val="clear" w:pos="6237"/>
          <w:tab w:val="center" w:pos="567"/>
          <w:tab w:val="left" w:pos="2366"/>
        </w:tabs>
        <w:jc w:val="center"/>
      </w:pPr>
      <w:r>
        <w:br w:type="page"/>
      </w:r>
      <w:r>
        <w:rPr>
          <w:b/>
          <w:bCs/>
        </w:rPr>
        <w:t>Введение</w:t>
      </w:r>
    </w:p>
    <w:p w:rsidR="00000000" w:rsidRDefault="00000000">
      <w:pPr>
        <w:tabs>
          <w:tab w:val="clear" w:pos="2268"/>
          <w:tab w:val="clear" w:pos="6237"/>
          <w:tab w:val="center" w:pos="567"/>
          <w:tab w:val="left" w:pos="2366"/>
        </w:tabs>
        <w:jc w:val="center"/>
      </w:pPr>
    </w:p>
    <w:p w:rsidR="00000000" w:rsidRDefault="00000000">
      <w:pPr>
        <w:tabs>
          <w:tab w:val="clear" w:pos="2268"/>
          <w:tab w:val="clear" w:pos="6237"/>
          <w:tab w:val="left" w:pos="2366"/>
        </w:tabs>
      </w:pPr>
      <w:r>
        <w:t>1.</w:t>
      </w:r>
      <w:r>
        <w:tab/>
        <w:t>Международный пакт об экономических, социальных и культурных правах был принят Генеральной Ассамблеей Организации Объединенных Наций 16 декабря 1966 года и вступил в силу 3 января 1976 года.  Великая Ливийская Арабская Джамахирия присоединилась к Пакту 15 мая 1970 года.</w:t>
      </w:r>
    </w:p>
    <w:p w:rsidR="00000000" w:rsidRDefault="00000000">
      <w:pPr>
        <w:tabs>
          <w:tab w:val="clear" w:pos="2268"/>
          <w:tab w:val="clear" w:pos="6237"/>
          <w:tab w:val="left" w:pos="2366"/>
        </w:tabs>
      </w:pPr>
    </w:p>
    <w:p w:rsidR="00000000" w:rsidRDefault="00000000">
      <w:pPr>
        <w:tabs>
          <w:tab w:val="clear" w:pos="2268"/>
          <w:tab w:val="clear" w:pos="6237"/>
          <w:tab w:val="left" w:pos="2366"/>
        </w:tabs>
      </w:pPr>
      <w:r>
        <w:t>2.</w:t>
      </w:r>
      <w:r>
        <w:tab/>
        <w:t xml:space="preserve">Во исполнение пункта 1 статьи 16 Пакта Ливийская Арабская Джамахирия уже представила доклады об осуществлении статей 6, 9, 11, 12, 13 и 15 (см. документы </w:t>
      </w:r>
      <w:r>
        <w:rPr>
          <w:lang w:val="en-US"/>
        </w:rPr>
        <w:t>E</w:t>
      </w:r>
      <w:r>
        <w:t>/1982/3/</w:t>
      </w:r>
      <w:r>
        <w:rPr>
          <w:lang w:val="en-US"/>
        </w:rPr>
        <w:t>Add</w:t>
      </w:r>
      <w:r>
        <w:t xml:space="preserve">.6 и 25, </w:t>
      </w:r>
      <w:r>
        <w:rPr>
          <w:lang w:val="en-US"/>
        </w:rPr>
        <w:t>E</w:t>
      </w:r>
      <w:r>
        <w:t>/1983/</w:t>
      </w:r>
      <w:r>
        <w:rPr>
          <w:lang w:val="en-US"/>
        </w:rPr>
        <w:t>WG</w:t>
      </w:r>
      <w:r>
        <w:t>.1/</w:t>
      </w:r>
      <w:r>
        <w:rPr>
          <w:lang w:val="en-US"/>
        </w:rPr>
        <w:t>SR</w:t>
      </w:r>
      <w:r>
        <w:t xml:space="preserve">.16-17, </w:t>
      </w:r>
      <w:r>
        <w:rPr>
          <w:lang w:val="en-US"/>
        </w:rPr>
        <w:t>E</w:t>
      </w:r>
      <w:r>
        <w:t>/1990/5/</w:t>
      </w:r>
      <w:r>
        <w:rPr>
          <w:lang w:val="en-US"/>
        </w:rPr>
        <w:t>Add</w:t>
      </w:r>
      <w:r>
        <w:t xml:space="preserve">.26, а также </w:t>
      </w:r>
      <w:r>
        <w:rPr>
          <w:lang w:val="en-US"/>
        </w:rPr>
        <w:t>E</w:t>
      </w:r>
      <w:r>
        <w:t>/</w:t>
      </w:r>
      <w:r>
        <w:rPr>
          <w:lang w:val="en-US"/>
        </w:rPr>
        <w:t>C</w:t>
      </w:r>
      <w:r>
        <w:t>.12/1997/</w:t>
      </w:r>
      <w:r>
        <w:rPr>
          <w:lang w:val="en-US"/>
        </w:rPr>
        <w:t>SR</w:t>
      </w:r>
      <w:r>
        <w:t>.20 и 26).</w:t>
      </w:r>
    </w:p>
    <w:p w:rsidR="00000000" w:rsidRDefault="00000000">
      <w:pPr>
        <w:tabs>
          <w:tab w:val="clear" w:pos="2268"/>
          <w:tab w:val="clear" w:pos="6237"/>
          <w:tab w:val="left" w:pos="2366"/>
        </w:tabs>
      </w:pPr>
    </w:p>
    <w:p w:rsidR="00000000" w:rsidRDefault="00000000">
      <w:pPr>
        <w:tabs>
          <w:tab w:val="clear" w:pos="2268"/>
          <w:tab w:val="clear" w:pos="6237"/>
          <w:tab w:val="left" w:pos="2366"/>
        </w:tabs>
      </w:pPr>
      <w:r>
        <w:t>3.</w:t>
      </w:r>
      <w:r>
        <w:tab/>
        <w:t>Настоящий доклад, в который включены второй и третий периодические доклады Ливии, был подготовлен в соответствии со статьей 16 Конвенции.  Он состоит из двух частей.  В первой части говорится о географическом положении и народонаселении Ливийской Арабской Джамахирии, приводится обзор общего состояния экономики, в том числе данные по ее основным отраслям, а также о валовом внутреннем продукте (ВВП) </w:t>
      </w:r>
      <w:r>
        <w:noBreakHyphen/>
        <w:t xml:space="preserve"> суммарном и на душу населения </w:t>
      </w:r>
      <w:r>
        <w:noBreakHyphen/>
        <w:t xml:space="preserve"> и содержатся краткие сведения о политической системе страны, а также о законодательной, исполнительной и судебной ветвях власти.  Во второй части подробно рассматриваются меры, предпринятые Джамахирией с целью выполнения различных статей Пакта начиная со статьи 1 (право на самоопределение) и заканчивая статьей 15 (культурные права).</w:t>
      </w:r>
    </w:p>
    <w:p w:rsidR="00000000" w:rsidRDefault="00000000">
      <w:pPr>
        <w:tabs>
          <w:tab w:val="clear" w:pos="2268"/>
          <w:tab w:val="clear" w:pos="6237"/>
          <w:tab w:val="left" w:pos="2366"/>
        </w:tabs>
      </w:pPr>
    </w:p>
    <w:p w:rsidR="00000000" w:rsidRDefault="00000000">
      <w:pPr>
        <w:tabs>
          <w:tab w:val="clear" w:pos="2268"/>
          <w:tab w:val="clear" w:pos="6237"/>
          <w:tab w:val="left" w:pos="2366"/>
        </w:tabs>
      </w:pPr>
      <w:r>
        <w:t>4.</w:t>
      </w:r>
      <w:r>
        <w:tab/>
        <w:t xml:space="preserve">Настоящий доклад был подготовлен комитетом экспертов, которые постарались включить всю имеющуюся информацию о мерах, предпринятых Джамахирией по осуществлению Пакта, представив эту информацию в соответствии с руководящими принципами, изложенными в документе </w:t>
      </w:r>
      <w:r>
        <w:rPr>
          <w:lang w:val="en-US"/>
        </w:rPr>
        <w:t>HR</w:t>
      </w:r>
      <w:r>
        <w:t>/</w:t>
      </w:r>
      <w:r>
        <w:rPr>
          <w:lang w:val="en-US"/>
        </w:rPr>
        <w:t>PUB</w:t>
      </w:r>
      <w:r>
        <w:t xml:space="preserve">/1991/1 и опубликованными Комитетом по экономическим, социальным и культурным правам в виде документа </w:t>
      </w:r>
      <w:r>
        <w:rPr>
          <w:lang w:val="en-US"/>
        </w:rPr>
        <w:t>E</w:t>
      </w:r>
      <w:r>
        <w:t>/</w:t>
      </w:r>
      <w:r>
        <w:rPr>
          <w:lang w:val="en-US"/>
        </w:rPr>
        <w:t>C</w:t>
      </w:r>
      <w:r>
        <w:t>.12/1991/1.</w:t>
      </w:r>
    </w:p>
    <w:p w:rsidR="00000000" w:rsidRDefault="00000000">
      <w:pPr>
        <w:tabs>
          <w:tab w:val="clear" w:pos="2268"/>
          <w:tab w:val="clear" w:pos="6237"/>
          <w:tab w:val="left" w:pos="2366"/>
        </w:tabs>
      </w:pPr>
    </w:p>
    <w:p w:rsidR="00000000" w:rsidRDefault="00000000">
      <w:pPr>
        <w:tabs>
          <w:tab w:val="clear" w:pos="2268"/>
          <w:tab w:val="clear" w:pos="6237"/>
          <w:tab w:val="left" w:pos="2366"/>
        </w:tabs>
        <w:jc w:val="center"/>
        <w:rPr>
          <w:b/>
          <w:bCs/>
        </w:rPr>
      </w:pPr>
      <w:r>
        <w:rPr>
          <w:b/>
          <w:bCs/>
        </w:rPr>
        <w:t>I.</w:t>
      </w:r>
      <w:r>
        <w:rPr>
          <w:b/>
          <w:bCs/>
        </w:rPr>
        <w:tab/>
        <w:t>ОБЩАЯ ИНФОРМАЦИЯ</w:t>
      </w:r>
    </w:p>
    <w:p w:rsidR="00000000" w:rsidRDefault="00000000">
      <w:pPr>
        <w:tabs>
          <w:tab w:val="clear" w:pos="2268"/>
          <w:tab w:val="clear" w:pos="6237"/>
          <w:tab w:val="left" w:pos="2366"/>
        </w:tabs>
        <w:jc w:val="center"/>
        <w:rPr>
          <w:b/>
          <w:bCs/>
        </w:rPr>
      </w:pPr>
    </w:p>
    <w:p w:rsidR="00000000" w:rsidRDefault="00000000">
      <w:pPr>
        <w:tabs>
          <w:tab w:val="clear" w:pos="2268"/>
          <w:tab w:val="clear" w:pos="6237"/>
          <w:tab w:val="left" w:pos="2366"/>
        </w:tabs>
        <w:jc w:val="center"/>
        <w:rPr>
          <w:b/>
          <w:bCs/>
        </w:rPr>
      </w:pPr>
      <w:r>
        <w:rPr>
          <w:b/>
          <w:bCs/>
        </w:rPr>
        <w:t>А.</w:t>
      </w:r>
      <w:r>
        <w:rPr>
          <w:b/>
          <w:bCs/>
        </w:rPr>
        <w:tab/>
        <w:t>Географическое положение и народонаселение</w:t>
      </w:r>
    </w:p>
    <w:p w:rsidR="00000000" w:rsidRDefault="00000000">
      <w:pPr>
        <w:tabs>
          <w:tab w:val="clear" w:pos="2268"/>
          <w:tab w:val="clear" w:pos="6237"/>
          <w:tab w:val="left" w:pos="2366"/>
        </w:tabs>
        <w:jc w:val="center"/>
        <w:rPr>
          <w:b/>
          <w:bCs/>
        </w:rPr>
      </w:pPr>
    </w:p>
    <w:p w:rsidR="00000000" w:rsidRDefault="00000000">
      <w:pPr>
        <w:tabs>
          <w:tab w:val="clear" w:pos="2268"/>
          <w:tab w:val="clear" w:pos="6237"/>
          <w:tab w:val="left" w:pos="2366"/>
        </w:tabs>
      </w:pPr>
      <w:r>
        <w:t>5.</w:t>
      </w:r>
      <w:r>
        <w:tab/>
        <w:t>В дополнение к содержащейся в первоначальном докладе Ливийской Арабской Джамахирии об осуществлении Международного пакта об экономических, социальных и культурных правах (</w:t>
      </w:r>
      <w:r>
        <w:rPr>
          <w:lang w:val="en-US"/>
        </w:rPr>
        <w:t>E</w:t>
      </w:r>
      <w:r>
        <w:t>/1990/5/</w:t>
      </w:r>
      <w:r>
        <w:rPr>
          <w:lang w:val="en-US"/>
        </w:rPr>
        <w:t>Add</w:t>
      </w:r>
      <w:r>
        <w:t>.26) информации относительно географических, этнических, языковых, демографических и религиозных особенностях страны мы хотели бы представить следующие сведения:</w:t>
      </w:r>
    </w:p>
    <w:p w:rsidR="00000000" w:rsidRDefault="00000000">
      <w:pPr>
        <w:tabs>
          <w:tab w:val="clear" w:pos="2268"/>
          <w:tab w:val="clear" w:pos="6237"/>
          <w:tab w:val="left" w:pos="2366"/>
        </w:tabs>
      </w:pPr>
    </w:p>
    <w:p w:rsidR="00000000" w:rsidRDefault="00000000">
      <w:pPr>
        <w:tabs>
          <w:tab w:val="clear" w:pos="2268"/>
          <w:tab w:val="clear" w:pos="6237"/>
          <w:tab w:val="left" w:pos="2366"/>
        </w:tabs>
      </w:pPr>
      <w:r>
        <w:tab/>
        <w:t>а)</w:t>
      </w:r>
      <w:r>
        <w:tab/>
        <w:t>общая численность населения в 2002 году составила 5 484 426 человек по сравнению с 2 939 000 в 1977 году</w:t>
      </w:r>
      <w:r>
        <w:rPr>
          <w:b/>
          <w:bCs/>
          <w:vertAlign w:val="superscript"/>
        </w:rPr>
        <w:t>1, 2</w:t>
      </w:r>
      <w:r>
        <w:t>;</w:t>
      </w:r>
    </w:p>
    <w:p w:rsidR="00000000" w:rsidRDefault="00000000">
      <w:pPr>
        <w:tabs>
          <w:tab w:val="clear" w:pos="2268"/>
          <w:tab w:val="clear" w:pos="6237"/>
          <w:tab w:val="left" w:pos="2366"/>
        </w:tabs>
      </w:pPr>
    </w:p>
    <w:p w:rsidR="00000000" w:rsidRDefault="00000000">
      <w:pPr>
        <w:tabs>
          <w:tab w:val="clear" w:pos="2268"/>
          <w:tab w:val="clear" w:pos="6237"/>
          <w:tab w:val="left" w:pos="2366"/>
        </w:tabs>
      </w:pPr>
      <w:r>
        <w:tab/>
        <w:t>b)</w:t>
      </w:r>
      <w:r>
        <w:tab/>
        <w:t>население полностью состоит из мусульман;  все граждане говорят на арабском языке, являющемся официальным языком государства;</w:t>
      </w:r>
    </w:p>
    <w:p w:rsidR="00000000" w:rsidRDefault="00000000">
      <w:pPr>
        <w:tabs>
          <w:tab w:val="clear" w:pos="2268"/>
          <w:tab w:val="clear" w:pos="6237"/>
          <w:tab w:val="left" w:pos="2366"/>
        </w:tabs>
      </w:pPr>
    </w:p>
    <w:p w:rsidR="00000000" w:rsidRDefault="00000000">
      <w:pPr>
        <w:tabs>
          <w:tab w:val="clear" w:pos="2268"/>
          <w:tab w:val="clear" w:pos="6237"/>
          <w:tab w:val="left" w:pos="2366"/>
        </w:tabs>
      </w:pPr>
      <w:r>
        <w:tab/>
        <w:t>с)</w:t>
      </w:r>
      <w:r>
        <w:tab/>
        <w:t>плотность населения составляет в среднем 3,1 человека на км</w:t>
      </w:r>
      <w:r>
        <w:rPr>
          <w:vertAlign w:val="superscript"/>
        </w:rPr>
        <w:t>2</w:t>
      </w:r>
      <w:r>
        <w:t>, а в населенных пунктах – 615,9 человек на км</w:t>
      </w:r>
      <w:r>
        <w:rPr>
          <w:vertAlign w:val="superscript"/>
        </w:rPr>
        <w:t>2</w:t>
      </w:r>
      <w:r>
        <w:t>.</w:t>
      </w:r>
    </w:p>
    <w:p w:rsidR="00000000" w:rsidRDefault="00000000">
      <w:pPr>
        <w:tabs>
          <w:tab w:val="clear" w:pos="2268"/>
          <w:tab w:val="clear" w:pos="6237"/>
          <w:tab w:val="left" w:pos="2366"/>
        </w:tabs>
      </w:pPr>
    </w:p>
    <w:p w:rsidR="00000000" w:rsidRDefault="00000000">
      <w:pPr>
        <w:tabs>
          <w:tab w:val="clear" w:pos="2268"/>
          <w:tab w:val="clear" w:pos="6237"/>
          <w:tab w:val="left" w:pos="2366"/>
        </w:tabs>
        <w:jc w:val="center"/>
      </w:pPr>
      <w:r>
        <w:rPr>
          <w:b/>
          <w:bCs/>
        </w:rPr>
        <w:t>В.</w:t>
      </w:r>
      <w:r>
        <w:rPr>
          <w:b/>
          <w:bCs/>
        </w:rPr>
        <w:tab/>
        <w:t>Политическая система</w:t>
      </w:r>
    </w:p>
    <w:p w:rsidR="00000000" w:rsidRDefault="00000000">
      <w:pPr>
        <w:tabs>
          <w:tab w:val="clear" w:pos="2268"/>
          <w:tab w:val="clear" w:pos="6237"/>
          <w:tab w:val="left" w:pos="2366"/>
        </w:tabs>
        <w:jc w:val="center"/>
      </w:pPr>
    </w:p>
    <w:p w:rsidR="00000000" w:rsidRDefault="00000000">
      <w:pPr>
        <w:tabs>
          <w:tab w:val="clear" w:pos="2268"/>
          <w:tab w:val="clear" w:pos="6237"/>
          <w:tab w:val="left" w:pos="2366"/>
        </w:tabs>
      </w:pPr>
      <w:r>
        <w:t>6.</w:t>
      </w:r>
      <w:r>
        <w:tab/>
        <w:t>Анализ политической системы Великой Джамахирии приводится в вышеупомянутом первоначальном докладе, где вкратце излагается история государства, его политическая структура и система правления, а также организационное устройство законодательной, исполнительной и судебной ветвей власти.</w:t>
      </w:r>
    </w:p>
    <w:p w:rsidR="00000000" w:rsidRDefault="00000000">
      <w:pPr>
        <w:tabs>
          <w:tab w:val="clear" w:pos="2268"/>
          <w:tab w:val="clear" w:pos="6237"/>
          <w:tab w:val="left" w:pos="2366"/>
        </w:tabs>
      </w:pPr>
    </w:p>
    <w:p w:rsidR="00000000" w:rsidRDefault="00000000">
      <w:pPr>
        <w:tabs>
          <w:tab w:val="clear" w:pos="2268"/>
          <w:tab w:val="clear" w:pos="6237"/>
          <w:tab w:val="left" w:pos="2366"/>
        </w:tabs>
        <w:jc w:val="center"/>
        <w:rPr>
          <w:b/>
          <w:bCs/>
        </w:rPr>
      </w:pPr>
      <w:r>
        <w:rPr>
          <w:b/>
          <w:bCs/>
        </w:rPr>
        <w:t>С.</w:t>
      </w:r>
      <w:r>
        <w:rPr>
          <w:b/>
          <w:bCs/>
        </w:rPr>
        <w:tab/>
        <w:t>Особенности экономики</w:t>
      </w:r>
    </w:p>
    <w:p w:rsidR="00000000" w:rsidRDefault="00000000">
      <w:pPr>
        <w:tabs>
          <w:tab w:val="clear" w:pos="2268"/>
          <w:tab w:val="clear" w:pos="6237"/>
          <w:tab w:val="left" w:pos="2366"/>
        </w:tabs>
        <w:jc w:val="center"/>
        <w:rPr>
          <w:b/>
          <w:bCs/>
        </w:rPr>
      </w:pPr>
    </w:p>
    <w:p w:rsidR="00000000" w:rsidRDefault="00000000">
      <w:pPr>
        <w:tabs>
          <w:tab w:val="clear" w:pos="2268"/>
          <w:tab w:val="clear" w:pos="6237"/>
          <w:tab w:val="left" w:pos="2366"/>
        </w:tabs>
      </w:pPr>
      <w:r>
        <w:t>7.</w:t>
      </w:r>
      <w:r>
        <w:tab/>
        <w:t>Информацию, представленную в первоначальном докладе, можно дополнить следующими сведениями:</w:t>
      </w:r>
    </w:p>
    <w:p w:rsidR="00000000" w:rsidRDefault="00000000">
      <w:pPr>
        <w:tabs>
          <w:tab w:val="clear" w:pos="2268"/>
          <w:tab w:val="clear" w:pos="6237"/>
          <w:tab w:val="left" w:pos="2366"/>
        </w:tabs>
      </w:pPr>
    </w:p>
    <w:p w:rsidR="00000000" w:rsidRDefault="00000000">
      <w:pPr>
        <w:tabs>
          <w:tab w:val="clear" w:pos="2268"/>
          <w:tab w:val="clear" w:pos="6237"/>
          <w:tab w:val="left" w:pos="2366"/>
        </w:tabs>
      </w:pPr>
      <w:r>
        <w:tab/>
        <w:t>а)</w:t>
      </w:r>
      <w:r>
        <w:tab/>
        <w:t>экономическая политика Ливии нацелена на достижение двух взаимосвязанных целей – повышение благосостояния общества и стимулирование производства;</w:t>
      </w:r>
    </w:p>
    <w:p w:rsidR="00000000" w:rsidRDefault="00000000">
      <w:pPr>
        <w:tabs>
          <w:tab w:val="clear" w:pos="2268"/>
          <w:tab w:val="clear" w:pos="6237"/>
          <w:tab w:val="left" w:pos="2366"/>
        </w:tabs>
      </w:pPr>
    </w:p>
    <w:p w:rsidR="00000000" w:rsidRDefault="00000000">
      <w:pPr>
        <w:tabs>
          <w:tab w:val="clear" w:pos="2268"/>
          <w:tab w:val="clear" w:pos="6237"/>
          <w:tab w:val="left" w:pos="2366"/>
        </w:tabs>
      </w:pPr>
      <w:r>
        <w:tab/>
      </w:r>
      <w:r>
        <w:rPr>
          <w:lang w:val="en-US"/>
        </w:rPr>
        <w:t>b</w:t>
      </w:r>
      <w:r>
        <w:t>)</w:t>
      </w:r>
      <w:r>
        <w:tab/>
        <w:t>ВВП в текущих ценах возрос с 2 244,2 млн. ливийских динаров (ЛД) в 1973 году до 17 620,2 млн. ЛД в 2000 году;</w:t>
      </w:r>
    </w:p>
    <w:p w:rsidR="00000000" w:rsidRDefault="00000000">
      <w:pPr>
        <w:tabs>
          <w:tab w:val="clear" w:pos="2268"/>
          <w:tab w:val="clear" w:pos="6237"/>
          <w:tab w:val="left" w:pos="2366"/>
        </w:tabs>
      </w:pPr>
    </w:p>
    <w:p w:rsidR="00000000" w:rsidRDefault="00000000">
      <w:pPr>
        <w:tabs>
          <w:tab w:val="clear" w:pos="2268"/>
          <w:tab w:val="clear" w:pos="6237"/>
          <w:tab w:val="left" w:pos="2366"/>
        </w:tabs>
      </w:pPr>
      <w:r>
        <w:tab/>
        <w:t>с)</w:t>
      </w:r>
      <w:r>
        <w:tab/>
        <w:t>государственные поступления, источником которых в основном служит экспорт нефти, составляют 3 348,1 млн. ЛД;</w:t>
      </w:r>
    </w:p>
    <w:p w:rsidR="00000000" w:rsidRDefault="00000000">
      <w:pPr>
        <w:tabs>
          <w:tab w:val="clear" w:pos="2268"/>
          <w:tab w:val="clear" w:pos="6237"/>
          <w:tab w:val="left" w:pos="2366"/>
        </w:tabs>
      </w:pPr>
    </w:p>
    <w:p w:rsidR="00000000" w:rsidRDefault="00000000">
      <w:pPr>
        <w:tabs>
          <w:tab w:val="clear" w:pos="2268"/>
          <w:tab w:val="clear" w:pos="6237"/>
          <w:tab w:val="left" w:pos="2366"/>
        </w:tabs>
      </w:pPr>
      <w:r>
        <w:tab/>
        <w:t>d)</w:t>
      </w:r>
      <w:r>
        <w:tab/>
        <w:t>нового уровня достигло развитие материально-технической и социальной инфраструктуры национальной экономики;</w:t>
      </w:r>
    </w:p>
    <w:p w:rsidR="00000000" w:rsidRDefault="00000000">
      <w:pPr>
        <w:tabs>
          <w:tab w:val="clear" w:pos="2268"/>
          <w:tab w:val="clear" w:pos="6237"/>
          <w:tab w:val="left" w:pos="2366"/>
        </w:tabs>
      </w:pPr>
    </w:p>
    <w:p w:rsidR="00000000" w:rsidRDefault="00000000">
      <w:pPr>
        <w:tabs>
          <w:tab w:val="clear" w:pos="2268"/>
          <w:tab w:val="clear" w:pos="6237"/>
          <w:tab w:val="left" w:pos="2366"/>
        </w:tabs>
      </w:pPr>
      <w:r>
        <w:tab/>
        <w:t>е)</w:t>
      </w:r>
      <w:r>
        <w:tab/>
        <w:t>создана отечественная индустриальная база;</w:t>
      </w:r>
    </w:p>
    <w:p w:rsidR="00000000" w:rsidRDefault="00000000">
      <w:pPr>
        <w:tabs>
          <w:tab w:val="clear" w:pos="2268"/>
          <w:tab w:val="clear" w:pos="6237"/>
          <w:tab w:val="left" w:pos="2366"/>
        </w:tabs>
      </w:pPr>
    </w:p>
    <w:p w:rsidR="00000000" w:rsidRDefault="00000000">
      <w:pPr>
        <w:tabs>
          <w:tab w:val="clear" w:pos="2268"/>
          <w:tab w:val="clear" w:pos="6237"/>
          <w:tab w:val="left" w:pos="2366"/>
        </w:tabs>
      </w:pPr>
      <w:r>
        <w:tab/>
      </w:r>
      <w:r>
        <w:rPr>
          <w:lang w:val="en-US"/>
        </w:rPr>
        <w:t>f</w:t>
      </w:r>
      <w:r>
        <w:t>)</w:t>
      </w:r>
      <w:r>
        <w:tab/>
        <w:t>в 2000 году доля различных отраслей в составе ВВП в текущих ценах была следующей:  нефтяная промышленность – 37,8%;  сельское хозяйство, лесоводство и рыболовство – 8,1%, горнодобывающая промышленность – 1,8%;  обрабатывающая промышленность – 5,5%;  производство электроэнергии, газа и водное хозяйство – 1,7%;  строительная промышленность – 6,2%;  торговля, общественное питание и гостиничное дело – 9,5%;  транспорт, складское хозяйство и связь – 7,2%;  страховое дело и бизнес-услуги – 2%;  жилищное строительство – 2,7%;  общественные службы (исключая образование и здравоохранение) – 7,1%;  образовательные услуги – 5,2%;  здравоохранение – 2,9%;  прочие услуги – 2,3%.</w:t>
      </w:r>
    </w:p>
    <w:p w:rsidR="00000000" w:rsidRDefault="00000000"/>
    <w:p w:rsidR="00000000" w:rsidRDefault="00000000">
      <w:r>
        <w:rPr>
          <w:lang w:val="en-US"/>
        </w:rPr>
        <w:tab/>
        <w:t>g</w:t>
      </w:r>
      <w:r>
        <w:t>)</w:t>
      </w:r>
      <w:r>
        <w:tab/>
        <w:t>ВВП на душу населения возрос с 2 416 ЛД в 1998 году до 2 433 ЛД в 1999 году, или на 7%.  К 2000 году он возрос до 2 852 ЛД, причем увеличение составило 419 динаров, или 17%.  Что касается доли в ВВП нефтяного и ненефтяного секторов, то на нефтегазовый сектор приходится 37,8% ВВП, а на прочие виды экономической деятельности - 62,8%;</w:t>
      </w:r>
    </w:p>
    <w:p w:rsidR="00000000" w:rsidRDefault="00000000"/>
    <w:p w:rsidR="00000000" w:rsidRDefault="00000000">
      <w:r>
        <w:tab/>
      </w:r>
      <w:r>
        <w:rPr>
          <w:lang w:val="en-US"/>
        </w:rPr>
        <w:t>h</w:t>
      </w:r>
      <w:r>
        <w:t>)</w:t>
      </w:r>
      <w:r>
        <w:tab/>
        <w:t>с середины 1980-х годов экономика Ливии функционирует в условиях эмбарго на импорт технологии, что затрудняло оснащение промышленного сектора современными передовыми технологиями;</w:t>
      </w:r>
    </w:p>
    <w:p w:rsidR="00000000" w:rsidRDefault="00000000"/>
    <w:p w:rsidR="00000000" w:rsidRDefault="00000000">
      <w:r>
        <w:tab/>
      </w:r>
      <w:r>
        <w:rPr>
          <w:lang w:val="en-US"/>
        </w:rPr>
        <w:t>i</w:t>
      </w:r>
      <w:r>
        <w:t>)</w:t>
      </w:r>
      <w:r>
        <w:tab/>
        <w:t>основным источником финансирования большинства экономических проектов и проектов развития является государственная казна, однако государственному сектору не удалось добиться последовательности и устойчивости своей деятельности в силу ряда факторов, среди которых:</w:t>
      </w:r>
    </w:p>
    <w:p w:rsidR="00000000" w:rsidRDefault="00000000"/>
    <w:p w:rsidR="00000000" w:rsidRDefault="00000000">
      <w:pPr>
        <w:numPr>
          <w:ilvl w:val="0"/>
          <w:numId w:val="3"/>
        </w:numPr>
      </w:pPr>
      <w:r>
        <w:t>нефтяной кризис и колебания цен на нефть;  и</w:t>
      </w:r>
    </w:p>
    <w:p w:rsidR="00000000" w:rsidRDefault="00000000">
      <w:pPr>
        <w:tabs>
          <w:tab w:val="clear" w:pos="1134"/>
        </w:tabs>
      </w:pPr>
    </w:p>
    <w:p w:rsidR="00000000" w:rsidRDefault="00000000">
      <w:pPr>
        <w:numPr>
          <w:ilvl w:val="0"/>
          <w:numId w:val="3"/>
        </w:numPr>
      </w:pPr>
      <w:r>
        <w:t>сокращение поступлений в госбюджет из внутренних источников.</w:t>
      </w:r>
    </w:p>
    <w:p w:rsidR="00000000" w:rsidRDefault="00000000">
      <w:pPr>
        <w:tabs>
          <w:tab w:val="clear" w:pos="1134"/>
        </w:tabs>
      </w:pPr>
    </w:p>
    <w:p w:rsidR="00000000" w:rsidRDefault="00000000">
      <w:pPr>
        <w:tabs>
          <w:tab w:val="clear" w:pos="567"/>
          <w:tab w:val="clear" w:pos="1134"/>
          <w:tab w:val="left" w:pos="374"/>
        </w:tabs>
      </w:pPr>
      <w:r>
        <w:t>8.</w:t>
      </w:r>
      <w:r>
        <w:tab/>
        <w:t>Факторы, упомянутые выше в пунктах f), g) и h), равно как и некоторые другие, диктуют необходимость:</w:t>
      </w:r>
    </w:p>
    <w:p w:rsidR="00000000" w:rsidRDefault="00000000">
      <w:pPr>
        <w:tabs>
          <w:tab w:val="clear" w:pos="567"/>
          <w:tab w:val="clear" w:pos="1134"/>
          <w:tab w:val="left" w:pos="374"/>
        </w:tabs>
      </w:pPr>
    </w:p>
    <w:p w:rsidR="00000000" w:rsidRDefault="00000000">
      <w:pPr>
        <w:numPr>
          <w:ilvl w:val="0"/>
          <w:numId w:val="4"/>
        </w:numPr>
        <w:tabs>
          <w:tab w:val="clear" w:pos="567"/>
          <w:tab w:val="left" w:pos="374"/>
        </w:tabs>
      </w:pPr>
      <w:r>
        <w:t>оптимизации использования производственных ресурсов;</w:t>
      </w:r>
    </w:p>
    <w:p w:rsidR="00000000" w:rsidRDefault="00000000">
      <w:pPr>
        <w:tabs>
          <w:tab w:val="clear" w:pos="567"/>
          <w:tab w:val="clear" w:pos="1134"/>
          <w:tab w:val="left" w:pos="374"/>
        </w:tabs>
      </w:pPr>
    </w:p>
    <w:p w:rsidR="00000000" w:rsidRDefault="00000000">
      <w:pPr>
        <w:numPr>
          <w:ilvl w:val="0"/>
          <w:numId w:val="4"/>
        </w:numPr>
        <w:tabs>
          <w:tab w:val="clear" w:pos="567"/>
          <w:tab w:val="left" w:pos="374"/>
        </w:tabs>
      </w:pPr>
      <w:r>
        <w:t>изыскания других источников поступлений, кроме нефти, и диверсификации источников поступлений;</w:t>
      </w:r>
    </w:p>
    <w:p w:rsidR="00000000" w:rsidRDefault="00000000">
      <w:pPr>
        <w:tabs>
          <w:tab w:val="clear" w:pos="567"/>
          <w:tab w:val="clear" w:pos="1134"/>
          <w:tab w:val="left" w:pos="374"/>
        </w:tabs>
      </w:pPr>
    </w:p>
    <w:p w:rsidR="00000000" w:rsidRDefault="00000000">
      <w:pPr>
        <w:numPr>
          <w:ilvl w:val="0"/>
          <w:numId w:val="4"/>
        </w:numPr>
        <w:tabs>
          <w:tab w:val="clear" w:pos="567"/>
          <w:tab w:val="left" w:pos="374"/>
        </w:tabs>
      </w:pPr>
      <w:r>
        <w:t>обзора и переоценки проектов в государственном секторе;  и</w:t>
      </w:r>
    </w:p>
    <w:p w:rsidR="00000000" w:rsidRDefault="00000000">
      <w:pPr>
        <w:tabs>
          <w:tab w:val="clear" w:pos="567"/>
          <w:tab w:val="clear" w:pos="1134"/>
          <w:tab w:val="left" w:pos="374"/>
        </w:tabs>
      </w:pPr>
    </w:p>
    <w:p w:rsidR="00000000" w:rsidRDefault="00000000">
      <w:pPr>
        <w:numPr>
          <w:ilvl w:val="0"/>
          <w:numId w:val="4"/>
        </w:numPr>
        <w:tabs>
          <w:tab w:val="clear" w:pos="567"/>
          <w:tab w:val="left" w:pos="374"/>
        </w:tabs>
      </w:pPr>
      <w:r>
        <w:t>активизации усилий по развитию сельскохозяйственного и промышленного секторов, чтобы выйти на уровень самообеспечения по широкой номенклатуре товаров.</w:t>
      </w:r>
    </w:p>
    <w:p w:rsidR="00000000" w:rsidRDefault="00000000">
      <w:pPr>
        <w:tabs>
          <w:tab w:val="clear" w:pos="567"/>
          <w:tab w:val="clear" w:pos="1134"/>
          <w:tab w:val="left" w:pos="374"/>
        </w:tabs>
      </w:pPr>
    </w:p>
    <w:p w:rsidR="00000000" w:rsidRDefault="00000000">
      <w:pPr>
        <w:tabs>
          <w:tab w:val="clear" w:pos="567"/>
          <w:tab w:val="clear" w:pos="1134"/>
          <w:tab w:val="left" w:pos="374"/>
        </w:tabs>
      </w:pPr>
      <w:r>
        <w:t>9.</w:t>
      </w:r>
      <w:r>
        <w:tab/>
        <w:t>Далее, планы развития до 2003 года были ориентированы на достижение следующих целей:</w:t>
      </w:r>
    </w:p>
    <w:p w:rsidR="00000000" w:rsidRDefault="00000000">
      <w:pPr>
        <w:tabs>
          <w:tab w:val="clear" w:pos="567"/>
          <w:tab w:val="clear" w:pos="1134"/>
          <w:tab w:val="left" w:pos="374"/>
        </w:tabs>
      </w:pPr>
    </w:p>
    <w:p w:rsidR="00000000" w:rsidRDefault="00000000">
      <w:pPr>
        <w:numPr>
          <w:ilvl w:val="0"/>
          <w:numId w:val="5"/>
        </w:numPr>
        <w:tabs>
          <w:tab w:val="clear" w:pos="567"/>
          <w:tab w:val="left" w:pos="374"/>
        </w:tabs>
      </w:pPr>
      <w:r>
        <w:t>диверсификация экономики и изыскание иных источников поступлений, кроме нефти;</w:t>
      </w:r>
    </w:p>
    <w:p w:rsidR="00000000" w:rsidRDefault="00000000">
      <w:pPr>
        <w:tabs>
          <w:tab w:val="clear" w:pos="567"/>
          <w:tab w:val="clear" w:pos="1134"/>
          <w:tab w:val="left" w:pos="374"/>
        </w:tabs>
      </w:pPr>
    </w:p>
    <w:p w:rsidR="00000000" w:rsidRDefault="00000000">
      <w:pPr>
        <w:numPr>
          <w:ilvl w:val="0"/>
          <w:numId w:val="5"/>
        </w:numPr>
        <w:tabs>
          <w:tab w:val="clear" w:pos="567"/>
          <w:tab w:val="left" w:pos="374"/>
        </w:tabs>
      </w:pPr>
      <w:r>
        <w:t>достижение высоких темпов экономического роста;</w:t>
      </w:r>
    </w:p>
    <w:p w:rsidR="00000000" w:rsidRDefault="00000000">
      <w:pPr>
        <w:tabs>
          <w:tab w:val="clear" w:pos="567"/>
          <w:tab w:val="clear" w:pos="1134"/>
          <w:tab w:val="left" w:pos="374"/>
        </w:tabs>
      </w:pPr>
    </w:p>
    <w:p w:rsidR="00000000" w:rsidRDefault="00000000">
      <w:pPr>
        <w:numPr>
          <w:ilvl w:val="0"/>
          <w:numId w:val="5"/>
        </w:numPr>
        <w:tabs>
          <w:tab w:val="clear" w:pos="567"/>
          <w:tab w:val="left" w:pos="374"/>
        </w:tabs>
      </w:pPr>
      <w:r>
        <w:t>повышение жизненного уровня;</w:t>
      </w:r>
    </w:p>
    <w:p w:rsidR="00000000" w:rsidRDefault="00000000">
      <w:pPr>
        <w:tabs>
          <w:tab w:val="clear" w:pos="567"/>
          <w:tab w:val="clear" w:pos="1134"/>
          <w:tab w:val="left" w:pos="374"/>
        </w:tabs>
      </w:pPr>
    </w:p>
    <w:p w:rsidR="00000000" w:rsidRDefault="00000000">
      <w:pPr>
        <w:numPr>
          <w:ilvl w:val="0"/>
          <w:numId w:val="5"/>
        </w:numPr>
        <w:tabs>
          <w:tab w:val="clear" w:pos="567"/>
          <w:tab w:val="left" w:pos="374"/>
        </w:tabs>
      </w:pPr>
      <w:r>
        <w:t>обеспечение справедливого распределения доходов;</w:t>
      </w:r>
    </w:p>
    <w:p w:rsidR="00000000" w:rsidRDefault="00000000">
      <w:pPr>
        <w:tabs>
          <w:tab w:val="clear" w:pos="567"/>
          <w:tab w:val="clear" w:pos="1134"/>
          <w:tab w:val="left" w:pos="374"/>
        </w:tabs>
      </w:pPr>
    </w:p>
    <w:p w:rsidR="00000000" w:rsidRDefault="00000000">
      <w:pPr>
        <w:numPr>
          <w:ilvl w:val="0"/>
          <w:numId w:val="5"/>
        </w:numPr>
        <w:tabs>
          <w:tab w:val="clear" w:pos="567"/>
          <w:tab w:val="left" w:pos="374"/>
        </w:tabs>
      </w:pPr>
      <w:r>
        <w:t>развитие инфраструктуры;</w:t>
      </w:r>
    </w:p>
    <w:p w:rsidR="00000000" w:rsidRDefault="00000000">
      <w:pPr>
        <w:tabs>
          <w:tab w:val="clear" w:pos="567"/>
          <w:tab w:val="clear" w:pos="1134"/>
          <w:tab w:val="left" w:pos="374"/>
        </w:tabs>
      </w:pPr>
    </w:p>
    <w:p w:rsidR="00000000" w:rsidRDefault="00000000">
      <w:pPr>
        <w:numPr>
          <w:ilvl w:val="0"/>
          <w:numId w:val="5"/>
        </w:numPr>
        <w:tabs>
          <w:tab w:val="clear" w:pos="567"/>
          <w:tab w:val="left" w:pos="374"/>
        </w:tabs>
      </w:pPr>
      <w:r>
        <w:t>обеспечение более сбалансированного развития регионов;</w:t>
      </w:r>
    </w:p>
    <w:p w:rsidR="00000000" w:rsidRDefault="00000000">
      <w:pPr>
        <w:tabs>
          <w:tab w:val="clear" w:pos="567"/>
          <w:tab w:val="clear" w:pos="1134"/>
          <w:tab w:val="left" w:pos="374"/>
        </w:tabs>
      </w:pPr>
    </w:p>
    <w:p w:rsidR="00000000" w:rsidRDefault="00000000">
      <w:pPr>
        <w:numPr>
          <w:ilvl w:val="0"/>
          <w:numId w:val="5"/>
        </w:numPr>
        <w:tabs>
          <w:tab w:val="clear" w:pos="567"/>
          <w:tab w:val="left" w:pos="374"/>
        </w:tabs>
      </w:pPr>
      <w:r>
        <w:t>развитие промышленного сектора;</w:t>
      </w:r>
    </w:p>
    <w:p w:rsidR="00000000" w:rsidRDefault="00000000">
      <w:pPr>
        <w:tabs>
          <w:tab w:val="clear" w:pos="567"/>
          <w:tab w:val="clear" w:pos="1134"/>
          <w:tab w:val="left" w:pos="374"/>
        </w:tabs>
      </w:pPr>
    </w:p>
    <w:p w:rsidR="00000000" w:rsidRDefault="00000000">
      <w:pPr>
        <w:numPr>
          <w:ilvl w:val="0"/>
          <w:numId w:val="5"/>
        </w:numPr>
        <w:tabs>
          <w:tab w:val="clear" w:pos="567"/>
          <w:tab w:val="left" w:pos="374"/>
        </w:tabs>
      </w:pPr>
      <w:r>
        <w:t>развитие сельского хозяйства;</w:t>
      </w:r>
    </w:p>
    <w:p w:rsidR="00000000" w:rsidRDefault="00000000">
      <w:pPr>
        <w:tabs>
          <w:tab w:val="clear" w:pos="567"/>
          <w:tab w:val="clear" w:pos="1134"/>
          <w:tab w:val="left" w:pos="374"/>
        </w:tabs>
      </w:pPr>
    </w:p>
    <w:p w:rsidR="00000000" w:rsidRDefault="00000000">
      <w:pPr>
        <w:numPr>
          <w:ilvl w:val="0"/>
          <w:numId w:val="5"/>
        </w:numPr>
        <w:tabs>
          <w:tab w:val="clear" w:pos="567"/>
          <w:tab w:val="left" w:pos="374"/>
        </w:tabs>
      </w:pPr>
      <w:r>
        <w:t>достижение самообеспеченности в сфере продовольствия;</w:t>
      </w:r>
    </w:p>
    <w:p w:rsidR="00000000" w:rsidRDefault="00000000">
      <w:pPr>
        <w:tabs>
          <w:tab w:val="clear" w:pos="567"/>
          <w:tab w:val="clear" w:pos="1134"/>
          <w:tab w:val="left" w:pos="374"/>
        </w:tabs>
      </w:pPr>
    </w:p>
    <w:p w:rsidR="00000000" w:rsidRDefault="00000000">
      <w:pPr>
        <w:numPr>
          <w:ilvl w:val="0"/>
          <w:numId w:val="5"/>
        </w:numPr>
        <w:tabs>
          <w:tab w:val="clear" w:pos="567"/>
          <w:tab w:val="left" w:pos="374"/>
        </w:tabs>
      </w:pPr>
      <w:r>
        <w:t>повышение эффективности и продуктивности производительных сил;</w:t>
      </w:r>
    </w:p>
    <w:p w:rsidR="00000000" w:rsidRDefault="00000000">
      <w:pPr>
        <w:tabs>
          <w:tab w:val="clear" w:pos="567"/>
          <w:tab w:val="clear" w:pos="1134"/>
          <w:tab w:val="left" w:pos="374"/>
        </w:tabs>
      </w:pPr>
    </w:p>
    <w:p w:rsidR="00000000" w:rsidRDefault="00000000">
      <w:pPr>
        <w:numPr>
          <w:ilvl w:val="0"/>
          <w:numId w:val="5"/>
        </w:numPr>
        <w:tabs>
          <w:tab w:val="clear" w:pos="567"/>
          <w:tab w:val="left" w:pos="374"/>
        </w:tabs>
      </w:pPr>
      <w:r>
        <w:t>повышение уровня образования и здравоохранения;</w:t>
      </w:r>
    </w:p>
    <w:p w:rsidR="00000000" w:rsidRDefault="00000000">
      <w:pPr>
        <w:tabs>
          <w:tab w:val="clear" w:pos="567"/>
          <w:tab w:val="clear" w:pos="1134"/>
          <w:tab w:val="left" w:pos="374"/>
        </w:tabs>
      </w:pPr>
    </w:p>
    <w:p w:rsidR="00000000" w:rsidRDefault="00000000">
      <w:pPr>
        <w:numPr>
          <w:ilvl w:val="0"/>
          <w:numId w:val="5"/>
        </w:numPr>
        <w:tabs>
          <w:tab w:val="clear" w:pos="567"/>
          <w:tab w:val="left" w:pos="374"/>
        </w:tabs>
      </w:pPr>
      <w:r>
        <w:t>обеспечение жильем всего населения;</w:t>
      </w:r>
    </w:p>
    <w:p w:rsidR="00000000" w:rsidRDefault="00000000">
      <w:pPr>
        <w:tabs>
          <w:tab w:val="clear" w:pos="567"/>
          <w:tab w:val="clear" w:pos="1134"/>
          <w:tab w:val="left" w:pos="374"/>
        </w:tabs>
      </w:pPr>
    </w:p>
    <w:p w:rsidR="00000000" w:rsidRDefault="00000000">
      <w:pPr>
        <w:numPr>
          <w:ilvl w:val="0"/>
          <w:numId w:val="5"/>
        </w:numPr>
        <w:tabs>
          <w:tab w:val="clear" w:pos="567"/>
          <w:tab w:val="left" w:pos="374"/>
        </w:tabs>
      </w:pPr>
      <w:r>
        <w:t>проведение политики замены импорта;</w:t>
      </w:r>
    </w:p>
    <w:p w:rsidR="00000000" w:rsidRDefault="00000000">
      <w:pPr>
        <w:tabs>
          <w:tab w:val="clear" w:pos="567"/>
          <w:tab w:val="clear" w:pos="1134"/>
          <w:tab w:val="left" w:pos="374"/>
        </w:tabs>
      </w:pPr>
    </w:p>
    <w:p w:rsidR="00000000" w:rsidRDefault="00000000">
      <w:pPr>
        <w:numPr>
          <w:ilvl w:val="0"/>
          <w:numId w:val="5"/>
        </w:numPr>
        <w:tabs>
          <w:tab w:val="clear" w:pos="567"/>
          <w:tab w:val="left" w:pos="374"/>
        </w:tabs>
      </w:pPr>
      <w:r>
        <w:t>развитие научных исследований;</w:t>
      </w:r>
    </w:p>
    <w:p w:rsidR="00000000" w:rsidRDefault="00000000">
      <w:pPr>
        <w:tabs>
          <w:tab w:val="clear" w:pos="567"/>
          <w:tab w:val="clear" w:pos="1134"/>
          <w:tab w:val="left" w:pos="374"/>
        </w:tabs>
      </w:pPr>
    </w:p>
    <w:p w:rsidR="00000000" w:rsidRDefault="00000000">
      <w:pPr>
        <w:numPr>
          <w:ilvl w:val="0"/>
          <w:numId w:val="5"/>
        </w:numPr>
        <w:tabs>
          <w:tab w:val="clear" w:pos="567"/>
          <w:tab w:val="left" w:pos="374"/>
        </w:tabs>
      </w:pPr>
      <w:r>
        <w:t>укрепление административных органов;</w:t>
      </w:r>
    </w:p>
    <w:p w:rsidR="00000000" w:rsidRDefault="00000000">
      <w:pPr>
        <w:tabs>
          <w:tab w:val="clear" w:pos="567"/>
          <w:tab w:val="clear" w:pos="1134"/>
          <w:tab w:val="left" w:pos="374"/>
        </w:tabs>
      </w:pPr>
    </w:p>
    <w:p w:rsidR="00000000" w:rsidRDefault="00000000">
      <w:pPr>
        <w:numPr>
          <w:ilvl w:val="0"/>
          <w:numId w:val="5"/>
        </w:numPr>
        <w:tabs>
          <w:tab w:val="clear" w:pos="567"/>
          <w:tab w:val="left" w:pos="374"/>
        </w:tabs>
      </w:pPr>
      <w:r>
        <w:t>оздоровление окружающей среды;</w:t>
      </w:r>
    </w:p>
    <w:p w:rsidR="00000000" w:rsidRDefault="00000000">
      <w:pPr>
        <w:tabs>
          <w:tab w:val="clear" w:pos="567"/>
          <w:tab w:val="clear" w:pos="1134"/>
          <w:tab w:val="left" w:pos="374"/>
        </w:tabs>
      </w:pPr>
    </w:p>
    <w:p w:rsidR="00000000" w:rsidRDefault="00000000">
      <w:pPr>
        <w:numPr>
          <w:ilvl w:val="0"/>
          <w:numId w:val="5"/>
        </w:numPr>
        <w:tabs>
          <w:tab w:val="clear" w:pos="567"/>
          <w:tab w:val="left" w:pos="374"/>
        </w:tabs>
      </w:pPr>
      <w:r>
        <w:t>более широкое использование местных работников и сокращение опоры на иностранную рабочую силу;</w:t>
      </w:r>
    </w:p>
    <w:p w:rsidR="00000000" w:rsidRDefault="00000000">
      <w:pPr>
        <w:tabs>
          <w:tab w:val="clear" w:pos="567"/>
          <w:tab w:val="clear" w:pos="1134"/>
          <w:tab w:val="left" w:pos="374"/>
        </w:tabs>
      </w:pPr>
    </w:p>
    <w:p w:rsidR="00000000" w:rsidRDefault="00000000">
      <w:pPr>
        <w:numPr>
          <w:ilvl w:val="0"/>
          <w:numId w:val="5"/>
        </w:numPr>
        <w:tabs>
          <w:tab w:val="clear" w:pos="567"/>
          <w:tab w:val="left" w:pos="374"/>
        </w:tabs>
      </w:pPr>
      <w:r>
        <w:t>охват системой социального обеспечения всех нуждающихся лиц в соответствии с положениями Закона о социальном обеспечении, Закона о социальной сплоченности и Закона о защите свобод.</w:t>
      </w:r>
    </w:p>
    <w:p w:rsidR="00000000" w:rsidRDefault="00000000">
      <w:pPr>
        <w:tabs>
          <w:tab w:val="clear" w:pos="567"/>
          <w:tab w:val="clear" w:pos="1134"/>
          <w:tab w:val="left" w:pos="374"/>
        </w:tabs>
      </w:pPr>
    </w:p>
    <w:p w:rsidR="00000000" w:rsidRDefault="00000000">
      <w:pPr>
        <w:tabs>
          <w:tab w:val="clear" w:pos="567"/>
          <w:tab w:val="clear" w:pos="1134"/>
          <w:tab w:val="left" w:pos="561"/>
        </w:tabs>
      </w:pPr>
      <w:r>
        <w:t>10.</w:t>
      </w:r>
      <w:r>
        <w:tab/>
        <w:t>Несмотря на беспрецедентные экономические достижения, экономические потери страны вследствие воздушного эмбарго и экономических санкций, введенных с 1992 по 1998 год, составили приблизительно 33 838,155 млн. долл. США (подробности приводятся в нижеследующей таблице)</w:t>
      </w:r>
      <w:r>
        <w:rPr>
          <w:b/>
          <w:bCs/>
          <w:vertAlign w:val="superscript"/>
        </w:rPr>
        <w:t>3</w:t>
      </w:r>
      <w:r>
        <w:t>.</w:t>
      </w:r>
    </w:p>
    <w:p w:rsidR="00000000" w:rsidRDefault="00000000">
      <w:pPr>
        <w:tabs>
          <w:tab w:val="clear" w:pos="567"/>
          <w:tab w:val="clear" w:pos="1134"/>
          <w:tab w:val="left" w:pos="561"/>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5"/>
        <w:gridCol w:w="3105"/>
      </w:tblGrid>
      <w:tr w:rsidR="00000000">
        <w:tblPrEx>
          <w:tblCellMar>
            <w:top w:w="0" w:type="dxa"/>
            <w:bottom w:w="0" w:type="dxa"/>
          </w:tblCellMar>
        </w:tblPrEx>
        <w:tc>
          <w:tcPr>
            <w:tcW w:w="6466" w:type="dxa"/>
            <w:tcBorders>
              <w:bottom w:val="single" w:sz="4" w:space="0" w:color="auto"/>
            </w:tcBorders>
          </w:tcPr>
          <w:p w:rsidR="00000000" w:rsidRDefault="00000000">
            <w:pPr>
              <w:tabs>
                <w:tab w:val="clear" w:pos="567"/>
                <w:tab w:val="clear" w:pos="1134"/>
                <w:tab w:val="left" w:pos="561"/>
              </w:tabs>
              <w:jc w:val="center"/>
            </w:pPr>
            <w:r>
              <w:t>Сектор</w:t>
            </w:r>
          </w:p>
        </w:tc>
        <w:tc>
          <w:tcPr>
            <w:tcW w:w="3105" w:type="dxa"/>
            <w:tcBorders>
              <w:bottom w:val="single" w:sz="4" w:space="0" w:color="auto"/>
            </w:tcBorders>
          </w:tcPr>
          <w:p w:rsidR="00000000" w:rsidRDefault="00000000">
            <w:pPr>
              <w:tabs>
                <w:tab w:val="clear" w:pos="567"/>
                <w:tab w:val="clear" w:pos="1134"/>
                <w:tab w:val="left" w:pos="561"/>
              </w:tabs>
              <w:jc w:val="center"/>
            </w:pPr>
            <w:r>
              <w:t>Убытки в млн. долл. США</w:t>
            </w:r>
          </w:p>
        </w:tc>
      </w:tr>
      <w:tr w:rsidR="00000000">
        <w:tblPrEx>
          <w:tblCellMar>
            <w:top w:w="0" w:type="dxa"/>
            <w:bottom w:w="0" w:type="dxa"/>
          </w:tblCellMar>
        </w:tblPrEx>
        <w:tc>
          <w:tcPr>
            <w:tcW w:w="6466" w:type="dxa"/>
            <w:tcBorders>
              <w:bottom w:val="nil"/>
            </w:tcBorders>
          </w:tcPr>
          <w:p w:rsidR="00000000" w:rsidRDefault="00000000">
            <w:pPr>
              <w:pStyle w:val="FootnoteText"/>
              <w:tabs>
                <w:tab w:val="clear" w:pos="1134"/>
              </w:tabs>
              <w:spacing w:line="288" w:lineRule="auto"/>
            </w:pPr>
            <w:r>
              <w:t>Здравоохранение и социальное обеспечение</w:t>
            </w:r>
          </w:p>
        </w:tc>
        <w:tc>
          <w:tcPr>
            <w:tcW w:w="3105" w:type="dxa"/>
            <w:tcBorders>
              <w:bottom w:val="nil"/>
            </w:tcBorders>
          </w:tcPr>
          <w:p w:rsidR="00000000" w:rsidRDefault="00000000">
            <w:pPr>
              <w:pStyle w:val="16"/>
              <w:tabs>
                <w:tab w:val="clear" w:pos="567"/>
                <w:tab w:val="clear" w:pos="1134"/>
                <w:tab w:val="clear" w:pos="1701"/>
                <w:tab w:val="clear" w:pos="2268"/>
                <w:tab w:val="decimal" w:pos="1468"/>
                <w:tab w:val="right" w:pos="2508"/>
              </w:tabs>
              <w:ind w:right="990"/>
              <w:jc w:val="left"/>
            </w:pPr>
            <w:r>
              <w:tab/>
              <w:t>294,0</w:t>
            </w:r>
          </w:p>
        </w:tc>
      </w:tr>
      <w:tr w:rsidR="00000000">
        <w:tblPrEx>
          <w:tblCellMar>
            <w:top w:w="0" w:type="dxa"/>
            <w:bottom w:w="0" w:type="dxa"/>
          </w:tblCellMar>
        </w:tblPrEx>
        <w:tc>
          <w:tcPr>
            <w:tcW w:w="6466" w:type="dxa"/>
            <w:tcBorders>
              <w:top w:val="nil"/>
              <w:bottom w:val="nil"/>
            </w:tcBorders>
          </w:tcPr>
          <w:p w:rsidR="00000000" w:rsidRDefault="00000000">
            <w:pPr>
              <w:pStyle w:val="FootnoteText"/>
              <w:tabs>
                <w:tab w:val="clear" w:pos="1134"/>
              </w:tabs>
              <w:spacing w:line="288" w:lineRule="auto"/>
            </w:pPr>
            <w:r>
              <w:t>Сельское хозяйство</w:t>
            </w:r>
          </w:p>
        </w:tc>
        <w:tc>
          <w:tcPr>
            <w:tcW w:w="3105" w:type="dxa"/>
            <w:tcBorders>
              <w:top w:val="nil"/>
              <w:bottom w:val="nil"/>
            </w:tcBorders>
          </w:tcPr>
          <w:p w:rsidR="00000000" w:rsidRDefault="00000000">
            <w:pPr>
              <w:tabs>
                <w:tab w:val="clear" w:pos="567"/>
                <w:tab w:val="clear" w:pos="1134"/>
                <w:tab w:val="clear" w:pos="1701"/>
                <w:tab w:val="clear" w:pos="2268"/>
                <w:tab w:val="decimal" w:pos="1468"/>
                <w:tab w:val="right" w:pos="2508"/>
              </w:tabs>
              <w:ind w:right="990"/>
            </w:pPr>
            <w:r>
              <w:tab/>
              <w:t>472,155</w:t>
            </w:r>
          </w:p>
        </w:tc>
      </w:tr>
      <w:tr w:rsidR="00000000">
        <w:tblPrEx>
          <w:tblCellMar>
            <w:top w:w="0" w:type="dxa"/>
            <w:bottom w:w="0" w:type="dxa"/>
          </w:tblCellMar>
        </w:tblPrEx>
        <w:tc>
          <w:tcPr>
            <w:tcW w:w="6466" w:type="dxa"/>
            <w:tcBorders>
              <w:top w:val="nil"/>
              <w:bottom w:val="nil"/>
            </w:tcBorders>
          </w:tcPr>
          <w:p w:rsidR="00000000" w:rsidRDefault="00000000">
            <w:pPr>
              <w:pStyle w:val="FootnoteText"/>
              <w:tabs>
                <w:tab w:val="clear" w:pos="1134"/>
              </w:tabs>
              <w:spacing w:line="288" w:lineRule="auto"/>
            </w:pPr>
            <w:r>
              <w:t>Животноводство</w:t>
            </w:r>
          </w:p>
        </w:tc>
        <w:tc>
          <w:tcPr>
            <w:tcW w:w="3105" w:type="dxa"/>
            <w:tcBorders>
              <w:top w:val="nil"/>
              <w:bottom w:val="nil"/>
            </w:tcBorders>
          </w:tcPr>
          <w:p w:rsidR="00000000" w:rsidRDefault="00000000">
            <w:pPr>
              <w:tabs>
                <w:tab w:val="clear" w:pos="567"/>
                <w:tab w:val="clear" w:pos="1134"/>
                <w:tab w:val="clear" w:pos="1701"/>
                <w:tab w:val="clear" w:pos="2268"/>
                <w:tab w:val="decimal" w:pos="1468"/>
                <w:tab w:val="right" w:pos="2508"/>
              </w:tabs>
              <w:ind w:right="990"/>
            </w:pPr>
            <w:r>
              <w:tab/>
              <w:t>7 187,0</w:t>
            </w:r>
          </w:p>
        </w:tc>
      </w:tr>
      <w:tr w:rsidR="00000000">
        <w:tblPrEx>
          <w:tblCellMar>
            <w:top w:w="0" w:type="dxa"/>
            <w:bottom w:w="0" w:type="dxa"/>
          </w:tblCellMar>
        </w:tblPrEx>
        <w:tc>
          <w:tcPr>
            <w:tcW w:w="6466" w:type="dxa"/>
            <w:tcBorders>
              <w:top w:val="nil"/>
              <w:bottom w:val="nil"/>
            </w:tcBorders>
          </w:tcPr>
          <w:p w:rsidR="00000000" w:rsidRDefault="00000000">
            <w:pPr>
              <w:pStyle w:val="FootnoteText"/>
              <w:tabs>
                <w:tab w:val="clear" w:pos="1134"/>
              </w:tabs>
              <w:spacing w:line="288" w:lineRule="auto"/>
            </w:pPr>
            <w:r>
              <w:t>Транспорт и связь</w:t>
            </w:r>
          </w:p>
        </w:tc>
        <w:tc>
          <w:tcPr>
            <w:tcW w:w="3105" w:type="dxa"/>
            <w:tcBorders>
              <w:top w:val="nil"/>
              <w:bottom w:val="nil"/>
            </w:tcBorders>
          </w:tcPr>
          <w:p w:rsidR="00000000" w:rsidRDefault="00000000">
            <w:pPr>
              <w:tabs>
                <w:tab w:val="clear" w:pos="567"/>
                <w:tab w:val="clear" w:pos="1134"/>
                <w:tab w:val="clear" w:pos="1701"/>
                <w:tab w:val="clear" w:pos="2268"/>
                <w:tab w:val="decimal" w:pos="1468"/>
                <w:tab w:val="right" w:pos="2508"/>
              </w:tabs>
              <w:ind w:right="990"/>
            </w:pPr>
            <w:r>
              <w:tab/>
              <w:t>3 485,0</w:t>
            </w:r>
          </w:p>
        </w:tc>
      </w:tr>
      <w:tr w:rsidR="00000000">
        <w:tblPrEx>
          <w:tblCellMar>
            <w:top w:w="0" w:type="dxa"/>
            <w:bottom w:w="0" w:type="dxa"/>
          </w:tblCellMar>
        </w:tblPrEx>
        <w:tc>
          <w:tcPr>
            <w:tcW w:w="6466" w:type="dxa"/>
            <w:tcBorders>
              <w:top w:val="nil"/>
              <w:bottom w:val="nil"/>
            </w:tcBorders>
          </w:tcPr>
          <w:p w:rsidR="00000000" w:rsidRDefault="00000000">
            <w:pPr>
              <w:pStyle w:val="FootnoteText"/>
              <w:tabs>
                <w:tab w:val="clear" w:pos="1134"/>
              </w:tabs>
              <w:spacing w:line="288" w:lineRule="auto"/>
            </w:pPr>
            <w:r>
              <w:t>Обрабатывающая и горнодобывающая промышленность</w:t>
            </w:r>
          </w:p>
        </w:tc>
        <w:tc>
          <w:tcPr>
            <w:tcW w:w="3105" w:type="dxa"/>
            <w:tcBorders>
              <w:top w:val="nil"/>
              <w:bottom w:val="nil"/>
            </w:tcBorders>
          </w:tcPr>
          <w:p w:rsidR="00000000" w:rsidRDefault="00000000">
            <w:pPr>
              <w:tabs>
                <w:tab w:val="clear" w:pos="567"/>
                <w:tab w:val="clear" w:pos="1134"/>
                <w:tab w:val="clear" w:pos="1701"/>
                <w:tab w:val="clear" w:pos="2268"/>
                <w:tab w:val="decimal" w:pos="1468"/>
                <w:tab w:val="right" w:pos="2508"/>
              </w:tabs>
              <w:ind w:right="990"/>
            </w:pPr>
            <w:r>
              <w:tab/>
              <w:t>7 200,0</w:t>
            </w:r>
          </w:p>
        </w:tc>
      </w:tr>
      <w:tr w:rsidR="00000000">
        <w:tblPrEx>
          <w:tblCellMar>
            <w:top w:w="0" w:type="dxa"/>
            <w:bottom w:w="0" w:type="dxa"/>
          </w:tblCellMar>
        </w:tblPrEx>
        <w:tc>
          <w:tcPr>
            <w:tcW w:w="6466" w:type="dxa"/>
            <w:tcBorders>
              <w:top w:val="nil"/>
              <w:bottom w:val="nil"/>
            </w:tcBorders>
          </w:tcPr>
          <w:p w:rsidR="00000000" w:rsidRDefault="00000000">
            <w:pPr>
              <w:pStyle w:val="FootnoteText"/>
              <w:tabs>
                <w:tab w:val="clear" w:pos="1134"/>
              </w:tabs>
              <w:spacing w:line="288" w:lineRule="auto"/>
            </w:pPr>
            <w:r>
              <w:t>Экономика и торговля</w:t>
            </w:r>
          </w:p>
        </w:tc>
        <w:tc>
          <w:tcPr>
            <w:tcW w:w="3105" w:type="dxa"/>
            <w:tcBorders>
              <w:top w:val="nil"/>
              <w:bottom w:val="nil"/>
            </w:tcBorders>
          </w:tcPr>
          <w:p w:rsidR="00000000" w:rsidRDefault="00000000">
            <w:pPr>
              <w:tabs>
                <w:tab w:val="clear" w:pos="567"/>
                <w:tab w:val="clear" w:pos="1134"/>
                <w:tab w:val="clear" w:pos="1701"/>
                <w:tab w:val="clear" w:pos="2268"/>
                <w:tab w:val="decimal" w:pos="1468"/>
                <w:tab w:val="right" w:pos="2508"/>
              </w:tabs>
              <w:ind w:right="990"/>
            </w:pPr>
            <w:r>
              <w:tab/>
              <w:t>8 200,0</w:t>
            </w:r>
          </w:p>
        </w:tc>
      </w:tr>
      <w:tr w:rsidR="00000000">
        <w:tblPrEx>
          <w:tblCellMar>
            <w:top w:w="0" w:type="dxa"/>
            <w:bottom w:w="0" w:type="dxa"/>
          </w:tblCellMar>
        </w:tblPrEx>
        <w:tc>
          <w:tcPr>
            <w:tcW w:w="6466" w:type="dxa"/>
            <w:tcBorders>
              <w:top w:val="nil"/>
            </w:tcBorders>
          </w:tcPr>
          <w:p w:rsidR="00000000" w:rsidRDefault="00000000">
            <w:pPr>
              <w:pStyle w:val="FootnoteText"/>
              <w:tabs>
                <w:tab w:val="clear" w:pos="1134"/>
              </w:tabs>
              <w:spacing w:line="288" w:lineRule="auto"/>
            </w:pPr>
            <w:r>
              <w:t>Нефтяная промышленность и производство электроэнергии</w:t>
            </w:r>
          </w:p>
        </w:tc>
        <w:tc>
          <w:tcPr>
            <w:tcW w:w="3105" w:type="dxa"/>
            <w:tcBorders>
              <w:top w:val="nil"/>
            </w:tcBorders>
          </w:tcPr>
          <w:p w:rsidR="00000000" w:rsidRDefault="00000000">
            <w:pPr>
              <w:tabs>
                <w:tab w:val="clear" w:pos="567"/>
                <w:tab w:val="clear" w:pos="1134"/>
                <w:tab w:val="clear" w:pos="1701"/>
                <w:tab w:val="clear" w:pos="2268"/>
                <w:tab w:val="decimal" w:pos="1468"/>
                <w:tab w:val="right" w:pos="2508"/>
              </w:tabs>
              <w:ind w:right="990"/>
            </w:pPr>
            <w:r>
              <w:tab/>
              <w:t>7 000,0</w:t>
            </w:r>
          </w:p>
        </w:tc>
      </w:tr>
      <w:tr w:rsidR="00000000">
        <w:tblPrEx>
          <w:tblCellMar>
            <w:top w:w="0" w:type="dxa"/>
            <w:bottom w:w="0" w:type="dxa"/>
          </w:tblCellMar>
        </w:tblPrEx>
        <w:tc>
          <w:tcPr>
            <w:tcW w:w="6466" w:type="dxa"/>
          </w:tcPr>
          <w:p w:rsidR="00000000" w:rsidRDefault="00000000">
            <w:pPr>
              <w:pStyle w:val="FootnoteText"/>
              <w:tabs>
                <w:tab w:val="clear" w:pos="1134"/>
              </w:tabs>
              <w:spacing w:line="288" w:lineRule="auto"/>
            </w:pPr>
            <w:r>
              <w:tab/>
              <w:t>Итого</w:t>
            </w:r>
          </w:p>
        </w:tc>
        <w:tc>
          <w:tcPr>
            <w:tcW w:w="3105" w:type="dxa"/>
          </w:tcPr>
          <w:p w:rsidR="00000000" w:rsidRDefault="00000000">
            <w:pPr>
              <w:tabs>
                <w:tab w:val="clear" w:pos="567"/>
                <w:tab w:val="clear" w:pos="1134"/>
                <w:tab w:val="clear" w:pos="1701"/>
                <w:tab w:val="clear" w:pos="2268"/>
                <w:tab w:val="decimal" w:pos="1468"/>
                <w:tab w:val="right" w:pos="2508"/>
              </w:tabs>
              <w:ind w:right="990"/>
            </w:pPr>
            <w:r>
              <w:tab/>
              <w:t>33 838,155</w:t>
            </w:r>
          </w:p>
        </w:tc>
      </w:tr>
    </w:tbl>
    <w:p w:rsidR="00000000" w:rsidRDefault="00000000">
      <w:pPr>
        <w:tabs>
          <w:tab w:val="clear" w:pos="567"/>
          <w:tab w:val="clear" w:pos="1134"/>
          <w:tab w:val="left" w:pos="561"/>
        </w:tabs>
      </w:pPr>
    </w:p>
    <w:p w:rsidR="00000000" w:rsidRDefault="00000000">
      <w:pPr>
        <w:tabs>
          <w:tab w:val="clear" w:pos="567"/>
          <w:tab w:val="clear" w:pos="1134"/>
          <w:tab w:val="left" w:pos="561"/>
        </w:tabs>
      </w:pPr>
      <w:r>
        <w:t>11.</w:t>
      </w:r>
      <w:r>
        <w:tab/>
        <w:t>Экономика Ливии сталкивается с многочисленными препятствиями и трудностями, которые дополнительно ухудшают ее показатели.  К их числу относятся:</w:t>
      </w:r>
    </w:p>
    <w:p w:rsidR="00000000" w:rsidRDefault="00000000">
      <w:pPr>
        <w:tabs>
          <w:tab w:val="clear" w:pos="567"/>
          <w:tab w:val="clear" w:pos="1134"/>
          <w:tab w:val="left" w:pos="561"/>
        </w:tabs>
      </w:pPr>
    </w:p>
    <w:p w:rsidR="00000000" w:rsidRDefault="00000000">
      <w:pPr>
        <w:numPr>
          <w:ilvl w:val="0"/>
          <w:numId w:val="6"/>
        </w:numPr>
        <w:tabs>
          <w:tab w:val="clear" w:pos="567"/>
          <w:tab w:val="left" w:pos="561"/>
        </w:tabs>
      </w:pPr>
      <w:r>
        <w:t>снижение объемов национального производства, вызвавшие сокращение числа рабочих мест в ряде отраслей производства и сектора услуг;</w:t>
      </w:r>
    </w:p>
    <w:p w:rsidR="00000000" w:rsidRDefault="00000000">
      <w:pPr>
        <w:tabs>
          <w:tab w:val="clear" w:pos="567"/>
          <w:tab w:val="clear" w:pos="1134"/>
          <w:tab w:val="left" w:pos="561"/>
        </w:tabs>
      </w:pPr>
    </w:p>
    <w:p w:rsidR="00000000" w:rsidRDefault="00000000">
      <w:pPr>
        <w:numPr>
          <w:ilvl w:val="0"/>
          <w:numId w:val="6"/>
        </w:numPr>
        <w:tabs>
          <w:tab w:val="clear" w:pos="567"/>
          <w:tab w:val="left" w:pos="561"/>
        </w:tabs>
      </w:pPr>
      <w:r>
        <w:t>возникновение параллельного рынка вследствие жестких валютных ограничений, сопровождающееся нарастающей инфляцией и падением покупательной способности ливийского динара;</w:t>
      </w:r>
    </w:p>
    <w:p w:rsidR="00000000" w:rsidRDefault="00000000">
      <w:pPr>
        <w:tabs>
          <w:tab w:val="clear" w:pos="567"/>
          <w:tab w:val="clear" w:pos="1134"/>
          <w:tab w:val="left" w:pos="561"/>
        </w:tabs>
      </w:pPr>
    </w:p>
    <w:p w:rsidR="00000000" w:rsidRDefault="00000000">
      <w:pPr>
        <w:numPr>
          <w:ilvl w:val="0"/>
          <w:numId w:val="6"/>
        </w:numPr>
        <w:tabs>
          <w:tab w:val="clear" w:pos="567"/>
          <w:tab w:val="left" w:pos="561"/>
        </w:tabs>
      </w:pPr>
      <w:r>
        <w:t xml:space="preserve">тринадцатикратное увеличение с 1975 года размеров государственного долга, возраставшего в среднем на 6,2 сложных процента в год и достигшего к 2000 году 7 644 млн. ЛД, или 43,3% ВВП;  эта колоссальная доля стала мощным источником инфляционных тенденций и спровоцировала общий рост цен. </w:t>
      </w:r>
    </w:p>
    <w:p w:rsidR="00000000" w:rsidRDefault="00000000"/>
    <w:p w:rsidR="00000000" w:rsidRDefault="00000000">
      <w:pPr>
        <w:jc w:val="center"/>
        <w:rPr>
          <w:b/>
          <w:bCs/>
        </w:rPr>
      </w:pPr>
      <w:r>
        <w:rPr>
          <w:b/>
          <w:bCs/>
          <w:lang w:val="en-US"/>
        </w:rPr>
        <w:br w:type="page"/>
        <w:t>II</w:t>
      </w:r>
      <w:r>
        <w:rPr>
          <w:b/>
          <w:bCs/>
        </w:rPr>
        <w:t>.</w:t>
      </w:r>
      <w:r>
        <w:rPr>
          <w:b/>
          <w:bCs/>
        </w:rPr>
        <w:tab/>
        <w:t>ОСУЩЕСТВЛЕНИЕ ПАКТА</w:t>
      </w:r>
    </w:p>
    <w:p w:rsidR="00000000" w:rsidRDefault="00000000">
      <w:pPr>
        <w:jc w:val="center"/>
        <w:rPr>
          <w:b/>
          <w:bCs/>
        </w:rPr>
      </w:pPr>
    </w:p>
    <w:p w:rsidR="00000000" w:rsidRDefault="00000000">
      <w:pPr>
        <w:jc w:val="center"/>
        <w:rPr>
          <w:b/>
          <w:bCs/>
        </w:rPr>
      </w:pPr>
      <w:r>
        <w:rPr>
          <w:b/>
          <w:bCs/>
        </w:rPr>
        <w:t>Статья 1 </w:t>
      </w:r>
      <w:r>
        <w:rPr>
          <w:b/>
          <w:bCs/>
        </w:rPr>
        <w:noBreakHyphen/>
        <w:t xml:space="preserve"> Право на самоопределение</w:t>
      </w:r>
    </w:p>
    <w:p w:rsidR="00000000" w:rsidRDefault="00000000">
      <w:pPr>
        <w:jc w:val="center"/>
        <w:rPr>
          <w:b/>
          <w:bCs/>
        </w:rPr>
      </w:pPr>
    </w:p>
    <w:p w:rsidR="00000000" w:rsidRDefault="00000000">
      <w:r>
        <w:t>12.</w:t>
      </w:r>
      <w:r>
        <w:tab/>
        <w:t>Информацию по этому вопросу см. в первоначальном докладе Ливийской Арабской Джамахирии об осуществлении Пакта.</w:t>
      </w:r>
    </w:p>
    <w:p w:rsidR="00000000" w:rsidRDefault="00000000"/>
    <w:p w:rsidR="00000000" w:rsidRDefault="00000000">
      <w:pPr>
        <w:jc w:val="center"/>
        <w:rPr>
          <w:b/>
          <w:bCs/>
        </w:rPr>
      </w:pPr>
      <w:r>
        <w:rPr>
          <w:b/>
          <w:bCs/>
        </w:rPr>
        <w:t xml:space="preserve">Статья 2 </w:t>
      </w:r>
      <w:r>
        <w:rPr>
          <w:b/>
          <w:bCs/>
        </w:rPr>
        <w:noBreakHyphen/>
        <w:t xml:space="preserve"> Права граждан и лиц, не являющихся гражданами</w:t>
      </w:r>
    </w:p>
    <w:p w:rsidR="00000000" w:rsidRDefault="00000000">
      <w:pPr>
        <w:jc w:val="center"/>
        <w:rPr>
          <w:b/>
          <w:bCs/>
        </w:rPr>
      </w:pPr>
    </w:p>
    <w:p w:rsidR="00000000" w:rsidRDefault="00000000">
      <w:r>
        <w:t>13.</w:t>
      </w:r>
      <w:r>
        <w:tab/>
        <w:t>См. вышеупомянутый первоначальный доклад.</w:t>
      </w:r>
    </w:p>
    <w:p w:rsidR="00000000" w:rsidRDefault="00000000"/>
    <w:p w:rsidR="00000000" w:rsidRDefault="00000000">
      <w:pPr>
        <w:jc w:val="center"/>
        <w:rPr>
          <w:b/>
          <w:bCs/>
        </w:rPr>
      </w:pPr>
      <w:r>
        <w:rPr>
          <w:b/>
          <w:bCs/>
        </w:rPr>
        <w:t>Статья 3 </w:t>
      </w:r>
      <w:r>
        <w:rPr>
          <w:b/>
          <w:bCs/>
        </w:rPr>
        <w:noBreakHyphen/>
        <w:t xml:space="preserve"> Равноправие мужчин и женщин</w:t>
      </w:r>
    </w:p>
    <w:p w:rsidR="00000000" w:rsidRDefault="00000000">
      <w:pPr>
        <w:jc w:val="center"/>
        <w:rPr>
          <w:b/>
          <w:bCs/>
        </w:rPr>
      </w:pPr>
    </w:p>
    <w:p w:rsidR="00000000" w:rsidRDefault="00000000">
      <w:r>
        <w:t>14.</w:t>
      </w:r>
      <w:r>
        <w:tab/>
        <w:t>В дополнение к информации, представленной в первоначальном докладе, мы хотели бы сообщить, что положения этой статьи выполняются более эффективно и что наблюдается более глубокое осознание необходимости обеспечения равноправия мужчин и женщин.  Можно также сослаться на доклад о положении женщин, представленный Ливийской Арабской Джамахирией четвертой Всемирной конференции по положению женщин, состоявшейся в Пекине в 1995 году.</w:t>
      </w:r>
    </w:p>
    <w:p w:rsidR="00000000" w:rsidRDefault="00000000"/>
    <w:p w:rsidR="00000000" w:rsidRDefault="00000000">
      <w:pPr>
        <w:jc w:val="center"/>
        <w:rPr>
          <w:b/>
          <w:bCs/>
        </w:rPr>
      </w:pPr>
      <w:r>
        <w:rPr>
          <w:b/>
          <w:bCs/>
        </w:rPr>
        <w:t>Статья 4 </w:t>
      </w:r>
      <w:r>
        <w:rPr>
          <w:b/>
          <w:bCs/>
        </w:rPr>
        <w:noBreakHyphen/>
        <w:t xml:space="preserve"> Пользование всеми основными правами</w:t>
      </w:r>
    </w:p>
    <w:p w:rsidR="00000000" w:rsidRDefault="00000000">
      <w:pPr>
        <w:jc w:val="center"/>
        <w:rPr>
          <w:b/>
          <w:bCs/>
        </w:rPr>
      </w:pPr>
    </w:p>
    <w:p w:rsidR="00000000" w:rsidRDefault="00000000">
      <w:r>
        <w:t>15.</w:t>
      </w:r>
      <w:r>
        <w:tab/>
        <w:t>Действующее законодательство предусматривает гарантии всех основных прав, и государство соблюдает положения соответствующих международных договоров.  Во всех ливийских законах эти права человека признаются без различия между гражданами по признаку пола, цвета кожи, религии или национального происхождения.</w:t>
      </w:r>
    </w:p>
    <w:p w:rsidR="00000000" w:rsidRDefault="00000000"/>
    <w:p w:rsidR="00000000" w:rsidRDefault="00000000">
      <w:r>
        <w:t>16.</w:t>
      </w:r>
      <w:r>
        <w:tab/>
        <w:t>Что касается обратной силы законов, то действует четко установленная правовая норма, согласно которой закон вступает в силу со дня его обнародования и не имеет обратной силы, кроме тех случаев, когда это отвечает интересам затрагиваемой стороны.</w:t>
      </w:r>
    </w:p>
    <w:p w:rsidR="00000000" w:rsidRDefault="00000000"/>
    <w:p w:rsidR="00000000" w:rsidRDefault="00000000">
      <w:pPr>
        <w:jc w:val="center"/>
        <w:rPr>
          <w:b/>
          <w:bCs/>
        </w:rPr>
      </w:pPr>
      <w:r>
        <w:rPr>
          <w:b/>
          <w:bCs/>
        </w:rPr>
        <w:t>Статья 5 </w:t>
      </w:r>
      <w:r>
        <w:rPr>
          <w:b/>
          <w:bCs/>
        </w:rPr>
        <w:noBreakHyphen/>
        <w:t xml:space="preserve"> Верховенство международного права</w:t>
      </w:r>
    </w:p>
    <w:p w:rsidR="00000000" w:rsidRDefault="00000000">
      <w:pPr>
        <w:jc w:val="center"/>
        <w:rPr>
          <w:b/>
          <w:bCs/>
        </w:rPr>
      </w:pPr>
    </w:p>
    <w:p w:rsidR="00000000" w:rsidRDefault="00000000">
      <w:r>
        <w:t>17.</w:t>
      </w:r>
      <w:r>
        <w:tab/>
        <w:t>Верховным судом Ливии введен принцип, ставший императивным на основании Закона № 6 1982 года:  при ратификации Ливийской Арабской Джамахирией того или иного международного договора этот договор приобретает для нее юридически обязательную силу и превалирует над внутренним законодательством.</w:t>
      </w:r>
    </w:p>
    <w:p w:rsidR="00000000" w:rsidRDefault="00000000"/>
    <w:p w:rsidR="00000000" w:rsidRDefault="00000000">
      <w:pPr>
        <w:jc w:val="center"/>
        <w:rPr>
          <w:b/>
          <w:bCs/>
        </w:rPr>
      </w:pPr>
      <w:r>
        <w:rPr>
          <w:b/>
          <w:bCs/>
        </w:rPr>
        <w:br w:type="page"/>
        <w:t>Статья 6 </w:t>
      </w:r>
      <w:r>
        <w:rPr>
          <w:b/>
          <w:bCs/>
        </w:rPr>
        <w:noBreakHyphen/>
        <w:t xml:space="preserve"> Право на труд</w:t>
      </w:r>
    </w:p>
    <w:p w:rsidR="00000000" w:rsidRDefault="00000000">
      <w:pPr>
        <w:keepNext/>
        <w:jc w:val="center"/>
        <w:rPr>
          <w:b/>
          <w:bCs/>
        </w:rPr>
      </w:pPr>
    </w:p>
    <w:p w:rsidR="00000000" w:rsidRDefault="00000000">
      <w:pPr>
        <w:keepNext/>
      </w:pPr>
      <w:r>
        <w:t>18.</w:t>
      </w:r>
      <w:r>
        <w:tab/>
        <w:t>Принцип 11 Великого зеленого документа о правах человека в век масс гласит, что общество гарантирует право на труд, означающее обязанность и право каждого человека трудиться в силу своих способностей самостоятельно или сообща с другими.  Каждый имеет право выбирать себе работу по душе.  Этот принцип зафиксирован в статье 10 Закона о защите свобод, в которой говорится:  "Каждый гражданин обладает свободой выбора такой работы единолично или совместно с другими лицами, которая наилучшим образом отвечает его потребностям.  При этом не допускается эксплуатации других лиц и причинения материального или морального ущерба третьим сторонам".  Право на труд регулируется целым рядом законов, включая Закон № 58 1970 года, который состоит из 186 статей, регламентирующих трудовые отношения.  Учитывая в определенной мере принудительный характер отношений между работодателем и работником, Джамахирия приняла решение о введении законодательства, предусматривающего участие рабочих в прибыли (Закон о разделе прибылей).  Кроме того, ею была ратифицирована большая часть международных конвенций, касающихся найма, в том числе:</w:t>
      </w:r>
    </w:p>
    <w:p w:rsidR="00000000" w:rsidRDefault="00000000"/>
    <w:p w:rsidR="00000000" w:rsidRDefault="00000000">
      <w:r>
        <w:tab/>
        <w:t>1.</w:t>
      </w:r>
      <w:r>
        <w:tab/>
        <w:t>Конвенция 1964 года о политике в области занятости (№ 122);</w:t>
      </w:r>
    </w:p>
    <w:p w:rsidR="00000000" w:rsidRDefault="00000000"/>
    <w:p w:rsidR="00000000" w:rsidRDefault="00000000">
      <w:pPr>
        <w:ind w:left="1134" w:hanging="1134"/>
      </w:pPr>
      <w:r>
        <w:tab/>
        <w:t>2.</w:t>
      </w:r>
      <w:r>
        <w:tab/>
        <w:t>Международная конвенция о ликвидации всех форм расовой дискриминации;  и</w:t>
      </w:r>
    </w:p>
    <w:p w:rsidR="00000000" w:rsidRDefault="00000000">
      <w:pPr>
        <w:ind w:left="1134" w:hanging="1134"/>
      </w:pPr>
    </w:p>
    <w:p w:rsidR="00000000" w:rsidRDefault="00000000">
      <w:r>
        <w:tab/>
        <w:t>3.</w:t>
      </w:r>
      <w:r>
        <w:tab/>
        <w:t>Конвенция о ликвидации всех форм дискриминации в отношении женщин.</w:t>
      </w:r>
    </w:p>
    <w:p w:rsidR="00000000" w:rsidRDefault="00000000"/>
    <w:p w:rsidR="00000000" w:rsidRDefault="00000000">
      <w:pPr>
        <w:rPr>
          <w:u w:val="single"/>
        </w:rPr>
      </w:pPr>
      <w:r>
        <w:t>19.</w:t>
      </w:r>
      <w:r>
        <w:tab/>
        <w:t xml:space="preserve">С тем чтобы гарантировать всеобщую занятость в соответствии с разделом </w:t>
      </w:r>
      <w:r>
        <w:rPr>
          <w:lang w:val="en-US"/>
        </w:rPr>
        <w:t>II</w:t>
      </w:r>
      <w:r>
        <w:t xml:space="preserve"> вышеупомянутого Закона № 58, были созданы центры занятости, оказывающие помощь лицам, ищущим работу.  В статье 1 Указа № 77 2002 года, определяющего руководящие принципы трудоустройства лиц, ищущих работу, предусматривается, что "местными народными комитетами создаются акционерные общества и кооперативы для нахождения рабочих мест ищущим работу в соответствии с их квалификацией и профессиональным опытом и принимаются меры по недопущению эксплуатации работников и торговли ими".  Статья 2 Указа гласит:  "Компании и кооперативы, созданные с целью трудоустройства лиц, ищущих работу, регистрируют таких лиц, включая их в списки, составляемые в соответствии с установленными для них приоритетами, с должным учетом профессиональной квалификации и опыта кандидатов".</w:t>
      </w:r>
    </w:p>
    <w:p w:rsidR="00000000" w:rsidRDefault="00000000">
      <w:pPr>
        <w:rPr>
          <w:u w:val="single"/>
        </w:rPr>
      </w:pPr>
    </w:p>
    <w:p w:rsidR="00000000" w:rsidRDefault="00000000">
      <w:r>
        <w:t>20.</w:t>
      </w:r>
      <w:r>
        <w:tab/>
        <w:t>Отделу трудоустройства населения департамента общественных служб поручено осуществлять надзор за надлежащим функционированием таких компаний и кооперативов.  Ввиду важности, придаваемой Ливийской Арабской Джамахирией праву на труд, для выполнения положений вышеупомянутого Указа был сформирован комитет высокого уровня.  Кроме того, народным комитетам при народных собраниях, имеющихся в каждом шабияте (области), поручено  разрабатывать программы трудоустройства лиц, ищущих работу через посредство местного народного собрания во взаимодействии с компетентными органами.  Был реализован ряд перечисленных ниже мер:</w:t>
      </w:r>
    </w:p>
    <w:p w:rsidR="00000000" w:rsidRDefault="00000000"/>
    <w:p w:rsidR="00000000" w:rsidRDefault="00000000">
      <w:pPr>
        <w:numPr>
          <w:ilvl w:val="0"/>
          <w:numId w:val="7"/>
        </w:numPr>
      </w:pPr>
      <w:r>
        <w:t>Закон № 21 2001 года об экономической деятельности допустил участие частного сектора в некоторых секторах экономики и внес поправки к правилам, ограничивающим участие в акционерных обществах;</w:t>
      </w:r>
    </w:p>
    <w:p w:rsidR="00000000" w:rsidRDefault="00000000">
      <w:pPr>
        <w:ind w:left="1134" w:hanging="1134"/>
      </w:pPr>
    </w:p>
    <w:p w:rsidR="00000000" w:rsidRDefault="00000000">
      <w:pPr>
        <w:numPr>
          <w:ilvl w:val="0"/>
          <w:numId w:val="7"/>
        </w:numPr>
      </w:pPr>
      <w:r>
        <w:t>укреплена роль коммерческих и частных банков в выдаче ссуд и создании иных условий для всех видов экономической деятельности;</w:t>
      </w:r>
    </w:p>
    <w:p w:rsidR="00000000" w:rsidRDefault="00000000">
      <w:pPr>
        <w:ind w:left="1134" w:hanging="1134"/>
      </w:pPr>
    </w:p>
    <w:p w:rsidR="00000000" w:rsidRDefault="00000000">
      <w:pPr>
        <w:numPr>
          <w:ilvl w:val="0"/>
          <w:numId w:val="7"/>
        </w:numPr>
      </w:pPr>
      <w:r>
        <w:t>выделены ресурсы для Фонда производственной конверсии, который обеспечивает различные возможности, например предоставление оборудования, комплектующих и т.п., в интересах создания рабочих мест в производственном секторе;</w:t>
      </w:r>
    </w:p>
    <w:p w:rsidR="00000000" w:rsidRDefault="00000000">
      <w:pPr>
        <w:ind w:left="1134" w:hanging="1134"/>
      </w:pPr>
    </w:p>
    <w:p w:rsidR="00000000" w:rsidRDefault="00000000">
      <w:pPr>
        <w:numPr>
          <w:ilvl w:val="0"/>
          <w:numId w:val="7"/>
        </w:numPr>
      </w:pPr>
      <w:r>
        <w:t>повышена роль специализированных банков в предоставлении низкопроцентных ссуд на цели закупки средств производства;</w:t>
      </w:r>
    </w:p>
    <w:p w:rsidR="00000000" w:rsidRDefault="00000000">
      <w:pPr>
        <w:ind w:left="1134" w:hanging="1134"/>
      </w:pPr>
    </w:p>
    <w:p w:rsidR="00000000" w:rsidRDefault="00000000">
      <w:pPr>
        <w:numPr>
          <w:ilvl w:val="0"/>
          <w:numId w:val="7"/>
        </w:numPr>
      </w:pPr>
      <w:r>
        <w:t>упрощены административные формальности, связанные с получением разрешения на осуществление различных видов экономической деятельности, и отменены некоторые требования, ограничивавшие доступ к определенным видам экономической деятельности, например касающиеся необходимости иметь лицензию на импорт или экспорт, применять обязательные тарифы и</w:t>
      </w:r>
      <w:r>
        <w:rPr>
          <w:lang w:val="en-US"/>
        </w:rPr>
        <w:t> </w:t>
      </w:r>
      <w:r>
        <w:t>т.п.;</w:t>
      </w:r>
    </w:p>
    <w:p w:rsidR="00000000" w:rsidRDefault="00000000">
      <w:pPr>
        <w:ind w:left="1134" w:hanging="1134"/>
      </w:pPr>
    </w:p>
    <w:p w:rsidR="00000000" w:rsidRDefault="00000000">
      <w:pPr>
        <w:numPr>
          <w:ilvl w:val="0"/>
          <w:numId w:val="7"/>
        </w:numPr>
      </w:pPr>
      <w:r>
        <w:t>лицам, ведущим коммерческую деятельность, теперь предоставлено право выступать в качестве агентов производственных компаний в связи с реализацией их продукции на ливийском рынке</w:t>
      </w:r>
      <w:r>
        <w:rPr>
          <w:b/>
          <w:bCs/>
          <w:vertAlign w:val="superscript"/>
        </w:rPr>
        <w:t>4, 5</w:t>
      </w:r>
      <w:r>
        <w:t>.</w:t>
      </w:r>
    </w:p>
    <w:p w:rsidR="00000000" w:rsidRDefault="00000000">
      <w:pPr>
        <w:ind w:left="1134" w:hanging="1134"/>
      </w:pPr>
    </w:p>
    <w:p w:rsidR="00000000" w:rsidRDefault="00000000">
      <w:r>
        <w:t>21.</w:t>
      </w:r>
      <w:r>
        <w:tab/>
        <w:t>В целях повышения квалификации работников и лиц, ищущих работу, а также углубления их знаний организованы ознакомительные программы и курсы профессионально</w:t>
      </w:r>
      <w:r>
        <w:noBreakHyphen/>
        <w:t xml:space="preserve">технического обучения в соответствии со статьей 6 Закона № 58 1970 года, в котором имеется раздел, посвященный профессионально-техническому образованию и условиям обучения работников.  О подготовке кадров говорится в статье 30 Закона № 55 1976 года о гражданской службе, которая обязывает </w:t>
      </w:r>
    </w:p>
    <w:p w:rsidR="00000000" w:rsidRDefault="00000000">
      <w:r>
        <w:br w:type="page"/>
        <w:t>административные службы обеспечивать базовую подготовку и повышение квалификации своих работников.  Эти же задачи призваны решать и некоторые подзаконные акты.  К их числу относятся:</w:t>
      </w:r>
    </w:p>
    <w:p w:rsidR="00000000" w:rsidRDefault="00000000"/>
    <w:p w:rsidR="00000000" w:rsidRDefault="00000000">
      <w:pPr>
        <w:numPr>
          <w:ilvl w:val="0"/>
          <w:numId w:val="7"/>
        </w:numPr>
      </w:pPr>
      <w:r>
        <w:t>Указ № 206 1999</w:t>
      </w:r>
      <w:r>
        <w:rPr>
          <w:lang w:val="en-US"/>
        </w:rPr>
        <w:t> </w:t>
      </w:r>
      <w:r>
        <w:t>года, закрепляющий правило относительно подготовки кадров, в котором подготовка кадров определяется как "базовое профессионально-техническое обучение граждан и привитие им технических знаний, необходимых для различных профессий и областей специализации".  В Указе также определяются различные уровни и виды обучения, равно как и необходимые критерии для него и делается особый акцент на организации курсов с четкой программой и курсов продвинутого обучения, предназначенных для решения задач профессионально-технического образования;</w:t>
      </w:r>
    </w:p>
    <w:p w:rsidR="00000000" w:rsidRDefault="00000000">
      <w:pPr>
        <w:ind w:left="1134" w:hanging="567"/>
      </w:pPr>
    </w:p>
    <w:p w:rsidR="00000000" w:rsidRDefault="00000000">
      <w:pPr>
        <w:numPr>
          <w:ilvl w:val="0"/>
          <w:numId w:val="7"/>
        </w:numPr>
      </w:pPr>
      <w:r>
        <w:t>Указ № 431 1986 года об организации учебных курсов на местах для неквалифицированных работников, занятых в административных подразделениях.  Теперь каждый государственный служащий и рабочий имеют право на получение той или иной подготовки, которая должна быть обеспечена как в государственном, так и в частном секторе.  Под учебными курсами имеется в виду не только обучение внутри страны - действующее законодательство предусматривает, что работники могут быть направлены за рубеж для углубления своих знаний, ознакомления с техническими новшествами и овладения новейшими технологиями;</w:t>
      </w:r>
    </w:p>
    <w:p w:rsidR="00000000" w:rsidRDefault="00000000">
      <w:pPr>
        <w:ind w:left="1134" w:hanging="567"/>
      </w:pPr>
    </w:p>
    <w:p w:rsidR="00000000" w:rsidRDefault="00000000">
      <w:pPr>
        <w:numPr>
          <w:ilvl w:val="0"/>
          <w:numId w:val="7"/>
        </w:numPr>
      </w:pPr>
      <w:r>
        <w:t>в целях создания дополнительных механизмов подготовки кадров Указом № 90 1988 года предусматривается создание Института подготовки преподавателей и технических инструкторов;</w:t>
      </w:r>
    </w:p>
    <w:p w:rsidR="00000000" w:rsidRDefault="00000000">
      <w:pPr>
        <w:ind w:left="1134" w:hanging="567"/>
      </w:pPr>
    </w:p>
    <w:p w:rsidR="00000000" w:rsidRDefault="00000000">
      <w:pPr>
        <w:numPr>
          <w:ilvl w:val="0"/>
          <w:numId w:val="7"/>
        </w:numPr>
      </w:pPr>
      <w:r>
        <w:t>Указом № 96 1989 года о правилах подготовки по общеобразовательным предметам частным лицам было разрешено создавать частные профессионально-технические училища, в которых женщины и мужчины различных профессий могли бы приобретать профессиональные навыки и углублять свои знания;</w:t>
      </w:r>
    </w:p>
    <w:p w:rsidR="00000000" w:rsidRDefault="00000000">
      <w:pPr>
        <w:ind w:left="1134" w:hanging="567"/>
      </w:pPr>
    </w:p>
    <w:p w:rsidR="00000000" w:rsidRDefault="00000000">
      <w:pPr>
        <w:numPr>
          <w:ilvl w:val="0"/>
          <w:numId w:val="7"/>
        </w:numPr>
      </w:pPr>
      <w:r>
        <w:t>Указ № 942 1990 года предусматривает создание Национального центра подготовки кадров, призванного содействовать развитию людских ресурсов и подготовке специалистов для всех секторов народного хозяйства.</w:t>
      </w:r>
    </w:p>
    <w:p w:rsidR="00000000" w:rsidRDefault="00000000">
      <w:pPr>
        <w:ind w:left="1134" w:hanging="567"/>
      </w:pPr>
    </w:p>
    <w:p w:rsidR="00000000" w:rsidRDefault="00000000">
      <w:pPr>
        <w:jc w:val="center"/>
        <w:rPr>
          <w:b/>
          <w:bCs/>
        </w:rPr>
      </w:pPr>
      <w:r>
        <w:rPr>
          <w:b/>
          <w:bCs/>
        </w:rPr>
        <w:br w:type="page"/>
        <w:t>Статья 7 - Право на справедливое вознаграждение</w:t>
      </w:r>
    </w:p>
    <w:p w:rsidR="00000000" w:rsidRDefault="00000000">
      <w:pPr>
        <w:jc w:val="center"/>
        <w:rPr>
          <w:b/>
          <w:bCs/>
        </w:rPr>
      </w:pPr>
    </w:p>
    <w:p w:rsidR="00000000" w:rsidRDefault="00000000">
      <w:r>
        <w:t>22.</w:t>
      </w:r>
      <w:r>
        <w:tab/>
        <w:t>Закон № 15 1981 года о жаловании и заработной плате регулирует все вопросы, касающиеся вознаграждения.  Народные собрания намерены внести поправки в этот закон с целью адаптировать его к потребностям работников и членов их семей и повысить их уровень жизни.  В соответствии с Указом № 20 Всеобщего народного конгресса (2002 год), касающимся государственного управления, Генеральному совету по планированию было поручено изучить пути повышения доходов семей.</w:t>
      </w:r>
    </w:p>
    <w:p w:rsidR="00000000" w:rsidRDefault="00000000"/>
    <w:p w:rsidR="00000000" w:rsidRDefault="00000000">
      <w:r>
        <w:t>23.</w:t>
      </w:r>
      <w:r>
        <w:tab/>
        <w:t>В вопросе о вознаграждении Ливийская Арабская Джамахирия не проводит различия между работниками по признаку пола, происхождения или по каким</w:t>
      </w:r>
      <w:r>
        <w:noBreakHyphen/>
        <w:t>либо другим критериям.  Законом о гражданской службе установлено, что мужчины и женщины имеют право на равную оплату труда и что никакая дискриминация между ними в связи с любыми финансовыми отношениями недопустима, в том числе в вопросе о критериях для найма и трудоустройства.</w:t>
      </w:r>
    </w:p>
    <w:p w:rsidR="00000000" w:rsidRDefault="00000000"/>
    <w:p w:rsidR="00000000" w:rsidRDefault="00000000">
      <w:r>
        <w:t>24.</w:t>
      </w:r>
      <w:r>
        <w:tab/>
        <w:t>Ливийское законодательство по вопросам найма и государственного управления гарантирует всем, независимо от пола, равные возможности при найме на работу и продвижении по службе, определяя в качестве основы для этого такие абсолютно объективные критерии, как компетентность, опыт, приобретенная в ходе обучения квалификация и выслуга лет.  В статьях 36</w:t>
      </w:r>
      <w:r>
        <w:noBreakHyphen/>
        <w:t>50 Закона № 55 1976 года о гражданской службе изложены абсолютно объективные критерии повышения гражданских служащих по службе, выплаты им премий и других вознаграждений.  В статьях 85</w:t>
      </w:r>
      <w:r>
        <w:noBreakHyphen/>
        <w:t>90 раздела III главы 2 Закона № 58 1970 года о труде устанавливаются правила, касающиеся продолжительности рабочего дня и перерывов на отдых.  Согласно статье 85 рабочий день наемных работников не может продолжаться более восьми часов, за исключением перерывов на обед и отдых, а минимальный возраст для приема на работу установлен в соответствии с применимыми международными договорами.  Согласно статье 93 в случае работающих детей рабочий день не может продолжаться более шести часов.</w:t>
      </w:r>
    </w:p>
    <w:p w:rsidR="00000000" w:rsidRDefault="00000000"/>
    <w:p w:rsidR="00000000" w:rsidRDefault="00000000">
      <w:r>
        <w:t>25.</w:t>
      </w:r>
      <w:r>
        <w:tab/>
        <w:t>С тем чтобы гарантировать право работника на отдых и не допустить эксплуатации в любой форме, заключительный пункт статьи 88 вышеуказанного Закона о труде объявляет незаконным прерывание работодателем трудового договора на выходные дни и официальные праздники</w:t>
      </w:r>
      <w:r>
        <w:rPr>
          <w:b/>
          <w:bCs/>
          <w:vertAlign w:val="superscript"/>
        </w:rPr>
        <w:t>6</w:t>
      </w:r>
      <w:r>
        <w:t>.</w:t>
      </w:r>
    </w:p>
    <w:p w:rsidR="00000000" w:rsidRDefault="00000000"/>
    <w:p w:rsidR="00000000" w:rsidRDefault="00000000">
      <w:r>
        <w:t>26.</w:t>
      </w:r>
      <w:r>
        <w:tab/>
        <w:t>Закон № 55 1976 года о гражданской службе гарантирует гражданским служащим право на отпуск (статьи 65-74), который подразделяется на следующие категории:  "специальный отпуск, оплачиваемый отпуск и неоплачиваемый отпуск".</w:t>
      </w:r>
    </w:p>
    <w:p w:rsidR="00000000" w:rsidRDefault="00000000"/>
    <w:p w:rsidR="00000000" w:rsidRDefault="00000000">
      <w:r>
        <w:t>27.</w:t>
      </w:r>
      <w:r>
        <w:tab/>
        <w:t>Джамахирия ратифицировала несколько международных конвенций о правах рабочих и об их отношениях с работодателями и прочими лицами.  К числу этих конвенций относятся:</w:t>
      </w:r>
    </w:p>
    <w:p w:rsidR="00000000" w:rsidRDefault="00000000"/>
    <w:p w:rsidR="00000000" w:rsidRDefault="00000000">
      <w:pPr>
        <w:numPr>
          <w:ilvl w:val="0"/>
          <w:numId w:val="9"/>
        </w:numPr>
      </w:pPr>
      <w:r>
        <w:t>Конвенция 1970 года об установлении минимальной заработной платы (№ 131), ратифицированная 27 июня 1971 года;</w:t>
      </w:r>
    </w:p>
    <w:p w:rsidR="00000000" w:rsidRDefault="00000000">
      <w:pPr>
        <w:ind w:left="1134" w:hanging="567"/>
      </w:pPr>
    </w:p>
    <w:p w:rsidR="00000000" w:rsidRDefault="00000000">
      <w:pPr>
        <w:numPr>
          <w:ilvl w:val="0"/>
          <w:numId w:val="9"/>
        </w:numPr>
      </w:pPr>
      <w:r>
        <w:t>Конвенция 1951 года о равном вознаграждении (№ 100), ратифицированная 20 июня 1962 года;</w:t>
      </w:r>
    </w:p>
    <w:p w:rsidR="00000000" w:rsidRDefault="00000000">
      <w:pPr>
        <w:ind w:left="1134" w:hanging="567"/>
      </w:pPr>
    </w:p>
    <w:p w:rsidR="00000000" w:rsidRDefault="00000000">
      <w:pPr>
        <w:numPr>
          <w:ilvl w:val="0"/>
          <w:numId w:val="9"/>
        </w:numPr>
      </w:pPr>
      <w:r>
        <w:t>Конвенция 1921 года о еженедельном отдыхе в промышленности (№ 14), ратифицированная 21 мая 1971 года.</w:t>
      </w:r>
    </w:p>
    <w:p w:rsidR="00000000" w:rsidRDefault="00000000"/>
    <w:p w:rsidR="00000000" w:rsidRDefault="00000000">
      <w:pPr>
        <w:pStyle w:val="Heading1"/>
        <w:rPr>
          <w:bCs/>
        </w:rPr>
      </w:pPr>
      <w:r>
        <w:rPr>
          <w:bCs/>
        </w:rPr>
        <w:t>Меры, касающиеся техники безопасности и гигиены труда</w:t>
      </w:r>
    </w:p>
    <w:p w:rsidR="00000000" w:rsidRDefault="00000000">
      <w:pPr>
        <w:pStyle w:val="Heading1"/>
        <w:rPr>
          <w:bCs/>
        </w:rPr>
      </w:pPr>
    </w:p>
    <w:p w:rsidR="00000000" w:rsidRDefault="00000000">
      <w:r>
        <w:t>28.</w:t>
      </w:r>
      <w:r>
        <w:tab/>
        <w:t xml:space="preserve">Во всех соответствующих законах подчеркивается важность обеспечения техники безопасности и гигиены труда работников и работниц, а также предоставления женщинам свободы в выборе наиболее подходящего для них вида труда без ущемления их права выполнять по собственному желанию трудную или опасную работу.  </w:t>
      </w:r>
    </w:p>
    <w:p w:rsidR="00000000" w:rsidRDefault="00000000"/>
    <w:p w:rsidR="00000000" w:rsidRDefault="00000000">
      <w:r>
        <w:t>29.</w:t>
      </w:r>
      <w:r>
        <w:tab/>
        <w:t xml:space="preserve">Что касается гигиены труда и техники безопасности применительно ко всем работникам, то Закон № 93 1976 года о технике безопасности требует от всех государственных и частных предприятий и учреждений принятия всех соответствующих положениям Закона необходимых мер по защите работников на их рабочем месте от профессионального риска, производственных травм и профессиональных заболеваний.  В главе </w:t>
      </w:r>
      <w:r>
        <w:rPr>
          <w:lang w:val="en-US"/>
        </w:rPr>
        <w:t>IV</w:t>
      </w:r>
      <w:r>
        <w:t xml:space="preserve"> Закона о труде трактуются вопросы защиты работников от профессиональных заболеваний.  В нескольких подзаконных актах, в частности в Указе № 8 1974 года, регулирующем вопросы техники безопасности и охраны труда, подчеркивается необходимость обеспечения защиты для всех работников</w:t>
      </w:r>
      <w:r>
        <w:rPr>
          <w:b/>
          <w:bCs/>
          <w:vertAlign w:val="superscript"/>
        </w:rPr>
        <w:t>7</w:t>
      </w:r>
      <w:r>
        <w:t>.</w:t>
      </w:r>
    </w:p>
    <w:p w:rsidR="00000000" w:rsidRDefault="00000000"/>
    <w:p w:rsidR="00000000" w:rsidRDefault="00000000">
      <w:pPr>
        <w:pStyle w:val="10"/>
        <w:rPr>
          <w:bCs/>
        </w:rPr>
      </w:pPr>
      <w:r>
        <w:rPr>
          <w:bCs/>
        </w:rPr>
        <w:t>Статья 8 - Право на создание профессиональных союзов и федераций профессиональных союзов</w:t>
      </w:r>
    </w:p>
    <w:p w:rsidR="00000000" w:rsidRDefault="00000000">
      <w:pPr>
        <w:pStyle w:val="10"/>
        <w:rPr>
          <w:bCs/>
        </w:rPr>
      </w:pPr>
    </w:p>
    <w:p w:rsidR="00000000" w:rsidRDefault="00000000">
      <w:r>
        <w:t>30.</w:t>
      </w:r>
      <w:r>
        <w:tab/>
        <w:t>Согласно статье 9 Закона о защите свобод граждане имеют право создавать профессиональные союзы, федерации профессиональных союзов, профессиональные и общественные объединения и благотворительные общества и вступать в них с целью защиты своих интересов и решения законных задач.  Это соответствует принципу 6 Великого зеленого документа о правах человека в век масс, который гласит:  "Все члены ливийского общества имеют право создавать объединения, профессиональные союзы и федерации для защиты своих профессиональных интересов".  Закон № 23 1998 года о профессиональных союзах, федерациях и профессиональных ассоциациях гарантирует всем профессиональным группам без всяких различий право создавать профессиональные союзы, федерации и объединения для защиты интересов своих членов.  В качестве примера можно упомянуть о создании в соответствии с Законом № 98 1976 года Союза гражданских служащих, который ставит целью повышение эффективности государственного управления, служение интересам общества и заботу о здоровье и материальном благополучии своих членов и их семей посредством оказания им помощи и других услуг.  Союз принимает к рассмотрению жалобы своих членов и помогает им решать трудовые споры путем поиска приемлемых решений совместно с соответствующими учреждениями.  Кроме того, Союз занимается укреплением товарищеских и дружеских связей между гражданскими служащими в духе доверия, взаимного уважения и сотрудничества.  Аналогичным образом, в Законе № 107 1973 года о создании Союза медицинских работников указывается, что Союз будет добиваться сплоченности среди своих членов, повышать их профессиональный уровень, налаживать сотрудничество среди медиков и участвовать в выработке общей политики в области здравоохранения и медицинской помощи.</w:t>
      </w:r>
    </w:p>
    <w:p w:rsidR="00000000" w:rsidRDefault="00000000"/>
    <w:p w:rsidR="00000000" w:rsidRDefault="00000000">
      <w:r>
        <w:t>31.</w:t>
      </w:r>
      <w:r>
        <w:tab/>
        <w:t xml:space="preserve">Закон № 19 2002 года о реорганизации частных объединений и относящиеся к нему подзаконные акты закрепляют за всеми гражданами (мужчинами и женщинами без различий), желающими развивать гражданское общество, повышать качество оказываемых им услуг и укреплять его институты, право создавать объединения в соответствии с положениями Закона.  Ничто не препятствует женщинам создавать подобные объединения или вступать в них.  Согласно Закону № 23 1998 года о профессиональных союзах, федерациях и профессиональных объединениях женщины имеют полное право вступать в профессиональные союзы или федерации, о чем свидетельствует использование законодателями общего термина "работники".  </w:t>
      </w:r>
    </w:p>
    <w:p w:rsidR="00000000" w:rsidRDefault="00000000"/>
    <w:p w:rsidR="00000000" w:rsidRDefault="00000000">
      <w:r>
        <w:t>32.</w:t>
      </w:r>
      <w:r>
        <w:tab/>
        <w:t>Как отмечается в национальном "Докладе 1999</w:t>
      </w:r>
      <w:r>
        <w:rPr>
          <w:lang w:val="en-US"/>
        </w:rPr>
        <w:t> </w:t>
      </w:r>
      <w:r>
        <w:t>года о развитии человеческого потенциала", в период после 1954 года, когда была создана первая женская организация, женщины неизменно демонстрировали свою решимость участвовать в деятельности гражданского общества.  Законом № 20 2001 года о порядке работы женских объединений женщинам предоставлено право формировать женские объединения в интересах улучшения положения женщин и членов их семей в социальной и культурной сфере.</w:t>
      </w:r>
    </w:p>
    <w:p w:rsidR="00000000" w:rsidRDefault="00000000"/>
    <w:p w:rsidR="00000000" w:rsidRDefault="00000000">
      <w:r>
        <w:t>33.</w:t>
      </w:r>
      <w:r>
        <w:tab/>
        <w:t>Статистические данные за 1995 год, подготовленные Национальным научно-исследовательским центром, свидетельствуют о наличии 57 научных и специализированных профессиональных ассоциаций, имеющих в своем составе женщин.  Некоторые из этих ассоциаций возглавляются и руководятся женщинами.</w:t>
      </w:r>
    </w:p>
    <w:p w:rsidR="00000000" w:rsidRDefault="00000000">
      <w:pPr>
        <w:pStyle w:val="10"/>
        <w:rPr>
          <w:bCs/>
        </w:rPr>
      </w:pPr>
      <w:r>
        <w:rPr>
          <w:bCs/>
        </w:rPr>
        <w:t>Статья 9 - Право на социальное обеспечение</w:t>
      </w:r>
    </w:p>
    <w:p w:rsidR="00000000" w:rsidRDefault="00000000">
      <w:pPr>
        <w:pStyle w:val="10"/>
        <w:rPr>
          <w:bCs/>
        </w:rPr>
      </w:pPr>
    </w:p>
    <w:p w:rsidR="00000000" w:rsidRDefault="00000000">
      <w:r>
        <w:t>34.</w:t>
      </w:r>
      <w:r>
        <w:tab/>
        <w:t>Ливийское законодательство гарантирует всем гражданам право на социальное обеспечение;  так, Закон № 24 1991 года о защите свобод содержит следующее положение:  "Каждый гражданин имеет право на социальное обеспечение и социальное страхование.  Общество заботится о каждом, кто не имеет средств к существованию, защищает нуждающихся, престарелых, инвалидов и сирот и обеспечивает достойную жизнь тем, кто не способен трудиться по не зависящим от них обстоятельствам".  Принцип 14 Великого зеленого документа о правах человека в век масс гласит, что общество Джамахирии поддерживает всех, кто не имеет средств к существованию.</w:t>
      </w:r>
    </w:p>
    <w:p w:rsidR="00000000" w:rsidRDefault="00000000"/>
    <w:p w:rsidR="00000000" w:rsidRDefault="00000000">
      <w:r>
        <w:t>35.</w:t>
      </w:r>
      <w:r>
        <w:tab/>
        <w:t>Праву на социальное обеспечение посвящены два ключевых законодательных акта - Закон № 13 1980 года о социальном обеспечении (и относящееся к нему Положение о социальном обеспечении и пенсиях, введенное в действие Указом № 669 Всеобщего народного конгресса 1981 года) и Закон № 20 1998 года о Фонде социального обеспечения.  Следует упомянуть и о Законе № 5 1987 года об инвалидах.</w:t>
      </w:r>
    </w:p>
    <w:p w:rsidR="00000000" w:rsidRDefault="00000000"/>
    <w:p w:rsidR="00000000" w:rsidRDefault="00000000">
      <w:r>
        <w:t>36.</w:t>
      </w:r>
      <w:r>
        <w:tab/>
        <w:t>Закон № 58 1970 года определяет право работников на социальное обеспечение и все прочие пособия как в денежном, так и натуральном выражении и запрещает конфискацию взносов в фонд социального обеспечения (статья 34).  В Законе № 22 1971 года, вносящем некоторые поправки в Закон о труде и Закон о социальном обеспечении, подробно изложены правила, касающиеся права работника на социальное обеспечение.</w:t>
      </w:r>
    </w:p>
    <w:p w:rsidR="00000000" w:rsidRDefault="00000000"/>
    <w:p w:rsidR="00000000" w:rsidRDefault="00000000">
      <w:r>
        <w:t>37.</w:t>
      </w:r>
      <w:r>
        <w:tab/>
        <w:t>Социальная защита не ограничена рамками исключительно государственного сектора, но распространяется и на частный сектор:  каждому работнику и гражданскому служащему в государственном и частном секторах гарантировано право участвовать в той или иной программе социального обеспечения.</w:t>
      </w:r>
    </w:p>
    <w:p w:rsidR="00000000" w:rsidRDefault="00000000"/>
    <w:p w:rsidR="00000000" w:rsidRDefault="00000000">
      <w:r>
        <w:t>38.</w:t>
      </w:r>
      <w:r>
        <w:tab/>
        <w:t>В соответствии со статьей 1 вышеупомянутого Закона № 13 1980 года работники и гражданские служащие имеют право на медицинскую помощь, на адекватную компенсацию за ущерб, понесенный ими в результате несчастного случая на работе, профессионального заболевания или наступления частичной или полной нетрудоспособности, а также на пенсию по старости.  Ливийское законодательство проявляет особую заботу о наиболее уязвимых членах общества, а именно детях, женщинах, инвалидах и престарелых, и предусматривает создание специальных учреждений, отвечающих за удовлетворение их материальных и духовных потребностей, в том числе за заботу об их физическом и психическом здоровье.  Особое место в системе государственных органов занимает Национальный фонд обеспечения, который осуществляет надзор, управление и контроль за деятельностью этих учреждений.</w:t>
      </w:r>
    </w:p>
    <w:p w:rsidR="00000000" w:rsidRDefault="00000000"/>
    <w:p w:rsidR="00000000" w:rsidRDefault="00000000">
      <w:r>
        <w:t>39.</w:t>
      </w:r>
      <w:r>
        <w:tab/>
        <w:t>В статье 12 Закона № 16 1985 года о минимальных пособиях определяются условия, при которых лица, полностью или частично лишившиеся средств к существованию, получают право на минимальное пособие.  Оно выплачивается:  разведенным женщинам;  семье заболевшего кормильца;  лицам, госпитализированным на срок более двух месяцев;  возвращающимся эмигрантам;  семье кормильца, помещенного под стражу или отбывающего наказание сроком более двух месяцев;  а также семьям лиц, исчезнувших или пропавших без вести, или военнопленных.  Закон гарантирует любому лицу, отбывшему срок тюремного заключения, право на получение минимального пособия до трудоустройства.  Это же право закреплено за нетрудоспособными лицами и несовершеннолетними детьми, не имеющими кормильца.</w:t>
      </w:r>
    </w:p>
    <w:p w:rsidR="00000000" w:rsidRDefault="00000000"/>
    <w:p w:rsidR="00000000" w:rsidRDefault="00000000">
      <w:r>
        <w:t>40.</w:t>
      </w:r>
      <w:r>
        <w:tab/>
        <w:t>Из вышеизложенного следует, что ливийское законодательство закрепляет за каждым человеком право на получение денежного пособия в случае болезни, несчастного случая на производстве или безработицы, предоставляемого с тем, чтобы их семьи не оказались в нищете.  Семьи имеют право на получение пособия до тех пор, пока они не смогут преодолеть трудности, связанные, в частности, со смертью, болезнью или лишением свободы их кормильца.</w:t>
      </w:r>
    </w:p>
    <w:p w:rsidR="00000000" w:rsidRDefault="00000000"/>
    <w:p w:rsidR="00000000" w:rsidRDefault="00000000">
      <w:r>
        <w:t>41.</w:t>
      </w:r>
      <w:r>
        <w:tab/>
        <w:t>Закон предусматривает право каждого гражданина (включая как мужчин, так и женщин) получать не только денежные выплаты, но и пособия в натуральной форме - в виде услуг по линии социального обеспечения (в соответствии с тем принципом, что общество заботится о лицах, не имеющих жилья или кормильца, или лицах, которые в силу личных или социальных причин не в состоянии о себе заботиться) или в виде качественных медицинских услуг, оказываемых в целях обеспечения техники безопасности, лечения лиц, страдающих от производственных травм или профессионального заболевания, реабилитации и лечения инвалидов и медицинского обслуживания лиц в учреждениях социальной помощи.</w:t>
      </w:r>
    </w:p>
    <w:p w:rsidR="00000000" w:rsidRDefault="00000000"/>
    <w:p w:rsidR="00000000" w:rsidRDefault="00000000">
      <w:r>
        <w:t>42.</w:t>
      </w:r>
      <w:r>
        <w:tab/>
        <w:t>В подтверждение важности социального обеспечения для улучшения условий жизни и повышения их уровня жизни Законом № 20 1998 года был учрежден Фонд социального обеспечения для реализации намеченной политики.</w:t>
      </w:r>
    </w:p>
    <w:p w:rsidR="00000000" w:rsidRDefault="00000000"/>
    <w:p w:rsidR="00000000" w:rsidRDefault="00000000">
      <w:r>
        <w:t>43.</w:t>
      </w:r>
      <w:r>
        <w:tab/>
        <w:t>Следует отметить, что Ливийская Арабская Джамахирия связана своими обязательствами по ратифицированным ею соответствующим международным договорам, среди которых:</w:t>
      </w:r>
    </w:p>
    <w:p w:rsidR="00000000" w:rsidRDefault="00000000"/>
    <w:p w:rsidR="00000000" w:rsidRDefault="00000000">
      <w:pPr>
        <w:numPr>
          <w:ilvl w:val="0"/>
          <w:numId w:val="10"/>
        </w:numPr>
      </w:pPr>
      <w:r>
        <w:t>Конвенция 1952 года о минимальных нормах социального обеспечения (№ 102), ратифицированная 19 мая 1971 года;</w:t>
      </w:r>
    </w:p>
    <w:p w:rsidR="00000000" w:rsidRDefault="00000000">
      <w:pPr>
        <w:ind w:left="1134" w:hanging="1134"/>
      </w:pPr>
    </w:p>
    <w:p w:rsidR="00000000" w:rsidRDefault="00000000">
      <w:pPr>
        <w:numPr>
          <w:ilvl w:val="0"/>
          <w:numId w:val="10"/>
        </w:numPr>
      </w:pPr>
      <w:r>
        <w:t>Конвенция 1964 года о пособиях в случаях производственного травматизма (№ 121), ратифицированная 25 мая 1971 года;</w:t>
      </w:r>
    </w:p>
    <w:p w:rsidR="00000000" w:rsidRDefault="00000000">
      <w:pPr>
        <w:ind w:left="1134" w:hanging="1134"/>
      </w:pPr>
    </w:p>
    <w:p w:rsidR="00000000" w:rsidRDefault="00000000">
      <w:pPr>
        <w:numPr>
          <w:ilvl w:val="0"/>
          <w:numId w:val="10"/>
        </w:numPr>
      </w:pPr>
      <w:r>
        <w:t>Конвенция 1967 года о пособиях по инвалидности, по старости и по случаю потери кормильца (№ 128), ратифицированная 19 июня 1971 года;  и</w:t>
      </w:r>
    </w:p>
    <w:p w:rsidR="00000000" w:rsidRDefault="00000000">
      <w:pPr>
        <w:ind w:left="1134" w:hanging="1134"/>
      </w:pPr>
    </w:p>
    <w:p w:rsidR="00000000" w:rsidRDefault="00000000">
      <w:pPr>
        <w:numPr>
          <w:ilvl w:val="0"/>
          <w:numId w:val="10"/>
        </w:numPr>
      </w:pPr>
      <w:r>
        <w:t>Конвенция 1969 года о медицинской помощи и пособиях по болезни (№ 130), ратифицированная 19 июня 1975 года.</w:t>
      </w:r>
    </w:p>
    <w:p w:rsidR="00000000" w:rsidRDefault="00000000"/>
    <w:p w:rsidR="00000000" w:rsidRDefault="00000000">
      <w:r>
        <w:t>44.</w:t>
      </w:r>
      <w:r>
        <w:tab/>
        <w:t>Как указано выше, эти конвенции имеют для органов исполнительной и судебной власти обязательный характер, поскольку международное право превалирует над внутренним законодательством.  В приведенной ниже таблице указаны суммарные показатели по различным видам пенсий, выплаченных в 2001 году.</w:t>
      </w:r>
    </w:p>
    <w:p w:rsidR="00000000" w:rsidRDefault="00000000"/>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030"/>
        <w:gridCol w:w="1413"/>
        <w:gridCol w:w="1907"/>
      </w:tblGrid>
      <w:tr w:rsidR="00000000">
        <w:trPr>
          <w:cantSplit/>
        </w:trPr>
        <w:tc>
          <w:tcPr>
            <w:tcW w:w="6030" w:type="dxa"/>
            <w:tcBorders>
              <w:bottom w:val="single" w:sz="4" w:space="0" w:color="auto"/>
            </w:tcBorders>
            <w:vAlign w:val="center"/>
          </w:tcPr>
          <w:p w:rsidR="00000000" w:rsidRDefault="00000000">
            <w:pPr>
              <w:spacing w:line="240" w:lineRule="auto"/>
              <w:jc w:val="center"/>
              <w:rPr>
                <w:sz w:val="21"/>
              </w:rPr>
            </w:pPr>
            <w:r>
              <w:rPr>
                <w:sz w:val="21"/>
              </w:rPr>
              <w:t>Вид пенсии</w:t>
            </w:r>
          </w:p>
        </w:tc>
        <w:tc>
          <w:tcPr>
            <w:tcW w:w="1413" w:type="dxa"/>
            <w:tcBorders>
              <w:bottom w:val="single" w:sz="4" w:space="0" w:color="auto"/>
            </w:tcBorders>
            <w:vAlign w:val="center"/>
          </w:tcPr>
          <w:p w:rsidR="00000000" w:rsidRDefault="00000000">
            <w:pPr>
              <w:spacing w:line="240" w:lineRule="auto"/>
              <w:jc w:val="center"/>
              <w:rPr>
                <w:sz w:val="21"/>
              </w:rPr>
            </w:pPr>
            <w:r>
              <w:rPr>
                <w:sz w:val="21"/>
              </w:rPr>
              <w:t>Количество бенефициаров</w:t>
            </w:r>
          </w:p>
        </w:tc>
        <w:tc>
          <w:tcPr>
            <w:tcW w:w="1907" w:type="dxa"/>
            <w:tcBorders>
              <w:bottom w:val="single" w:sz="4" w:space="0" w:color="auto"/>
            </w:tcBorders>
            <w:vAlign w:val="center"/>
          </w:tcPr>
          <w:p w:rsidR="00000000" w:rsidRDefault="00000000">
            <w:pPr>
              <w:spacing w:line="240" w:lineRule="auto"/>
              <w:jc w:val="center"/>
              <w:rPr>
                <w:sz w:val="21"/>
              </w:rPr>
            </w:pPr>
            <w:r>
              <w:rPr>
                <w:sz w:val="21"/>
              </w:rPr>
              <w:t>Сумма в млн. ливийских динаров</w:t>
            </w:r>
          </w:p>
        </w:tc>
      </w:tr>
      <w:tr w:rsidR="00000000">
        <w:trPr>
          <w:cantSplit/>
        </w:trPr>
        <w:tc>
          <w:tcPr>
            <w:tcW w:w="6030" w:type="dxa"/>
            <w:tcBorders>
              <w:bottom w:val="nil"/>
            </w:tcBorders>
          </w:tcPr>
          <w:p w:rsidR="00000000" w:rsidRDefault="00000000">
            <w:pPr>
              <w:spacing w:line="240" w:lineRule="auto"/>
              <w:rPr>
                <w:sz w:val="21"/>
              </w:rPr>
            </w:pPr>
            <w:r>
              <w:rPr>
                <w:sz w:val="21"/>
              </w:rPr>
              <w:t>Страховая пенсия</w:t>
            </w:r>
          </w:p>
        </w:tc>
        <w:tc>
          <w:tcPr>
            <w:tcW w:w="1413" w:type="dxa"/>
            <w:tcBorders>
              <w:bottom w:val="nil"/>
            </w:tcBorders>
          </w:tcPr>
          <w:p w:rsidR="00000000" w:rsidRDefault="00000000">
            <w:pPr>
              <w:tabs>
                <w:tab w:val="clear" w:pos="567"/>
                <w:tab w:val="clear" w:pos="1134"/>
                <w:tab w:val="clear" w:pos="1701"/>
                <w:tab w:val="clear" w:pos="2268"/>
                <w:tab w:val="clear" w:pos="6237"/>
              </w:tabs>
              <w:spacing w:line="240" w:lineRule="auto"/>
              <w:ind w:right="498"/>
              <w:jc w:val="right"/>
              <w:rPr>
                <w:sz w:val="21"/>
              </w:rPr>
            </w:pPr>
            <w:r>
              <w:rPr>
                <w:sz w:val="21"/>
              </w:rPr>
              <w:t>6 879</w:t>
            </w:r>
          </w:p>
        </w:tc>
        <w:tc>
          <w:tcPr>
            <w:tcW w:w="1907" w:type="dxa"/>
            <w:tcBorders>
              <w:bottom w:val="nil"/>
            </w:tcBorders>
          </w:tcPr>
          <w:p w:rsidR="00000000" w:rsidRDefault="00000000">
            <w:pPr>
              <w:tabs>
                <w:tab w:val="clear" w:pos="567"/>
                <w:tab w:val="clear" w:pos="1134"/>
                <w:tab w:val="clear" w:pos="1701"/>
                <w:tab w:val="clear" w:pos="2268"/>
                <w:tab w:val="clear" w:pos="6237"/>
                <w:tab w:val="decimal" w:pos="1361"/>
              </w:tabs>
              <w:spacing w:line="240" w:lineRule="auto"/>
              <w:rPr>
                <w:sz w:val="21"/>
              </w:rPr>
            </w:pPr>
            <w:r>
              <w:rPr>
                <w:sz w:val="21"/>
              </w:rPr>
              <w:t>8 131</w:t>
            </w:r>
          </w:p>
        </w:tc>
      </w:tr>
      <w:tr w:rsidR="00000000">
        <w:trPr>
          <w:cantSplit/>
        </w:trPr>
        <w:tc>
          <w:tcPr>
            <w:tcW w:w="6030" w:type="dxa"/>
            <w:tcBorders>
              <w:top w:val="nil"/>
              <w:bottom w:val="nil"/>
            </w:tcBorders>
          </w:tcPr>
          <w:p w:rsidR="00000000" w:rsidRDefault="00000000">
            <w:pPr>
              <w:spacing w:line="240" w:lineRule="auto"/>
              <w:rPr>
                <w:sz w:val="21"/>
              </w:rPr>
            </w:pPr>
            <w:r>
              <w:rPr>
                <w:sz w:val="21"/>
              </w:rPr>
              <w:t>Пенсия по линии социального обеспечения</w:t>
            </w:r>
          </w:p>
        </w:tc>
        <w:tc>
          <w:tcPr>
            <w:tcW w:w="141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498"/>
              <w:jc w:val="right"/>
              <w:rPr>
                <w:sz w:val="21"/>
              </w:rPr>
            </w:pPr>
            <w:r>
              <w:rPr>
                <w:sz w:val="21"/>
              </w:rPr>
              <w:t>208 652</w:t>
            </w:r>
          </w:p>
        </w:tc>
        <w:tc>
          <w:tcPr>
            <w:tcW w:w="1907" w:type="dxa"/>
            <w:tcBorders>
              <w:top w:val="nil"/>
              <w:bottom w:val="nil"/>
            </w:tcBorders>
          </w:tcPr>
          <w:p w:rsidR="00000000" w:rsidRDefault="00000000">
            <w:pPr>
              <w:tabs>
                <w:tab w:val="clear" w:pos="567"/>
                <w:tab w:val="clear" w:pos="1134"/>
                <w:tab w:val="clear" w:pos="1701"/>
                <w:tab w:val="clear" w:pos="2268"/>
                <w:tab w:val="clear" w:pos="6237"/>
                <w:tab w:val="decimal" w:pos="1361"/>
              </w:tabs>
              <w:spacing w:line="240" w:lineRule="auto"/>
              <w:rPr>
                <w:sz w:val="21"/>
              </w:rPr>
            </w:pPr>
            <w:r>
              <w:rPr>
                <w:sz w:val="21"/>
              </w:rPr>
              <w:t>444 543</w:t>
            </w:r>
          </w:p>
        </w:tc>
      </w:tr>
      <w:tr w:rsidR="00000000">
        <w:trPr>
          <w:cantSplit/>
        </w:trPr>
        <w:tc>
          <w:tcPr>
            <w:tcW w:w="6030" w:type="dxa"/>
            <w:tcBorders>
              <w:top w:val="nil"/>
              <w:bottom w:val="nil"/>
            </w:tcBorders>
          </w:tcPr>
          <w:p w:rsidR="00000000" w:rsidRDefault="00000000">
            <w:pPr>
              <w:spacing w:line="240" w:lineRule="auto"/>
              <w:rPr>
                <w:sz w:val="21"/>
              </w:rPr>
            </w:pPr>
            <w:r>
              <w:rPr>
                <w:sz w:val="21"/>
              </w:rPr>
              <w:t>Пенсия в связи с выходом в отставку с государственной службы</w:t>
            </w:r>
          </w:p>
        </w:tc>
        <w:tc>
          <w:tcPr>
            <w:tcW w:w="1413" w:type="dxa"/>
            <w:tcBorders>
              <w:top w:val="nil"/>
              <w:bottom w:val="nil"/>
            </w:tcBorders>
          </w:tcPr>
          <w:p w:rsidR="00000000" w:rsidRDefault="00000000">
            <w:pPr>
              <w:tabs>
                <w:tab w:val="clear" w:pos="567"/>
                <w:tab w:val="clear" w:pos="1134"/>
                <w:tab w:val="clear" w:pos="1701"/>
                <w:tab w:val="clear" w:pos="2268"/>
                <w:tab w:val="clear" w:pos="6237"/>
              </w:tabs>
              <w:spacing w:line="240" w:lineRule="auto"/>
              <w:ind w:right="498"/>
              <w:jc w:val="right"/>
              <w:rPr>
                <w:sz w:val="21"/>
              </w:rPr>
            </w:pPr>
            <w:r>
              <w:rPr>
                <w:sz w:val="21"/>
              </w:rPr>
              <w:t>4 249</w:t>
            </w:r>
          </w:p>
        </w:tc>
        <w:tc>
          <w:tcPr>
            <w:tcW w:w="1907" w:type="dxa"/>
            <w:tcBorders>
              <w:top w:val="nil"/>
              <w:bottom w:val="nil"/>
            </w:tcBorders>
          </w:tcPr>
          <w:p w:rsidR="00000000" w:rsidRDefault="00000000">
            <w:pPr>
              <w:tabs>
                <w:tab w:val="clear" w:pos="567"/>
                <w:tab w:val="clear" w:pos="1134"/>
                <w:tab w:val="clear" w:pos="1701"/>
                <w:tab w:val="clear" w:pos="2268"/>
                <w:tab w:val="clear" w:pos="6237"/>
                <w:tab w:val="decimal" w:pos="1361"/>
              </w:tabs>
              <w:spacing w:line="240" w:lineRule="auto"/>
              <w:rPr>
                <w:sz w:val="21"/>
              </w:rPr>
            </w:pPr>
            <w:r>
              <w:rPr>
                <w:sz w:val="21"/>
              </w:rPr>
              <w:t>6 872</w:t>
            </w:r>
          </w:p>
        </w:tc>
      </w:tr>
      <w:tr w:rsidR="00000000">
        <w:trPr>
          <w:cantSplit/>
        </w:trPr>
        <w:tc>
          <w:tcPr>
            <w:tcW w:w="6030" w:type="dxa"/>
            <w:tcBorders>
              <w:top w:val="nil"/>
            </w:tcBorders>
          </w:tcPr>
          <w:p w:rsidR="00000000" w:rsidRDefault="00000000">
            <w:pPr>
              <w:spacing w:line="240" w:lineRule="auto"/>
              <w:rPr>
                <w:sz w:val="21"/>
              </w:rPr>
            </w:pPr>
            <w:r>
              <w:rPr>
                <w:sz w:val="21"/>
              </w:rPr>
              <w:t>Пенсия в связи с выходом в отставку с военной службы</w:t>
            </w:r>
          </w:p>
        </w:tc>
        <w:tc>
          <w:tcPr>
            <w:tcW w:w="1413" w:type="dxa"/>
            <w:tcBorders>
              <w:top w:val="nil"/>
            </w:tcBorders>
          </w:tcPr>
          <w:p w:rsidR="00000000" w:rsidRDefault="00000000">
            <w:pPr>
              <w:tabs>
                <w:tab w:val="clear" w:pos="567"/>
                <w:tab w:val="clear" w:pos="1134"/>
                <w:tab w:val="clear" w:pos="1701"/>
                <w:tab w:val="clear" w:pos="2268"/>
                <w:tab w:val="clear" w:pos="6237"/>
              </w:tabs>
              <w:spacing w:line="240" w:lineRule="auto"/>
              <w:ind w:right="498"/>
              <w:jc w:val="right"/>
              <w:rPr>
                <w:sz w:val="21"/>
              </w:rPr>
            </w:pPr>
            <w:r>
              <w:rPr>
                <w:sz w:val="21"/>
              </w:rPr>
              <w:t>24 249</w:t>
            </w:r>
          </w:p>
        </w:tc>
        <w:tc>
          <w:tcPr>
            <w:tcW w:w="1907" w:type="dxa"/>
            <w:tcBorders>
              <w:top w:val="nil"/>
            </w:tcBorders>
          </w:tcPr>
          <w:p w:rsidR="00000000" w:rsidRDefault="00000000">
            <w:pPr>
              <w:tabs>
                <w:tab w:val="clear" w:pos="567"/>
                <w:tab w:val="clear" w:pos="1134"/>
                <w:tab w:val="clear" w:pos="1701"/>
                <w:tab w:val="clear" w:pos="2268"/>
                <w:tab w:val="clear" w:pos="6237"/>
                <w:tab w:val="decimal" w:pos="1361"/>
              </w:tabs>
              <w:spacing w:line="240" w:lineRule="auto"/>
              <w:rPr>
                <w:sz w:val="21"/>
              </w:rPr>
            </w:pPr>
            <w:r>
              <w:rPr>
                <w:sz w:val="21"/>
              </w:rPr>
              <w:t>55 169</w:t>
            </w:r>
          </w:p>
        </w:tc>
      </w:tr>
      <w:tr w:rsidR="00000000">
        <w:trPr>
          <w:cantSplit/>
        </w:trPr>
        <w:tc>
          <w:tcPr>
            <w:tcW w:w="6030" w:type="dxa"/>
          </w:tcPr>
          <w:p w:rsidR="00000000" w:rsidRDefault="00000000">
            <w:pPr>
              <w:spacing w:line="240" w:lineRule="auto"/>
              <w:rPr>
                <w:sz w:val="21"/>
              </w:rPr>
            </w:pPr>
            <w:r>
              <w:rPr>
                <w:sz w:val="21"/>
              </w:rPr>
              <w:tab/>
              <w:t>Итого</w:t>
            </w:r>
          </w:p>
        </w:tc>
        <w:tc>
          <w:tcPr>
            <w:tcW w:w="1413" w:type="dxa"/>
          </w:tcPr>
          <w:p w:rsidR="00000000" w:rsidRDefault="00000000">
            <w:pPr>
              <w:tabs>
                <w:tab w:val="clear" w:pos="567"/>
                <w:tab w:val="clear" w:pos="1134"/>
                <w:tab w:val="clear" w:pos="1701"/>
                <w:tab w:val="clear" w:pos="2268"/>
                <w:tab w:val="clear" w:pos="6237"/>
              </w:tabs>
              <w:spacing w:line="240" w:lineRule="auto"/>
              <w:ind w:right="498"/>
              <w:jc w:val="right"/>
              <w:rPr>
                <w:sz w:val="21"/>
              </w:rPr>
            </w:pPr>
            <w:r>
              <w:rPr>
                <w:sz w:val="21"/>
              </w:rPr>
              <w:t>242 229</w:t>
            </w:r>
          </w:p>
        </w:tc>
        <w:tc>
          <w:tcPr>
            <w:tcW w:w="1907" w:type="dxa"/>
          </w:tcPr>
          <w:p w:rsidR="00000000" w:rsidRDefault="00000000">
            <w:pPr>
              <w:tabs>
                <w:tab w:val="clear" w:pos="567"/>
                <w:tab w:val="clear" w:pos="1134"/>
                <w:tab w:val="clear" w:pos="1701"/>
                <w:tab w:val="clear" w:pos="2268"/>
                <w:tab w:val="clear" w:pos="6237"/>
                <w:tab w:val="decimal" w:pos="1361"/>
              </w:tabs>
              <w:spacing w:line="240" w:lineRule="auto"/>
              <w:rPr>
                <w:sz w:val="21"/>
              </w:rPr>
            </w:pPr>
            <w:r>
              <w:rPr>
                <w:sz w:val="21"/>
              </w:rPr>
              <w:t>514 715</w:t>
            </w:r>
          </w:p>
        </w:tc>
      </w:tr>
    </w:tbl>
    <w:p w:rsidR="00000000" w:rsidRDefault="00000000"/>
    <w:p w:rsidR="00000000" w:rsidRDefault="00000000">
      <w:pPr>
        <w:jc w:val="center"/>
      </w:pPr>
      <w:r>
        <w:rPr>
          <w:b/>
          <w:bCs/>
        </w:rPr>
        <w:t>Статья 10 - Право на охрану семьи, а также матерей и детей</w:t>
      </w:r>
    </w:p>
    <w:p w:rsidR="00000000" w:rsidRDefault="00000000">
      <w:pPr>
        <w:jc w:val="center"/>
      </w:pPr>
    </w:p>
    <w:p w:rsidR="00000000" w:rsidRDefault="00000000">
      <w:r>
        <w:t>45.</w:t>
      </w:r>
      <w:r>
        <w:tab/>
        <w:t>Под термином "семья" обычно понимается базовая ячейка, состоящая из отца, матери и детей.  Однако по ливийской традиции в семью входят также бабушки и дедушки и родственники (так называемая "расширенная семья").</w:t>
      </w:r>
    </w:p>
    <w:p w:rsidR="00000000" w:rsidRDefault="00000000"/>
    <w:p w:rsidR="00000000" w:rsidRDefault="00000000">
      <w:r>
        <w:t>46.</w:t>
      </w:r>
      <w:r>
        <w:tab/>
        <w:t>Возрастом достижения совершеннолетия считается 18 лет.  С этого возраста в соответствии с положениями статьи 1 Закона о несовершеннолетних преступниках и положениями Уголовного кодекса Ливии, касающимися уголовной ответственности, на детей возлагается ответственность за их действия.</w:t>
      </w:r>
    </w:p>
    <w:p w:rsidR="00000000" w:rsidRDefault="00000000"/>
    <w:p w:rsidR="00000000" w:rsidRDefault="00000000">
      <w:r>
        <w:t>47.</w:t>
      </w:r>
      <w:r>
        <w:tab/>
        <w:t>Охрана семьи является одним из основополагающих принципов ливийского общества.  По канонам ислама общество поощряет браки и не одобряет разводы.</w:t>
      </w:r>
    </w:p>
    <w:p w:rsidR="00000000" w:rsidRDefault="00000000"/>
    <w:p w:rsidR="00000000" w:rsidRDefault="00000000">
      <w:r>
        <w:t>48.</w:t>
      </w:r>
      <w:r>
        <w:tab/>
        <w:t>В дополнение к информации, представленной в первоначальном докладе Джамахирии Комитету по экономическим, социальным и культурным правам, а также в ее докладах об осуществлении Конвенции о правах ребенка, Конвенции о ликвидации всех форм дискриминации в отношении женщин и Международного пакта о гражданских и политических правах, следует указать, что в Ливии принято законодательство об охране семьи и проводится политика, призванная гарантировать ее безопасность и стабильность.  Глава вторая раздела III Уголовного кодекса, озаглавленная "Правонарушения против семьи", относит к числу уголовных ряд деяний, нарушающих права семьи, таких, как неуплата алиментов или средств на содержание семьи, невыполнение обязанностей по отношению к членам семьи (статья 396) и неподобающее использование дисциплинарных или воспитательных мер (статья 397).</w:t>
      </w:r>
    </w:p>
    <w:p w:rsidR="00000000" w:rsidRDefault="00000000"/>
    <w:p w:rsidR="00000000" w:rsidRDefault="00000000">
      <w:r>
        <w:t>49.</w:t>
      </w:r>
      <w:r>
        <w:tab/>
        <w:t>Согласно Закону № 10 1984 года, регулирующему процедуру заключения и расторжения брака, для заключения брака требуется согласие обеих сторон (статья 2).  Кроме того, в Законе говорится:  "Законные опекуны не имеют права принуждать находящихся на их попечении лиц к браку против их воли или препятствовать заключению ими брака с лицами по их собственному выбору".</w:t>
      </w:r>
    </w:p>
    <w:p w:rsidR="00000000" w:rsidRDefault="00000000"/>
    <w:p w:rsidR="00000000" w:rsidRDefault="00000000">
      <w:r>
        <w:t>50.</w:t>
      </w:r>
      <w:r>
        <w:tab/>
        <w:t>Для обеспечения особой охраны матерей в Законе № 13 1980 года о социальном обеспечении предусмотрено, что матери имеют право на получение пособий при определенных обстоятельствах, включая пособие по беременности и родам, которое выплачивается с четвертого месяца беременности до момента родов, а также пособие по случаю рождения ребенка.  В 2002 году общая сумма выплаченных пособий по беременности и родам составила 37 000 178 ЛД, а пособий по случаю рождения ребенка </w:t>
      </w:r>
      <w:r>
        <w:noBreakHyphen/>
        <w:t xml:space="preserve"> 369 113 550 ЛД.  В следующей таблице приводятся статистические данные о доходах семей (в динарах) в 2001 году в разбивке по их количественному составу и ежегодному доходу.</w:t>
      </w:r>
    </w:p>
    <w:p w:rsidR="00000000" w:rsidRDefault="00000000"/>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1218"/>
        <w:gridCol w:w="909"/>
        <w:gridCol w:w="851"/>
        <w:gridCol w:w="850"/>
        <w:gridCol w:w="852"/>
        <w:gridCol w:w="851"/>
        <w:gridCol w:w="851"/>
        <w:gridCol w:w="851"/>
        <w:gridCol w:w="851"/>
        <w:gridCol w:w="1266"/>
      </w:tblGrid>
      <w:tr w:rsidR="00000000">
        <w:trPr>
          <w:cantSplit/>
        </w:trPr>
        <w:tc>
          <w:tcPr>
            <w:tcW w:w="1218" w:type="dxa"/>
            <w:vMerge w:val="restart"/>
            <w:vAlign w:val="center"/>
          </w:tcPr>
          <w:p w:rsidR="00000000" w:rsidRDefault="00000000">
            <w:pPr>
              <w:keepNext/>
              <w:spacing w:line="240" w:lineRule="auto"/>
              <w:jc w:val="center"/>
              <w:rPr>
                <w:sz w:val="20"/>
              </w:rPr>
            </w:pPr>
            <w:r>
              <w:rPr>
                <w:sz w:val="20"/>
              </w:rPr>
              <w:t>Количество членов семьи</w:t>
            </w:r>
          </w:p>
        </w:tc>
        <w:tc>
          <w:tcPr>
            <w:tcW w:w="6866" w:type="dxa"/>
            <w:gridSpan w:val="8"/>
            <w:vAlign w:val="center"/>
          </w:tcPr>
          <w:p w:rsidR="00000000" w:rsidRDefault="00000000">
            <w:pPr>
              <w:keepNext/>
              <w:spacing w:line="240" w:lineRule="auto"/>
              <w:jc w:val="center"/>
              <w:rPr>
                <w:sz w:val="20"/>
              </w:rPr>
            </w:pPr>
            <w:r>
              <w:rPr>
                <w:sz w:val="20"/>
              </w:rPr>
              <w:t>Ежегодный семейный доход</w:t>
            </w:r>
          </w:p>
        </w:tc>
        <w:tc>
          <w:tcPr>
            <w:tcW w:w="1266" w:type="dxa"/>
            <w:vMerge w:val="restart"/>
            <w:vAlign w:val="center"/>
          </w:tcPr>
          <w:p w:rsidR="00000000" w:rsidRDefault="00000000">
            <w:pPr>
              <w:keepNext/>
              <w:spacing w:line="240" w:lineRule="auto"/>
              <w:jc w:val="center"/>
              <w:rPr>
                <w:sz w:val="20"/>
              </w:rPr>
            </w:pPr>
            <w:r>
              <w:rPr>
                <w:sz w:val="20"/>
              </w:rPr>
              <w:t>Количество семей</w:t>
            </w:r>
          </w:p>
        </w:tc>
      </w:tr>
      <w:tr w:rsidR="00000000">
        <w:trPr>
          <w:cantSplit/>
        </w:trPr>
        <w:tc>
          <w:tcPr>
            <w:tcW w:w="1218" w:type="dxa"/>
            <w:vMerge/>
            <w:vAlign w:val="center"/>
          </w:tcPr>
          <w:p w:rsidR="00000000" w:rsidRDefault="00000000">
            <w:pPr>
              <w:keepNext/>
              <w:spacing w:line="240" w:lineRule="auto"/>
              <w:jc w:val="center"/>
              <w:rPr>
                <w:sz w:val="20"/>
              </w:rPr>
            </w:pPr>
          </w:p>
        </w:tc>
        <w:tc>
          <w:tcPr>
            <w:tcW w:w="909" w:type="dxa"/>
            <w:vAlign w:val="center"/>
          </w:tcPr>
          <w:p w:rsidR="00000000" w:rsidRDefault="00000000">
            <w:pPr>
              <w:keepNext/>
              <w:spacing w:line="240" w:lineRule="auto"/>
              <w:jc w:val="center"/>
              <w:rPr>
                <w:sz w:val="20"/>
              </w:rPr>
            </w:pPr>
            <w:r>
              <w:rPr>
                <w:sz w:val="20"/>
              </w:rPr>
              <w:t>Менее 2 000</w:t>
            </w:r>
          </w:p>
        </w:tc>
        <w:tc>
          <w:tcPr>
            <w:tcW w:w="851" w:type="dxa"/>
            <w:vAlign w:val="center"/>
          </w:tcPr>
          <w:p w:rsidR="00000000" w:rsidRDefault="00000000">
            <w:pPr>
              <w:keepNext/>
              <w:spacing w:line="240" w:lineRule="auto"/>
              <w:jc w:val="center"/>
              <w:rPr>
                <w:sz w:val="20"/>
              </w:rPr>
            </w:pPr>
            <w:r>
              <w:rPr>
                <w:sz w:val="20"/>
              </w:rPr>
              <w:t>2 000</w:t>
            </w:r>
          </w:p>
        </w:tc>
        <w:tc>
          <w:tcPr>
            <w:tcW w:w="850" w:type="dxa"/>
            <w:vAlign w:val="center"/>
          </w:tcPr>
          <w:p w:rsidR="00000000" w:rsidRDefault="00000000">
            <w:pPr>
              <w:keepNext/>
              <w:spacing w:line="240" w:lineRule="auto"/>
              <w:jc w:val="center"/>
              <w:rPr>
                <w:sz w:val="20"/>
              </w:rPr>
            </w:pPr>
            <w:r>
              <w:rPr>
                <w:sz w:val="20"/>
              </w:rPr>
              <w:t>2 500</w:t>
            </w:r>
          </w:p>
        </w:tc>
        <w:tc>
          <w:tcPr>
            <w:tcW w:w="852" w:type="dxa"/>
            <w:vAlign w:val="center"/>
          </w:tcPr>
          <w:p w:rsidR="00000000" w:rsidRDefault="00000000">
            <w:pPr>
              <w:keepNext/>
              <w:spacing w:line="240" w:lineRule="auto"/>
              <w:jc w:val="center"/>
              <w:rPr>
                <w:sz w:val="20"/>
              </w:rPr>
            </w:pPr>
            <w:r>
              <w:rPr>
                <w:sz w:val="20"/>
              </w:rPr>
              <w:t>3 000</w:t>
            </w:r>
          </w:p>
        </w:tc>
        <w:tc>
          <w:tcPr>
            <w:tcW w:w="851" w:type="dxa"/>
            <w:vAlign w:val="center"/>
          </w:tcPr>
          <w:p w:rsidR="00000000" w:rsidRDefault="00000000">
            <w:pPr>
              <w:keepNext/>
              <w:spacing w:line="240" w:lineRule="auto"/>
              <w:jc w:val="center"/>
              <w:rPr>
                <w:sz w:val="20"/>
              </w:rPr>
            </w:pPr>
            <w:r>
              <w:rPr>
                <w:sz w:val="20"/>
              </w:rPr>
              <w:t>4 000</w:t>
            </w:r>
          </w:p>
        </w:tc>
        <w:tc>
          <w:tcPr>
            <w:tcW w:w="851" w:type="dxa"/>
            <w:vAlign w:val="center"/>
          </w:tcPr>
          <w:p w:rsidR="00000000" w:rsidRDefault="00000000">
            <w:pPr>
              <w:keepNext/>
              <w:spacing w:line="240" w:lineRule="auto"/>
              <w:jc w:val="center"/>
              <w:rPr>
                <w:sz w:val="20"/>
              </w:rPr>
            </w:pPr>
            <w:r>
              <w:rPr>
                <w:sz w:val="20"/>
              </w:rPr>
              <w:t>5 000</w:t>
            </w:r>
          </w:p>
        </w:tc>
        <w:tc>
          <w:tcPr>
            <w:tcW w:w="851" w:type="dxa"/>
            <w:vAlign w:val="center"/>
          </w:tcPr>
          <w:p w:rsidR="00000000" w:rsidRDefault="00000000">
            <w:pPr>
              <w:keepNext/>
              <w:spacing w:line="240" w:lineRule="auto"/>
              <w:jc w:val="center"/>
              <w:rPr>
                <w:sz w:val="20"/>
              </w:rPr>
            </w:pPr>
            <w:r>
              <w:rPr>
                <w:sz w:val="20"/>
              </w:rPr>
              <w:t>6 500</w:t>
            </w:r>
          </w:p>
        </w:tc>
        <w:tc>
          <w:tcPr>
            <w:tcW w:w="851" w:type="dxa"/>
            <w:vAlign w:val="center"/>
          </w:tcPr>
          <w:p w:rsidR="00000000" w:rsidRDefault="00000000">
            <w:pPr>
              <w:keepNext/>
              <w:spacing w:line="240" w:lineRule="auto"/>
              <w:jc w:val="center"/>
              <w:rPr>
                <w:sz w:val="20"/>
              </w:rPr>
            </w:pPr>
            <w:r>
              <w:rPr>
                <w:sz w:val="20"/>
              </w:rPr>
              <w:t>Более 8 000</w:t>
            </w:r>
          </w:p>
        </w:tc>
        <w:tc>
          <w:tcPr>
            <w:tcW w:w="1266" w:type="dxa"/>
            <w:vMerge/>
            <w:vAlign w:val="center"/>
          </w:tcPr>
          <w:p w:rsidR="00000000" w:rsidRDefault="00000000">
            <w:pPr>
              <w:keepNext/>
              <w:spacing w:line="240" w:lineRule="auto"/>
              <w:jc w:val="center"/>
              <w:rPr>
                <w:sz w:val="20"/>
              </w:rPr>
            </w:pPr>
          </w:p>
        </w:tc>
      </w:tr>
      <w:tr w:rsidR="00000000">
        <w:tc>
          <w:tcPr>
            <w:tcW w:w="1218" w:type="dxa"/>
            <w:tcBorders>
              <w:bottom w:val="nil"/>
            </w:tcBorders>
          </w:tcPr>
          <w:p w:rsidR="00000000" w:rsidRDefault="00000000">
            <w:pPr>
              <w:keepNext/>
              <w:spacing w:line="240" w:lineRule="auto"/>
              <w:rPr>
                <w:sz w:val="20"/>
              </w:rPr>
            </w:pPr>
            <w:r>
              <w:rPr>
                <w:sz w:val="20"/>
              </w:rPr>
              <w:t>1-4</w:t>
            </w:r>
          </w:p>
        </w:tc>
        <w:tc>
          <w:tcPr>
            <w:tcW w:w="909" w:type="dxa"/>
            <w:tcBorders>
              <w:bottom w:val="nil"/>
            </w:tcBorders>
          </w:tcPr>
          <w:p w:rsidR="00000000" w:rsidRDefault="00000000">
            <w:pPr>
              <w:keepNext/>
              <w:tabs>
                <w:tab w:val="clear" w:pos="567"/>
                <w:tab w:val="clear" w:pos="1134"/>
                <w:tab w:val="clear" w:pos="1701"/>
                <w:tab w:val="clear" w:pos="2268"/>
                <w:tab w:val="clear" w:pos="6237"/>
              </w:tabs>
              <w:spacing w:line="240" w:lineRule="auto"/>
              <w:ind w:right="142"/>
              <w:jc w:val="right"/>
              <w:rPr>
                <w:sz w:val="20"/>
              </w:rPr>
            </w:pPr>
            <w:r>
              <w:rPr>
                <w:sz w:val="20"/>
              </w:rPr>
              <w:t>140 926</w:t>
            </w:r>
          </w:p>
        </w:tc>
        <w:tc>
          <w:tcPr>
            <w:tcW w:w="851" w:type="dxa"/>
            <w:tcBorders>
              <w:bottom w:val="nil"/>
            </w:tcBorders>
          </w:tcPr>
          <w:p w:rsidR="00000000" w:rsidRDefault="00000000">
            <w:pPr>
              <w:keepNext/>
              <w:tabs>
                <w:tab w:val="clear" w:pos="567"/>
                <w:tab w:val="clear" w:pos="1134"/>
                <w:tab w:val="clear" w:pos="1701"/>
                <w:tab w:val="clear" w:pos="2268"/>
                <w:tab w:val="clear" w:pos="6237"/>
              </w:tabs>
              <w:spacing w:line="240" w:lineRule="auto"/>
              <w:ind w:right="85"/>
              <w:jc w:val="right"/>
              <w:rPr>
                <w:sz w:val="20"/>
              </w:rPr>
            </w:pPr>
            <w:r>
              <w:rPr>
                <w:sz w:val="20"/>
              </w:rPr>
              <w:t>44 756</w:t>
            </w:r>
          </w:p>
        </w:tc>
        <w:tc>
          <w:tcPr>
            <w:tcW w:w="850" w:type="dxa"/>
            <w:tcBorders>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20 067</w:t>
            </w:r>
          </w:p>
        </w:tc>
        <w:tc>
          <w:tcPr>
            <w:tcW w:w="852" w:type="dxa"/>
            <w:tcBorders>
              <w:bottom w:val="nil"/>
            </w:tcBorders>
          </w:tcPr>
          <w:p w:rsidR="00000000" w:rsidRDefault="00000000">
            <w:pPr>
              <w:keepNext/>
              <w:tabs>
                <w:tab w:val="clear" w:pos="567"/>
                <w:tab w:val="clear" w:pos="1134"/>
                <w:tab w:val="clear" w:pos="1701"/>
                <w:tab w:val="clear" w:pos="2268"/>
                <w:tab w:val="clear" w:pos="6237"/>
              </w:tabs>
              <w:spacing w:line="240" w:lineRule="auto"/>
              <w:ind w:right="85"/>
              <w:jc w:val="right"/>
              <w:rPr>
                <w:sz w:val="20"/>
              </w:rPr>
            </w:pPr>
            <w:r>
              <w:rPr>
                <w:sz w:val="20"/>
              </w:rPr>
              <w:t>42 832</w:t>
            </w:r>
          </w:p>
        </w:tc>
        <w:tc>
          <w:tcPr>
            <w:tcW w:w="851" w:type="dxa"/>
            <w:tcBorders>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28 961</w:t>
            </w:r>
          </w:p>
        </w:tc>
        <w:tc>
          <w:tcPr>
            <w:tcW w:w="851" w:type="dxa"/>
            <w:tcBorders>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16 832</w:t>
            </w:r>
          </w:p>
        </w:tc>
        <w:tc>
          <w:tcPr>
            <w:tcW w:w="851" w:type="dxa"/>
            <w:tcBorders>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4 473</w:t>
            </w:r>
          </w:p>
        </w:tc>
        <w:tc>
          <w:tcPr>
            <w:tcW w:w="851" w:type="dxa"/>
            <w:tcBorders>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3 506</w:t>
            </w:r>
          </w:p>
        </w:tc>
        <w:tc>
          <w:tcPr>
            <w:tcW w:w="1266" w:type="dxa"/>
            <w:tcBorders>
              <w:bottom w:val="nil"/>
            </w:tcBorders>
          </w:tcPr>
          <w:p w:rsidR="00000000" w:rsidRDefault="00000000">
            <w:pPr>
              <w:keepNext/>
              <w:tabs>
                <w:tab w:val="clear" w:pos="567"/>
                <w:tab w:val="clear" w:pos="1134"/>
                <w:tab w:val="clear" w:pos="1701"/>
                <w:tab w:val="clear" w:pos="2268"/>
                <w:tab w:val="clear" w:pos="6237"/>
                <w:tab w:val="decimal" w:pos="851"/>
              </w:tabs>
              <w:spacing w:line="240" w:lineRule="auto"/>
              <w:rPr>
                <w:sz w:val="20"/>
              </w:rPr>
            </w:pPr>
            <w:r>
              <w:rPr>
                <w:sz w:val="20"/>
              </w:rPr>
              <w:t>302 353</w:t>
            </w:r>
          </w:p>
        </w:tc>
      </w:tr>
      <w:tr w:rsidR="00000000">
        <w:tc>
          <w:tcPr>
            <w:tcW w:w="1218" w:type="dxa"/>
            <w:tcBorders>
              <w:top w:val="nil"/>
              <w:bottom w:val="nil"/>
            </w:tcBorders>
          </w:tcPr>
          <w:p w:rsidR="00000000" w:rsidRDefault="00000000">
            <w:pPr>
              <w:keepNext/>
              <w:spacing w:line="240" w:lineRule="auto"/>
              <w:rPr>
                <w:sz w:val="20"/>
              </w:rPr>
            </w:pPr>
            <w:r>
              <w:rPr>
                <w:sz w:val="20"/>
              </w:rPr>
              <w:t>5-6</w:t>
            </w:r>
          </w:p>
        </w:tc>
        <w:tc>
          <w:tcPr>
            <w:tcW w:w="909" w:type="dxa"/>
            <w:tcBorders>
              <w:top w:val="nil"/>
              <w:bottom w:val="nil"/>
            </w:tcBorders>
          </w:tcPr>
          <w:p w:rsidR="00000000" w:rsidRDefault="00000000">
            <w:pPr>
              <w:keepNext/>
              <w:tabs>
                <w:tab w:val="clear" w:pos="567"/>
                <w:tab w:val="clear" w:pos="1134"/>
                <w:tab w:val="clear" w:pos="1701"/>
                <w:tab w:val="clear" w:pos="2268"/>
                <w:tab w:val="clear" w:pos="6237"/>
              </w:tabs>
              <w:spacing w:line="240" w:lineRule="auto"/>
              <w:ind w:right="142"/>
              <w:jc w:val="right"/>
              <w:rPr>
                <w:sz w:val="20"/>
              </w:rPr>
            </w:pPr>
            <w:r>
              <w:rPr>
                <w:sz w:val="20"/>
              </w:rPr>
              <w:t>32 316</w:t>
            </w:r>
          </w:p>
        </w:tc>
        <w:tc>
          <w:tcPr>
            <w:tcW w:w="851" w:type="dxa"/>
            <w:tcBorders>
              <w:top w:val="nil"/>
              <w:bottom w:val="nil"/>
            </w:tcBorders>
          </w:tcPr>
          <w:p w:rsidR="00000000" w:rsidRDefault="00000000">
            <w:pPr>
              <w:keepNext/>
              <w:tabs>
                <w:tab w:val="clear" w:pos="567"/>
                <w:tab w:val="clear" w:pos="1134"/>
                <w:tab w:val="clear" w:pos="1701"/>
                <w:tab w:val="clear" w:pos="2268"/>
                <w:tab w:val="clear" w:pos="6237"/>
              </w:tabs>
              <w:spacing w:line="240" w:lineRule="auto"/>
              <w:ind w:right="85"/>
              <w:jc w:val="right"/>
              <w:rPr>
                <w:sz w:val="20"/>
              </w:rPr>
            </w:pPr>
            <w:r>
              <w:rPr>
                <w:sz w:val="20"/>
              </w:rPr>
              <w:t>21 978</w:t>
            </w:r>
          </w:p>
        </w:tc>
        <w:tc>
          <w:tcPr>
            <w:tcW w:w="850"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12 576</w:t>
            </w:r>
          </w:p>
        </w:tc>
        <w:tc>
          <w:tcPr>
            <w:tcW w:w="852" w:type="dxa"/>
            <w:tcBorders>
              <w:top w:val="nil"/>
              <w:bottom w:val="nil"/>
            </w:tcBorders>
          </w:tcPr>
          <w:p w:rsidR="00000000" w:rsidRDefault="00000000">
            <w:pPr>
              <w:keepNext/>
              <w:tabs>
                <w:tab w:val="clear" w:pos="567"/>
                <w:tab w:val="clear" w:pos="1134"/>
                <w:tab w:val="clear" w:pos="1701"/>
                <w:tab w:val="clear" w:pos="2268"/>
                <w:tab w:val="clear" w:pos="6237"/>
              </w:tabs>
              <w:spacing w:line="240" w:lineRule="auto"/>
              <w:ind w:right="85"/>
              <w:jc w:val="right"/>
              <w:rPr>
                <w:sz w:val="20"/>
              </w:rPr>
            </w:pPr>
            <w:r>
              <w:rPr>
                <w:sz w:val="20"/>
              </w:rPr>
              <w:t>31 793</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21 254</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19 931</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6 771</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6 345</w:t>
            </w:r>
          </w:p>
        </w:tc>
        <w:tc>
          <w:tcPr>
            <w:tcW w:w="1266" w:type="dxa"/>
            <w:tcBorders>
              <w:top w:val="nil"/>
              <w:bottom w:val="nil"/>
            </w:tcBorders>
          </w:tcPr>
          <w:p w:rsidR="00000000" w:rsidRDefault="00000000">
            <w:pPr>
              <w:keepNext/>
              <w:tabs>
                <w:tab w:val="clear" w:pos="567"/>
                <w:tab w:val="clear" w:pos="1134"/>
                <w:tab w:val="clear" w:pos="1701"/>
                <w:tab w:val="clear" w:pos="2268"/>
                <w:tab w:val="clear" w:pos="6237"/>
                <w:tab w:val="decimal" w:pos="851"/>
              </w:tabs>
              <w:spacing w:line="240" w:lineRule="auto"/>
              <w:rPr>
                <w:sz w:val="20"/>
              </w:rPr>
            </w:pPr>
            <w:r>
              <w:rPr>
                <w:sz w:val="20"/>
              </w:rPr>
              <w:t>153 864</w:t>
            </w:r>
          </w:p>
        </w:tc>
      </w:tr>
      <w:tr w:rsidR="00000000">
        <w:tc>
          <w:tcPr>
            <w:tcW w:w="1218" w:type="dxa"/>
            <w:tcBorders>
              <w:top w:val="nil"/>
              <w:bottom w:val="nil"/>
            </w:tcBorders>
          </w:tcPr>
          <w:p w:rsidR="00000000" w:rsidRDefault="00000000">
            <w:pPr>
              <w:keepNext/>
              <w:spacing w:line="240" w:lineRule="auto"/>
              <w:rPr>
                <w:sz w:val="20"/>
              </w:rPr>
            </w:pPr>
            <w:r>
              <w:rPr>
                <w:sz w:val="20"/>
              </w:rPr>
              <w:t>7-8</w:t>
            </w:r>
          </w:p>
        </w:tc>
        <w:tc>
          <w:tcPr>
            <w:tcW w:w="909" w:type="dxa"/>
            <w:tcBorders>
              <w:top w:val="nil"/>
              <w:bottom w:val="nil"/>
            </w:tcBorders>
          </w:tcPr>
          <w:p w:rsidR="00000000" w:rsidRDefault="00000000">
            <w:pPr>
              <w:keepNext/>
              <w:tabs>
                <w:tab w:val="clear" w:pos="567"/>
                <w:tab w:val="clear" w:pos="1134"/>
                <w:tab w:val="clear" w:pos="1701"/>
                <w:tab w:val="clear" w:pos="2268"/>
                <w:tab w:val="clear" w:pos="6237"/>
              </w:tabs>
              <w:spacing w:line="240" w:lineRule="auto"/>
              <w:ind w:right="142"/>
              <w:jc w:val="right"/>
              <w:rPr>
                <w:sz w:val="20"/>
              </w:rPr>
            </w:pPr>
            <w:r>
              <w:rPr>
                <w:sz w:val="20"/>
              </w:rPr>
              <w:t>21 853</w:t>
            </w:r>
          </w:p>
        </w:tc>
        <w:tc>
          <w:tcPr>
            <w:tcW w:w="851" w:type="dxa"/>
            <w:tcBorders>
              <w:top w:val="nil"/>
              <w:bottom w:val="nil"/>
            </w:tcBorders>
          </w:tcPr>
          <w:p w:rsidR="00000000" w:rsidRDefault="00000000">
            <w:pPr>
              <w:keepNext/>
              <w:tabs>
                <w:tab w:val="clear" w:pos="567"/>
                <w:tab w:val="clear" w:pos="1134"/>
                <w:tab w:val="clear" w:pos="1701"/>
                <w:tab w:val="clear" w:pos="2268"/>
                <w:tab w:val="clear" w:pos="6237"/>
              </w:tabs>
              <w:spacing w:line="240" w:lineRule="auto"/>
              <w:ind w:right="85"/>
              <w:jc w:val="right"/>
              <w:rPr>
                <w:sz w:val="20"/>
              </w:rPr>
            </w:pPr>
            <w:r>
              <w:rPr>
                <w:sz w:val="20"/>
              </w:rPr>
              <w:t>16 225</w:t>
            </w:r>
          </w:p>
        </w:tc>
        <w:tc>
          <w:tcPr>
            <w:tcW w:w="850"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9 136</w:t>
            </w:r>
          </w:p>
        </w:tc>
        <w:tc>
          <w:tcPr>
            <w:tcW w:w="852" w:type="dxa"/>
            <w:tcBorders>
              <w:top w:val="nil"/>
              <w:bottom w:val="nil"/>
            </w:tcBorders>
          </w:tcPr>
          <w:p w:rsidR="00000000" w:rsidRDefault="00000000">
            <w:pPr>
              <w:keepNext/>
              <w:tabs>
                <w:tab w:val="clear" w:pos="567"/>
                <w:tab w:val="clear" w:pos="1134"/>
                <w:tab w:val="clear" w:pos="1701"/>
                <w:tab w:val="clear" w:pos="2268"/>
                <w:tab w:val="clear" w:pos="6237"/>
              </w:tabs>
              <w:spacing w:line="240" w:lineRule="auto"/>
              <w:ind w:right="85"/>
              <w:jc w:val="right"/>
              <w:rPr>
                <w:sz w:val="20"/>
              </w:rPr>
            </w:pPr>
            <w:r>
              <w:rPr>
                <w:sz w:val="20"/>
              </w:rPr>
              <w:t>28 308</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16 597</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17 245</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8 233</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8 882</w:t>
            </w:r>
          </w:p>
        </w:tc>
        <w:tc>
          <w:tcPr>
            <w:tcW w:w="1266" w:type="dxa"/>
            <w:tcBorders>
              <w:top w:val="nil"/>
              <w:bottom w:val="nil"/>
            </w:tcBorders>
          </w:tcPr>
          <w:p w:rsidR="00000000" w:rsidRDefault="00000000">
            <w:pPr>
              <w:keepNext/>
              <w:tabs>
                <w:tab w:val="clear" w:pos="567"/>
                <w:tab w:val="clear" w:pos="1134"/>
                <w:tab w:val="clear" w:pos="1701"/>
                <w:tab w:val="clear" w:pos="2268"/>
                <w:tab w:val="clear" w:pos="6237"/>
                <w:tab w:val="decimal" w:pos="851"/>
              </w:tabs>
              <w:spacing w:line="240" w:lineRule="auto"/>
              <w:rPr>
                <w:sz w:val="20"/>
              </w:rPr>
            </w:pPr>
            <w:r>
              <w:rPr>
                <w:sz w:val="20"/>
              </w:rPr>
              <w:t>126 479</w:t>
            </w:r>
          </w:p>
        </w:tc>
      </w:tr>
      <w:tr w:rsidR="00000000">
        <w:tc>
          <w:tcPr>
            <w:tcW w:w="1218" w:type="dxa"/>
            <w:tcBorders>
              <w:top w:val="nil"/>
              <w:bottom w:val="nil"/>
            </w:tcBorders>
          </w:tcPr>
          <w:p w:rsidR="00000000" w:rsidRDefault="00000000">
            <w:pPr>
              <w:keepNext/>
              <w:spacing w:line="240" w:lineRule="auto"/>
              <w:rPr>
                <w:sz w:val="20"/>
              </w:rPr>
            </w:pPr>
            <w:r>
              <w:rPr>
                <w:sz w:val="20"/>
              </w:rPr>
              <w:t>9-10</w:t>
            </w:r>
          </w:p>
        </w:tc>
        <w:tc>
          <w:tcPr>
            <w:tcW w:w="909" w:type="dxa"/>
            <w:tcBorders>
              <w:top w:val="nil"/>
              <w:bottom w:val="nil"/>
            </w:tcBorders>
          </w:tcPr>
          <w:p w:rsidR="00000000" w:rsidRDefault="00000000">
            <w:pPr>
              <w:keepNext/>
              <w:tabs>
                <w:tab w:val="clear" w:pos="567"/>
                <w:tab w:val="clear" w:pos="1134"/>
                <w:tab w:val="clear" w:pos="1701"/>
                <w:tab w:val="clear" w:pos="2268"/>
                <w:tab w:val="clear" w:pos="6237"/>
              </w:tabs>
              <w:spacing w:line="240" w:lineRule="auto"/>
              <w:ind w:right="142"/>
              <w:jc w:val="right"/>
              <w:rPr>
                <w:sz w:val="20"/>
              </w:rPr>
            </w:pPr>
            <w:r>
              <w:rPr>
                <w:sz w:val="20"/>
              </w:rPr>
              <w:t>16 026</w:t>
            </w:r>
          </w:p>
        </w:tc>
        <w:tc>
          <w:tcPr>
            <w:tcW w:w="851" w:type="dxa"/>
            <w:tcBorders>
              <w:top w:val="nil"/>
              <w:bottom w:val="nil"/>
            </w:tcBorders>
          </w:tcPr>
          <w:p w:rsidR="00000000" w:rsidRDefault="00000000">
            <w:pPr>
              <w:keepNext/>
              <w:tabs>
                <w:tab w:val="clear" w:pos="567"/>
                <w:tab w:val="clear" w:pos="1134"/>
                <w:tab w:val="clear" w:pos="1701"/>
                <w:tab w:val="clear" w:pos="2268"/>
                <w:tab w:val="clear" w:pos="6237"/>
              </w:tabs>
              <w:spacing w:line="240" w:lineRule="auto"/>
              <w:ind w:right="85"/>
              <w:jc w:val="right"/>
              <w:rPr>
                <w:sz w:val="20"/>
              </w:rPr>
            </w:pPr>
            <w:r>
              <w:rPr>
                <w:sz w:val="20"/>
              </w:rPr>
              <w:t>10 754</w:t>
            </w:r>
          </w:p>
        </w:tc>
        <w:tc>
          <w:tcPr>
            <w:tcW w:w="850"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6 015</w:t>
            </w:r>
          </w:p>
        </w:tc>
        <w:tc>
          <w:tcPr>
            <w:tcW w:w="852" w:type="dxa"/>
            <w:tcBorders>
              <w:top w:val="nil"/>
              <w:bottom w:val="nil"/>
            </w:tcBorders>
          </w:tcPr>
          <w:p w:rsidR="00000000" w:rsidRDefault="00000000">
            <w:pPr>
              <w:keepNext/>
              <w:tabs>
                <w:tab w:val="clear" w:pos="567"/>
                <w:tab w:val="clear" w:pos="1134"/>
                <w:tab w:val="clear" w:pos="1701"/>
                <w:tab w:val="clear" w:pos="2268"/>
                <w:tab w:val="clear" w:pos="6237"/>
              </w:tabs>
              <w:spacing w:line="240" w:lineRule="auto"/>
              <w:ind w:right="85"/>
              <w:jc w:val="right"/>
              <w:rPr>
                <w:sz w:val="20"/>
              </w:rPr>
            </w:pPr>
            <w:r>
              <w:rPr>
                <w:sz w:val="20"/>
              </w:rPr>
              <w:t>20 921</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12 555</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12 808</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7 223</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9 125</w:t>
            </w:r>
          </w:p>
        </w:tc>
        <w:tc>
          <w:tcPr>
            <w:tcW w:w="1266" w:type="dxa"/>
            <w:tcBorders>
              <w:top w:val="nil"/>
              <w:bottom w:val="nil"/>
            </w:tcBorders>
          </w:tcPr>
          <w:p w:rsidR="00000000" w:rsidRDefault="00000000">
            <w:pPr>
              <w:keepNext/>
              <w:tabs>
                <w:tab w:val="clear" w:pos="567"/>
                <w:tab w:val="clear" w:pos="1134"/>
                <w:tab w:val="clear" w:pos="1701"/>
                <w:tab w:val="clear" w:pos="2268"/>
                <w:tab w:val="clear" w:pos="6237"/>
                <w:tab w:val="decimal" w:pos="851"/>
              </w:tabs>
              <w:spacing w:line="240" w:lineRule="auto"/>
              <w:rPr>
                <w:sz w:val="20"/>
              </w:rPr>
            </w:pPr>
            <w:r>
              <w:rPr>
                <w:sz w:val="20"/>
              </w:rPr>
              <w:t>95 427</w:t>
            </w:r>
          </w:p>
        </w:tc>
      </w:tr>
      <w:tr w:rsidR="00000000">
        <w:tc>
          <w:tcPr>
            <w:tcW w:w="1218" w:type="dxa"/>
            <w:tcBorders>
              <w:top w:val="nil"/>
              <w:bottom w:val="nil"/>
            </w:tcBorders>
          </w:tcPr>
          <w:p w:rsidR="00000000" w:rsidRDefault="00000000">
            <w:pPr>
              <w:keepNext/>
              <w:spacing w:line="240" w:lineRule="auto"/>
              <w:rPr>
                <w:sz w:val="20"/>
              </w:rPr>
            </w:pPr>
            <w:r>
              <w:rPr>
                <w:sz w:val="20"/>
              </w:rPr>
              <w:t>11-12</w:t>
            </w:r>
          </w:p>
        </w:tc>
        <w:tc>
          <w:tcPr>
            <w:tcW w:w="909" w:type="dxa"/>
            <w:tcBorders>
              <w:top w:val="nil"/>
              <w:bottom w:val="nil"/>
            </w:tcBorders>
          </w:tcPr>
          <w:p w:rsidR="00000000" w:rsidRDefault="00000000">
            <w:pPr>
              <w:keepNext/>
              <w:tabs>
                <w:tab w:val="clear" w:pos="567"/>
                <w:tab w:val="clear" w:pos="1134"/>
                <w:tab w:val="clear" w:pos="1701"/>
                <w:tab w:val="clear" w:pos="2268"/>
                <w:tab w:val="clear" w:pos="6237"/>
              </w:tabs>
              <w:spacing w:line="240" w:lineRule="auto"/>
              <w:ind w:right="142"/>
              <w:jc w:val="right"/>
              <w:rPr>
                <w:sz w:val="20"/>
              </w:rPr>
            </w:pPr>
            <w:r>
              <w:rPr>
                <w:sz w:val="20"/>
              </w:rPr>
              <w:t>7 727</w:t>
            </w:r>
          </w:p>
        </w:tc>
        <w:tc>
          <w:tcPr>
            <w:tcW w:w="851" w:type="dxa"/>
            <w:tcBorders>
              <w:top w:val="nil"/>
              <w:bottom w:val="nil"/>
            </w:tcBorders>
          </w:tcPr>
          <w:p w:rsidR="00000000" w:rsidRDefault="00000000">
            <w:pPr>
              <w:keepNext/>
              <w:tabs>
                <w:tab w:val="clear" w:pos="567"/>
                <w:tab w:val="clear" w:pos="1134"/>
                <w:tab w:val="clear" w:pos="1701"/>
                <w:tab w:val="clear" w:pos="2268"/>
                <w:tab w:val="clear" w:pos="6237"/>
              </w:tabs>
              <w:spacing w:line="240" w:lineRule="auto"/>
              <w:ind w:right="85"/>
              <w:jc w:val="right"/>
              <w:rPr>
                <w:sz w:val="20"/>
              </w:rPr>
            </w:pPr>
            <w:r>
              <w:rPr>
                <w:sz w:val="20"/>
              </w:rPr>
              <w:t>6 072</w:t>
            </w:r>
          </w:p>
        </w:tc>
        <w:tc>
          <w:tcPr>
            <w:tcW w:w="850"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3 442</w:t>
            </w:r>
          </w:p>
        </w:tc>
        <w:tc>
          <w:tcPr>
            <w:tcW w:w="852" w:type="dxa"/>
            <w:tcBorders>
              <w:top w:val="nil"/>
              <w:bottom w:val="nil"/>
            </w:tcBorders>
          </w:tcPr>
          <w:p w:rsidR="00000000" w:rsidRDefault="00000000">
            <w:pPr>
              <w:keepNext/>
              <w:tabs>
                <w:tab w:val="clear" w:pos="567"/>
                <w:tab w:val="clear" w:pos="1134"/>
                <w:tab w:val="clear" w:pos="1701"/>
                <w:tab w:val="clear" w:pos="2268"/>
                <w:tab w:val="clear" w:pos="6237"/>
              </w:tabs>
              <w:spacing w:line="240" w:lineRule="auto"/>
              <w:ind w:right="85"/>
              <w:jc w:val="right"/>
              <w:rPr>
                <w:sz w:val="20"/>
              </w:rPr>
            </w:pPr>
            <w:r>
              <w:rPr>
                <w:sz w:val="20"/>
              </w:rPr>
              <w:t>11 895</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7 877</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8 426</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5 165</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7 087</w:t>
            </w:r>
          </w:p>
        </w:tc>
        <w:tc>
          <w:tcPr>
            <w:tcW w:w="1266" w:type="dxa"/>
            <w:tcBorders>
              <w:top w:val="nil"/>
              <w:bottom w:val="nil"/>
            </w:tcBorders>
          </w:tcPr>
          <w:p w:rsidR="00000000" w:rsidRDefault="00000000">
            <w:pPr>
              <w:keepNext/>
              <w:tabs>
                <w:tab w:val="clear" w:pos="567"/>
                <w:tab w:val="clear" w:pos="1134"/>
                <w:tab w:val="clear" w:pos="1701"/>
                <w:tab w:val="clear" w:pos="2268"/>
                <w:tab w:val="clear" w:pos="6237"/>
                <w:tab w:val="decimal" w:pos="851"/>
              </w:tabs>
              <w:spacing w:line="240" w:lineRule="auto"/>
              <w:rPr>
                <w:sz w:val="20"/>
              </w:rPr>
            </w:pPr>
            <w:r>
              <w:rPr>
                <w:sz w:val="20"/>
              </w:rPr>
              <w:t>57 691</w:t>
            </w:r>
          </w:p>
        </w:tc>
      </w:tr>
      <w:tr w:rsidR="00000000">
        <w:tc>
          <w:tcPr>
            <w:tcW w:w="1218" w:type="dxa"/>
            <w:tcBorders>
              <w:top w:val="nil"/>
              <w:bottom w:val="nil"/>
            </w:tcBorders>
          </w:tcPr>
          <w:p w:rsidR="00000000" w:rsidRDefault="00000000">
            <w:pPr>
              <w:keepNext/>
              <w:spacing w:line="240" w:lineRule="auto"/>
              <w:rPr>
                <w:sz w:val="20"/>
              </w:rPr>
            </w:pPr>
            <w:r>
              <w:rPr>
                <w:sz w:val="20"/>
              </w:rPr>
              <w:t>13-14</w:t>
            </w:r>
          </w:p>
        </w:tc>
        <w:tc>
          <w:tcPr>
            <w:tcW w:w="909" w:type="dxa"/>
            <w:tcBorders>
              <w:top w:val="nil"/>
              <w:bottom w:val="nil"/>
            </w:tcBorders>
          </w:tcPr>
          <w:p w:rsidR="00000000" w:rsidRDefault="00000000">
            <w:pPr>
              <w:keepNext/>
              <w:tabs>
                <w:tab w:val="clear" w:pos="567"/>
                <w:tab w:val="clear" w:pos="1134"/>
                <w:tab w:val="clear" w:pos="1701"/>
                <w:tab w:val="clear" w:pos="2268"/>
                <w:tab w:val="clear" w:pos="6237"/>
              </w:tabs>
              <w:spacing w:line="240" w:lineRule="auto"/>
              <w:ind w:right="142"/>
              <w:jc w:val="right"/>
              <w:rPr>
                <w:sz w:val="20"/>
              </w:rPr>
            </w:pPr>
            <w:r>
              <w:rPr>
                <w:sz w:val="20"/>
              </w:rPr>
              <w:t>3 136</w:t>
            </w:r>
          </w:p>
        </w:tc>
        <w:tc>
          <w:tcPr>
            <w:tcW w:w="851" w:type="dxa"/>
            <w:tcBorders>
              <w:top w:val="nil"/>
              <w:bottom w:val="nil"/>
            </w:tcBorders>
          </w:tcPr>
          <w:p w:rsidR="00000000" w:rsidRDefault="00000000">
            <w:pPr>
              <w:keepNext/>
              <w:tabs>
                <w:tab w:val="clear" w:pos="567"/>
                <w:tab w:val="clear" w:pos="1134"/>
                <w:tab w:val="clear" w:pos="1701"/>
                <w:tab w:val="clear" w:pos="2268"/>
                <w:tab w:val="clear" w:pos="6237"/>
              </w:tabs>
              <w:spacing w:line="240" w:lineRule="auto"/>
              <w:ind w:right="85"/>
              <w:jc w:val="right"/>
              <w:rPr>
                <w:sz w:val="20"/>
              </w:rPr>
            </w:pPr>
            <w:r>
              <w:rPr>
                <w:sz w:val="20"/>
              </w:rPr>
              <w:t>2 521</w:t>
            </w:r>
          </w:p>
        </w:tc>
        <w:tc>
          <w:tcPr>
            <w:tcW w:w="850"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1 503</w:t>
            </w:r>
          </w:p>
        </w:tc>
        <w:tc>
          <w:tcPr>
            <w:tcW w:w="852" w:type="dxa"/>
            <w:tcBorders>
              <w:top w:val="nil"/>
              <w:bottom w:val="nil"/>
            </w:tcBorders>
          </w:tcPr>
          <w:p w:rsidR="00000000" w:rsidRDefault="00000000">
            <w:pPr>
              <w:keepNext/>
              <w:tabs>
                <w:tab w:val="clear" w:pos="567"/>
                <w:tab w:val="clear" w:pos="1134"/>
                <w:tab w:val="clear" w:pos="1701"/>
                <w:tab w:val="clear" w:pos="2268"/>
                <w:tab w:val="clear" w:pos="6237"/>
              </w:tabs>
              <w:spacing w:line="240" w:lineRule="auto"/>
              <w:ind w:right="85"/>
              <w:jc w:val="right"/>
              <w:rPr>
                <w:sz w:val="20"/>
              </w:rPr>
            </w:pPr>
            <w:r>
              <w:rPr>
                <w:sz w:val="20"/>
              </w:rPr>
              <w:t>4 939</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3 673</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4 103</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2 616</w:t>
            </w:r>
          </w:p>
        </w:tc>
        <w:tc>
          <w:tcPr>
            <w:tcW w:w="851" w:type="dxa"/>
            <w:tcBorders>
              <w:top w:val="nil"/>
              <w:bottom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3 896</w:t>
            </w:r>
          </w:p>
        </w:tc>
        <w:tc>
          <w:tcPr>
            <w:tcW w:w="1266" w:type="dxa"/>
            <w:tcBorders>
              <w:top w:val="nil"/>
              <w:bottom w:val="nil"/>
            </w:tcBorders>
          </w:tcPr>
          <w:p w:rsidR="00000000" w:rsidRDefault="00000000">
            <w:pPr>
              <w:keepNext/>
              <w:tabs>
                <w:tab w:val="clear" w:pos="567"/>
                <w:tab w:val="clear" w:pos="1134"/>
                <w:tab w:val="clear" w:pos="1701"/>
                <w:tab w:val="clear" w:pos="2268"/>
                <w:tab w:val="clear" w:pos="6237"/>
                <w:tab w:val="decimal" w:pos="851"/>
              </w:tabs>
              <w:spacing w:line="240" w:lineRule="auto"/>
              <w:rPr>
                <w:sz w:val="20"/>
              </w:rPr>
            </w:pPr>
            <w:r>
              <w:rPr>
                <w:sz w:val="20"/>
              </w:rPr>
              <w:t>25 414</w:t>
            </w:r>
          </w:p>
        </w:tc>
      </w:tr>
      <w:tr w:rsidR="00000000">
        <w:tc>
          <w:tcPr>
            <w:tcW w:w="1218" w:type="dxa"/>
            <w:tcBorders>
              <w:top w:val="nil"/>
            </w:tcBorders>
          </w:tcPr>
          <w:p w:rsidR="00000000" w:rsidRDefault="00000000">
            <w:pPr>
              <w:keepNext/>
              <w:spacing w:line="240" w:lineRule="auto"/>
              <w:rPr>
                <w:sz w:val="20"/>
              </w:rPr>
            </w:pPr>
            <w:r>
              <w:rPr>
                <w:sz w:val="20"/>
              </w:rPr>
              <w:t>Более 15</w:t>
            </w:r>
          </w:p>
        </w:tc>
        <w:tc>
          <w:tcPr>
            <w:tcW w:w="909" w:type="dxa"/>
            <w:tcBorders>
              <w:top w:val="nil"/>
            </w:tcBorders>
          </w:tcPr>
          <w:p w:rsidR="00000000" w:rsidRDefault="00000000">
            <w:pPr>
              <w:keepNext/>
              <w:tabs>
                <w:tab w:val="clear" w:pos="567"/>
                <w:tab w:val="clear" w:pos="1134"/>
                <w:tab w:val="clear" w:pos="1701"/>
                <w:tab w:val="clear" w:pos="2268"/>
                <w:tab w:val="clear" w:pos="6237"/>
              </w:tabs>
              <w:spacing w:line="240" w:lineRule="auto"/>
              <w:ind w:right="142"/>
              <w:jc w:val="right"/>
              <w:rPr>
                <w:sz w:val="20"/>
              </w:rPr>
            </w:pPr>
            <w:r>
              <w:rPr>
                <w:sz w:val="20"/>
              </w:rPr>
              <w:t>1 665</w:t>
            </w:r>
          </w:p>
        </w:tc>
        <w:tc>
          <w:tcPr>
            <w:tcW w:w="851" w:type="dxa"/>
            <w:tcBorders>
              <w:top w:val="nil"/>
            </w:tcBorders>
          </w:tcPr>
          <w:p w:rsidR="00000000" w:rsidRDefault="00000000">
            <w:pPr>
              <w:keepNext/>
              <w:tabs>
                <w:tab w:val="clear" w:pos="567"/>
                <w:tab w:val="clear" w:pos="1134"/>
                <w:tab w:val="clear" w:pos="1701"/>
                <w:tab w:val="clear" w:pos="2268"/>
                <w:tab w:val="clear" w:pos="6237"/>
              </w:tabs>
              <w:spacing w:line="240" w:lineRule="auto"/>
              <w:ind w:right="85"/>
              <w:jc w:val="right"/>
              <w:rPr>
                <w:sz w:val="20"/>
              </w:rPr>
            </w:pPr>
            <w:r>
              <w:rPr>
                <w:sz w:val="20"/>
              </w:rPr>
              <w:t>1 198</w:t>
            </w:r>
          </w:p>
        </w:tc>
        <w:tc>
          <w:tcPr>
            <w:tcW w:w="850" w:type="dxa"/>
            <w:tcBorders>
              <w:top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683</w:t>
            </w:r>
          </w:p>
        </w:tc>
        <w:tc>
          <w:tcPr>
            <w:tcW w:w="852" w:type="dxa"/>
            <w:tcBorders>
              <w:top w:val="nil"/>
            </w:tcBorders>
          </w:tcPr>
          <w:p w:rsidR="00000000" w:rsidRDefault="00000000">
            <w:pPr>
              <w:keepNext/>
              <w:tabs>
                <w:tab w:val="clear" w:pos="567"/>
                <w:tab w:val="clear" w:pos="1134"/>
                <w:tab w:val="clear" w:pos="1701"/>
                <w:tab w:val="clear" w:pos="2268"/>
                <w:tab w:val="clear" w:pos="6237"/>
              </w:tabs>
              <w:spacing w:line="240" w:lineRule="auto"/>
              <w:ind w:right="85"/>
              <w:jc w:val="right"/>
              <w:rPr>
                <w:sz w:val="20"/>
              </w:rPr>
            </w:pPr>
            <w:r>
              <w:rPr>
                <w:sz w:val="20"/>
              </w:rPr>
              <w:t>2 376</w:t>
            </w:r>
          </w:p>
        </w:tc>
        <w:tc>
          <w:tcPr>
            <w:tcW w:w="851" w:type="dxa"/>
            <w:tcBorders>
              <w:top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1 993</w:t>
            </w:r>
          </w:p>
        </w:tc>
        <w:tc>
          <w:tcPr>
            <w:tcW w:w="851" w:type="dxa"/>
            <w:tcBorders>
              <w:top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2 415</w:t>
            </w:r>
          </w:p>
        </w:tc>
        <w:tc>
          <w:tcPr>
            <w:tcW w:w="851" w:type="dxa"/>
            <w:tcBorders>
              <w:top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1 763</w:t>
            </w:r>
          </w:p>
        </w:tc>
        <w:tc>
          <w:tcPr>
            <w:tcW w:w="851" w:type="dxa"/>
            <w:tcBorders>
              <w:top w:val="nil"/>
            </w:tcBorders>
          </w:tcPr>
          <w:p w:rsidR="00000000" w:rsidRDefault="00000000">
            <w:pPr>
              <w:keepNext/>
              <w:tabs>
                <w:tab w:val="clear" w:pos="1134"/>
                <w:tab w:val="clear" w:pos="1701"/>
                <w:tab w:val="clear" w:pos="2268"/>
                <w:tab w:val="clear" w:pos="6237"/>
                <w:tab w:val="decimal" w:pos="567"/>
              </w:tabs>
              <w:spacing w:line="240" w:lineRule="auto"/>
              <w:rPr>
                <w:sz w:val="20"/>
              </w:rPr>
            </w:pPr>
            <w:r>
              <w:rPr>
                <w:sz w:val="20"/>
              </w:rPr>
              <w:t>3 239</w:t>
            </w:r>
          </w:p>
        </w:tc>
        <w:tc>
          <w:tcPr>
            <w:tcW w:w="1266" w:type="dxa"/>
            <w:tcBorders>
              <w:top w:val="nil"/>
            </w:tcBorders>
          </w:tcPr>
          <w:p w:rsidR="00000000" w:rsidRDefault="00000000">
            <w:pPr>
              <w:keepNext/>
              <w:tabs>
                <w:tab w:val="clear" w:pos="567"/>
                <w:tab w:val="clear" w:pos="1134"/>
                <w:tab w:val="clear" w:pos="1701"/>
                <w:tab w:val="clear" w:pos="2268"/>
                <w:tab w:val="clear" w:pos="6237"/>
                <w:tab w:val="decimal" w:pos="851"/>
              </w:tabs>
              <w:spacing w:line="240" w:lineRule="auto"/>
              <w:rPr>
                <w:sz w:val="20"/>
              </w:rPr>
            </w:pPr>
            <w:r>
              <w:rPr>
                <w:sz w:val="20"/>
              </w:rPr>
              <w:t>15 332</w:t>
            </w:r>
          </w:p>
        </w:tc>
      </w:tr>
      <w:tr w:rsidR="00000000">
        <w:tc>
          <w:tcPr>
            <w:tcW w:w="1218" w:type="dxa"/>
          </w:tcPr>
          <w:p w:rsidR="00000000" w:rsidRDefault="00000000">
            <w:pPr>
              <w:keepNext/>
              <w:tabs>
                <w:tab w:val="left" w:pos="198"/>
              </w:tabs>
              <w:spacing w:line="240" w:lineRule="auto"/>
              <w:rPr>
                <w:sz w:val="20"/>
              </w:rPr>
            </w:pPr>
            <w:r>
              <w:rPr>
                <w:sz w:val="20"/>
              </w:rPr>
              <w:tab/>
              <w:t>Итого</w:t>
            </w:r>
          </w:p>
        </w:tc>
        <w:tc>
          <w:tcPr>
            <w:tcW w:w="909" w:type="dxa"/>
          </w:tcPr>
          <w:p w:rsidR="00000000" w:rsidRDefault="00000000">
            <w:pPr>
              <w:keepNext/>
              <w:tabs>
                <w:tab w:val="clear" w:pos="567"/>
                <w:tab w:val="clear" w:pos="1134"/>
                <w:tab w:val="clear" w:pos="1701"/>
                <w:tab w:val="clear" w:pos="2268"/>
                <w:tab w:val="clear" w:pos="6237"/>
              </w:tabs>
              <w:spacing w:line="240" w:lineRule="auto"/>
              <w:ind w:right="142"/>
              <w:jc w:val="right"/>
              <w:rPr>
                <w:sz w:val="20"/>
              </w:rPr>
            </w:pPr>
            <w:r>
              <w:rPr>
                <w:sz w:val="20"/>
              </w:rPr>
              <w:t>223 676</w:t>
            </w:r>
          </w:p>
        </w:tc>
        <w:tc>
          <w:tcPr>
            <w:tcW w:w="851" w:type="dxa"/>
          </w:tcPr>
          <w:p w:rsidR="00000000" w:rsidRDefault="00000000">
            <w:pPr>
              <w:keepNext/>
              <w:tabs>
                <w:tab w:val="clear" w:pos="567"/>
                <w:tab w:val="clear" w:pos="1134"/>
                <w:tab w:val="clear" w:pos="1701"/>
                <w:tab w:val="clear" w:pos="2268"/>
                <w:tab w:val="clear" w:pos="6237"/>
              </w:tabs>
              <w:spacing w:line="240" w:lineRule="auto"/>
              <w:ind w:right="85"/>
              <w:jc w:val="right"/>
              <w:rPr>
                <w:sz w:val="20"/>
              </w:rPr>
            </w:pPr>
            <w:r>
              <w:rPr>
                <w:sz w:val="20"/>
              </w:rPr>
              <w:t>103 504</w:t>
            </w:r>
          </w:p>
        </w:tc>
        <w:tc>
          <w:tcPr>
            <w:tcW w:w="850" w:type="dxa"/>
          </w:tcPr>
          <w:p w:rsidR="00000000" w:rsidRDefault="00000000">
            <w:pPr>
              <w:keepNext/>
              <w:tabs>
                <w:tab w:val="clear" w:pos="1134"/>
                <w:tab w:val="clear" w:pos="1701"/>
                <w:tab w:val="clear" w:pos="2268"/>
                <w:tab w:val="clear" w:pos="6237"/>
                <w:tab w:val="decimal" w:pos="567"/>
              </w:tabs>
              <w:spacing w:line="240" w:lineRule="auto"/>
              <w:rPr>
                <w:sz w:val="20"/>
              </w:rPr>
            </w:pPr>
            <w:r>
              <w:rPr>
                <w:sz w:val="20"/>
              </w:rPr>
              <w:t>53 422</w:t>
            </w:r>
          </w:p>
        </w:tc>
        <w:tc>
          <w:tcPr>
            <w:tcW w:w="852" w:type="dxa"/>
          </w:tcPr>
          <w:p w:rsidR="00000000" w:rsidRDefault="00000000">
            <w:pPr>
              <w:keepNext/>
              <w:tabs>
                <w:tab w:val="clear" w:pos="567"/>
                <w:tab w:val="clear" w:pos="1134"/>
                <w:tab w:val="clear" w:pos="1701"/>
                <w:tab w:val="clear" w:pos="2268"/>
                <w:tab w:val="clear" w:pos="6237"/>
              </w:tabs>
              <w:spacing w:line="240" w:lineRule="auto"/>
              <w:ind w:right="85"/>
              <w:jc w:val="right"/>
              <w:rPr>
                <w:sz w:val="20"/>
              </w:rPr>
            </w:pPr>
            <w:r>
              <w:rPr>
                <w:sz w:val="20"/>
              </w:rPr>
              <w:t>143 064</w:t>
            </w:r>
          </w:p>
        </w:tc>
        <w:tc>
          <w:tcPr>
            <w:tcW w:w="851" w:type="dxa"/>
          </w:tcPr>
          <w:p w:rsidR="00000000" w:rsidRDefault="00000000">
            <w:pPr>
              <w:keepNext/>
              <w:tabs>
                <w:tab w:val="clear" w:pos="1134"/>
                <w:tab w:val="clear" w:pos="1701"/>
                <w:tab w:val="clear" w:pos="2268"/>
                <w:tab w:val="clear" w:pos="6237"/>
                <w:tab w:val="decimal" w:pos="567"/>
              </w:tabs>
              <w:spacing w:line="240" w:lineRule="auto"/>
              <w:rPr>
                <w:sz w:val="20"/>
              </w:rPr>
            </w:pPr>
            <w:r>
              <w:rPr>
                <w:sz w:val="20"/>
              </w:rPr>
              <w:t>92 910</w:t>
            </w:r>
          </w:p>
        </w:tc>
        <w:tc>
          <w:tcPr>
            <w:tcW w:w="851" w:type="dxa"/>
          </w:tcPr>
          <w:p w:rsidR="00000000" w:rsidRDefault="00000000">
            <w:pPr>
              <w:keepNext/>
              <w:tabs>
                <w:tab w:val="clear" w:pos="1134"/>
                <w:tab w:val="clear" w:pos="1701"/>
                <w:tab w:val="clear" w:pos="2268"/>
                <w:tab w:val="clear" w:pos="6237"/>
                <w:tab w:val="decimal" w:pos="567"/>
              </w:tabs>
              <w:spacing w:line="240" w:lineRule="auto"/>
              <w:rPr>
                <w:sz w:val="20"/>
              </w:rPr>
            </w:pPr>
            <w:r>
              <w:rPr>
                <w:sz w:val="20"/>
              </w:rPr>
              <w:t>81 760</w:t>
            </w:r>
          </w:p>
        </w:tc>
        <w:tc>
          <w:tcPr>
            <w:tcW w:w="851" w:type="dxa"/>
          </w:tcPr>
          <w:p w:rsidR="00000000" w:rsidRDefault="00000000">
            <w:pPr>
              <w:keepNext/>
              <w:tabs>
                <w:tab w:val="clear" w:pos="1134"/>
                <w:tab w:val="clear" w:pos="1701"/>
                <w:tab w:val="clear" w:pos="2268"/>
                <w:tab w:val="clear" w:pos="6237"/>
                <w:tab w:val="decimal" w:pos="567"/>
              </w:tabs>
              <w:spacing w:line="240" w:lineRule="auto"/>
              <w:rPr>
                <w:sz w:val="20"/>
              </w:rPr>
            </w:pPr>
            <w:r>
              <w:rPr>
                <w:sz w:val="20"/>
              </w:rPr>
              <w:t>37 144</w:t>
            </w:r>
          </w:p>
        </w:tc>
        <w:tc>
          <w:tcPr>
            <w:tcW w:w="851" w:type="dxa"/>
          </w:tcPr>
          <w:p w:rsidR="00000000" w:rsidRDefault="00000000">
            <w:pPr>
              <w:keepNext/>
              <w:tabs>
                <w:tab w:val="clear" w:pos="1134"/>
                <w:tab w:val="clear" w:pos="1701"/>
                <w:tab w:val="clear" w:pos="2268"/>
                <w:tab w:val="clear" w:pos="6237"/>
                <w:tab w:val="decimal" w:pos="567"/>
              </w:tabs>
              <w:spacing w:line="240" w:lineRule="auto"/>
              <w:rPr>
                <w:sz w:val="20"/>
              </w:rPr>
            </w:pPr>
            <w:r>
              <w:rPr>
                <w:sz w:val="20"/>
              </w:rPr>
              <w:t>42 080</w:t>
            </w:r>
          </w:p>
        </w:tc>
        <w:tc>
          <w:tcPr>
            <w:tcW w:w="1266" w:type="dxa"/>
          </w:tcPr>
          <w:p w:rsidR="00000000" w:rsidRDefault="00000000">
            <w:pPr>
              <w:keepNext/>
              <w:tabs>
                <w:tab w:val="clear" w:pos="567"/>
                <w:tab w:val="clear" w:pos="1134"/>
                <w:tab w:val="clear" w:pos="1701"/>
                <w:tab w:val="clear" w:pos="2268"/>
                <w:tab w:val="clear" w:pos="6237"/>
                <w:tab w:val="decimal" w:pos="851"/>
              </w:tabs>
              <w:spacing w:line="240" w:lineRule="auto"/>
              <w:rPr>
                <w:sz w:val="20"/>
              </w:rPr>
            </w:pPr>
            <w:r>
              <w:rPr>
                <w:sz w:val="20"/>
              </w:rPr>
              <w:t>777 560</w:t>
            </w:r>
          </w:p>
        </w:tc>
      </w:tr>
      <w:tr w:rsidR="00000000">
        <w:tc>
          <w:tcPr>
            <w:tcW w:w="1218" w:type="dxa"/>
          </w:tcPr>
          <w:p w:rsidR="00000000" w:rsidRDefault="00000000">
            <w:pPr>
              <w:keepNext/>
              <w:spacing w:line="240" w:lineRule="auto"/>
              <w:rPr>
                <w:sz w:val="20"/>
              </w:rPr>
            </w:pPr>
            <w:r>
              <w:rPr>
                <w:sz w:val="20"/>
              </w:rPr>
              <w:t>В процентах</w:t>
            </w:r>
          </w:p>
        </w:tc>
        <w:tc>
          <w:tcPr>
            <w:tcW w:w="909" w:type="dxa"/>
          </w:tcPr>
          <w:p w:rsidR="00000000" w:rsidRDefault="00000000">
            <w:pPr>
              <w:keepNext/>
              <w:spacing w:line="240" w:lineRule="auto"/>
              <w:ind w:right="57"/>
              <w:jc w:val="center"/>
              <w:rPr>
                <w:sz w:val="20"/>
              </w:rPr>
            </w:pPr>
            <w:r>
              <w:rPr>
                <w:sz w:val="20"/>
              </w:rPr>
              <w:t>28,8</w:t>
            </w:r>
          </w:p>
        </w:tc>
        <w:tc>
          <w:tcPr>
            <w:tcW w:w="851" w:type="dxa"/>
          </w:tcPr>
          <w:p w:rsidR="00000000" w:rsidRDefault="00000000">
            <w:pPr>
              <w:keepNext/>
              <w:spacing w:line="240" w:lineRule="auto"/>
              <w:jc w:val="center"/>
              <w:rPr>
                <w:sz w:val="20"/>
              </w:rPr>
            </w:pPr>
            <w:r>
              <w:rPr>
                <w:sz w:val="20"/>
              </w:rPr>
              <w:t>13,3</w:t>
            </w:r>
          </w:p>
        </w:tc>
        <w:tc>
          <w:tcPr>
            <w:tcW w:w="850" w:type="dxa"/>
          </w:tcPr>
          <w:p w:rsidR="00000000" w:rsidRDefault="00000000">
            <w:pPr>
              <w:keepNext/>
              <w:spacing w:line="240" w:lineRule="auto"/>
              <w:jc w:val="center"/>
              <w:rPr>
                <w:sz w:val="20"/>
              </w:rPr>
            </w:pPr>
            <w:r>
              <w:rPr>
                <w:sz w:val="20"/>
              </w:rPr>
              <w:t>6,9</w:t>
            </w:r>
          </w:p>
        </w:tc>
        <w:tc>
          <w:tcPr>
            <w:tcW w:w="852" w:type="dxa"/>
          </w:tcPr>
          <w:p w:rsidR="00000000" w:rsidRDefault="00000000">
            <w:pPr>
              <w:keepNext/>
              <w:spacing w:line="240" w:lineRule="auto"/>
              <w:jc w:val="center"/>
              <w:rPr>
                <w:sz w:val="20"/>
              </w:rPr>
            </w:pPr>
            <w:r>
              <w:rPr>
                <w:sz w:val="20"/>
              </w:rPr>
              <w:t>18,4</w:t>
            </w:r>
          </w:p>
        </w:tc>
        <w:tc>
          <w:tcPr>
            <w:tcW w:w="851" w:type="dxa"/>
          </w:tcPr>
          <w:p w:rsidR="00000000" w:rsidRDefault="00000000">
            <w:pPr>
              <w:keepNext/>
              <w:spacing w:line="240" w:lineRule="auto"/>
              <w:jc w:val="center"/>
              <w:rPr>
                <w:sz w:val="20"/>
              </w:rPr>
            </w:pPr>
            <w:r>
              <w:rPr>
                <w:sz w:val="20"/>
              </w:rPr>
              <w:t>12,0</w:t>
            </w:r>
          </w:p>
        </w:tc>
        <w:tc>
          <w:tcPr>
            <w:tcW w:w="851" w:type="dxa"/>
          </w:tcPr>
          <w:p w:rsidR="00000000" w:rsidRDefault="00000000">
            <w:pPr>
              <w:keepNext/>
              <w:spacing w:line="240" w:lineRule="auto"/>
              <w:jc w:val="center"/>
              <w:rPr>
                <w:sz w:val="20"/>
              </w:rPr>
            </w:pPr>
            <w:r>
              <w:rPr>
                <w:sz w:val="20"/>
              </w:rPr>
              <w:t>10,5</w:t>
            </w:r>
          </w:p>
        </w:tc>
        <w:tc>
          <w:tcPr>
            <w:tcW w:w="851" w:type="dxa"/>
          </w:tcPr>
          <w:p w:rsidR="00000000" w:rsidRDefault="00000000">
            <w:pPr>
              <w:keepNext/>
              <w:spacing w:line="240" w:lineRule="auto"/>
              <w:jc w:val="center"/>
              <w:rPr>
                <w:sz w:val="20"/>
              </w:rPr>
            </w:pPr>
            <w:r>
              <w:rPr>
                <w:sz w:val="20"/>
              </w:rPr>
              <w:t>4,8</w:t>
            </w:r>
          </w:p>
        </w:tc>
        <w:tc>
          <w:tcPr>
            <w:tcW w:w="851" w:type="dxa"/>
          </w:tcPr>
          <w:p w:rsidR="00000000" w:rsidRDefault="00000000">
            <w:pPr>
              <w:keepNext/>
              <w:spacing w:line="240" w:lineRule="auto"/>
              <w:jc w:val="center"/>
              <w:rPr>
                <w:sz w:val="20"/>
              </w:rPr>
            </w:pPr>
            <w:r>
              <w:rPr>
                <w:sz w:val="20"/>
              </w:rPr>
              <w:t>5,4</w:t>
            </w:r>
          </w:p>
        </w:tc>
        <w:tc>
          <w:tcPr>
            <w:tcW w:w="1266" w:type="dxa"/>
          </w:tcPr>
          <w:p w:rsidR="00000000" w:rsidRDefault="00000000">
            <w:pPr>
              <w:keepNext/>
              <w:tabs>
                <w:tab w:val="clear" w:pos="567"/>
                <w:tab w:val="clear" w:pos="1134"/>
                <w:tab w:val="clear" w:pos="1701"/>
                <w:tab w:val="clear" w:pos="2268"/>
                <w:tab w:val="clear" w:pos="6237"/>
                <w:tab w:val="decimal" w:pos="851"/>
              </w:tabs>
              <w:spacing w:line="240" w:lineRule="auto"/>
              <w:rPr>
                <w:sz w:val="20"/>
              </w:rPr>
            </w:pPr>
            <w:r>
              <w:rPr>
                <w:sz w:val="20"/>
              </w:rPr>
              <w:t>100</w:t>
            </w:r>
          </w:p>
        </w:tc>
      </w:tr>
    </w:tbl>
    <w:p w:rsidR="00000000" w:rsidRDefault="00000000">
      <w:pPr>
        <w:jc w:val="center"/>
      </w:pPr>
    </w:p>
    <w:p w:rsidR="00000000" w:rsidRDefault="00000000">
      <w:r>
        <w:rPr>
          <w:b/>
          <w:bCs/>
        </w:rPr>
        <w:br w:type="page"/>
        <w:t>Права ребенка</w:t>
      </w:r>
    </w:p>
    <w:p w:rsidR="00000000" w:rsidRDefault="00000000"/>
    <w:p w:rsidR="00000000" w:rsidRDefault="00000000">
      <w:r>
        <w:t>51.</w:t>
      </w:r>
      <w:r>
        <w:tab/>
        <w:t>По вопросу об охране прав ребенка делается ссылка на первоначальный доклад Ливии и подготовленный в 1997 году доклад Детскому фонду Организации Объединенных Наций (ЮНИСЕФ) о положении женщин и детей в Ливийской Арабской Джамахирии.  Кроме того, внимания заслуживает следующая дополнительная информация:</w:t>
      </w:r>
    </w:p>
    <w:p w:rsidR="00000000" w:rsidRDefault="00000000"/>
    <w:p w:rsidR="00000000" w:rsidRDefault="00000000">
      <w:pPr>
        <w:ind w:left="567" w:hanging="567"/>
      </w:pPr>
      <w:r>
        <w:t>1.</w:t>
      </w:r>
      <w:r>
        <w:tab/>
        <w:t>Законом № 5 1997 года об охране детства введены перечисленные ниже дополнительные пособия и гарантии, предназначенные для охраны прав ребенка:</w:t>
      </w:r>
    </w:p>
    <w:p w:rsidR="00000000" w:rsidRDefault="00000000">
      <w:pPr>
        <w:ind w:left="567" w:hanging="567"/>
      </w:pPr>
    </w:p>
    <w:p w:rsidR="00000000" w:rsidRDefault="00000000">
      <w:pPr>
        <w:numPr>
          <w:ilvl w:val="0"/>
          <w:numId w:val="11"/>
        </w:numPr>
      </w:pPr>
      <w:r>
        <w:t>детям, чьи родители не установлены, даются полные имена, с тем чтобы позволить им получать проездные документы, удостоверения личности и свидетельства о гражданстве;</w:t>
      </w:r>
    </w:p>
    <w:p w:rsidR="00000000" w:rsidRDefault="00000000">
      <w:pPr>
        <w:ind w:left="1134" w:hanging="1134"/>
      </w:pPr>
    </w:p>
    <w:p w:rsidR="00000000" w:rsidRDefault="00000000">
      <w:pPr>
        <w:numPr>
          <w:ilvl w:val="0"/>
          <w:numId w:val="11"/>
        </w:numPr>
      </w:pPr>
      <w:r>
        <w:t>Закон запретил наем детей на работу в любых целях, кроме обучения их ремеслу;</w:t>
      </w:r>
    </w:p>
    <w:p w:rsidR="00000000" w:rsidRDefault="00000000">
      <w:pPr>
        <w:ind w:left="1134" w:hanging="1134"/>
      </w:pPr>
    </w:p>
    <w:p w:rsidR="00000000" w:rsidRDefault="00000000">
      <w:pPr>
        <w:numPr>
          <w:ilvl w:val="0"/>
          <w:numId w:val="11"/>
        </w:numPr>
      </w:pPr>
      <w:r>
        <w:t>на Фонд социального обеспечения была возложена задача по обеспечению благополучия и охраны детей, не имеющих кормильцев, а также детей, которые в силу жизненных обстоятельств стали вести асоциальный и преступный образ жизни.  Фонд выполняет эти функции через центры социального обеспечения и перевоспитания, осуществляющие свою деятельность под контролем квалифицированных социальных работников и обеспечивающие альтернативный уход за теми, кто лишен такого ухода в семьях.</w:t>
      </w:r>
    </w:p>
    <w:p w:rsidR="00000000" w:rsidRDefault="00000000">
      <w:pPr>
        <w:ind w:left="1134" w:hanging="1134"/>
      </w:pPr>
    </w:p>
    <w:p w:rsidR="00000000" w:rsidRDefault="00000000">
      <w:pPr>
        <w:ind w:left="567" w:hanging="567"/>
      </w:pPr>
      <w:r>
        <w:t>2.</w:t>
      </w:r>
      <w:r>
        <w:tab/>
        <w:t>В соответствии с Законом № 20 1998 года Фонд социального обеспечения отвечает за охрану интересов и реабилитацию несовершеннолетних преступников.</w:t>
      </w:r>
    </w:p>
    <w:p w:rsidR="00000000" w:rsidRDefault="00000000">
      <w:pPr>
        <w:ind w:left="567" w:hanging="567"/>
      </w:pPr>
    </w:p>
    <w:p w:rsidR="00000000" w:rsidRDefault="00000000">
      <w:pPr>
        <w:ind w:left="567" w:hanging="567"/>
      </w:pPr>
      <w:r>
        <w:t>3.</w:t>
      </w:r>
      <w:r>
        <w:tab/>
        <w:t>Действующее законодательство запрещает дискриминацию в любой форме в отношении детей по признаку происхождения или любому другому признаку и защищает всех детей от экономической эксплуатации, запрещая детский труд, детскую проституцию и детскую порнографию.</w:t>
      </w:r>
    </w:p>
    <w:p w:rsidR="00000000" w:rsidRDefault="00000000">
      <w:pPr>
        <w:ind w:left="567" w:hanging="567"/>
      </w:pPr>
    </w:p>
    <w:p w:rsidR="00000000" w:rsidRDefault="00000000">
      <w:pPr>
        <w:ind w:left="567" w:hanging="567"/>
      </w:pPr>
      <w:r>
        <w:t>4.</w:t>
      </w:r>
      <w:r>
        <w:tab/>
        <w:t>Ливийская Арабская Джамахирия является участником международных договоров, касающихся детей, в частности:</w:t>
      </w:r>
    </w:p>
    <w:p w:rsidR="00000000" w:rsidRDefault="00000000">
      <w:pPr>
        <w:ind w:left="567" w:hanging="567"/>
      </w:pPr>
    </w:p>
    <w:p w:rsidR="00000000" w:rsidRDefault="00000000">
      <w:pPr>
        <w:numPr>
          <w:ilvl w:val="0"/>
          <w:numId w:val="12"/>
        </w:numPr>
      </w:pPr>
      <w:r>
        <w:t>Конвенции о правах ребенка, ратифицированной Законом № 2 1991 года;</w:t>
      </w:r>
    </w:p>
    <w:p w:rsidR="00000000" w:rsidRDefault="00000000">
      <w:pPr>
        <w:ind w:left="1134" w:hanging="1134"/>
      </w:pPr>
    </w:p>
    <w:p w:rsidR="00000000" w:rsidRDefault="00000000">
      <w:pPr>
        <w:numPr>
          <w:ilvl w:val="0"/>
          <w:numId w:val="12"/>
        </w:numPr>
      </w:pPr>
      <w:r>
        <w:t>Международного пакта о гражданских и политических правах;</w:t>
      </w:r>
    </w:p>
    <w:p w:rsidR="00000000" w:rsidRDefault="00000000">
      <w:pPr>
        <w:ind w:left="1134" w:hanging="1134"/>
      </w:pPr>
    </w:p>
    <w:p w:rsidR="00000000" w:rsidRDefault="00000000">
      <w:pPr>
        <w:numPr>
          <w:ilvl w:val="0"/>
          <w:numId w:val="12"/>
        </w:numPr>
      </w:pPr>
      <w:r>
        <w:t>Международной конвенции о ликвидации всех форм дискриминации в отношении женщин;</w:t>
      </w:r>
    </w:p>
    <w:p w:rsidR="00000000" w:rsidRDefault="00000000">
      <w:pPr>
        <w:ind w:left="1134" w:hanging="1134"/>
      </w:pPr>
    </w:p>
    <w:p w:rsidR="00000000" w:rsidRDefault="00000000">
      <w:pPr>
        <w:numPr>
          <w:ilvl w:val="0"/>
          <w:numId w:val="12"/>
        </w:numPr>
      </w:pPr>
      <w:r>
        <w:t>Конвенции 1952 года об охране материнства (№ 103);  и</w:t>
      </w:r>
    </w:p>
    <w:p w:rsidR="00000000" w:rsidRDefault="00000000">
      <w:pPr>
        <w:ind w:left="1134" w:hanging="1134"/>
      </w:pPr>
    </w:p>
    <w:p w:rsidR="00000000" w:rsidRDefault="00000000">
      <w:pPr>
        <w:numPr>
          <w:ilvl w:val="0"/>
          <w:numId w:val="12"/>
        </w:numPr>
      </w:pPr>
      <w:r>
        <w:t>конвенций МОТ и Конвенции Арабской организации труда о минимальном возрасте для приема на работу.</w:t>
      </w:r>
    </w:p>
    <w:p w:rsidR="00000000" w:rsidRDefault="00000000"/>
    <w:p w:rsidR="00000000" w:rsidRDefault="00000000">
      <w:r>
        <w:t>52.</w:t>
      </w:r>
      <w:r>
        <w:tab/>
        <w:t>Ливийская Арабская Джамахирия использует экспертный потенциал и помощь, предоставляемые международным сообществом, привлекая отделение ЮНИСЕФ в Триполи, Организацию Объединенных Наций по вопросам образования, науки и культуры (ЮНЕСКО) и Всемирную организацию здравоохранения (ВОЗ) к разработке механизмов охраны семьи, матерей и детей.</w:t>
      </w:r>
    </w:p>
    <w:p w:rsidR="00000000" w:rsidRDefault="00000000"/>
    <w:p w:rsidR="00000000" w:rsidRDefault="00000000">
      <w:pPr>
        <w:pStyle w:val="10"/>
        <w:rPr>
          <w:bCs/>
        </w:rPr>
      </w:pPr>
      <w:r>
        <w:rPr>
          <w:bCs/>
        </w:rPr>
        <w:t xml:space="preserve">Статья 11 - Право на питание, одежду и жилище (право на достаточный </w:t>
      </w:r>
    </w:p>
    <w:p w:rsidR="00000000" w:rsidRDefault="00000000">
      <w:pPr>
        <w:pStyle w:val="10"/>
        <w:rPr>
          <w:bCs/>
        </w:rPr>
      </w:pPr>
      <w:r>
        <w:rPr>
          <w:bCs/>
        </w:rPr>
        <w:t>жизненный уровень)</w:t>
      </w:r>
    </w:p>
    <w:p w:rsidR="00000000" w:rsidRDefault="00000000">
      <w:pPr>
        <w:pStyle w:val="10"/>
        <w:rPr>
          <w:bCs/>
        </w:rPr>
      </w:pPr>
    </w:p>
    <w:p w:rsidR="00000000" w:rsidRDefault="00000000">
      <w:pPr>
        <w:pStyle w:val="Heading1"/>
        <w:rPr>
          <w:bCs/>
        </w:rPr>
      </w:pPr>
      <w:r>
        <w:rPr>
          <w:bCs/>
        </w:rPr>
        <w:t>Пункт 1</w:t>
      </w:r>
      <w:r>
        <w:rPr>
          <w:rStyle w:val="FootnoteReference"/>
          <w:bCs/>
        </w:rPr>
        <w:footnoteReference w:customMarkFollows="1" w:id="2"/>
        <w:sym w:font="Symbol" w:char="F02A"/>
      </w:r>
    </w:p>
    <w:p w:rsidR="00000000" w:rsidRDefault="00000000">
      <w:pPr>
        <w:pStyle w:val="Heading1"/>
        <w:rPr>
          <w:bCs/>
        </w:rPr>
      </w:pPr>
    </w:p>
    <w:p w:rsidR="00000000" w:rsidRDefault="00000000">
      <w:r>
        <w:t>53.</w:t>
      </w:r>
      <w:r>
        <w:tab/>
        <w:t>Как указано в докладе о развитии человеческого потенциала в Джамахирии, подготовленном Национальным управлением документации и информации, уровень жизни населения является достаточным.  Это касается как населения в целом, так и безработных и пенсионеров, поскольку по закону эти группы имеют право на получение минимального пособия, покрывающего их основные нужды.</w:t>
      </w:r>
    </w:p>
    <w:p w:rsidR="00000000" w:rsidRDefault="00000000"/>
    <w:p w:rsidR="00000000" w:rsidRDefault="00000000">
      <w:r>
        <w:t>54.</w:t>
      </w:r>
      <w:r>
        <w:tab/>
        <w:t>Уровень жизни населения повысился, о чем свидетельствует такой показатель, как средняя калорийность питания, которая превышает рекомендованные на международном уровне минимальные показатели.  Осуществление планов развития и программ инвестиций в развитие людских ресурсов позволило добиться заметных успехов в сокращении разрыва в доходах между различными слоями населения, наблюдавшегося до революции 1969 года.</w:t>
      </w:r>
    </w:p>
    <w:p w:rsidR="00000000" w:rsidRDefault="00000000"/>
    <w:p w:rsidR="00000000" w:rsidRDefault="00000000">
      <w:r>
        <w:t>55.</w:t>
      </w:r>
      <w:r>
        <w:tab/>
        <w:t>Результаты обзора расходов домашних хозяйств, при проведении которого для оценки неравенства в доходах использовался коэффициент Джини, свидетельствуют об умеренном разрыве в доходах в Ливии;  это касается как средних показателей по стране, так и цифр, касающихся населения в целом.  То же можно сказать и о разрыве в доходах между различными регионами страны, где ярко выраженных несоответствий не наблюдается.</w:t>
      </w:r>
    </w:p>
    <w:p w:rsidR="00000000" w:rsidRDefault="00000000"/>
    <w:p w:rsidR="00000000" w:rsidRDefault="00000000">
      <w:r>
        <w:t>56.</w:t>
      </w:r>
      <w:r>
        <w:tab/>
        <w:t>Для обеспечения всем гражданам достаточного жизненного уровня были приняты необходимые меры, обеспечивающие на постоянной основе снабжение товарами через систему распределения товаров по низким ценам и на самых льготных условиях.  Все граждане получают субсидии, выплачиваемые из государственной казны.  Кроме того, созданы многочисленные ассоциации потребителей.  Эти ассоциации, которых в 1979 году в Ливии насчитывалось 5 998, а в 2003 году - 888 229, обслуживают все 776 448 ливийский семей, или более 5,7 млн. человек.</w:t>
      </w:r>
    </w:p>
    <w:p w:rsidR="00000000" w:rsidRDefault="00000000"/>
    <w:p w:rsidR="00000000" w:rsidRDefault="00000000">
      <w:r>
        <w:t>57.</w:t>
      </w:r>
      <w:r>
        <w:tab/>
        <w:t>Повышение жизненного уровня обусловлено повышением покупательной способности граждан в результате резкого роста средних денежных доходов на душу населения, обусловленного ростом доли ВВП на душу населения, увеличившейся с 656 ЛД в 1970 году до 3 318 ЛД в 80-х годах, что составляет ежегодный прирост почти в 19% (в сложных процентах).  Это немало по сравнению с темпами роста населения.  Хотя после 80-х годов душевой доход снизился, к 1997 году этот показатель выровнялся, составив приблизительно 2 618 ЛД, и все еще является достаточным (см. приведенную ниже таблицу).</w:t>
      </w:r>
    </w:p>
    <w:p w:rsidR="00000000" w:rsidRDefault="00000000"/>
    <w:p w:rsidR="00000000" w:rsidRDefault="00000000">
      <w:pPr>
        <w:pStyle w:val="10"/>
        <w:rPr>
          <w:bCs/>
        </w:rPr>
      </w:pPr>
      <w:r>
        <w:rPr>
          <w:bCs/>
        </w:rPr>
        <w:t>Динамика доходов и ВВП на душу населения</w:t>
      </w:r>
    </w:p>
    <w:p w:rsidR="00000000" w:rsidRDefault="00000000">
      <w:pPr>
        <w:pStyle w:val="10"/>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73"/>
        <w:gridCol w:w="3143"/>
        <w:gridCol w:w="2483"/>
        <w:gridCol w:w="2412"/>
      </w:tblGrid>
      <w:tr w:rsidR="00000000">
        <w:tblPrEx>
          <w:tblCellMar>
            <w:top w:w="0" w:type="dxa"/>
            <w:bottom w:w="0" w:type="dxa"/>
          </w:tblCellMar>
        </w:tblPrEx>
        <w:trPr>
          <w:cantSplit/>
        </w:trPr>
        <w:tc>
          <w:tcPr>
            <w:tcW w:w="1373" w:type="dxa"/>
            <w:tcBorders>
              <w:bottom w:val="single" w:sz="4" w:space="0" w:color="auto"/>
            </w:tcBorders>
          </w:tcPr>
          <w:p w:rsidR="00000000" w:rsidRDefault="00000000">
            <w:pPr>
              <w:pStyle w:val="FootnoteText"/>
              <w:jc w:val="center"/>
            </w:pPr>
            <w:r>
              <w:t>Год</w:t>
            </w:r>
          </w:p>
        </w:tc>
        <w:tc>
          <w:tcPr>
            <w:tcW w:w="3143" w:type="dxa"/>
            <w:tcBorders>
              <w:bottom w:val="single" w:sz="4" w:space="0" w:color="auto"/>
            </w:tcBorders>
          </w:tcPr>
          <w:p w:rsidR="00000000" w:rsidRDefault="00000000">
            <w:pPr>
              <w:pStyle w:val="FootnoteText"/>
              <w:tabs>
                <w:tab w:val="clear" w:pos="1701"/>
                <w:tab w:val="decimal" w:pos="1762"/>
              </w:tabs>
              <w:jc w:val="center"/>
            </w:pPr>
            <w:r>
              <w:t>ВВП (текущая факторная стоимость</w:t>
            </w:r>
          </w:p>
          <w:p w:rsidR="00000000" w:rsidRDefault="00000000">
            <w:pPr>
              <w:pStyle w:val="FootnoteText"/>
              <w:tabs>
                <w:tab w:val="clear" w:pos="1701"/>
                <w:tab w:val="decimal" w:pos="1762"/>
              </w:tabs>
              <w:jc w:val="center"/>
            </w:pPr>
            <w:r>
              <w:t>в млн. динаров)</w:t>
            </w:r>
          </w:p>
        </w:tc>
        <w:tc>
          <w:tcPr>
            <w:tcW w:w="2483" w:type="dxa"/>
            <w:tcBorders>
              <w:bottom w:val="single" w:sz="4" w:space="0" w:color="auto"/>
            </w:tcBorders>
          </w:tcPr>
          <w:p w:rsidR="00000000" w:rsidRDefault="00000000">
            <w:pPr>
              <w:pStyle w:val="FootnoteText"/>
              <w:tabs>
                <w:tab w:val="clear" w:pos="1701"/>
                <w:tab w:val="decimal" w:pos="1762"/>
              </w:tabs>
              <w:jc w:val="center"/>
            </w:pPr>
            <w:r>
              <w:t>Численность населения (в тысячах)</w:t>
            </w:r>
          </w:p>
        </w:tc>
        <w:tc>
          <w:tcPr>
            <w:tcW w:w="2412" w:type="dxa"/>
            <w:tcBorders>
              <w:bottom w:val="single" w:sz="4" w:space="0" w:color="auto"/>
            </w:tcBorders>
          </w:tcPr>
          <w:p w:rsidR="00000000" w:rsidRDefault="00000000">
            <w:pPr>
              <w:pStyle w:val="FootnoteText"/>
              <w:tabs>
                <w:tab w:val="clear" w:pos="1701"/>
                <w:tab w:val="decimal" w:pos="1762"/>
              </w:tabs>
              <w:jc w:val="center"/>
            </w:pPr>
            <w:r>
              <w:t>Доход на душу населения (в динарах)</w:t>
            </w:r>
          </w:p>
        </w:tc>
      </w:tr>
      <w:tr w:rsidR="00000000">
        <w:tblPrEx>
          <w:tblCellMar>
            <w:top w:w="0" w:type="dxa"/>
            <w:bottom w:w="0" w:type="dxa"/>
          </w:tblCellMar>
        </w:tblPrEx>
        <w:trPr>
          <w:cantSplit/>
        </w:trPr>
        <w:tc>
          <w:tcPr>
            <w:tcW w:w="1373" w:type="dxa"/>
            <w:tcBorders>
              <w:bottom w:val="nil"/>
            </w:tcBorders>
          </w:tcPr>
          <w:p w:rsidR="00000000" w:rsidRDefault="00000000">
            <w:pPr>
              <w:pStyle w:val="FootnoteText"/>
              <w:jc w:val="center"/>
            </w:pPr>
            <w:r>
              <w:t>1970</w:t>
            </w:r>
          </w:p>
        </w:tc>
        <w:tc>
          <w:tcPr>
            <w:tcW w:w="3143" w:type="dxa"/>
            <w:tcBorders>
              <w:bottom w:val="nil"/>
            </w:tcBorders>
          </w:tcPr>
          <w:p w:rsidR="00000000" w:rsidRDefault="00000000">
            <w:pPr>
              <w:pStyle w:val="FootnoteText"/>
              <w:tabs>
                <w:tab w:val="clear" w:pos="567"/>
                <w:tab w:val="clear" w:pos="1134"/>
                <w:tab w:val="clear" w:pos="1701"/>
                <w:tab w:val="decimal" w:pos="1619"/>
              </w:tabs>
            </w:pPr>
            <w:r>
              <w:tab/>
              <w:t>1 288,6</w:t>
            </w:r>
          </w:p>
        </w:tc>
        <w:tc>
          <w:tcPr>
            <w:tcW w:w="2483" w:type="dxa"/>
            <w:tcBorders>
              <w:bottom w:val="nil"/>
            </w:tcBorders>
          </w:tcPr>
          <w:p w:rsidR="00000000" w:rsidRDefault="00000000">
            <w:pPr>
              <w:pStyle w:val="FootnoteText"/>
              <w:tabs>
                <w:tab w:val="clear" w:pos="567"/>
                <w:tab w:val="clear" w:pos="1134"/>
                <w:tab w:val="clear" w:pos="1701"/>
                <w:tab w:val="decimal" w:pos="1468"/>
              </w:tabs>
            </w:pPr>
            <w:r>
              <w:tab/>
              <w:t>1 963,0</w:t>
            </w:r>
          </w:p>
        </w:tc>
        <w:tc>
          <w:tcPr>
            <w:tcW w:w="2412" w:type="dxa"/>
            <w:tcBorders>
              <w:bottom w:val="nil"/>
            </w:tcBorders>
          </w:tcPr>
          <w:p w:rsidR="00000000" w:rsidRDefault="00000000">
            <w:pPr>
              <w:pStyle w:val="FootnoteText"/>
              <w:tabs>
                <w:tab w:val="clear" w:pos="567"/>
                <w:tab w:val="clear" w:pos="1134"/>
                <w:tab w:val="clear" w:pos="1701"/>
                <w:tab w:val="decimal" w:pos="1416"/>
              </w:tabs>
            </w:pPr>
            <w:r>
              <w:tab/>
              <w:t>656</w:t>
            </w:r>
          </w:p>
        </w:tc>
      </w:tr>
      <w:tr w:rsidR="00000000">
        <w:tblPrEx>
          <w:tblCellMar>
            <w:top w:w="0" w:type="dxa"/>
            <w:bottom w:w="0" w:type="dxa"/>
          </w:tblCellMar>
        </w:tblPrEx>
        <w:trPr>
          <w:cantSplit/>
        </w:trPr>
        <w:tc>
          <w:tcPr>
            <w:tcW w:w="1373" w:type="dxa"/>
            <w:tcBorders>
              <w:top w:val="nil"/>
              <w:bottom w:val="nil"/>
            </w:tcBorders>
          </w:tcPr>
          <w:p w:rsidR="00000000" w:rsidRDefault="00000000">
            <w:pPr>
              <w:pStyle w:val="FootnoteText"/>
              <w:jc w:val="center"/>
            </w:pPr>
            <w:r>
              <w:t>1975</w:t>
            </w:r>
          </w:p>
        </w:tc>
        <w:tc>
          <w:tcPr>
            <w:tcW w:w="3143" w:type="dxa"/>
            <w:tcBorders>
              <w:top w:val="nil"/>
              <w:bottom w:val="nil"/>
            </w:tcBorders>
          </w:tcPr>
          <w:p w:rsidR="00000000" w:rsidRDefault="00000000">
            <w:pPr>
              <w:pStyle w:val="FootnoteText"/>
              <w:tabs>
                <w:tab w:val="clear" w:pos="567"/>
                <w:tab w:val="clear" w:pos="1134"/>
                <w:tab w:val="clear" w:pos="1701"/>
                <w:tab w:val="decimal" w:pos="1619"/>
              </w:tabs>
            </w:pPr>
            <w:r>
              <w:tab/>
              <w:t>3 674,3</w:t>
            </w:r>
          </w:p>
        </w:tc>
        <w:tc>
          <w:tcPr>
            <w:tcW w:w="2483" w:type="dxa"/>
            <w:tcBorders>
              <w:top w:val="nil"/>
              <w:bottom w:val="nil"/>
            </w:tcBorders>
          </w:tcPr>
          <w:p w:rsidR="00000000" w:rsidRDefault="00000000">
            <w:pPr>
              <w:pStyle w:val="FootnoteText"/>
              <w:tabs>
                <w:tab w:val="clear" w:pos="567"/>
                <w:tab w:val="clear" w:pos="1134"/>
                <w:tab w:val="clear" w:pos="1701"/>
                <w:tab w:val="decimal" w:pos="1468"/>
              </w:tabs>
            </w:pPr>
            <w:r>
              <w:tab/>
              <w:t>2 595,5</w:t>
            </w:r>
          </w:p>
        </w:tc>
        <w:tc>
          <w:tcPr>
            <w:tcW w:w="2412" w:type="dxa"/>
            <w:tcBorders>
              <w:top w:val="nil"/>
              <w:bottom w:val="nil"/>
            </w:tcBorders>
          </w:tcPr>
          <w:p w:rsidR="00000000" w:rsidRDefault="00000000">
            <w:pPr>
              <w:pStyle w:val="FootnoteText"/>
              <w:tabs>
                <w:tab w:val="clear" w:pos="567"/>
                <w:tab w:val="clear" w:pos="1134"/>
                <w:tab w:val="clear" w:pos="1701"/>
                <w:tab w:val="decimal" w:pos="1416"/>
              </w:tabs>
            </w:pPr>
            <w:r>
              <w:tab/>
              <w:t>1 416</w:t>
            </w:r>
          </w:p>
        </w:tc>
      </w:tr>
      <w:tr w:rsidR="00000000">
        <w:tblPrEx>
          <w:tblCellMar>
            <w:top w:w="0" w:type="dxa"/>
            <w:bottom w:w="0" w:type="dxa"/>
          </w:tblCellMar>
        </w:tblPrEx>
        <w:trPr>
          <w:cantSplit/>
        </w:trPr>
        <w:tc>
          <w:tcPr>
            <w:tcW w:w="1373" w:type="dxa"/>
            <w:tcBorders>
              <w:top w:val="nil"/>
              <w:bottom w:val="nil"/>
            </w:tcBorders>
          </w:tcPr>
          <w:p w:rsidR="00000000" w:rsidRDefault="00000000">
            <w:pPr>
              <w:pStyle w:val="FootnoteText"/>
              <w:jc w:val="center"/>
            </w:pPr>
            <w:r>
              <w:t>1980</w:t>
            </w:r>
          </w:p>
        </w:tc>
        <w:tc>
          <w:tcPr>
            <w:tcW w:w="3143" w:type="dxa"/>
            <w:tcBorders>
              <w:top w:val="nil"/>
              <w:bottom w:val="nil"/>
            </w:tcBorders>
          </w:tcPr>
          <w:p w:rsidR="00000000" w:rsidRDefault="00000000">
            <w:pPr>
              <w:pStyle w:val="FootnoteText"/>
              <w:tabs>
                <w:tab w:val="clear" w:pos="567"/>
                <w:tab w:val="clear" w:pos="1134"/>
                <w:tab w:val="clear" w:pos="1701"/>
                <w:tab w:val="decimal" w:pos="1619"/>
              </w:tabs>
            </w:pPr>
            <w:r>
              <w:tab/>
              <w:t>10 553,8</w:t>
            </w:r>
          </w:p>
        </w:tc>
        <w:tc>
          <w:tcPr>
            <w:tcW w:w="2483" w:type="dxa"/>
            <w:tcBorders>
              <w:top w:val="nil"/>
              <w:bottom w:val="nil"/>
            </w:tcBorders>
          </w:tcPr>
          <w:p w:rsidR="00000000" w:rsidRDefault="00000000">
            <w:pPr>
              <w:pStyle w:val="FootnoteText"/>
              <w:tabs>
                <w:tab w:val="clear" w:pos="567"/>
                <w:tab w:val="clear" w:pos="1134"/>
                <w:tab w:val="clear" w:pos="1701"/>
                <w:tab w:val="decimal" w:pos="1468"/>
              </w:tabs>
            </w:pPr>
            <w:r>
              <w:tab/>
              <w:t>3 180,8</w:t>
            </w:r>
          </w:p>
        </w:tc>
        <w:tc>
          <w:tcPr>
            <w:tcW w:w="2412" w:type="dxa"/>
            <w:tcBorders>
              <w:top w:val="nil"/>
              <w:bottom w:val="nil"/>
            </w:tcBorders>
          </w:tcPr>
          <w:p w:rsidR="00000000" w:rsidRDefault="00000000">
            <w:pPr>
              <w:pStyle w:val="FootnoteText"/>
              <w:tabs>
                <w:tab w:val="clear" w:pos="567"/>
                <w:tab w:val="clear" w:pos="1134"/>
                <w:tab w:val="clear" w:pos="1701"/>
                <w:tab w:val="decimal" w:pos="1416"/>
              </w:tabs>
            </w:pPr>
            <w:r>
              <w:tab/>
              <w:t>3 318</w:t>
            </w:r>
          </w:p>
        </w:tc>
      </w:tr>
      <w:tr w:rsidR="00000000">
        <w:tblPrEx>
          <w:tblCellMar>
            <w:top w:w="0" w:type="dxa"/>
            <w:bottom w:w="0" w:type="dxa"/>
          </w:tblCellMar>
        </w:tblPrEx>
        <w:trPr>
          <w:cantSplit/>
        </w:trPr>
        <w:tc>
          <w:tcPr>
            <w:tcW w:w="1373" w:type="dxa"/>
            <w:tcBorders>
              <w:top w:val="nil"/>
              <w:bottom w:val="nil"/>
            </w:tcBorders>
          </w:tcPr>
          <w:p w:rsidR="00000000" w:rsidRDefault="00000000">
            <w:pPr>
              <w:pStyle w:val="FootnoteText"/>
              <w:jc w:val="center"/>
            </w:pPr>
            <w:r>
              <w:t>1985</w:t>
            </w:r>
          </w:p>
        </w:tc>
        <w:tc>
          <w:tcPr>
            <w:tcW w:w="3143" w:type="dxa"/>
            <w:tcBorders>
              <w:top w:val="nil"/>
              <w:bottom w:val="nil"/>
            </w:tcBorders>
          </w:tcPr>
          <w:p w:rsidR="00000000" w:rsidRDefault="00000000">
            <w:pPr>
              <w:pStyle w:val="FootnoteText"/>
              <w:tabs>
                <w:tab w:val="clear" w:pos="567"/>
                <w:tab w:val="clear" w:pos="1134"/>
                <w:tab w:val="clear" w:pos="1701"/>
                <w:tab w:val="decimal" w:pos="1619"/>
              </w:tabs>
            </w:pPr>
            <w:r>
              <w:tab/>
              <w:t>7 852,1</w:t>
            </w:r>
          </w:p>
        </w:tc>
        <w:tc>
          <w:tcPr>
            <w:tcW w:w="2483" w:type="dxa"/>
            <w:tcBorders>
              <w:top w:val="nil"/>
              <w:bottom w:val="nil"/>
            </w:tcBorders>
          </w:tcPr>
          <w:p w:rsidR="00000000" w:rsidRDefault="00000000">
            <w:pPr>
              <w:pStyle w:val="FootnoteText"/>
              <w:tabs>
                <w:tab w:val="clear" w:pos="567"/>
                <w:tab w:val="clear" w:pos="1134"/>
                <w:tab w:val="clear" w:pos="1701"/>
                <w:tab w:val="decimal" w:pos="1468"/>
              </w:tabs>
            </w:pPr>
            <w:r>
              <w:tab/>
              <w:t>3 617,8</w:t>
            </w:r>
          </w:p>
        </w:tc>
        <w:tc>
          <w:tcPr>
            <w:tcW w:w="2412" w:type="dxa"/>
            <w:tcBorders>
              <w:top w:val="nil"/>
              <w:bottom w:val="nil"/>
            </w:tcBorders>
          </w:tcPr>
          <w:p w:rsidR="00000000" w:rsidRDefault="00000000">
            <w:pPr>
              <w:pStyle w:val="FootnoteText"/>
              <w:tabs>
                <w:tab w:val="clear" w:pos="567"/>
                <w:tab w:val="clear" w:pos="1134"/>
                <w:tab w:val="clear" w:pos="1701"/>
                <w:tab w:val="decimal" w:pos="1416"/>
              </w:tabs>
            </w:pPr>
            <w:r>
              <w:tab/>
              <w:t>2 170</w:t>
            </w:r>
          </w:p>
        </w:tc>
      </w:tr>
      <w:tr w:rsidR="00000000">
        <w:tblPrEx>
          <w:tblCellMar>
            <w:top w:w="0" w:type="dxa"/>
            <w:bottom w:w="0" w:type="dxa"/>
          </w:tblCellMar>
        </w:tblPrEx>
        <w:trPr>
          <w:cantSplit/>
        </w:trPr>
        <w:tc>
          <w:tcPr>
            <w:tcW w:w="1373" w:type="dxa"/>
            <w:tcBorders>
              <w:top w:val="nil"/>
              <w:bottom w:val="nil"/>
            </w:tcBorders>
          </w:tcPr>
          <w:p w:rsidR="00000000" w:rsidRDefault="00000000">
            <w:pPr>
              <w:pStyle w:val="FootnoteText"/>
              <w:jc w:val="center"/>
            </w:pPr>
            <w:r>
              <w:t>1990</w:t>
            </w:r>
          </w:p>
        </w:tc>
        <w:tc>
          <w:tcPr>
            <w:tcW w:w="3143" w:type="dxa"/>
            <w:tcBorders>
              <w:top w:val="nil"/>
              <w:bottom w:val="nil"/>
            </w:tcBorders>
          </w:tcPr>
          <w:p w:rsidR="00000000" w:rsidRDefault="00000000">
            <w:pPr>
              <w:pStyle w:val="FootnoteText"/>
              <w:tabs>
                <w:tab w:val="clear" w:pos="567"/>
                <w:tab w:val="clear" w:pos="1134"/>
                <w:tab w:val="clear" w:pos="1701"/>
                <w:tab w:val="decimal" w:pos="1619"/>
              </w:tabs>
            </w:pPr>
            <w:r>
              <w:tab/>
              <w:t>7 749,6</w:t>
            </w:r>
          </w:p>
        </w:tc>
        <w:tc>
          <w:tcPr>
            <w:tcW w:w="2483" w:type="dxa"/>
            <w:tcBorders>
              <w:top w:val="nil"/>
              <w:bottom w:val="nil"/>
            </w:tcBorders>
          </w:tcPr>
          <w:p w:rsidR="00000000" w:rsidRDefault="00000000">
            <w:pPr>
              <w:pStyle w:val="FootnoteText"/>
              <w:tabs>
                <w:tab w:val="clear" w:pos="567"/>
                <w:tab w:val="clear" w:pos="1134"/>
                <w:tab w:val="clear" w:pos="1701"/>
                <w:tab w:val="decimal" w:pos="1468"/>
              </w:tabs>
            </w:pPr>
            <w:r>
              <w:tab/>
              <w:t>4 525,0</w:t>
            </w:r>
          </w:p>
        </w:tc>
        <w:tc>
          <w:tcPr>
            <w:tcW w:w="2412" w:type="dxa"/>
            <w:tcBorders>
              <w:top w:val="nil"/>
              <w:bottom w:val="nil"/>
            </w:tcBorders>
          </w:tcPr>
          <w:p w:rsidR="00000000" w:rsidRDefault="00000000">
            <w:pPr>
              <w:pStyle w:val="FootnoteText"/>
              <w:tabs>
                <w:tab w:val="clear" w:pos="567"/>
                <w:tab w:val="clear" w:pos="1134"/>
                <w:tab w:val="clear" w:pos="1701"/>
                <w:tab w:val="decimal" w:pos="1416"/>
              </w:tabs>
            </w:pPr>
            <w:r>
              <w:tab/>
              <w:t>1 713</w:t>
            </w:r>
          </w:p>
        </w:tc>
      </w:tr>
      <w:tr w:rsidR="00000000">
        <w:tblPrEx>
          <w:tblCellMar>
            <w:top w:w="0" w:type="dxa"/>
            <w:bottom w:w="0" w:type="dxa"/>
          </w:tblCellMar>
        </w:tblPrEx>
        <w:trPr>
          <w:cantSplit/>
        </w:trPr>
        <w:tc>
          <w:tcPr>
            <w:tcW w:w="1373" w:type="dxa"/>
            <w:tcBorders>
              <w:top w:val="nil"/>
              <w:bottom w:val="nil"/>
            </w:tcBorders>
          </w:tcPr>
          <w:p w:rsidR="00000000" w:rsidRDefault="00000000">
            <w:pPr>
              <w:pStyle w:val="FootnoteText"/>
              <w:jc w:val="center"/>
            </w:pPr>
            <w:r>
              <w:t>1995</w:t>
            </w:r>
          </w:p>
        </w:tc>
        <w:tc>
          <w:tcPr>
            <w:tcW w:w="3143" w:type="dxa"/>
            <w:tcBorders>
              <w:top w:val="nil"/>
              <w:bottom w:val="nil"/>
            </w:tcBorders>
          </w:tcPr>
          <w:p w:rsidR="00000000" w:rsidRDefault="00000000">
            <w:pPr>
              <w:pStyle w:val="FootnoteText"/>
              <w:tabs>
                <w:tab w:val="clear" w:pos="567"/>
                <w:tab w:val="clear" w:pos="1134"/>
                <w:tab w:val="clear" w:pos="1701"/>
                <w:tab w:val="decimal" w:pos="1619"/>
              </w:tabs>
            </w:pPr>
            <w:r>
              <w:tab/>
              <w:t>13 121,3</w:t>
            </w:r>
          </w:p>
        </w:tc>
        <w:tc>
          <w:tcPr>
            <w:tcW w:w="2483" w:type="dxa"/>
            <w:tcBorders>
              <w:top w:val="nil"/>
              <w:bottom w:val="nil"/>
            </w:tcBorders>
          </w:tcPr>
          <w:p w:rsidR="00000000" w:rsidRDefault="00000000">
            <w:pPr>
              <w:pStyle w:val="FootnoteText"/>
              <w:tabs>
                <w:tab w:val="clear" w:pos="567"/>
                <w:tab w:val="clear" w:pos="1134"/>
                <w:tab w:val="clear" w:pos="1701"/>
                <w:tab w:val="decimal" w:pos="1468"/>
              </w:tabs>
            </w:pPr>
            <w:r>
              <w:tab/>
              <w:t>4 799,0</w:t>
            </w:r>
          </w:p>
        </w:tc>
        <w:tc>
          <w:tcPr>
            <w:tcW w:w="2412" w:type="dxa"/>
            <w:tcBorders>
              <w:top w:val="nil"/>
              <w:bottom w:val="nil"/>
            </w:tcBorders>
          </w:tcPr>
          <w:p w:rsidR="00000000" w:rsidRDefault="00000000">
            <w:pPr>
              <w:pStyle w:val="FootnoteText"/>
              <w:tabs>
                <w:tab w:val="clear" w:pos="567"/>
                <w:tab w:val="clear" w:pos="1134"/>
                <w:tab w:val="clear" w:pos="1701"/>
                <w:tab w:val="decimal" w:pos="1416"/>
              </w:tabs>
            </w:pPr>
            <w:r>
              <w:tab/>
              <w:t>4 389,7</w:t>
            </w:r>
          </w:p>
        </w:tc>
      </w:tr>
      <w:tr w:rsidR="00000000">
        <w:tblPrEx>
          <w:tblCellMar>
            <w:top w:w="0" w:type="dxa"/>
            <w:bottom w:w="0" w:type="dxa"/>
          </w:tblCellMar>
        </w:tblPrEx>
        <w:trPr>
          <w:cantSplit/>
        </w:trPr>
        <w:tc>
          <w:tcPr>
            <w:tcW w:w="1373" w:type="dxa"/>
            <w:tcBorders>
              <w:top w:val="nil"/>
            </w:tcBorders>
          </w:tcPr>
          <w:p w:rsidR="00000000" w:rsidRDefault="00000000">
            <w:pPr>
              <w:pStyle w:val="FootnoteText"/>
              <w:jc w:val="center"/>
            </w:pPr>
            <w:r>
              <w:t>2000</w:t>
            </w:r>
          </w:p>
        </w:tc>
        <w:tc>
          <w:tcPr>
            <w:tcW w:w="3143" w:type="dxa"/>
            <w:tcBorders>
              <w:top w:val="nil"/>
            </w:tcBorders>
          </w:tcPr>
          <w:p w:rsidR="00000000" w:rsidRDefault="00000000">
            <w:pPr>
              <w:pStyle w:val="FootnoteText"/>
              <w:tabs>
                <w:tab w:val="clear" w:pos="567"/>
                <w:tab w:val="clear" w:pos="1134"/>
                <w:tab w:val="clear" w:pos="1701"/>
                <w:tab w:val="decimal" w:pos="1619"/>
              </w:tabs>
            </w:pPr>
            <w:r>
              <w:tab/>
              <w:t>17 620,2</w:t>
            </w:r>
          </w:p>
        </w:tc>
        <w:tc>
          <w:tcPr>
            <w:tcW w:w="2483" w:type="dxa"/>
            <w:tcBorders>
              <w:top w:val="nil"/>
            </w:tcBorders>
          </w:tcPr>
          <w:p w:rsidR="00000000" w:rsidRDefault="00000000">
            <w:pPr>
              <w:pStyle w:val="FootnoteText"/>
              <w:tabs>
                <w:tab w:val="clear" w:pos="567"/>
                <w:tab w:val="clear" w:pos="1134"/>
                <w:tab w:val="clear" w:pos="1701"/>
                <w:tab w:val="decimal" w:pos="1468"/>
              </w:tabs>
            </w:pPr>
            <w:r>
              <w:tab/>
              <w:t>5 125</w:t>
            </w:r>
          </w:p>
        </w:tc>
        <w:tc>
          <w:tcPr>
            <w:tcW w:w="2412" w:type="dxa"/>
            <w:tcBorders>
              <w:top w:val="nil"/>
            </w:tcBorders>
          </w:tcPr>
          <w:p w:rsidR="00000000" w:rsidRDefault="00000000">
            <w:pPr>
              <w:pStyle w:val="FootnoteText"/>
              <w:tabs>
                <w:tab w:val="clear" w:pos="567"/>
                <w:tab w:val="clear" w:pos="1134"/>
                <w:tab w:val="clear" w:pos="1701"/>
                <w:tab w:val="decimal" w:pos="1416"/>
              </w:tabs>
            </w:pPr>
            <w:r>
              <w:tab/>
              <w:t>3 438</w:t>
            </w:r>
          </w:p>
        </w:tc>
      </w:tr>
    </w:tbl>
    <w:p w:rsidR="00000000" w:rsidRDefault="00000000"/>
    <w:p w:rsidR="00000000" w:rsidRDefault="00000000">
      <w:pPr>
        <w:spacing w:line="240" w:lineRule="auto"/>
      </w:pPr>
    </w:p>
    <w:p w:rsidR="00000000" w:rsidRDefault="00000000">
      <w:r>
        <w:t>58.</w:t>
      </w:r>
      <w:r>
        <w:tab/>
        <w:t>Повышение реальных доходов на душу населения позволяет гражданам оплачивать товары и услуги и иметь накопления, а семьям осуществлять расходы в размерах, соответствующих уровню жизни и наличию товаров и услуг, что является немаловажным фактором в повышении жизненного уровня населения.  По данным, приведенным в докладе 1999 года о развитии человеческого потенциала в Джамахирии, семейные расходы на оплату потребительских товаров и услуг в сочетании со средним уровнем сбережения в 30% от доходов возросли с 395,6 млн. ЛД в 1970 году до 7 236 млн. в 1997 году.  Государственные расходы на оплату потребительских товаров и услуг также увеличились - с 220,7 млн. ЛД в 1970 году до 4 328,2 млн. в 1997 году.</w:t>
      </w:r>
    </w:p>
    <w:p w:rsidR="00000000" w:rsidRDefault="00000000"/>
    <w:p w:rsidR="00000000" w:rsidRDefault="00000000">
      <w:r>
        <w:t>59.</w:t>
      </w:r>
      <w:r>
        <w:tab/>
        <w:t>Росту доходов на душу населения способствовала социальная политика, предусматривавшая обеспечение бесплатного образования, медицинской помощи и жилья для всех слоев общества и отдающая приоритет защите интересов нуждающихся и инвалидов.</w:t>
      </w:r>
    </w:p>
    <w:p w:rsidR="00000000" w:rsidRDefault="00000000"/>
    <w:p w:rsidR="00000000" w:rsidRDefault="00000000">
      <w:r>
        <w:t>60.</w:t>
      </w:r>
      <w:r>
        <w:tab/>
        <w:t>Анализ поступлений в государственную казну от сферы услуг ясно показывает, что граждане платят за них меньше стоимости самих услуг;  другими словами, они получают услуги практически бесплатно.</w:t>
      </w:r>
    </w:p>
    <w:p w:rsidR="00000000" w:rsidRDefault="00000000"/>
    <w:p w:rsidR="00000000" w:rsidRDefault="00000000">
      <w:pPr>
        <w:keepNext/>
      </w:pPr>
      <w:r>
        <w:rPr>
          <w:b/>
          <w:bCs/>
        </w:rPr>
        <w:t>Подпункт с)</w:t>
      </w:r>
    </w:p>
    <w:p w:rsidR="00000000" w:rsidRDefault="00000000">
      <w:pPr>
        <w:keepNext/>
      </w:pPr>
    </w:p>
    <w:p w:rsidR="00000000" w:rsidRDefault="00000000">
      <w:r>
        <w:t>61.</w:t>
      </w:r>
      <w:r>
        <w:tab/>
        <w:t>При расчете уровня бедности в Ливии учитывается возможность приобретения товаров и услуг, а также то, имеет ли человек гарантированный ежемесячный доход, достаточный для покрытия его повседневных потребностей.  Люди, находящиеся ниже черты бедности, охватываются программой минимальных пособий, которая призвана гарантировать каждому приемлемый уровень жизни.  Поэтому ни один из слоев населения Ливии нельзя отнести к числу бедняков.</w:t>
      </w:r>
    </w:p>
    <w:p w:rsidR="00000000" w:rsidRDefault="00000000"/>
    <w:p w:rsidR="00000000" w:rsidRDefault="00000000">
      <w:pPr>
        <w:keepNext/>
      </w:pPr>
      <w:r>
        <w:rPr>
          <w:b/>
          <w:bCs/>
        </w:rPr>
        <w:t xml:space="preserve">Подпункт </w:t>
      </w:r>
      <w:r>
        <w:rPr>
          <w:b/>
          <w:bCs/>
          <w:lang w:val="en-US"/>
        </w:rPr>
        <w:t>d</w:t>
      </w:r>
      <w:r>
        <w:rPr>
          <w:b/>
          <w:bCs/>
        </w:rPr>
        <w:t>)</w:t>
      </w:r>
    </w:p>
    <w:p w:rsidR="00000000" w:rsidRDefault="00000000">
      <w:pPr>
        <w:keepNext/>
      </w:pPr>
    </w:p>
    <w:p w:rsidR="00000000" w:rsidRDefault="00000000">
      <w:r>
        <w:t>62.</w:t>
      </w:r>
      <w:r>
        <w:tab/>
        <w:t>Социально-экономическая политика Ливии опирается на показатели качества жизни, позволяющие произвести оценку материального и психологического благосостояния.  С точки зрения материальных ценностей эти показатели служат для оценки таких факторов, как доступ к надлежащему жилью, питьевой воде, услугам санитарии, базовой медицинской помощи, достаточному питанию надлежащей калорийности, средствам транспорта и связи.  В настоящем докладе содержится подробная информация по всем этим показателям.</w:t>
      </w:r>
    </w:p>
    <w:p w:rsidR="00000000" w:rsidRDefault="00000000"/>
    <w:p w:rsidR="00000000" w:rsidRDefault="00000000">
      <w:pPr>
        <w:keepNext/>
        <w:spacing w:line="240" w:lineRule="auto"/>
      </w:pPr>
      <w:r>
        <w:rPr>
          <w:b/>
          <w:bCs/>
        </w:rPr>
        <w:br w:type="page"/>
        <w:t>Пункт 2 - Право на достаточное питание</w:t>
      </w:r>
    </w:p>
    <w:p w:rsidR="00000000" w:rsidRDefault="00000000">
      <w:pPr>
        <w:keepNext/>
        <w:spacing w:line="240" w:lineRule="auto"/>
        <w:rPr>
          <w:sz w:val="20"/>
        </w:rPr>
      </w:pPr>
    </w:p>
    <w:p w:rsidR="00000000" w:rsidRDefault="00000000">
      <w:r>
        <w:t>63.</w:t>
      </w:r>
      <w:r>
        <w:tab/>
        <w:t>Следует сослаться на информацию, приведенную в первоначальном докладе Ливии об осуществлении Международного пакта об экономических, социальных и культурных правах.  Кроме того, заслуживают внимания изложенные ниже замечания и новые сведения.</w:t>
      </w:r>
    </w:p>
    <w:p w:rsidR="00000000" w:rsidRDefault="00000000"/>
    <w:p w:rsidR="00000000" w:rsidRDefault="00000000">
      <w:pPr>
        <w:numPr>
          <w:ilvl w:val="0"/>
          <w:numId w:val="13"/>
        </w:numPr>
      </w:pPr>
      <w:r>
        <w:t>По данным, представленным Продовольственной и сельскохозяйственной организацией Объединенных Наций (ФАО), средняя калорийность питания жителей Ливийской Арабской Джамахирии составила в 2001 году 3 333 калории по сравнению с 2 807 калориями в среднем по миру и 3 285 калориями в развивающихся странах.  Этого удалось достичь благодаря проводимой Ливией политике в области обеспечения продовольствием, которая является одним из факторов обеспечения социального благосостояния граждан и их семей.  Этой политикой охвачены все члены общества без исключения.</w:t>
      </w:r>
    </w:p>
    <w:p w:rsidR="00000000" w:rsidRDefault="00000000">
      <w:pPr>
        <w:tabs>
          <w:tab w:val="clear" w:pos="1134"/>
        </w:tabs>
      </w:pPr>
    </w:p>
    <w:p w:rsidR="00000000" w:rsidRDefault="00000000">
      <w:pPr>
        <w:numPr>
          <w:ilvl w:val="0"/>
          <w:numId w:val="13"/>
        </w:numPr>
      </w:pPr>
      <w:r>
        <w:t>Что касается уровня питания матерей и детей, то можно сослаться на результаты проведенного ЮНИСЕФ в 1999 году исследования по вопросу о положении женщин и детей в Ливийской Арабской Джамахирии.  По имеющимся данным, особенно тем, которые включены в доклад 1999</w:t>
      </w:r>
      <w:r>
        <w:rPr>
          <w:lang w:val="en-US"/>
        </w:rPr>
        <w:t> </w:t>
      </w:r>
      <w:r>
        <w:t>года о развитии человеческого потенциала в Джамахирии, в Ливии нет такого явления, как голод и недоедание, за исключением отдельных патологических случаев.</w:t>
      </w:r>
    </w:p>
    <w:p w:rsidR="00000000" w:rsidRDefault="00000000">
      <w:pPr>
        <w:tabs>
          <w:tab w:val="clear" w:pos="1134"/>
        </w:tabs>
      </w:pPr>
    </w:p>
    <w:p w:rsidR="00000000" w:rsidRDefault="00000000">
      <w:pPr>
        <w:numPr>
          <w:ilvl w:val="0"/>
          <w:numId w:val="13"/>
        </w:numPr>
      </w:pPr>
      <w:r>
        <w:t xml:space="preserve">Что касается положений </w:t>
      </w:r>
      <w:r>
        <w:rPr>
          <w:lang w:val="en-US"/>
        </w:rPr>
        <w:t>i</w:t>
      </w:r>
      <w:r>
        <w:t>)</w:t>
      </w:r>
      <w:r>
        <w:noBreakHyphen/>
      </w:r>
      <w:r>
        <w:rPr>
          <w:lang w:val="en-US"/>
        </w:rPr>
        <w:t>iii</w:t>
      </w:r>
      <w:r>
        <w:t>) подпункта </w:t>
      </w:r>
      <w:r>
        <w:rPr>
          <w:lang w:val="en-US"/>
        </w:rPr>
        <w:t>b</w:t>
      </w:r>
      <w:r>
        <w:t>) пункта 2, см. доклады Ливии об осуществлении Пакта и доклад о развитии человеческого потенциала, опубликованный Программой развития Организации Объединенных Наций (ПРООН).  По подпункту с) следует отметить, что фонду социального обеспечения, учрежденному в конце прошлого века, удалось обеспечить гарантированный доход всем лицам, не имеющим источников дохода.  Его размеры рассчитываются так, чтобы беднейшие слои населения имели достаточные средства для удовлетворения всех своих повседневных потребностей, включая потребность в достаточном питании.</w:t>
      </w:r>
    </w:p>
    <w:p w:rsidR="00000000" w:rsidRDefault="00000000">
      <w:pPr>
        <w:tabs>
          <w:tab w:val="clear" w:pos="1134"/>
        </w:tabs>
      </w:pPr>
    </w:p>
    <w:p w:rsidR="00000000" w:rsidRDefault="00000000">
      <w:pPr>
        <w:numPr>
          <w:ilvl w:val="0"/>
          <w:numId w:val="13"/>
        </w:numPr>
        <w:tabs>
          <w:tab w:val="left" w:pos="1106"/>
        </w:tabs>
      </w:pPr>
      <w:r>
        <w:t>Достаточное питание обеспечивается также всем нуждающимся, которые находятся в заведениях системы социального обеспечения, а также престарелым, инвалидам и детям, не имеющим кормильца, в соответствии с принципом, который гласит:  "Общество присматривает за теми, за кем некому присматривать, и заботится о тех, о ком некому заботиться".</w:t>
      </w:r>
    </w:p>
    <w:p w:rsidR="00000000" w:rsidRDefault="00000000">
      <w:pPr>
        <w:keepNext/>
        <w:spacing w:line="240" w:lineRule="auto"/>
      </w:pPr>
      <w:r>
        <w:rPr>
          <w:b/>
          <w:bCs/>
        </w:rPr>
        <w:t xml:space="preserve">Подпункт </w:t>
      </w:r>
      <w:r>
        <w:rPr>
          <w:b/>
          <w:bCs/>
          <w:lang w:val="en-US"/>
        </w:rPr>
        <w:t>d</w:t>
      </w:r>
      <w:r>
        <w:rPr>
          <w:b/>
          <w:bCs/>
        </w:rPr>
        <w:t>)</w:t>
      </w:r>
    </w:p>
    <w:p w:rsidR="00000000" w:rsidRDefault="00000000">
      <w:pPr>
        <w:keepNext/>
        <w:spacing w:line="240" w:lineRule="auto"/>
      </w:pPr>
    </w:p>
    <w:p w:rsidR="00000000" w:rsidRDefault="00000000">
      <w:r>
        <w:t>64.</w:t>
      </w:r>
      <w:r>
        <w:tab/>
        <w:t>Ливийская Арабская Джамахирия субсидирует продукты питания, с тем чтобы сделать их доступными для всех слоев населения.  Бюджетные ассигнования на продовольственные субсидии составили 700 млн. ЛД в 2002 году и 300 млн. ЛД в 2003 году.</w:t>
      </w:r>
    </w:p>
    <w:p w:rsidR="00000000" w:rsidRDefault="00000000"/>
    <w:p w:rsidR="00000000" w:rsidRDefault="00000000">
      <w:r>
        <w:t>65.</w:t>
      </w:r>
      <w:r>
        <w:tab/>
        <w:t>В статье 6 Закона № 4 1996 года, определяющего порядок импорта продовольствия, установлено, что гражданам должна быть гарантирована возможность приобретения по доступным ценам продовольственных товаров, в которых они нуждаются, для обеспечения справедливого их распределения среди всех членов общества без исключения.  Распределение основных товаров осуществляется через потребительские кооперативы согласно Закону № 60 1976 года, что обеспечивает каждому гражданину доступ к необходимым ему продовольственным продуктам по субсидируемым ценам ниже себестоимости.  Так, например, пекарни снабжаются мукой, с тем чтобы они могли обеспечить дешевый хлеб всем жителям Ливийской Арабской Джамахирии.</w:t>
      </w:r>
    </w:p>
    <w:p w:rsidR="00000000" w:rsidRDefault="00000000"/>
    <w:p w:rsidR="00000000" w:rsidRDefault="00000000">
      <w:pPr>
        <w:keepNext/>
      </w:pPr>
      <w:r>
        <w:rPr>
          <w:b/>
          <w:bCs/>
        </w:rPr>
        <w:t>Пункт е)</w:t>
      </w:r>
    </w:p>
    <w:p w:rsidR="00000000" w:rsidRDefault="00000000">
      <w:pPr>
        <w:keepNext/>
      </w:pPr>
    </w:p>
    <w:p w:rsidR="00000000" w:rsidRDefault="00000000">
      <w:r>
        <w:t>66.</w:t>
      </w:r>
      <w:r>
        <w:tab/>
        <w:t>Выше уже упоминались предпринятые меры по защите базы для производства продуктов питания, в том числе законы, запрещающие использование сельскохозяйственных земель под строительство, например Закон о защите сельскохозяйственных земель, законодательство о сохранении поголовья скота, а также меры по разработке методов консервирования продуктов и хранения сельскохозяйственной продукции.</w:t>
      </w:r>
    </w:p>
    <w:p w:rsidR="00000000" w:rsidRDefault="00000000"/>
    <w:p w:rsidR="00000000" w:rsidRDefault="00000000">
      <w:pPr>
        <w:keepNext/>
      </w:pPr>
      <w:r>
        <w:rPr>
          <w:b/>
          <w:bCs/>
        </w:rPr>
        <w:t xml:space="preserve">Пункт </w:t>
      </w:r>
      <w:r>
        <w:rPr>
          <w:b/>
          <w:bCs/>
          <w:lang w:val="en-US"/>
        </w:rPr>
        <w:t>f</w:t>
      </w:r>
      <w:r>
        <w:rPr>
          <w:b/>
          <w:bCs/>
        </w:rPr>
        <w:t>)</w:t>
      </w:r>
    </w:p>
    <w:p w:rsidR="00000000" w:rsidRDefault="00000000">
      <w:pPr>
        <w:keepNext/>
      </w:pPr>
    </w:p>
    <w:p w:rsidR="00000000" w:rsidRDefault="00000000">
      <w:r>
        <w:t>67.</w:t>
      </w:r>
      <w:r>
        <w:tab/>
        <w:t>Для распространения знаний о принципах питания используются различные средства, в частности:</w:t>
      </w:r>
    </w:p>
    <w:p w:rsidR="00000000" w:rsidRDefault="00000000"/>
    <w:p w:rsidR="00000000" w:rsidRDefault="00000000">
      <w:pPr>
        <w:ind w:left="1134" w:hanging="567"/>
      </w:pPr>
      <w:r>
        <w:rPr>
          <w:lang w:val="en-US"/>
        </w:rPr>
        <w:t>a</w:t>
      </w:r>
      <w:r>
        <w:t>)</w:t>
      </w:r>
      <w:r>
        <w:tab/>
        <w:t>просветительские программы;</w:t>
      </w:r>
    </w:p>
    <w:p w:rsidR="00000000" w:rsidRDefault="00000000">
      <w:pPr>
        <w:ind w:left="1134" w:hanging="567"/>
      </w:pPr>
    </w:p>
    <w:p w:rsidR="00000000" w:rsidRDefault="00000000">
      <w:pPr>
        <w:ind w:left="1134" w:hanging="567"/>
      </w:pPr>
      <w:r>
        <w:rPr>
          <w:lang w:val="en-US"/>
        </w:rPr>
        <w:t>b</w:t>
      </w:r>
      <w:r>
        <w:t>)</w:t>
      </w:r>
      <w:r>
        <w:tab/>
        <w:t>медицинские центры;</w:t>
      </w:r>
    </w:p>
    <w:p w:rsidR="00000000" w:rsidRDefault="00000000">
      <w:pPr>
        <w:ind w:left="1134" w:hanging="567"/>
      </w:pPr>
    </w:p>
    <w:p w:rsidR="00000000" w:rsidRDefault="00000000">
      <w:pPr>
        <w:ind w:left="1134" w:hanging="567"/>
      </w:pPr>
      <w:r>
        <w:rPr>
          <w:lang w:val="en-US"/>
        </w:rPr>
        <w:t>c</w:t>
      </w:r>
      <w:r>
        <w:t>)</w:t>
      </w:r>
      <w:r>
        <w:tab/>
        <w:t>центры здоровья матери и ребенка;</w:t>
      </w:r>
    </w:p>
    <w:p w:rsidR="00000000" w:rsidRDefault="00000000">
      <w:pPr>
        <w:ind w:left="1134" w:hanging="567"/>
      </w:pPr>
    </w:p>
    <w:p w:rsidR="00000000" w:rsidRDefault="00000000">
      <w:pPr>
        <w:ind w:left="1134" w:hanging="567"/>
      </w:pPr>
      <w:r>
        <w:rPr>
          <w:lang w:val="en-US"/>
        </w:rPr>
        <w:t>d</w:t>
      </w:r>
      <w:r>
        <w:t>)</w:t>
      </w:r>
      <w:r>
        <w:tab/>
        <w:t>газеты, журналы и аудиовизуальные средства массовой информации;</w:t>
      </w:r>
    </w:p>
    <w:p w:rsidR="00000000" w:rsidRDefault="00000000">
      <w:pPr>
        <w:ind w:left="1134" w:hanging="567"/>
      </w:pPr>
    </w:p>
    <w:p w:rsidR="00000000" w:rsidRDefault="00000000">
      <w:pPr>
        <w:ind w:left="1134" w:hanging="567"/>
      </w:pPr>
      <w:r>
        <w:rPr>
          <w:lang w:val="en-US"/>
        </w:rPr>
        <w:t>e</w:t>
      </w:r>
      <w:r>
        <w:t>)</w:t>
      </w:r>
      <w:r>
        <w:tab/>
        <w:t>листовки и брошюры.</w:t>
      </w:r>
    </w:p>
    <w:p w:rsidR="00000000" w:rsidRDefault="00000000">
      <w:pPr>
        <w:ind w:left="1134" w:hanging="567"/>
      </w:pPr>
    </w:p>
    <w:p w:rsidR="00000000" w:rsidRDefault="00000000">
      <w:r>
        <w:t>68.</w:t>
      </w:r>
      <w:r>
        <w:tab/>
        <w:t>Тем не менее уровень информированности населения о правилах питания остается низким;  это особенно касается грудного вскармливания и ряда вредных обычаев, касающихся приема пищи.</w:t>
      </w:r>
    </w:p>
    <w:p w:rsidR="00000000" w:rsidRDefault="00000000">
      <w:pPr>
        <w:spacing w:line="240" w:lineRule="auto"/>
      </w:pPr>
    </w:p>
    <w:p w:rsidR="00000000" w:rsidRDefault="00000000">
      <w:pPr>
        <w:keepNext/>
        <w:spacing w:line="240" w:lineRule="auto"/>
      </w:pPr>
      <w:r>
        <w:rPr>
          <w:b/>
          <w:bCs/>
        </w:rPr>
        <w:t xml:space="preserve">Пункт 5 </w:t>
      </w:r>
      <w:r>
        <w:rPr>
          <w:b/>
          <w:bCs/>
          <w:lang w:val="en-US"/>
        </w:rPr>
        <w:t>i</w:t>
      </w:r>
      <w:r>
        <w:rPr>
          <w:b/>
          <w:bCs/>
        </w:rPr>
        <w:t>)</w:t>
      </w:r>
      <w:r>
        <w:rPr>
          <w:rStyle w:val="FootnoteReference"/>
        </w:rPr>
        <w:footnoteReference w:customMarkFollows="1" w:id="3"/>
        <w:t>*</w:t>
      </w:r>
    </w:p>
    <w:p w:rsidR="00000000" w:rsidRDefault="00000000">
      <w:pPr>
        <w:keepNext/>
        <w:spacing w:line="240" w:lineRule="auto"/>
      </w:pPr>
    </w:p>
    <w:p w:rsidR="00000000" w:rsidRDefault="00000000">
      <w:r>
        <w:t>69.</w:t>
      </w:r>
      <w:r>
        <w:tab/>
        <w:t>Как было указано выше, принятые властями меры позволили сократить детскую и материнскую смертность и снизить степень распространение заболеваний, передаваемых незаконно проникающими в страну иностранцами.  Лица, включая незаконных иммигрантов, страдающие инфекционными заболеваниями, получают бесплатную медицинскую помощь и лекарства.  В докладе о развитии человеческого потенциала, опубликованном Национальным управлением документации и информации в 1999 году, говорится о трудностях, с которыми сталкивается система здравоохранения.  К числу этих трудностей относятся:</w:t>
      </w:r>
    </w:p>
    <w:p w:rsidR="00000000" w:rsidRDefault="00000000"/>
    <w:p w:rsidR="00000000" w:rsidRDefault="00000000">
      <w:pPr>
        <w:numPr>
          <w:ilvl w:val="0"/>
          <w:numId w:val="14"/>
        </w:numPr>
      </w:pPr>
      <w:r>
        <w:t>слабость механизмов планирования в области здравоохранения;</w:t>
      </w:r>
    </w:p>
    <w:p w:rsidR="00000000" w:rsidRDefault="00000000">
      <w:pPr>
        <w:rPr>
          <w:sz w:val="20"/>
        </w:rPr>
      </w:pPr>
    </w:p>
    <w:p w:rsidR="00000000" w:rsidRDefault="00000000">
      <w:pPr>
        <w:numPr>
          <w:ilvl w:val="0"/>
          <w:numId w:val="14"/>
        </w:numPr>
      </w:pPr>
      <w:r>
        <w:t>проблемы с техническим содержанием медицинских учреждений;</w:t>
      </w:r>
    </w:p>
    <w:p w:rsidR="00000000" w:rsidRDefault="00000000">
      <w:pPr>
        <w:rPr>
          <w:sz w:val="20"/>
        </w:rPr>
      </w:pPr>
    </w:p>
    <w:p w:rsidR="00000000" w:rsidRDefault="00000000">
      <w:pPr>
        <w:numPr>
          <w:ilvl w:val="0"/>
          <w:numId w:val="14"/>
        </w:numPr>
      </w:pPr>
      <w:r>
        <w:t>проблемы с ассигнованиями на нужды здравоохранения;</w:t>
      </w:r>
    </w:p>
    <w:p w:rsidR="00000000" w:rsidRDefault="00000000">
      <w:pPr>
        <w:rPr>
          <w:sz w:val="20"/>
        </w:rPr>
      </w:pPr>
    </w:p>
    <w:p w:rsidR="00000000" w:rsidRDefault="00000000">
      <w:pPr>
        <w:numPr>
          <w:ilvl w:val="0"/>
          <w:numId w:val="14"/>
        </w:numPr>
      </w:pPr>
      <w:r>
        <w:t>проблемы со снабжением товарами медицинского и санитарного назначения;</w:t>
      </w:r>
    </w:p>
    <w:p w:rsidR="00000000" w:rsidRDefault="00000000">
      <w:pPr>
        <w:rPr>
          <w:sz w:val="20"/>
        </w:rPr>
      </w:pPr>
    </w:p>
    <w:p w:rsidR="00000000" w:rsidRDefault="00000000">
      <w:pPr>
        <w:numPr>
          <w:ilvl w:val="0"/>
          <w:numId w:val="14"/>
        </w:numPr>
      </w:pPr>
      <w:r>
        <w:t>проблемы с медицинским персоналом;</w:t>
      </w:r>
    </w:p>
    <w:p w:rsidR="00000000" w:rsidRDefault="00000000">
      <w:pPr>
        <w:rPr>
          <w:sz w:val="20"/>
        </w:rPr>
      </w:pPr>
    </w:p>
    <w:p w:rsidR="00000000" w:rsidRDefault="00000000">
      <w:pPr>
        <w:numPr>
          <w:ilvl w:val="0"/>
          <w:numId w:val="14"/>
        </w:numPr>
      </w:pPr>
      <w:r>
        <w:t>проблемы с качеством медицинской помощи;</w:t>
      </w:r>
    </w:p>
    <w:p w:rsidR="00000000" w:rsidRDefault="00000000">
      <w:pPr>
        <w:rPr>
          <w:sz w:val="20"/>
        </w:rPr>
      </w:pPr>
    </w:p>
    <w:p w:rsidR="00000000" w:rsidRDefault="00000000">
      <w:pPr>
        <w:numPr>
          <w:ilvl w:val="0"/>
          <w:numId w:val="14"/>
        </w:numPr>
      </w:pPr>
      <w:r>
        <w:t>проблемы с лечением за рубежом.</w:t>
      </w:r>
    </w:p>
    <w:p w:rsidR="00000000" w:rsidRDefault="00000000">
      <w:pPr>
        <w:spacing w:line="240" w:lineRule="auto"/>
        <w:rPr>
          <w:sz w:val="20"/>
        </w:rPr>
      </w:pPr>
    </w:p>
    <w:p w:rsidR="00000000" w:rsidRDefault="00000000">
      <w:pPr>
        <w:spacing w:line="240" w:lineRule="auto"/>
        <w:rPr>
          <w:b/>
          <w:bCs/>
        </w:rPr>
      </w:pPr>
      <w:r>
        <w:rPr>
          <w:b/>
          <w:bCs/>
        </w:rPr>
        <w:t>Пункт 6</w:t>
      </w:r>
    </w:p>
    <w:p w:rsidR="00000000" w:rsidRDefault="00000000">
      <w:pPr>
        <w:spacing w:line="240" w:lineRule="auto"/>
        <w:rPr>
          <w:b/>
          <w:bCs/>
          <w:sz w:val="20"/>
        </w:rPr>
      </w:pPr>
    </w:p>
    <w:p w:rsidR="00000000" w:rsidRDefault="00000000">
      <w:r>
        <w:t>70.</w:t>
      </w:r>
      <w:r>
        <w:tab/>
        <w:t>Вопросы, которых касается данный пункт, рассматривались в разделе, посвященном социальному обеспечению и здравоохранению.  Следует, однако, добавить, что в рамках системы социального обеспечения для престарелых, не имеющих средств к существованию, были созданы специальные учреждения благодаря чему этим лицам, где бы они ни проживали в пределах Ливии, гарантируется их законное право на медицинскую помощь за счет их охвата программами здравоохранения и услугами медицинских учреждений.</w:t>
      </w:r>
    </w:p>
    <w:p w:rsidR="00000000" w:rsidRDefault="00000000">
      <w:r>
        <w:rPr>
          <w:b/>
          <w:bCs/>
        </w:rPr>
        <w:t>Подпункт g)</w:t>
      </w:r>
      <w:r>
        <w:rPr>
          <w:rStyle w:val="FootnoteReference"/>
        </w:rPr>
        <w:footnoteReference w:customMarkFollows="1" w:id="4"/>
        <w:sym w:font="Symbol" w:char="F02A"/>
      </w:r>
    </w:p>
    <w:p w:rsidR="00000000" w:rsidRDefault="00000000"/>
    <w:p w:rsidR="00000000" w:rsidRDefault="00000000">
      <w:r>
        <w:t>71.</w:t>
      </w:r>
      <w:r>
        <w:tab/>
        <w:t>В дополнение к информации, содержащейся в первоначальном докладе Ливии, следует отметить, что Джамахирия проводит политику защиты сельскохозяйственных земель от урбанизации и опустынивания;  так, ею был осуществлен крупный проект переброски воды на несколько сотен километров из отдаленных пустынных районов на юге страны к пригодным для возделывания землям на севере.</w:t>
      </w:r>
    </w:p>
    <w:p w:rsidR="00000000" w:rsidRDefault="00000000"/>
    <w:p w:rsidR="00000000" w:rsidRDefault="00000000">
      <w:r>
        <w:t>72.</w:t>
      </w:r>
      <w:r>
        <w:tab/>
        <w:t>Что касается законодательства об аграрной реформе, то следует упомянуть о Законе № 15 1992 года о защите сельскохозяйственных земель и Законе № 7 1996 года об охране животного и растительного мира.</w:t>
      </w:r>
    </w:p>
    <w:p w:rsidR="00000000" w:rsidRDefault="00000000"/>
    <w:p w:rsidR="00000000" w:rsidRDefault="00000000">
      <w:pPr>
        <w:rPr>
          <w:b/>
          <w:bCs/>
        </w:rPr>
      </w:pPr>
      <w:r>
        <w:rPr>
          <w:b/>
          <w:bCs/>
        </w:rPr>
        <w:t>Пункт 2 h)</w:t>
      </w:r>
    </w:p>
    <w:p w:rsidR="00000000" w:rsidRDefault="00000000">
      <w:pPr>
        <w:rPr>
          <w:b/>
          <w:bCs/>
        </w:rPr>
      </w:pPr>
    </w:p>
    <w:p w:rsidR="00000000" w:rsidRDefault="00000000">
      <w:r>
        <w:t>73.</w:t>
      </w:r>
      <w:r>
        <w:tab/>
        <w:t>Информация о мерах, предпринятых Ливийской Арабской Джамахирией для обеспечения справедливого распределения продовольствия, приведена выше, в пункте 2 d).</w:t>
      </w:r>
    </w:p>
    <w:p w:rsidR="00000000" w:rsidRDefault="00000000"/>
    <w:p w:rsidR="00000000" w:rsidRDefault="00000000">
      <w:r>
        <w:rPr>
          <w:b/>
          <w:bCs/>
        </w:rPr>
        <w:t>Пункт 3 а):  Право на приемлемое жилье</w:t>
      </w:r>
    </w:p>
    <w:p w:rsidR="00000000" w:rsidRDefault="00000000"/>
    <w:p w:rsidR="00000000" w:rsidRDefault="00000000">
      <w:r>
        <w:t>74.</w:t>
      </w:r>
      <w:r>
        <w:tab/>
        <w:t>Этот вопрос рассматривается в первоначальном докладе Ливии об осуществлении Международного пакта об экономических, социальных и культурных правах.  В дополнение к содержащейся в нем информации заслуживают внимания также следующие данные и факты:</w:t>
      </w:r>
    </w:p>
    <w:p w:rsidR="00000000" w:rsidRDefault="00000000"/>
    <w:p w:rsidR="00000000" w:rsidRDefault="00000000">
      <w:pPr>
        <w:numPr>
          <w:ilvl w:val="0"/>
          <w:numId w:val="15"/>
        </w:numPr>
      </w:pPr>
      <w:r>
        <w:t>поставленные в плане развития задачи обеспечения для всех приемлемого в количественном и качественном отношении жилья решены.  С таким явлением, как бараки и трущобы покончено, а количество современных единиц жилья увеличилось с 283 000 в 1973 году и 556 000 в 1985 году до 635 000 в 1995 году;</w:t>
      </w:r>
    </w:p>
    <w:p w:rsidR="00000000" w:rsidRDefault="00000000">
      <w:pPr>
        <w:ind w:left="1134" w:hanging="1134"/>
      </w:pPr>
    </w:p>
    <w:p w:rsidR="00000000" w:rsidRDefault="00000000">
      <w:pPr>
        <w:numPr>
          <w:ilvl w:val="0"/>
          <w:numId w:val="15"/>
        </w:numPr>
      </w:pPr>
      <w:r>
        <w:t>уровень перенаселенности, определяемой количеством семей на одну жилую единицу, снизился;  в 1995 году на каждую жилую единицу приходилось около одной семьи;</w:t>
      </w:r>
    </w:p>
    <w:p w:rsidR="00000000" w:rsidRDefault="00000000">
      <w:pPr>
        <w:ind w:left="1134" w:hanging="1134"/>
      </w:pPr>
    </w:p>
    <w:p w:rsidR="00000000" w:rsidRDefault="00000000">
      <w:pPr>
        <w:numPr>
          <w:ilvl w:val="0"/>
          <w:numId w:val="15"/>
        </w:numPr>
      </w:pPr>
      <w:r>
        <w:t>большая часть населения (85,4%) проживает в городах;</w:t>
      </w:r>
    </w:p>
    <w:p w:rsidR="00000000" w:rsidRDefault="00000000">
      <w:pPr>
        <w:ind w:left="1134" w:hanging="1134"/>
      </w:pPr>
    </w:p>
    <w:p w:rsidR="00000000" w:rsidRDefault="00000000">
      <w:pPr>
        <w:numPr>
          <w:ilvl w:val="0"/>
          <w:numId w:val="15"/>
        </w:numPr>
      </w:pPr>
      <w:r>
        <w:t>общее количество жилых единиц в Ливийской Арабской Джамахирии в 2000 году составило 930 870.  Этот показатель в разбивке по различным категориям проиллюстрирован в приведенной ниже таблице:</w:t>
      </w:r>
    </w:p>
    <w:p w:rsidR="00000000" w:rsidRDefault="00000000">
      <w:pPr>
        <w:ind w:left="1134" w:hanging="1134"/>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928"/>
        <w:gridCol w:w="2241"/>
        <w:gridCol w:w="2242"/>
      </w:tblGrid>
      <w:tr w:rsidR="00000000">
        <w:tblPrEx>
          <w:tblCellMar>
            <w:top w:w="0" w:type="dxa"/>
            <w:bottom w:w="0" w:type="dxa"/>
          </w:tblCellMar>
        </w:tblPrEx>
        <w:trPr>
          <w:cantSplit/>
        </w:trPr>
        <w:tc>
          <w:tcPr>
            <w:tcW w:w="4928" w:type="dxa"/>
          </w:tcPr>
          <w:p w:rsidR="00000000" w:rsidRDefault="00000000">
            <w:pPr>
              <w:spacing w:line="240" w:lineRule="auto"/>
              <w:jc w:val="center"/>
            </w:pPr>
            <w:r>
              <w:t>Вид жилья</w:t>
            </w:r>
          </w:p>
        </w:tc>
        <w:tc>
          <w:tcPr>
            <w:tcW w:w="2241" w:type="dxa"/>
          </w:tcPr>
          <w:p w:rsidR="00000000" w:rsidRDefault="00000000">
            <w:pPr>
              <w:spacing w:line="240" w:lineRule="auto"/>
              <w:jc w:val="center"/>
            </w:pPr>
            <w:r>
              <w:t>Количество единиц</w:t>
            </w:r>
          </w:p>
        </w:tc>
        <w:tc>
          <w:tcPr>
            <w:tcW w:w="2242" w:type="dxa"/>
          </w:tcPr>
          <w:p w:rsidR="00000000" w:rsidRDefault="00000000">
            <w:pPr>
              <w:spacing w:line="240" w:lineRule="auto"/>
              <w:jc w:val="center"/>
            </w:pPr>
            <w:r>
              <w:t>В процентах</w:t>
            </w:r>
          </w:p>
        </w:tc>
      </w:tr>
      <w:tr w:rsidR="00000000">
        <w:tblPrEx>
          <w:tblCellMar>
            <w:top w:w="0" w:type="dxa"/>
            <w:bottom w:w="0" w:type="dxa"/>
          </w:tblCellMar>
        </w:tblPrEx>
        <w:trPr>
          <w:cantSplit/>
        </w:trPr>
        <w:tc>
          <w:tcPr>
            <w:tcW w:w="4928" w:type="dxa"/>
            <w:tcBorders>
              <w:bottom w:val="nil"/>
            </w:tcBorders>
          </w:tcPr>
          <w:p w:rsidR="00000000" w:rsidRDefault="00000000">
            <w:pPr>
              <w:spacing w:line="240" w:lineRule="auto"/>
            </w:pPr>
            <w:r>
              <w:t>Хуши (традиционные отдельные постройки)</w:t>
            </w:r>
          </w:p>
        </w:tc>
        <w:tc>
          <w:tcPr>
            <w:tcW w:w="2241" w:type="dxa"/>
            <w:tcBorders>
              <w:bottom w:val="nil"/>
            </w:tcBorders>
          </w:tcPr>
          <w:p w:rsidR="00000000" w:rsidRDefault="00000000">
            <w:pPr>
              <w:spacing w:line="240" w:lineRule="auto"/>
              <w:jc w:val="center"/>
            </w:pPr>
            <w:r>
              <w:t>433 254</w:t>
            </w:r>
          </w:p>
        </w:tc>
        <w:tc>
          <w:tcPr>
            <w:tcW w:w="2242" w:type="dxa"/>
            <w:tcBorders>
              <w:bottom w:val="nil"/>
            </w:tcBorders>
          </w:tcPr>
          <w:p w:rsidR="00000000" w:rsidRDefault="00000000">
            <w:pPr>
              <w:spacing w:line="240" w:lineRule="auto"/>
              <w:jc w:val="center"/>
            </w:pPr>
            <w:r>
              <w:t>46,5</w:t>
            </w:r>
          </w:p>
        </w:tc>
      </w:tr>
      <w:tr w:rsidR="00000000">
        <w:tblPrEx>
          <w:tblCellMar>
            <w:top w:w="0" w:type="dxa"/>
            <w:bottom w:w="0" w:type="dxa"/>
          </w:tblCellMar>
        </w:tblPrEx>
        <w:trPr>
          <w:cantSplit/>
        </w:trPr>
        <w:tc>
          <w:tcPr>
            <w:tcW w:w="4928" w:type="dxa"/>
            <w:tcBorders>
              <w:top w:val="nil"/>
              <w:bottom w:val="nil"/>
            </w:tcBorders>
          </w:tcPr>
          <w:p w:rsidR="00000000" w:rsidRDefault="00000000">
            <w:pPr>
              <w:spacing w:line="240" w:lineRule="auto"/>
            </w:pPr>
            <w:r>
              <w:t>Дома (виллы)</w:t>
            </w:r>
          </w:p>
        </w:tc>
        <w:tc>
          <w:tcPr>
            <w:tcW w:w="2241" w:type="dxa"/>
            <w:tcBorders>
              <w:top w:val="nil"/>
              <w:bottom w:val="nil"/>
            </w:tcBorders>
          </w:tcPr>
          <w:p w:rsidR="00000000" w:rsidRDefault="00000000">
            <w:pPr>
              <w:spacing w:line="240" w:lineRule="auto"/>
              <w:jc w:val="center"/>
            </w:pPr>
            <w:r>
              <w:t>337 818</w:t>
            </w:r>
          </w:p>
        </w:tc>
        <w:tc>
          <w:tcPr>
            <w:tcW w:w="2242" w:type="dxa"/>
            <w:tcBorders>
              <w:top w:val="nil"/>
              <w:bottom w:val="nil"/>
            </w:tcBorders>
          </w:tcPr>
          <w:p w:rsidR="00000000" w:rsidRDefault="00000000">
            <w:pPr>
              <w:spacing w:line="240" w:lineRule="auto"/>
              <w:jc w:val="center"/>
            </w:pPr>
            <w:r>
              <w:t>36,3</w:t>
            </w:r>
          </w:p>
        </w:tc>
      </w:tr>
      <w:tr w:rsidR="00000000">
        <w:tblPrEx>
          <w:tblCellMar>
            <w:top w:w="0" w:type="dxa"/>
            <w:bottom w:w="0" w:type="dxa"/>
          </w:tblCellMar>
        </w:tblPrEx>
        <w:trPr>
          <w:cantSplit/>
        </w:trPr>
        <w:tc>
          <w:tcPr>
            <w:tcW w:w="4928" w:type="dxa"/>
            <w:tcBorders>
              <w:top w:val="nil"/>
              <w:bottom w:val="nil"/>
            </w:tcBorders>
          </w:tcPr>
          <w:p w:rsidR="00000000" w:rsidRDefault="00000000">
            <w:pPr>
              <w:spacing w:line="240" w:lineRule="auto"/>
            </w:pPr>
            <w:r>
              <w:t>Квартиры</w:t>
            </w:r>
          </w:p>
        </w:tc>
        <w:tc>
          <w:tcPr>
            <w:tcW w:w="2241" w:type="dxa"/>
            <w:tcBorders>
              <w:top w:val="nil"/>
              <w:bottom w:val="nil"/>
            </w:tcBorders>
          </w:tcPr>
          <w:p w:rsidR="00000000" w:rsidRDefault="00000000">
            <w:pPr>
              <w:spacing w:line="240" w:lineRule="auto"/>
              <w:jc w:val="center"/>
            </w:pPr>
            <w:r>
              <w:t>126 209</w:t>
            </w:r>
          </w:p>
        </w:tc>
        <w:tc>
          <w:tcPr>
            <w:tcW w:w="2242" w:type="dxa"/>
            <w:tcBorders>
              <w:top w:val="nil"/>
              <w:bottom w:val="nil"/>
            </w:tcBorders>
          </w:tcPr>
          <w:p w:rsidR="00000000" w:rsidRDefault="00000000">
            <w:pPr>
              <w:spacing w:line="240" w:lineRule="auto"/>
              <w:jc w:val="center"/>
            </w:pPr>
            <w:r>
              <w:t>13,6</w:t>
            </w:r>
          </w:p>
        </w:tc>
      </w:tr>
      <w:tr w:rsidR="00000000">
        <w:tblPrEx>
          <w:tblCellMar>
            <w:top w:w="0" w:type="dxa"/>
            <w:bottom w:w="0" w:type="dxa"/>
          </w:tblCellMar>
        </w:tblPrEx>
        <w:trPr>
          <w:cantSplit/>
        </w:trPr>
        <w:tc>
          <w:tcPr>
            <w:tcW w:w="4928" w:type="dxa"/>
            <w:tcBorders>
              <w:top w:val="nil"/>
            </w:tcBorders>
          </w:tcPr>
          <w:p w:rsidR="00000000" w:rsidRDefault="00000000">
            <w:pPr>
              <w:spacing w:line="240" w:lineRule="auto"/>
            </w:pPr>
            <w:r>
              <w:t>Прочее</w:t>
            </w:r>
          </w:p>
        </w:tc>
        <w:tc>
          <w:tcPr>
            <w:tcW w:w="2241" w:type="dxa"/>
            <w:tcBorders>
              <w:top w:val="nil"/>
            </w:tcBorders>
          </w:tcPr>
          <w:p w:rsidR="00000000" w:rsidRDefault="00000000">
            <w:pPr>
              <w:spacing w:line="240" w:lineRule="auto"/>
              <w:jc w:val="center"/>
            </w:pPr>
            <w:r>
              <w:t xml:space="preserve">  33 589</w:t>
            </w:r>
          </w:p>
        </w:tc>
        <w:tc>
          <w:tcPr>
            <w:tcW w:w="2242" w:type="dxa"/>
            <w:tcBorders>
              <w:top w:val="nil"/>
            </w:tcBorders>
          </w:tcPr>
          <w:p w:rsidR="00000000" w:rsidRDefault="00000000">
            <w:pPr>
              <w:spacing w:line="240" w:lineRule="auto"/>
              <w:jc w:val="center"/>
            </w:pPr>
            <w:r>
              <w:t xml:space="preserve">  3,6</w:t>
            </w:r>
          </w:p>
        </w:tc>
      </w:tr>
      <w:tr w:rsidR="00000000">
        <w:tblPrEx>
          <w:tblCellMar>
            <w:top w:w="0" w:type="dxa"/>
            <w:bottom w:w="0" w:type="dxa"/>
          </w:tblCellMar>
        </w:tblPrEx>
        <w:trPr>
          <w:cantSplit/>
        </w:trPr>
        <w:tc>
          <w:tcPr>
            <w:tcW w:w="4928" w:type="dxa"/>
          </w:tcPr>
          <w:p w:rsidR="00000000" w:rsidRDefault="00000000">
            <w:pPr>
              <w:spacing w:line="240" w:lineRule="auto"/>
            </w:pPr>
            <w:r>
              <w:tab/>
              <w:t>Итого</w:t>
            </w:r>
          </w:p>
        </w:tc>
        <w:tc>
          <w:tcPr>
            <w:tcW w:w="2241" w:type="dxa"/>
          </w:tcPr>
          <w:p w:rsidR="00000000" w:rsidRDefault="00000000">
            <w:pPr>
              <w:spacing w:line="240" w:lineRule="auto"/>
              <w:jc w:val="center"/>
            </w:pPr>
            <w:r>
              <w:t>930 870</w:t>
            </w:r>
          </w:p>
        </w:tc>
        <w:tc>
          <w:tcPr>
            <w:tcW w:w="2242" w:type="dxa"/>
          </w:tcPr>
          <w:p w:rsidR="00000000" w:rsidRDefault="00000000">
            <w:pPr>
              <w:spacing w:line="240" w:lineRule="auto"/>
              <w:jc w:val="center"/>
            </w:pPr>
            <w:r>
              <w:t>100    </w:t>
            </w:r>
          </w:p>
        </w:tc>
      </w:tr>
    </w:tbl>
    <w:p w:rsidR="00000000" w:rsidRDefault="00000000">
      <w:pPr>
        <w:ind w:left="1134" w:hanging="1134"/>
      </w:pPr>
    </w:p>
    <w:p w:rsidR="00000000" w:rsidRDefault="00000000">
      <w:r>
        <w:tab/>
      </w:r>
      <w:r>
        <w:rPr>
          <w:i/>
          <w:iCs/>
        </w:rPr>
        <w:t>Источник:</w:t>
      </w:r>
      <w:r>
        <w:t xml:space="preserve">  Национальное управление документации и информации, </w:t>
      </w:r>
      <w:r>
        <w:rPr>
          <w:i/>
          <w:iCs/>
        </w:rPr>
        <w:t>Статистический ежегодник за 2002 год</w:t>
      </w:r>
      <w:r>
        <w:t>, стр. 80.</w:t>
      </w:r>
    </w:p>
    <w:p w:rsidR="00000000" w:rsidRDefault="00000000"/>
    <w:p w:rsidR="00000000" w:rsidRDefault="00000000"/>
    <w:p w:rsidR="00000000" w:rsidRDefault="00000000">
      <w:pPr>
        <w:numPr>
          <w:ilvl w:val="0"/>
          <w:numId w:val="15"/>
        </w:numPr>
      </w:pPr>
      <w:r>
        <w:t>согласно плану развития на 2002-2006 годы объем инвестиций в жилое строительство и инфраструктуру составит 5 627 230 000 ЛД;  эти средства будут распределены по всем районам Ливийской Арабской Джамахирии и затронут в общей сложности 5 299 943 человека.</w:t>
      </w:r>
    </w:p>
    <w:p w:rsidR="00000000" w:rsidRDefault="00000000">
      <w:pPr>
        <w:ind w:left="1134" w:hanging="1134"/>
      </w:pPr>
    </w:p>
    <w:p w:rsidR="00000000" w:rsidRDefault="00000000">
      <w:pPr>
        <w:ind w:left="1134" w:hanging="1134"/>
        <w:rPr>
          <w:lang w:val="en-US"/>
        </w:rPr>
      </w:pPr>
      <w:r>
        <w:rPr>
          <w:b/>
          <w:bCs/>
        </w:rPr>
        <w:t>Пункт</w:t>
      </w:r>
      <w:r>
        <w:rPr>
          <w:b/>
          <w:bCs/>
          <w:lang w:val="en-US"/>
        </w:rPr>
        <w:t xml:space="preserve"> 3 b) i)</w:t>
      </w:r>
    </w:p>
    <w:p w:rsidR="00000000" w:rsidRDefault="00000000">
      <w:pPr>
        <w:ind w:left="1134" w:hanging="1134"/>
        <w:rPr>
          <w:lang w:val="en-US"/>
        </w:rPr>
      </w:pPr>
    </w:p>
    <w:p w:rsidR="00000000" w:rsidRDefault="00000000">
      <w:pPr>
        <w:ind w:left="1134" w:hanging="1134"/>
      </w:pPr>
      <w:r>
        <w:t>75.</w:t>
      </w:r>
      <w:r>
        <w:tab/>
        <w:t>Этот пункт неприменим, поскольку в Ливии нет бездомных граждан или семей.</w:t>
      </w:r>
    </w:p>
    <w:p w:rsidR="00000000" w:rsidRDefault="00000000">
      <w:pPr>
        <w:ind w:left="1134" w:hanging="1134"/>
      </w:pPr>
    </w:p>
    <w:p w:rsidR="00000000" w:rsidRDefault="00000000">
      <w:pPr>
        <w:ind w:left="1134" w:hanging="1134"/>
      </w:pPr>
      <w:r>
        <w:rPr>
          <w:b/>
          <w:bCs/>
        </w:rPr>
        <w:t>Подпункт ii)</w:t>
      </w:r>
    </w:p>
    <w:p w:rsidR="00000000" w:rsidRDefault="00000000">
      <w:pPr>
        <w:ind w:left="1134" w:hanging="1134"/>
      </w:pPr>
    </w:p>
    <w:p w:rsidR="00000000" w:rsidRDefault="00000000">
      <w:r>
        <w:t>76.</w:t>
      </w:r>
      <w:r>
        <w:tab/>
        <w:t>Этот подпункт к населению Ливийской Арабской Джамахирии не относится, поскольку каждый имеет приемлемое жилье и доступ к таким базовым услугам, как питьевая вода, средства санитарии, электро- и газоснабжение, о чем свидетельствуют данные, приведенные в Докладе ПРООН о развитии человеческого потенциала и в подготовленном в 1999 году докладе о развитии человеческого потенциала в Джамахирии.  Около 99,7% жителей Ливии обеспечены электроснабжением, а 94% единиц жилья подсоединены к канализационным сетям.</w:t>
      </w:r>
    </w:p>
    <w:p w:rsidR="00000000" w:rsidRDefault="00000000"/>
    <w:p w:rsidR="00000000" w:rsidRDefault="00000000">
      <w:r>
        <w:rPr>
          <w:b/>
          <w:bCs/>
        </w:rPr>
        <w:t>Подпункт iii)</w:t>
      </w:r>
    </w:p>
    <w:p w:rsidR="00000000" w:rsidRDefault="00000000"/>
    <w:p w:rsidR="00000000" w:rsidRDefault="00000000">
      <w:r>
        <w:t>77.</w:t>
      </w:r>
      <w:r>
        <w:tab/>
        <w:t>В Ливии немало домов, построенных незаконно и не по плану.</w:t>
      </w:r>
    </w:p>
    <w:p w:rsidR="00000000" w:rsidRDefault="00000000"/>
    <w:p w:rsidR="00000000" w:rsidRDefault="00000000">
      <w:pPr>
        <w:rPr>
          <w:b/>
          <w:bCs/>
        </w:rPr>
      </w:pPr>
      <w:r>
        <w:rPr>
          <w:b/>
          <w:bCs/>
        </w:rPr>
        <w:br w:type="page"/>
        <w:t>Подпункт iv)</w:t>
      </w:r>
    </w:p>
    <w:p w:rsidR="00000000" w:rsidRDefault="00000000">
      <w:pPr>
        <w:rPr>
          <w:b/>
          <w:bCs/>
        </w:rPr>
      </w:pPr>
    </w:p>
    <w:p w:rsidR="00000000" w:rsidRDefault="00000000">
      <w:r>
        <w:t>78.</w:t>
      </w:r>
      <w:r>
        <w:tab/>
        <w:t>Неприменим.</w:t>
      </w:r>
    </w:p>
    <w:p w:rsidR="00000000" w:rsidRDefault="00000000"/>
    <w:p w:rsidR="00000000" w:rsidRDefault="00000000">
      <w:r>
        <w:t>79.</w:t>
      </w:r>
      <w:r>
        <w:tab/>
        <w:t>В стране была разработана национальная стратегия жилищного строительства до 2000 года и был принят долгосрочный план на период 1996-2020 годов.  Было издано несколько указов, призванных расширить возможности для приобретения отвечающего санитарным нормам, приемлемого и доступного жилья.  К их числу относится Указ № 275 Высшего народного комитета 2001 года об учреждении программы выдачи ссуд на общую сумму в 440 млн. ЛД;  конкретные параметры определяются источником финансирования и видом ссуды.  Статья 3 Указа требует от ливийских коммерческих банков выделить кредиты частным банкам на сумму приблизительно в 150 млн. ЛД, которые частные банки, в свою очередь, должны использовать для ипотечных кредитов на цели строительства 6 000 жилых единиц в некоторых сельскохозяйственных и животноводческих районах.  Статья 4 Указа требует от коммерческих банков выделить кредиты банкам, обслуживающим сельское хозяйство и животноводство в шабия (областях).</w:t>
      </w:r>
    </w:p>
    <w:p w:rsidR="00000000" w:rsidRDefault="00000000"/>
    <w:p w:rsidR="00000000" w:rsidRDefault="00000000">
      <w:r>
        <w:t>80.</w:t>
      </w:r>
      <w:r>
        <w:tab/>
        <w:t>Указ № 173 Высшего народного комитета (2001 год) включает ряд положений, касающихся ссуд жителям сельскохозяйственных и животноводческих районов.  Согласно статье 1 коммерческие и частные банки предоставляют гражданам ипотечный кредит сроком на 25 лет в размере 30 000 ЛД для возведения жилья в сельскохозяйственных и животноводческих районах.  В этой же связи в пункте 3 своего Указа № 20 1999</w:t>
      </w:r>
      <w:r>
        <w:rPr>
          <w:lang w:val="en-US"/>
        </w:rPr>
        <w:t> </w:t>
      </w:r>
      <w:r>
        <w:t>года, посвященного вопросам государственного управления, Всеобщий народный конгресс дал поручение секретариату Высшего народного комитета принять необходимые меры по увеличению капитальных резервов специализированных банков, с учетом их оборота и размеров, с тем чтобы позволить им активнее выделять ссуды в секторе производства, услуг и жилищного строительства.</w:t>
      </w:r>
    </w:p>
    <w:p w:rsidR="00000000" w:rsidRDefault="00000000"/>
    <w:p w:rsidR="00000000" w:rsidRDefault="00000000">
      <w:r>
        <w:t>81.</w:t>
      </w:r>
      <w:r>
        <w:tab/>
        <w:t>В порядке выполнения этого Указа было создано несколько строительных компаний.  Так, Указом № 185 Высшего народного комитета (2000 год) было учреждено строительное агентство "Тахади", в задачи которого входит руководство проектами строительства и ремонта жилищных и инфраструктурных объектов, технического оформления всевозможных коммерческих сделок и осуществления инвестиционных проектов в Ливии и за рубежом в соответствии с действующим законодательством.  Особо оговорена функция этого агентства, касающаяся управления жилищными проектами, осуществляемыми с целью продажи жилья третьим сторонам (статья 3).</w:t>
      </w:r>
    </w:p>
    <w:p w:rsidR="00000000" w:rsidRDefault="00000000"/>
    <w:p w:rsidR="00000000" w:rsidRDefault="00000000">
      <w:pPr>
        <w:rPr>
          <w:b/>
          <w:bCs/>
        </w:rPr>
      </w:pPr>
      <w:r>
        <w:rPr>
          <w:b/>
          <w:bCs/>
        </w:rPr>
        <w:br w:type="page"/>
        <w:t>Пункт е)</w:t>
      </w:r>
    </w:p>
    <w:p w:rsidR="00000000" w:rsidRDefault="00000000">
      <w:pPr>
        <w:rPr>
          <w:b/>
          <w:bCs/>
        </w:rPr>
      </w:pPr>
    </w:p>
    <w:p w:rsidR="00000000" w:rsidRDefault="00000000">
      <w:r>
        <w:t>82.</w:t>
      </w:r>
      <w:r>
        <w:tab/>
        <w:t xml:space="preserve">Данный пункт, где речь идет об изменениях в национальной политике и законодательстве, неблагоприятно отразившихся на праве на достаточное жилище, является неприменимым.  </w:t>
      </w:r>
    </w:p>
    <w:p w:rsidR="00000000" w:rsidRDefault="00000000"/>
    <w:p w:rsidR="00000000" w:rsidRDefault="00000000">
      <w:pPr>
        <w:rPr>
          <w:b/>
          <w:bCs/>
        </w:rPr>
      </w:pPr>
      <w:r>
        <w:rPr>
          <w:b/>
          <w:bCs/>
        </w:rPr>
        <w:t>Пункт 4</w:t>
      </w:r>
    </w:p>
    <w:p w:rsidR="00000000" w:rsidRDefault="00000000">
      <w:pPr>
        <w:rPr>
          <w:b/>
          <w:bCs/>
        </w:rPr>
      </w:pPr>
    </w:p>
    <w:p w:rsidR="00000000" w:rsidRDefault="00000000">
      <w:r>
        <w:t>83.</w:t>
      </w:r>
      <w:r>
        <w:tab/>
        <w:t>Среди трудностей, с которыми государство столкнулось при выполнении статьи 11, можно назвать следующие:</w:t>
      </w:r>
    </w:p>
    <w:p w:rsidR="00000000" w:rsidRDefault="00000000"/>
    <w:p w:rsidR="00000000" w:rsidRDefault="00000000">
      <w:pPr>
        <w:numPr>
          <w:ilvl w:val="0"/>
          <w:numId w:val="15"/>
        </w:numPr>
      </w:pPr>
      <w:r>
        <w:t>сокращение объема поступлений в государственную казну в результате падения или колебаний цен на нефть;</w:t>
      </w:r>
    </w:p>
    <w:p w:rsidR="00000000" w:rsidRDefault="00000000">
      <w:pPr>
        <w:ind w:left="1134" w:hanging="1134"/>
      </w:pPr>
    </w:p>
    <w:p w:rsidR="00000000" w:rsidRDefault="00000000">
      <w:pPr>
        <w:numPr>
          <w:ilvl w:val="0"/>
          <w:numId w:val="15"/>
        </w:numPr>
      </w:pPr>
      <w:r>
        <w:t>неосведомленность населения в вопросах о воздействии питания на состояние здоровья;</w:t>
      </w:r>
    </w:p>
    <w:p w:rsidR="00000000" w:rsidRDefault="00000000">
      <w:pPr>
        <w:ind w:left="1134" w:hanging="1134"/>
      </w:pPr>
    </w:p>
    <w:p w:rsidR="00000000" w:rsidRDefault="00000000">
      <w:pPr>
        <w:numPr>
          <w:ilvl w:val="0"/>
          <w:numId w:val="15"/>
        </w:numPr>
      </w:pPr>
      <w:r>
        <w:t>нехватка воды;</w:t>
      </w:r>
    </w:p>
    <w:p w:rsidR="00000000" w:rsidRDefault="00000000">
      <w:pPr>
        <w:ind w:left="1134" w:hanging="1134"/>
      </w:pPr>
    </w:p>
    <w:p w:rsidR="00000000" w:rsidRDefault="00000000">
      <w:pPr>
        <w:numPr>
          <w:ilvl w:val="0"/>
          <w:numId w:val="15"/>
        </w:numPr>
      </w:pPr>
      <w:r>
        <w:t>отдельные случаи незаконного строительства;</w:t>
      </w:r>
    </w:p>
    <w:p w:rsidR="00000000" w:rsidRDefault="00000000">
      <w:pPr>
        <w:ind w:left="1134" w:hanging="1134"/>
      </w:pPr>
    </w:p>
    <w:p w:rsidR="00000000" w:rsidRDefault="00000000">
      <w:pPr>
        <w:numPr>
          <w:ilvl w:val="0"/>
          <w:numId w:val="15"/>
        </w:numPr>
      </w:pPr>
      <w:r>
        <w:t>превращение некоторых жилых помещений в производственные.</w:t>
      </w:r>
    </w:p>
    <w:p w:rsidR="00000000" w:rsidRDefault="00000000">
      <w:pPr>
        <w:ind w:left="1134" w:hanging="1134"/>
      </w:pPr>
    </w:p>
    <w:p w:rsidR="00000000" w:rsidRDefault="00000000">
      <w:pPr>
        <w:ind w:left="1134" w:hanging="1134"/>
        <w:rPr>
          <w:b/>
          <w:bCs/>
        </w:rPr>
      </w:pPr>
      <w:r>
        <w:rPr>
          <w:b/>
          <w:bCs/>
        </w:rPr>
        <w:t>Пункт 5</w:t>
      </w:r>
    </w:p>
    <w:p w:rsidR="00000000" w:rsidRDefault="00000000">
      <w:pPr>
        <w:ind w:left="1134" w:hanging="1134"/>
        <w:rPr>
          <w:b/>
          <w:bCs/>
        </w:rPr>
      </w:pPr>
    </w:p>
    <w:p w:rsidR="00000000" w:rsidRDefault="00000000">
      <w:r>
        <w:t>84.</w:t>
      </w:r>
      <w:r>
        <w:tab/>
        <w:t xml:space="preserve">Ливийская Арабская Джамахирия прибегает к помощи Организации Объединенных Наций, и в частности ВОЗ, ФАО, ЮНИСЕФ И ПРООН, в интересах реализации прав, провозглашенных в статье 11.  В частности, она воспользовалась их техническим и практическим экспертным потенциалом для решения проблем, связанных с заболеваниями растений, защиты скота и охраны окружающей среды.  </w:t>
      </w:r>
    </w:p>
    <w:p w:rsidR="00000000" w:rsidRDefault="00000000"/>
    <w:p w:rsidR="00000000" w:rsidRDefault="00000000">
      <w:pPr>
        <w:jc w:val="center"/>
        <w:rPr>
          <w:b/>
          <w:bCs/>
        </w:rPr>
      </w:pPr>
      <w:r>
        <w:rPr>
          <w:b/>
          <w:bCs/>
        </w:rPr>
        <w:t>Статья 12 - Право на наивысший достижимый уровень физического</w:t>
      </w:r>
    </w:p>
    <w:p w:rsidR="00000000" w:rsidRDefault="00000000">
      <w:pPr>
        <w:jc w:val="center"/>
        <w:rPr>
          <w:b/>
          <w:bCs/>
        </w:rPr>
      </w:pPr>
      <w:r>
        <w:rPr>
          <w:b/>
          <w:bCs/>
        </w:rPr>
        <w:t>и психического здоровья</w:t>
      </w:r>
    </w:p>
    <w:p w:rsidR="00000000" w:rsidRDefault="00000000">
      <w:pPr>
        <w:jc w:val="center"/>
        <w:rPr>
          <w:b/>
          <w:bCs/>
        </w:rPr>
      </w:pPr>
    </w:p>
    <w:p w:rsidR="00000000" w:rsidRDefault="00000000">
      <w:r>
        <w:t>85.</w:t>
      </w:r>
      <w:r>
        <w:tab/>
        <w:t>В своем первоначальном докладе Комитету Ливийская Арабская Джамахирия представила информацию о положении в области здравоохранения, в которой содержатся ответы на большинство вопросов, фигурирующих в соответствующем пункте руководящих принципов.  Вместе с тем уместно добавить следующее.</w:t>
      </w:r>
    </w:p>
    <w:p w:rsidR="00000000" w:rsidRDefault="00000000"/>
    <w:p w:rsidR="00000000" w:rsidRDefault="00000000">
      <w:r>
        <w:t>86.</w:t>
      </w:r>
      <w:r>
        <w:tab/>
        <w:t>В основу общей стратегии здравоохранения, принятой в начале 1970-х годов, был положен принцип поддержания здоровья всех граждан, предусматривающий обеспечение всестороннего медицинского обслуживания во всех регионах страны и во всех областях медицины.  Этот твердый курс сохранялся и в дальнейших стратегиях, принимавшихся до 1999</w:t>
      </w:r>
      <w:r>
        <w:rPr>
          <w:lang w:val="en-US"/>
        </w:rPr>
        <w:t> </w:t>
      </w:r>
      <w:r>
        <w:t>года.  В Законе № 106 1973 года о здравоохранении признано право всех граждан на медицинскую помощь и лечение, причем гарантии его реализации возлагаются на государство.</w:t>
      </w:r>
    </w:p>
    <w:p w:rsidR="00000000" w:rsidRDefault="00000000"/>
    <w:p w:rsidR="00000000" w:rsidRDefault="00000000">
      <w:r>
        <w:t>87.</w:t>
      </w:r>
      <w:r>
        <w:tab/>
        <w:t xml:space="preserve">Согласно статье 1 Указа № 24 1995 года об утверждении национальной стратегии поддержания здоровья всех граждан, в основе системы первичного медико-санитарного обслуживания лежит принцип надлежащего питания, социально приемлемого и доступного физически и материально всем семьям и гражданам.  В статье 3 того же Указа определены элементы такой системы - информационно-пропагандистские мероприятия, посвященные социальным вопросам и вопросам здоровья, физическое и психическое здоровье, надлежащее питание, чистая питьевая вода, услуги санитарии, экологическая безопасность, медицинская помощь матерям и детям, планирование семьи, иммунизация от инфекционных заболеваний, искоренение инфекционных и неинфекционных болезней, экстренная помощь, лекарства первой необходимости, гигиена труда и техника безопасности, а также социальное здоровье.  В статье 2 Указа № 686 1992 года, вносящего поправки в положение об обязательной иммунизации, предусматривается обязательная вакцинация детей в соответствии с утвержденными в системе здравоохранения протоколами, и что несоблюдение этого требования влечет за собой преследование по закону.  </w:t>
      </w:r>
    </w:p>
    <w:p w:rsidR="00000000" w:rsidRDefault="00000000"/>
    <w:p w:rsidR="00000000" w:rsidRDefault="00000000">
      <w:r>
        <w:t>88.</w:t>
      </w:r>
      <w:r>
        <w:tab/>
        <w:t xml:space="preserve">Что касается общей картины состояния здоровья населения Ливии, то положение здесь значительно улучшилось:  средняя продолжительность жизни мужчин составляет 64 года, а женщин - 66 лет, т.е. средняя продолжительность жизни (включая и мужчин и женщин), не превышавшая 46 лет в 1970-х годах, теперь, судя по оценкам за 1998 год, приближается к 70 годам.  Детская смертность сократилась со 118 случаев на 1 000 живорождений в 1973 году до 24,4 в 1995 году.  Исследования однозначно показывают, что разрыв между детской смертностью в городах и сельских районах сокращается.  По данным проведенного в 1995 году обзора состояния здоровья детей, детская смертность в городах сократилась на 67%, а в сельских районах - на 62%.  Кроме того, общий коэффициент рождаемости снизился с 9,1 ребенка на женщину в 1984 году до 5,1 ребенка в 1995 году.  Все это свидетельствует об эффективности национальной стратегии в области здравоохранения, направленной на значительное расширение системы медицинского обслуживания и более справедливое распределение медицинской помощи по регионам.  Кроме того, в национальной стратегии надлежащее внимание уделяется задаче обеспечения медицинской помощью отдельных групп населения (например, престарелых, инвалидов, женщин и детей).  Она гарантирует гражданам всех возрастов доступ к более качественной медицинской помощи на базе политики здравоохранения, ориентированной на повышение качества обслуживания и развитие медицинской инфраструктуры, в расширении и качественном совершенствовании которой достигнуты беспрецедентные успехи;  на эти цели из текущего бюджета сектора здравоохранения на 2002 год было выделено 60 млн. ЛД.  Перемены, происшедшие в секторе здравоохранения за последние три десятилетия, свидетельствуют о той работе, которая была проделана по наращиванию медицинской инфраструктуры страны.  </w:t>
      </w:r>
    </w:p>
    <w:p w:rsidR="00000000" w:rsidRDefault="00000000"/>
    <w:p w:rsidR="00000000" w:rsidRDefault="00000000">
      <w:r>
        <w:t>89.</w:t>
      </w:r>
      <w:r>
        <w:tab/>
        <w:t>Как и в случае с подготовкой медицинского персонала, основные сдвиги в развитии медицинской инфраструктуры были достигнуты в 1970-х годах, когда осуществлялись первый и второй планы развития.  Было создано около 89 пунктов первой медицинской помощи, а к 1988 году их число возросло до 931.  Аналогичная тенденция наблюдалась и в создании медицинских центров:  в 1980 году было создано 148 центров, а к 1998 году их число увеличилось до 163.  За первое десятилетие развития по всей стране было построено 40 поликлиник.  Сейчас их количество уменьшилось, поскольку некоторые из них были преобразованы в специализированные клиники.</w:t>
      </w:r>
    </w:p>
    <w:p w:rsidR="00000000" w:rsidRDefault="00000000"/>
    <w:p w:rsidR="00000000" w:rsidRDefault="00000000">
      <w:r>
        <w:t>90.</w:t>
      </w:r>
      <w:r>
        <w:tab/>
        <w:t>О стремительном развитии больничного сектора за последние несколько десятилетий однозначно свидетельствует увеличение числа койко-мест.  За период, охватываемый тремя планами развития (1973</w:t>
      </w:r>
      <w:r>
        <w:noBreakHyphen/>
        <w:t>1985 годы), число койко-мест на 1 000 жителей возросло с 3,6 в начале периода до 5,3 к концу 1985 года.  (Этот показатель будет постепенно снижаться по мере роста численности населения.)  Количество больниц увеличилось до 83, причем 23 из них являются специализированными.  Ливийская Арабская Джамахирия закупила два фармацевтических завода - "Майя" и "Рабита" - для обслуживания местного рынка.</w:t>
      </w:r>
    </w:p>
    <w:p w:rsidR="00000000" w:rsidRDefault="00000000"/>
    <w:p w:rsidR="00000000" w:rsidRDefault="00000000">
      <w:r>
        <w:t>91.</w:t>
      </w:r>
      <w:r>
        <w:tab/>
        <w:t>Для обеспечения населению доступа к более качественной медицинской помощи в государственное планирование включаются учреждения частного сектора, который может сыграть позитивную роль в реализации национальной стратегии.  Согласно Закону № 6 2000 года об образовательных и медицинских кооперативах, лицам, имеющим надлежащую квалификацию, разрешено заниматься медицинской практикой через кооперативы, создаваемые в соответствии с положениями этого Закона.</w:t>
      </w:r>
    </w:p>
    <w:p w:rsidR="00000000" w:rsidRDefault="00000000"/>
    <w:p w:rsidR="00000000" w:rsidRDefault="00000000">
      <w:r>
        <w:t>92.</w:t>
      </w:r>
      <w:r>
        <w:tab/>
        <w:t>Свидетельством признания тесной взаимосвязи между окружающей средой и правом человека на здоровье является принятие Закона № 7 1982 года об охране окружающей среды и Закона № 16 1984 года об общественной гигиене.  Оба закона гарантируют гражданам (и мужчинам, и женщинам) право на здоровую окружающую среду, исключающую возникновение болезней, провоцируемых неправильным обращением с окружающей средой.  Эти законы, устанавливающие соответствующие нормы в этой области, призваны обеспечивать здоровую окружающую среду, охранять ее от загрязнения, гарантировать качество воздуха, воды и природной среды обитания и решать все сопутствующие проблемы, которые могут негативно отразиться на здоровье людей.</w:t>
      </w:r>
    </w:p>
    <w:p w:rsidR="00000000" w:rsidRDefault="00000000"/>
    <w:p w:rsidR="00000000" w:rsidRDefault="00000000">
      <w:r>
        <w:t>93.</w:t>
      </w:r>
      <w:r>
        <w:tab/>
        <w:t>Помимо вышеизложенного, следует упомянуть о специальных службах системы здравоохранения, занимающихся обеспечением техники безопасности, охраной труда, лечением жертв производственных аварий или профессиональных заболеваний, реабилитацией больных, уходом за престарелыми и оказанием медицинской помощи инвалидам и лицам, находящимся в учреждениях системы социального обеспечения.  Законодатели не обошли вниманием и вопрос о важности роли социального обеспечения в улучшении качества жизни и жизненного уровня населения.  Позитивные результаты в плане улучшения здоровья ливийского народа принесла деятельность Фонда социального обеспечения, учрежденного на основании Закона № 20 1998 года.  Согласно данным о демографических тенденциях, собранным в ходе переписи населения 1995 года, уровень смертности снизился с 9,4 на 1 000 человек в 1973 году до 3,1 в 1995 году.  Основные показатели по системе здравоохранения за 2000 и 2001 годы приведены в следующих таблицах.</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3"/>
        <w:gridCol w:w="1346"/>
        <w:gridCol w:w="1347"/>
      </w:tblGrid>
      <w:tr w:rsidR="00000000">
        <w:tblPrEx>
          <w:tblCellMar>
            <w:top w:w="0" w:type="dxa"/>
            <w:bottom w:w="0" w:type="dxa"/>
          </w:tblCellMar>
        </w:tblPrEx>
        <w:tc>
          <w:tcPr>
            <w:tcW w:w="6663" w:type="dxa"/>
          </w:tcPr>
          <w:p w:rsidR="00000000" w:rsidRDefault="00000000">
            <w:pPr>
              <w:jc w:val="center"/>
            </w:pPr>
            <w:r>
              <w:t>Показатель</w:t>
            </w:r>
          </w:p>
        </w:tc>
        <w:tc>
          <w:tcPr>
            <w:tcW w:w="1346" w:type="dxa"/>
          </w:tcPr>
          <w:p w:rsidR="00000000" w:rsidRDefault="00000000">
            <w:pPr>
              <w:jc w:val="center"/>
            </w:pPr>
            <w:r>
              <w:t>2000</w:t>
            </w:r>
          </w:p>
        </w:tc>
        <w:tc>
          <w:tcPr>
            <w:tcW w:w="1347" w:type="dxa"/>
          </w:tcPr>
          <w:p w:rsidR="00000000" w:rsidRDefault="00000000">
            <w:pPr>
              <w:jc w:val="center"/>
            </w:pPr>
            <w:r>
              <w:t>2001</w:t>
            </w:r>
          </w:p>
        </w:tc>
      </w:tr>
      <w:tr w:rsidR="00000000">
        <w:tblPrEx>
          <w:tblCellMar>
            <w:top w:w="0" w:type="dxa"/>
            <w:bottom w:w="0" w:type="dxa"/>
          </w:tblCellMar>
        </w:tblPrEx>
        <w:tc>
          <w:tcPr>
            <w:tcW w:w="6663" w:type="dxa"/>
            <w:tcBorders>
              <w:bottom w:val="nil"/>
            </w:tcBorders>
          </w:tcPr>
          <w:p w:rsidR="00000000" w:rsidRDefault="00000000">
            <w:r>
              <w:t>Число жителей на больничную койку</w:t>
            </w:r>
          </w:p>
        </w:tc>
        <w:tc>
          <w:tcPr>
            <w:tcW w:w="1346" w:type="dxa"/>
            <w:tcBorders>
              <w:bottom w:val="nil"/>
            </w:tcBorders>
          </w:tcPr>
          <w:p w:rsidR="00000000" w:rsidRDefault="00000000">
            <w:pPr>
              <w:tabs>
                <w:tab w:val="clear" w:pos="567"/>
                <w:tab w:val="clear" w:pos="1134"/>
                <w:tab w:val="clear" w:pos="1701"/>
                <w:tab w:val="clear" w:pos="2268"/>
                <w:tab w:val="clear" w:pos="6237"/>
                <w:tab w:val="decimal" w:pos="742"/>
              </w:tabs>
            </w:pPr>
            <w:r>
              <w:t>243</w:t>
            </w:r>
          </w:p>
        </w:tc>
        <w:tc>
          <w:tcPr>
            <w:tcW w:w="1347" w:type="dxa"/>
            <w:tcBorders>
              <w:bottom w:val="nil"/>
            </w:tcBorders>
          </w:tcPr>
          <w:p w:rsidR="00000000" w:rsidRDefault="00000000">
            <w:pPr>
              <w:tabs>
                <w:tab w:val="clear" w:pos="567"/>
                <w:tab w:val="clear" w:pos="1134"/>
                <w:tab w:val="clear" w:pos="1701"/>
                <w:tab w:val="clear" w:pos="2268"/>
                <w:tab w:val="clear" w:pos="6237"/>
                <w:tab w:val="decimal" w:pos="742"/>
              </w:tabs>
            </w:pPr>
            <w:r>
              <w:t>280</w:t>
            </w:r>
          </w:p>
        </w:tc>
      </w:tr>
      <w:tr w:rsidR="00000000">
        <w:tblPrEx>
          <w:tblCellMar>
            <w:top w:w="0" w:type="dxa"/>
            <w:bottom w:w="0" w:type="dxa"/>
          </w:tblCellMar>
        </w:tblPrEx>
        <w:tc>
          <w:tcPr>
            <w:tcW w:w="6663" w:type="dxa"/>
            <w:tcBorders>
              <w:top w:val="nil"/>
              <w:bottom w:val="nil"/>
            </w:tcBorders>
          </w:tcPr>
          <w:p w:rsidR="00000000" w:rsidRDefault="00000000">
            <w:r>
              <w:t>Число врачей на 1 000 человек</w:t>
            </w:r>
          </w:p>
        </w:tc>
        <w:tc>
          <w:tcPr>
            <w:tcW w:w="1346" w:type="dxa"/>
            <w:tcBorders>
              <w:top w:val="nil"/>
              <w:bottom w:val="nil"/>
            </w:tcBorders>
          </w:tcPr>
          <w:p w:rsidR="00000000" w:rsidRDefault="00000000">
            <w:pPr>
              <w:tabs>
                <w:tab w:val="clear" w:pos="567"/>
                <w:tab w:val="clear" w:pos="1134"/>
                <w:tab w:val="clear" w:pos="1701"/>
                <w:tab w:val="clear" w:pos="2268"/>
                <w:tab w:val="clear" w:pos="6237"/>
                <w:tab w:val="decimal" w:pos="742"/>
              </w:tabs>
            </w:pPr>
            <w:r>
              <w:t>1,3</w:t>
            </w:r>
          </w:p>
        </w:tc>
        <w:tc>
          <w:tcPr>
            <w:tcW w:w="1347" w:type="dxa"/>
            <w:tcBorders>
              <w:top w:val="nil"/>
              <w:bottom w:val="nil"/>
            </w:tcBorders>
          </w:tcPr>
          <w:p w:rsidR="00000000" w:rsidRDefault="00000000">
            <w:pPr>
              <w:tabs>
                <w:tab w:val="clear" w:pos="567"/>
                <w:tab w:val="clear" w:pos="1134"/>
                <w:tab w:val="clear" w:pos="1701"/>
                <w:tab w:val="clear" w:pos="2268"/>
                <w:tab w:val="clear" w:pos="6237"/>
                <w:tab w:val="decimal" w:pos="742"/>
              </w:tabs>
            </w:pPr>
            <w:r>
              <w:t>1,3</w:t>
            </w:r>
          </w:p>
        </w:tc>
      </w:tr>
      <w:tr w:rsidR="00000000">
        <w:tblPrEx>
          <w:tblCellMar>
            <w:top w:w="0" w:type="dxa"/>
            <w:bottom w:w="0" w:type="dxa"/>
          </w:tblCellMar>
        </w:tblPrEx>
        <w:tc>
          <w:tcPr>
            <w:tcW w:w="6663" w:type="dxa"/>
            <w:tcBorders>
              <w:top w:val="nil"/>
              <w:bottom w:val="nil"/>
            </w:tcBorders>
          </w:tcPr>
          <w:p w:rsidR="00000000" w:rsidRDefault="00000000">
            <w:r>
              <w:t>Число стоматологов на 10 000 человек</w:t>
            </w:r>
          </w:p>
        </w:tc>
        <w:tc>
          <w:tcPr>
            <w:tcW w:w="1346" w:type="dxa"/>
            <w:tcBorders>
              <w:top w:val="nil"/>
              <w:bottom w:val="nil"/>
            </w:tcBorders>
          </w:tcPr>
          <w:p w:rsidR="00000000" w:rsidRDefault="00000000">
            <w:pPr>
              <w:tabs>
                <w:tab w:val="clear" w:pos="567"/>
                <w:tab w:val="clear" w:pos="1134"/>
                <w:tab w:val="clear" w:pos="1701"/>
                <w:tab w:val="clear" w:pos="2268"/>
                <w:tab w:val="clear" w:pos="6237"/>
                <w:tab w:val="decimal" w:pos="742"/>
              </w:tabs>
            </w:pPr>
            <w:r>
              <w:t>1,3</w:t>
            </w:r>
          </w:p>
        </w:tc>
        <w:tc>
          <w:tcPr>
            <w:tcW w:w="1347" w:type="dxa"/>
            <w:tcBorders>
              <w:top w:val="nil"/>
              <w:bottom w:val="nil"/>
            </w:tcBorders>
          </w:tcPr>
          <w:p w:rsidR="00000000" w:rsidRDefault="00000000">
            <w:pPr>
              <w:tabs>
                <w:tab w:val="clear" w:pos="567"/>
                <w:tab w:val="clear" w:pos="1134"/>
                <w:tab w:val="clear" w:pos="1701"/>
                <w:tab w:val="clear" w:pos="2268"/>
                <w:tab w:val="clear" w:pos="6237"/>
                <w:tab w:val="decimal" w:pos="742"/>
              </w:tabs>
            </w:pPr>
            <w:r>
              <w:t>0,8</w:t>
            </w:r>
          </w:p>
        </w:tc>
      </w:tr>
      <w:tr w:rsidR="00000000">
        <w:tblPrEx>
          <w:tblCellMar>
            <w:top w:w="0" w:type="dxa"/>
            <w:bottom w:w="0" w:type="dxa"/>
          </w:tblCellMar>
        </w:tblPrEx>
        <w:tc>
          <w:tcPr>
            <w:tcW w:w="6663" w:type="dxa"/>
            <w:tcBorders>
              <w:top w:val="nil"/>
              <w:bottom w:val="nil"/>
            </w:tcBorders>
          </w:tcPr>
          <w:p w:rsidR="00000000" w:rsidRDefault="00000000">
            <w:r>
              <w:t>Число фармацевтов на 10 000 человек</w:t>
            </w:r>
          </w:p>
        </w:tc>
        <w:tc>
          <w:tcPr>
            <w:tcW w:w="1346" w:type="dxa"/>
            <w:tcBorders>
              <w:top w:val="nil"/>
              <w:bottom w:val="nil"/>
            </w:tcBorders>
          </w:tcPr>
          <w:p w:rsidR="00000000" w:rsidRDefault="00000000">
            <w:pPr>
              <w:tabs>
                <w:tab w:val="clear" w:pos="567"/>
                <w:tab w:val="clear" w:pos="1134"/>
                <w:tab w:val="clear" w:pos="1701"/>
                <w:tab w:val="clear" w:pos="2268"/>
                <w:tab w:val="clear" w:pos="6237"/>
                <w:tab w:val="decimal" w:pos="742"/>
              </w:tabs>
            </w:pPr>
            <w:r>
              <w:t>2,3</w:t>
            </w:r>
          </w:p>
        </w:tc>
        <w:tc>
          <w:tcPr>
            <w:tcW w:w="1347" w:type="dxa"/>
            <w:tcBorders>
              <w:top w:val="nil"/>
              <w:bottom w:val="nil"/>
            </w:tcBorders>
          </w:tcPr>
          <w:p w:rsidR="00000000" w:rsidRDefault="00000000">
            <w:pPr>
              <w:tabs>
                <w:tab w:val="clear" w:pos="567"/>
                <w:tab w:val="clear" w:pos="1134"/>
                <w:tab w:val="clear" w:pos="1701"/>
                <w:tab w:val="clear" w:pos="2268"/>
                <w:tab w:val="clear" w:pos="6237"/>
                <w:tab w:val="decimal" w:pos="742"/>
              </w:tabs>
            </w:pPr>
            <w:r>
              <w:t>1,4</w:t>
            </w:r>
          </w:p>
        </w:tc>
      </w:tr>
      <w:tr w:rsidR="00000000">
        <w:tblPrEx>
          <w:tblCellMar>
            <w:top w:w="0" w:type="dxa"/>
            <w:bottom w:w="0" w:type="dxa"/>
          </w:tblCellMar>
        </w:tblPrEx>
        <w:tc>
          <w:tcPr>
            <w:tcW w:w="6663" w:type="dxa"/>
            <w:tcBorders>
              <w:top w:val="nil"/>
              <w:bottom w:val="nil"/>
            </w:tcBorders>
          </w:tcPr>
          <w:p w:rsidR="00000000" w:rsidRDefault="00000000">
            <w:r>
              <w:t>Число медицинских сестер на 1 000 человек</w:t>
            </w:r>
          </w:p>
        </w:tc>
        <w:tc>
          <w:tcPr>
            <w:tcW w:w="1346" w:type="dxa"/>
            <w:tcBorders>
              <w:top w:val="nil"/>
              <w:bottom w:val="nil"/>
            </w:tcBorders>
          </w:tcPr>
          <w:p w:rsidR="00000000" w:rsidRDefault="00000000">
            <w:pPr>
              <w:tabs>
                <w:tab w:val="clear" w:pos="567"/>
                <w:tab w:val="clear" w:pos="1134"/>
                <w:tab w:val="clear" w:pos="1701"/>
                <w:tab w:val="clear" w:pos="2268"/>
                <w:tab w:val="clear" w:pos="6237"/>
                <w:tab w:val="decimal" w:pos="742"/>
              </w:tabs>
            </w:pPr>
            <w:r>
              <w:t>4,3</w:t>
            </w:r>
          </w:p>
        </w:tc>
        <w:tc>
          <w:tcPr>
            <w:tcW w:w="1347" w:type="dxa"/>
            <w:tcBorders>
              <w:top w:val="nil"/>
              <w:bottom w:val="nil"/>
            </w:tcBorders>
          </w:tcPr>
          <w:p w:rsidR="00000000" w:rsidRDefault="00000000">
            <w:pPr>
              <w:tabs>
                <w:tab w:val="clear" w:pos="567"/>
                <w:tab w:val="clear" w:pos="1134"/>
                <w:tab w:val="clear" w:pos="1701"/>
                <w:tab w:val="clear" w:pos="2268"/>
                <w:tab w:val="clear" w:pos="6237"/>
                <w:tab w:val="decimal" w:pos="742"/>
              </w:tabs>
            </w:pPr>
            <w:r>
              <w:t>4,3</w:t>
            </w:r>
          </w:p>
        </w:tc>
      </w:tr>
      <w:tr w:rsidR="00000000">
        <w:tblPrEx>
          <w:tblCellMar>
            <w:top w:w="0" w:type="dxa"/>
            <w:bottom w:w="0" w:type="dxa"/>
          </w:tblCellMar>
        </w:tblPrEx>
        <w:tc>
          <w:tcPr>
            <w:tcW w:w="6663" w:type="dxa"/>
            <w:tcBorders>
              <w:top w:val="nil"/>
              <w:bottom w:val="nil"/>
            </w:tcBorders>
          </w:tcPr>
          <w:p w:rsidR="00000000" w:rsidRDefault="00000000">
            <w:r>
              <w:t>Детская смертность</w:t>
            </w:r>
          </w:p>
        </w:tc>
        <w:tc>
          <w:tcPr>
            <w:tcW w:w="1346" w:type="dxa"/>
            <w:tcBorders>
              <w:top w:val="nil"/>
              <w:bottom w:val="nil"/>
            </w:tcBorders>
          </w:tcPr>
          <w:p w:rsidR="00000000" w:rsidRDefault="00000000">
            <w:pPr>
              <w:tabs>
                <w:tab w:val="clear" w:pos="567"/>
                <w:tab w:val="clear" w:pos="1134"/>
                <w:tab w:val="clear" w:pos="1701"/>
                <w:tab w:val="clear" w:pos="2268"/>
                <w:tab w:val="clear" w:pos="6237"/>
                <w:tab w:val="decimal" w:pos="742"/>
              </w:tabs>
            </w:pPr>
            <w:r>
              <w:t>24,4</w:t>
            </w:r>
          </w:p>
        </w:tc>
        <w:tc>
          <w:tcPr>
            <w:tcW w:w="1347" w:type="dxa"/>
            <w:tcBorders>
              <w:top w:val="nil"/>
              <w:bottom w:val="nil"/>
            </w:tcBorders>
          </w:tcPr>
          <w:p w:rsidR="00000000" w:rsidRDefault="00000000">
            <w:pPr>
              <w:tabs>
                <w:tab w:val="clear" w:pos="567"/>
                <w:tab w:val="clear" w:pos="1134"/>
                <w:tab w:val="clear" w:pos="1701"/>
                <w:tab w:val="clear" w:pos="2268"/>
                <w:tab w:val="clear" w:pos="6237"/>
                <w:tab w:val="decimal" w:pos="742"/>
              </w:tabs>
            </w:pPr>
            <w:r>
              <w:t>25,9</w:t>
            </w:r>
          </w:p>
        </w:tc>
      </w:tr>
      <w:tr w:rsidR="00000000">
        <w:tblPrEx>
          <w:tblCellMar>
            <w:top w:w="0" w:type="dxa"/>
            <w:bottom w:w="0" w:type="dxa"/>
          </w:tblCellMar>
        </w:tblPrEx>
        <w:tc>
          <w:tcPr>
            <w:tcW w:w="6663" w:type="dxa"/>
            <w:tcBorders>
              <w:top w:val="nil"/>
              <w:bottom w:val="nil"/>
            </w:tcBorders>
          </w:tcPr>
          <w:p w:rsidR="00000000" w:rsidRDefault="00000000">
            <w:r>
              <w:t>Смертность в возрасте до пяти лет</w:t>
            </w:r>
          </w:p>
        </w:tc>
        <w:tc>
          <w:tcPr>
            <w:tcW w:w="1346" w:type="dxa"/>
            <w:tcBorders>
              <w:top w:val="nil"/>
              <w:bottom w:val="nil"/>
            </w:tcBorders>
          </w:tcPr>
          <w:p w:rsidR="00000000" w:rsidRDefault="00000000">
            <w:pPr>
              <w:tabs>
                <w:tab w:val="clear" w:pos="567"/>
                <w:tab w:val="clear" w:pos="1134"/>
                <w:tab w:val="clear" w:pos="1701"/>
                <w:tab w:val="clear" w:pos="2268"/>
                <w:tab w:val="clear" w:pos="6237"/>
                <w:tab w:val="decimal" w:pos="742"/>
              </w:tabs>
            </w:pPr>
            <w:r>
              <w:t>30,1</w:t>
            </w:r>
          </w:p>
        </w:tc>
        <w:tc>
          <w:tcPr>
            <w:tcW w:w="1347" w:type="dxa"/>
            <w:tcBorders>
              <w:top w:val="nil"/>
              <w:bottom w:val="nil"/>
            </w:tcBorders>
          </w:tcPr>
          <w:p w:rsidR="00000000" w:rsidRDefault="00000000">
            <w:pPr>
              <w:tabs>
                <w:tab w:val="clear" w:pos="567"/>
                <w:tab w:val="clear" w:pos="1134"/>
                <w:tab w:val="clear" w:pos="1701"/>
                <w:tab w:val="clear" w:pos="2268"/>
                <w:tab w:val="clear" w:pos="6237"/>
                <w:tab w:val="decimal" w:pos="742"/>
              </w:tabs>
            </w:pPr>
            <w:r>
              <w:t>31,7</w:t>
            </w:r>
          </w:p>
        </w:tc>
      </w:tr>
      <w:tr w:rsidR="00000000">
        <w:tblPrEx>
          <w:tblCellMar>
            <w:top w:w="0" w:type="dxa"/>
            <w:bottom w:w="0" w:type="dxa"/>
          </w:tblCellMar>
        </w:tblPrEx>
        <w:tc>
          <w:tcPr>
            <w:tcW w:w="6663" w:type="dxa"/>
            <w:tcBorders>
              <w:top w:val="nil"/>
              <w:bottom w:val="nil"/>
            </w:tcBorders>
          </w:tcPr>
          <w:p w:rsidR="00000000" w:rsidRDefault="00000000">
            <w:r>
              <w:t>Калорийность дневного рациона</w:t>
            </w:r>
          </w:p>
        </w:tc>
        <w:tc>
          <w:tcPr>
            <w:tcW w:w="1346" w:type="dxa"/>
            <w:tcBorders>
              <w:top w:val="nil"/>
              <w:bottom w:val="nil"/>
            </w:tcBorders>
          </w:tcPr>
          <w:p w:rsidR="00000000" w:rsidRDefault="00000000">
            <w:pPr>
              <w:tabs>
                <w:tab w:val="clear" w:pos="567"/>
                <w:tab w:val="clear" w:pos="1134"/>
                <w:tab w:val="clear" w:pos="1701"/>
                <w:tab w:val="clear" w:pos="2268"/>
                <w:tab w:val="clear" w:pos="6237"/>
                <w:tab w:val="decimal" w:pos="742"/>
              </w:tabs>
            </w:pPr>
            <w:r>
              <w:t>3 787</w:t>
            </w:r>
          </w:p>
        </w:tc>
        <w:tc>
          <w:tcPr>
            <w:tcW w:w="1347" w:type="dxa"/>
            <w:tcBorders>
              <w:top w:val="nil"/>
              <w:bottom w:val="nil"/>
            </w:tcBorders>
          </w:tcPr>
          <w:p w:rsidR="00000000" w:rsidRDefault="00000000">
            <w:pPr>
              <w:tabs>
                <w:tab w:val="clear" w:pos="567"/>
                <w:tab w:val="clear" w:pos="1134"/>
                <w:tab w:val="clear" w:pos="1701"/>
                <w:tab w:val="clear" w:pos="2268"/>
                <w:tab w:val="clear" w:pos="6237"/>
                <w:tab w:val="decimal" w:pos="742"/>
              </w:tabs>
            </w:pPr>
            <w:r>
              <w:t>3 333</w:t>
            </w:r>
          </w:p>
        </w:tc>
      </w:tr>
      <w:tr w:rsidR="00000000">
        <w:tblPrEx>
          <w:tblCellMar>
            <w:top w:w="0" w:type="dxa"/>
            <w:bottom w:w="0" w:type="dxa"/>
          </w:tblCellMar>
        </w:tblPrEx>
        <w:tc>
          <w:tcPr>
            <w:tcW w:w="6663" w:type="dxa"/>
            <w:tcBorders>
              <w:top w:val="nil"/>
            </w:tcBorders>
          </w:tcPr>
          <w:p w:rsidR="00000000" w:rsidRDefault="00000000">
            <w:r>
              <w:t>Ожидаемая продолжительность жизни (на момент рождения)</w:t>
            </w:r>
          </w:p>
        </w:tc>
        <w:tc>
          <w:tcPr>
            <w:tcW w:w="1346" w:type="dxa"/>
            <w:tcBorders>
              <w:top w:val="nil"/>
            </w:tcBorders>
          </w:tcPr>
          <w:p w:rsidR="00000000" w:rsidRDefault="00000000">
            <w:pPr>
              <w:tabs>
                <w:tab w:val="clear" w:pos="567"/>
                <w:tab w:val="clear" w:pos="1134"/>
                <w:tab w:val="clear" w:pos="1701"/>
                <w:tab w:val="clear" w:pos="2268"/>
                <w:tab w:val="clear" w:pos="6237"/>
                <w:tab w:val="decimal" w:pos="742"/>
              </w:tabs>
            </w:pPr>
            <w:r>
              <w:t>70</w:t>
            </w:r>
          </w:p>
        </w:tc>
        <w:tc>
          <w:tcPr>
            <w:tcW w:w="1347" w:type="dxa"/>
            <w:tcBorders>
              <w:top w:val="nil"/>
            </w:tcBorders>
          </w:tcPr>
          <w:p w:rsidR="00000000" w:rsidRDefault="00000000">
            <w:pPr>
              <w:tabs>
                <w:tab w:val="center" w:pos="1097"/>
              </w:tabs>
            </w:pPr>
          </w:p>
        </w:tc>
      </w:tr>
    </w:tbl>
    <w:p w:rsidR="00000000" w:rsidRDefault="00000000">
      <w:pPr>
        <w:rPr>
          <w:i/>
          <w:iCs/>
          <w:lang w:val="en-US"/>
        </w:rPr>
      </w:pPr>
    </w:p>
    <w:p w:rsidR="00000000" w:rsidRDefault="00000000">
      <w:r>
        <w:rPr>
          <w:i/>
          <w:iCs/>
        </w:rPr>
        <w:tab/>
        <w:t>Источник</w:t>
      </w:r>
      <w:r>
        <w:t>:  Национальное управление документации и информации.</w:t>
      </w:r>
    </w:p>
    <w:p w:rsidR="00000000" w:rsidRDefault="00000000"/>
    <w:p w:rsidR="00000000" w:rsidRDefault="00000000">
      <w:pPr>
        <w:jc w:val="center"/>
        <w:rPr>
          <w:b/>
          <w:bCs/>
        </w:rPr>
      </w:pPr>
      <w:r>
        <w:rPr>
          <w:b/>
          <w:bCs/>
        </w:rPr>
        <w:br w:type="page"/>
        <w:t>Число медицинских учреждений и численность персонала (1997-2001 годы)</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395"/>
        <w:gridCol w:w="992"/>
        <w:gridCol w:w="1051"/>
        <w:gridCol w:w="933"/>
        <w:gridCol w:w="993"/>
        <w:gridCol w:w="992"/>
      </w:tblGrid>
      <w:tr w:rsidR="00000000">
        <w:tblPrEx>
          <w:tblCellMar>
            <w:top w:w="0" w:type="dxa"/>
            <w:bottom w:w="0" w:type="dxa"/>
          </w:tblCellMar>
        </w:tblPrEx>
        <w:tc>
          <w:tcPr>
            <w:tcW w:w="4395" w:type="dxa"/>
          </w:tcPr>
          <w:p w:rsidR="00000000" w:rsidRDefault="00000000">
            <w:pPr>
              <w:jc w:val="center"/>
              <w:rPr>
                <w:sz w:val="20"/>
                <w:szCs w:val="18"/>
              </w:rPr>
            </w:pPr>
          </w:p>
        </w:tc>
        <w:tc>
          <w:tcPr>
            <w:tcW w:w="992" w:type="dxa"/>
          </w:tcPr>
          <w:p w:rsidR="00000000" w:rsidRDefault="00000000">
            <w:pPr>
              <w:jc w:val="center"/>
              <w:rPr>
                <w:sz w:val="20"/>
                <w:lang w:val="en-US"/>
              </w:rPr>
            </w:pPr>
            <w:r>
              <w:rPr>
                <w:sz w:val="20"/>
                <w:lang w:val="en-US"/>
              </w:rPr>
              <w:t>1997</w:t>
            </w:r>
          </w:p>
        </w:tc>
        <w:tc>
          <w:tcPr>
            <w:tcW w:w="1051" w:type="dxa"/>
          </w:tcPr>
          <w:p w:rsidR="00000000" w:rsidRDefault="00000000">
            <w:pPr>
              <w:jc w:val="center"/>
              <w:rPr>
                <w:sz w:val="20"/>
                <w:lang w:val="en-US"/>
              </w:rPr>
            </w:pPr>
            <w:r>
              <w:rPr>
                <w:sz w:val="20"/>
                <w:lang w:val="en-US"/>
              </w:rPr>
              <w:t>1998</w:t>
            </w:r>
          </w:p>
        </w:tc>
        <w:tc>
          <w:tcPr>
            <w:tcW w:w="933" w:type="dxa"/>
          </w:tcPr>
          <w:p w:rsidR="00000000" w:rsidRDefault="00000000">
            <w:pPr>
              <w:jc w:val="center"/>
              <w:rPr>
                <w:sz w:val="20"/>
                <w:lang w:val="en-US"/>
              </w:rPr>
            </w:pPr>
            <w:r>
              <w:rPr>
                <w:sz w:val="20"/>
                <w:lang w:val="en-US"/>
              </w:rPr>
              <w:t>1999</w:t>
            </w:r>
          </w:p>
        </w:tc>
        <w:tc>
          <w:tcPr>
            <w:tcW w:w="993" w:type="dxa"/>
          </w:tcPr>
          <w:p w:rsidR="00000000" w:rsidRDefault="00000000">
            <w:pPr>
              <w:jc w:val="center"/>
              <w:rPr>
                <w:sz w:val="20"/>
                <w:lang w:val="en-US"/>
              </w:rPr>
            </w:pPr>
            <w:r>
              <w:rPr>
                <w:sz w:val="20"/>
                <w:lang w:val="en-US"/>
              </w:rPr>
              <w:t>2000</w:t>
            </w:r>
          </w:p>
        </w:tc>
        <w:tc>
          <w:tcPr>
            <w:tcW w:w="992" w:type="dxa"/>
          </w:tcPr>
          <w:p w:rsidR="00000000" w:rsidRDefault="00000000">
            <w:pPr>
              <w:jc w:val="center"/>
              <w:rPr>
                <w:sz w:val="20"/>
                <w:lang w:val="en-US"/>
              </w:rPr>
            </w:pPr>
            <w:r>
              <w:rPr>
                <w:sz w:val="20"/>
                <w:lang w:val="en-US"/>
              </w:rPr>
              <w:t>2001</w:t>
            </w:r>
          </w:p>
        </w:tc>
      </w:tr>
      <w:tr w:rsidR="00000000">
        <w:tblPrEx>
          <w:tblCellMar>
            <w:top w:w="0" w:type="dxa"/>
            <w:bottom w:w="0" w:type="dxa"/>
          </w:tblCellMar>
        </w:tblPrEx>
        <w:tc>
          <w:tcPr>
            <w:tcW w:w="9356" w:type="dxa"/>
            <w:gridSpan w:val="6"/>
          </w:tcPr>
          <w:p w:rsidR="00000000" w:rsidRDefault="00000000">
            <w:pPr>
              <w:pStyle w:val="Header"/>
              <w:jc w:val="center"/>
              <w:rPr>
                <w:sz w:val="20"/>
                <w:szCs w:val="18"/>
              </w:rPr>
            </w:pPr>
            <w:r>
              <w:rPr>
                <w:sz w:val="20"/>
                <w:szCs w:val="18"/>
              </w:rPr>
              <w:t>Медицинские учреждения</w:t>
            </w:r>
          </w:p>
        </w:tc>
      </w:tr>
      <w:tr w:rsidR="00000000">
        <w:tblPrEx>
          <w:tblCellMar>
            <w:top w:w="0" w:type="dxa"/>
            <w:bottom w:w="0" w:type="dxa"/>
          </w:tblCellMar>
        </w:tblPrEx>
        <w:tc>
          <w:tcPr>
            <w:tcW w:w="4395" w:type="dxa"/>
            <w:tcBorders>
              <w:bottom w:val="nil"/>
            </w:tcBorders>
          </w:tcPr>
          <w:p w:rsidR="00000000" w:rsidRDefault="00000000">
            <w:pPr>
              <w:rPr>
                <w:sz w:val="20"/>
                <w:szCs w:val="18"/>
              </w:rPr>
            </w:pPr>
            <w:r>
              <w:rPr>
                <w:sz w:val="20"/>
                <w:szCs w:val="18"/>
              </w:rPr>
              <w:t>Число больниц</w:t>
            </w:r>
          </w:p>
        </w:tc>
        <w:tc>
          <w:tcPr>
            <w:tcW w:w="992" w:type="dxa"/>
            <w:tcBorders>
              <w:bottom w:val="nil"/>
            </w:tcBorders>
          </w:tcPr>
          <w:p w:rsidR="00000000" w:rsidRDefault="00000000">
            <w:pPr>
              <w:ind w:right="170"/>
              <w:jc w:val="right"/>
              <w:rPr>
                <w:sz w:val="20"/>
                <w:lang w:val="en-US"/>
              </w:rPr>
            </w:pPr>
            <w:r>
              <w:rPr>
                <w:sz w:val="20"/>
                <w:lang w:val="en-US"/>
              </w:rPr>
              <w:t>79</w:t>
            </w:r>
          </w:p>
        </w:tc>
        <w:tc>
          <w:tcPr>
            <w:tcW w:w="1051" w:type="dxa"/>
            <w:tcBorders>
              <w:bottom w:val="nil"/>
            </w:tcBorders>
          </w:tcPr>
          <w:p w:rsidR="00000000" w:rsidRDefault="00000000">
            <w:pPr>
              <w:ind w:right="170"/>
              <w:jc w:val="right"/>
              <w:rPr>
                <w:sz w:val="20"/>
                <w:lang w:val="en-US"/>
              </w:rPr>
            </w:pPr>
            <w:r>
              <w:rPr>
                <w:sz w:val="20"/>
                <w:lang w:val="en-US"/>
              </w:rPr>
              <w:t>83</w:t>
            </w:r>
          </w:p>
        </w:tc>
        <w:tc>
          <w:tcPr>
            <w:tcW w:w="933" w:type="dxa"/>
            <w:tcBorders>
              <w:bottom w:val="nil"/>
            </w:tcBorders>
          </w:tcPr>
          <w:p w:rsidR="00000000" w:rsidRDefault="00000000">
            <w:pPr>
              <w:ind w:right="170"/>
              <w:jc w:val="right"/>
              <w:rPr>
                <w:sz w:val="20"/>
                <w:lang w:val="en-US"/>
              </w:rPr>
            </w:pPr>
            <w:r>
              <w:rPr>
                <w:sz w:val="20"/>
                <w:lang w:val="en-US"/>
              </w:rPr>
              <w:t>83</w:t>
            </w:r>
          </w:p>
        </w:tc>
        <w:tc>
          <w:tcPr>
            <w:tcW w:w="993" w:type="dxa"/>
            <w:tcBorders>
              <w:bottom w:val="nil"/>
            </w:tcBorders>
          </w:tcPr>
          <w:p w:rsidR="00000000" w:rsidRDefault="00000000">
            <w:pPr>
              <w:ind w:right="170"/>
              <w:jc w:val="right"/>
              <w:rPr>
                <w:sz w:val="20"/>
                <w:lang w:val="en-US"/>
              </w:rPr>
            </w:pPr>
            <w:r>
              <w:rPr>
                <w:sz w:val="20"/>
                <w:lang w:val="en-US"/>
              </w:rPr>
              <w:t>82</w:t>
            </w:r>
          </w:p>
        </w:tc>
        <w:tc>
          <w:tcPr>
            <w:tcW w:w="992" w:type="dxa"/>
            <w:tcBorders>
              <w:bottom w:val="nil"/>
            </w:tcBorders>
          </w:tcPr>
          <w:p w:rsidR="00000000" w:rsidRDefault="00000000">
            <w:pPr>
              <w:ind w:right="170"/>
              <w:jc w:val="right"/>
              <w:rPr>
                <w:sz w:val="20"/>
                <w:lang w:val="en-US"/>
              </w:rPr>
            </w:pPr>
            <w:r>
              <w:rPr>
                <w:sz w:val="20"/>
                <w:lang w:val="en-US"/>
              </w:rPr>
              <w:t>82</w:t>
            </w:r>
          </w:p>
        </w:tc>
      </w:tr>
      <w:tr w:rsidR="00000000">
        <w:tblPrEx>
          <w:tblCellMar>
            <w:top w:w="0" w:type="dxa"/>
            <w:bottom w:w="0" w:type="dxa"/>
          </w:tblCellMar>
        </w:tblPrEx>
        <w:trPr>
          <w:trHeight w:val="351"/>
        </w:trPr>
        <w:tc>
          <w:tcPr>
            <w:tcW w:w="4395" w:type="dxa"/>
            <w:tcBorders>
              <w:top w:val="nil"/>
              <w:bottom w:val="nil"/>
            </w:tcBorders>
          </w:tcPr>
          <w:p w:rsidR="00000000" w:rsidRDefault="00000000">
            <w:pPr>
              <w:rPr>
                <w:sz w:val="20"/>
                <w:szCs w:val="18"/>
              </w:rPr>
            </w:pPr>
            <w:r>
              <w:rPr>
                <w:sz w:val="20"/>
                <w:szCs w:val="18"/>
              </w:rPr>
              <w:t>Число коек в государственных больницах</w:t>
            </w:r>
          </w:p>
        </w:tc>
        <w:tc>
          <w:tcPr>
            <w:tcW w:w="992" w:type="dxa"/>
            <w:tcBorders>
              <w:top w:val="nil"/>
              <w:bottom w:val="nil"/>
            </w:tcBorders>
          </w:tcPr>
          <w:p w:rsidR="00000000" w:rsidRDefault="00000000">
            <w:pPr>
              <w:ind w:right="170"/>
              <w:jc w:val="right"/>
              <w:rPr>
                <w:sz w:val="20"/>
              </w:rPr>
            </w:pPr>
            <w:r>
              <w:rPr>
                <w:sz w:val="20"/>
              </w:rPr>
              <w:t>1 930</w:t>
            </w:r>
          </w:p>
        </w:tc>
        <w:tc>
          <w:tcPr>
            <w:tcW w:w="1051" w:type="dxa"/>
            <w:tcBorders>
              <w:top w:val="nil"/>
              <w:bottom w:val="nil"/>
            </w:tcBorders>
          </w:tcPr>
          <w:p w:rsidR="00000000" w:rsidRDefault="00000000">
            <w:pPr>
              <w:ind w:right="170"/>
              <w:jc w:val="right"/>
              <w:rPr>
                <w:sz w:val="20"/>
                <w:lang w:val="en-US"/>
              </w:rPr>
            </w:pPr>
            <w:r>
              <w:rPr>
                <w:sz w:val="20"/>
                <w:lang w:val="en-US"/>
              </w:rPr>
              <w:t>18 645</w:t>
            </w:r>
          </w:p>
        </w:tc>
        <w:tc>
          <w:tcPr>
            <w:tcW w:w="933" w:type="dxa"/>
            <w:tcBorders>
              <w:top w:val="nil"/>
              <w:bottom w:val="nil"/>
            </w:tcBorders>
          </w:tcPr>
          <w:p w:rsidR="00000000" w:rsidRDefault="00000000">
            <w:pPr>
              <w:ind w:right="170"/>
              <w:jc w:val="right"/>
              <w:rPr>
                <w:sz w:val="20"/>
                <w:lang w:val="en-US"/>
              </w:rPr>
            </w:pPr>
            <w:r>
              <w:rPr>
                <w:sz w:val="20"/>
                <w:lang w:val="en-US"/>
              </w:rPr>
              <w:t>18 645</w:t>
            </w:r>
          </w:p>
        </w:tc>
        <w:tc>
          <w:tcPr>
            <w:tcW w:w="993" w:type="dxa"/>
            <w:tcBorders>
              <w:top w:val="nil"/>
              <w:bottom w:val="nil"/>
            </w:tcBorders>
          </w:tcPr>
          <w:p w:rsidR="00000000" w:rsidRDefault="00000000">
            <w:pPr>
              <w:ind w:right="170"/>
              <w:jc w:val="right"/>
              <w:rPr>
                <w:sz w:val="20"/>
                <w:lang w:val="en-US"/>
              </w:rPr>
            </w:pPr>
            <w:r>
              <w:rPr>
                <w:sz w:val="20"/>
                <w:lang w:val="en-US"/>
              </w:rPr>
              <w:t>18 821</w:t>
            </w:r>
          </w:p>
        </w:tc>
        <w:tc>
          <w:tcPr>
            <w:tcW w:w="992" w:type="dxa"/>
            <w:tcBorders>
              <w:top w:val="nil"/>
              <w:bottom w:val="nil"/>
            </w:tcBorders>
          </w:tcPr>
          <w:p w:rsidR="00000000" w:rsidRDefault="00000000">
            <w:pPr>
              <w:ind w:right="170"/>
              <w:jc w:val="right"/>
              <w:rPr>
                <w:sz w:val="20"/>
                <w:lang w:val="en-US"/>
              </w:rPr>
            </w:pPr>
            <w:r>
              <w:rPr>
                <w:sz w:val="20"/>
                <w:lang w:val="en-US"/>
              </w:rPr>
              <w:t>18 959</w:t>
            </w:r>
          </w:p>
        </w:tc>
      </w:tr>
      <w:tr w:rsidR="00000000">
        <w:tblPrEx>
          <w:tblCellMar>
            <w:top w:w="0" w:type="dxa"/>
            <w:bottom w:w="0" w:type="dxa"/>
          </w:tblCellMar>
        </w:tblPrEx>
        <w:tc>
          <w:tcPr>
            <w:tcW w:w="4395" w:type="dxa"/>
            <w:tcBorders>
              <w:top w:val="nil"/>
              <w:bottom w:val="nil"/>
            </w:tcBorders>
          </w:tcPr>
          <w:p w:rsidR="00000000" w:rsidRDefault="00000000">
            <w:pPr>
              <w:rPr>
                <w:sz w:val="20"/>
                <w:szCs w:val="18"/>
              </w:rPr>
            </w:pPr>
            <w:r>
              <w:rPr>
                <w:sz w:val="20"/>
                <w:szCs w:val="18"/>
              </w:rPr>
              <w:t>Число общежитий для инвалидов</w:t>
            </w:r>
          </w:p>
        </w:tc>
        <w:tc>
          <w:tcPr>
            <w:tcW w:w="992" w:type="dxa"/>
            <w:tcBorders>
              <w:top w:val="nil"/>
              <w:bottom w:val="nil"/>
            </w:tcBorders>
          </w:tcPr>
          <w:p w:rsidR="00000000" w:rsidRDefault="00000000">
            <w:pPr>
              <w:ind w:right="170"/>
              <w:jc w:val="right"/>
              <w:rPr>
                <w:sz w:val="20"/>
                <w:lang w:val="en-US"/>
              </w:rPr>
            </w:pPr>
            <w:r>
              <w:rPr>
                <w:sz w:val="20"/>
                <w:lang w:val="en-US"/>
              </w:rPr>
              <w:t>53</w:t>
            </w:r>
          </w:p>
        </w:tc>
        <w:tc>
          <w:tcPr>
            <w:tcW w:w="1051" w:type="dxa"/>
            <w:tcBorders>
              <w:top w:val="nil"/>
              <w:bottom w:val="nil"/>
            </w:tcBorders>
          </w:tcPr>
          <w:p w:rsidR="00000000" w:rsidRDefault="00000000">
            <w:pPr>
              <w:ind w:right="170"/>
              <w:jc w:val="right"/>
              <w:rPr>
                <w:sz w:val="20"/>
                <w:lang w:val="en-US"/>
              </w:rPr>
            </w:pPr>
            <w:r>
              <w:rPr>
                <w:sz w:val="20"/>
                <w:lang w:val="en-US"/>
              </w:rPr>
              <w:t>53</w:t>
            </w:r>
          </w:p>
        </w:tc>
        <w:tc>
          <w:tcPr>
            <w:tcW w:w="933" w:type="dxa"/>
            <w:tcBorders>
              <w:top w:val="nil"/>
              <w:bottom w:val="nil"/>
            </w:tcBorders>
          </w:tcPr>
          <w:p w:rsidR="00000000" w:rsidRDefault="00000000">
            <w:pPr>
              <w:ind w:right="170"/>
              <w:jc w:val="right"/>
              <w:rPr>
                <w:sz w:val="20"/>
                <w:lang w:val="en-US"/>
              </w:rPr>
            </w:pPr>
            <w:r>
              <w:rPr>
                <w:sz w:val="20"/>
                <w:lang w:val="en-US"/>
              </w:rPr>
              <w:t>63</w:t>
            </w:r>
          </w:p>
        </w:tc>
        <w:tc>
          <w:tcPr>
            <w:tcW w:w="993" w:type="dxa"/>
            <w:tcBorders>
              <w:top w:val="nil"/>
              <w:bottom w:val="nil"/>
            </w:tcBorders>
          </w:tcPr>
          <w:p w:rsidR="00000000" w:rsidRDefault="00000000">
            <w:pPr>
              <w:ind w:right="170"/>
              <w:jc w:val="right"/>
              <w:rPr>
                <w:sz w:val="20"/>
                <w:lang w:val="en-US"/>
              </w:rPr>
            </w:pPr>
            <w:r>
              <w:rPr>
                <w:sz w:val="20"/>
                <w:lang w:val="en-US"/>
              </w:rPr>
              <w:t>53</w:t>
            </w:r>
          </w:p>
        </w:tc>
        <w:tc>
          <w:tcPr>
            <w:tcW w:w="992" w:type="dxa"/>
            <w:tcBorders>
              <w:top w:val="nil"/>
              <w:bottom w:val="nil"/>
            </w:tcBorders>
          </w:tcPr>
          <w:p w:rsidR="00000000" w:rsidRDefault="00000000">
            <w:pPr>
              <w:ind w:right="170"/>
              <w:jc w:val="right"/>
              <w:rPr>
                <w:sz w:val="20"/>
                <w:lang w:val="en-US"/>
              </w:rPr>
            </w:pPr>
            <w:r>
              <w:rPr>
                <w:sz w:val="20"/>
                <w:lang w:val="en-US"/>
              </w:rPr>
              <w:t>53</w:t>
            </w:r>
          </w:p>
        </w:tc>
      </w:tr>
      <w:tr w:rsidR="00000000">
        <w:tblPrEx>
          <w:tblCellMar>
            <w:top w:w="0" w:type="dxa"/>
            <w:bottom w:w="0" w:type="dxa"/>
          </w:tblCellMar>
        </w:tblPrEx>
        <w:tc>
          <w:tcPr>
            <w:tcW w:w="4395" w:type="dxa"/>
            <w:tcBorders>
              <w:top w:val="nil"/>
              <w:bottom w:val="nil"/>
            </w:tcBorders>
          </w:tcPr>
          <w:p w:rsidR="00000000" w:rsidRDefault="00000000">
            <w:pPr>
              <w:rPr>
                <w:sz w:val="20"/>
                <w:szCs w:val="18"/>
              </w:rPr>
            </w:pPr>
            <w:r>
              <w:rPr>
                <w:sz w:val="20"/>
                <w:szCs w:val="18"/>
              </w:rPr>
              <w:t>Число коек в общежитиях</w:t>
            </w:r>
          </w:p>
        </w:tc>
        <w:tc>
          <w:tcPr>
            <w:tcW w:w="992" w:type="dxa"/>
            <w:tcBorders>
              <w:top w:val="nil"/>
              <w:bottom w:val="nil"/>
            </w:tcBorders>
          </w:tcPr>
          <w:p w:rsidR="00000000" w:rsidRDefault="00000000">
            <w:pPr>
              <w:ind w:right="170"/>
              <w:jc w:val="right"/>
              <w:rPr>
                <w:sz w:val="20"/>
                <w:lang w:val="en-US"/>
              </w:rPr>
            </w:pPr>
            <w:r>
              <w:rPr>
                <w:sz w:val="20"/>
                <w:lang w:val="en-US"/>
              </w:rPr>
              <w:t>1 060</w:t>
            </w:r>
          </w:p>
        </w:tc>
        <w:tc>
          <w:tcPr>
            <w:tcW w:w="1051" w:type="dxa"/>
            <w:tcBorders>
              <w:top w:val="nil"/>
              <w:bottom w:val="nil"/>
            </w:tcBorders>
          </w:tcPr>
          <w:p w:rsidR="00000000" w:rsidRDefault="00000000">
            <w:pPr>
              <w:ind w:right="170"/>
              <w:jc w:val="right"/>
              <w:rPr>
                <w:sz w:val="20"/>
                <w:lang w:val="en-US"/>
              </w:rPr>
            </w:pPr>
            <w:r>
              <w:rPr>
                <w:sz w:val="20"/>
                <w:lang w:val="en-US"/>
              </w:rPr>
              <w:t>1 060</w:t>
            </w:r>
          </w:p>
        </w:tc>
        <w:tc>
          <w:tcPr>
            <w:tcW w:w="933" w:type="dxa"/>
            <w:tcBorders>
              <w:top w:val="nil"/>
              <w:bottom w:val="nil"/>
            </w:tcBorders>
          </w:tcPr>
          <w:p w:rsidR="00000000" w:rsidRDefault="00000000">
            <w:pPr>
              <w:ind w:right="170"/>
              <w:jc w:val="right"/>
              <w:rPr>
                <w:sz w:val="20"/>
                <w:lang w:val="en-US"/>
              </w:rPr>
            </w:pPr>
            <w:r>
              <w:rPr>
                <w:sz w:val="20"/>
                <w:lang w:val="en-US"/>
              </w:rPr>
              <w:t>1 351</w:t>
            </w:r>
          </w:p>
        </w:tc>
        <w:tc>
          <w:tcPr>
            <w:tcW w:w="993" w:type="dxa"/>
            <w:tcBorders>
              <w:top w:val="nil"/>
              <w:bottom w:val="nil"/>
            </w:tcBorders>
          </w:tcPr>
          <w:p w:rsidR="00000000" w:rsidRDefault="00000000">
            <w:pPr>
              <w:ind w:right="170"/>
              <w:jc w:val="right"/>
              <w:rPr>
                <w:sz w:val="20"/>
                <w:lang w:val="en-US"/>
              </w:rPr>
            </w:pPr>
            <w:r>
              <w:rPr>
                <w:sz w:val="20"/>
                <w:lang w:val="en-US"/>
              </w:rPr>
              <w:t>1 060</w:t>
            </w:r>
          </w:p>
        </w:tc>
        <w:tc>
          <w:tcPr>
            <w:tcW w:w="992" w:type="dxa"/>
            <w:tcBorders>
              <w:top w:val="nil"/>
              <w:bottom w:val="nil"/>
            </w:tcBorders>
          </w:tcPr>
          <w:p w:rsidR="00000000" w:rsidRDefault="00000000">
            <w:pPr>
              <w:ind w:right="170"/>
              <w:jc w:val="right"/>
              <w:rPr>
                <w:sz w:val="20"/>
                <w:lang w:val="en-US"/>
              </w:rPr>
            </w:pPr>
            <w:r>
              <w:rPr>
                <w:sz w:val="20"/>
                <w:lang w:val="en-US"/>
              </w:rPr>
              <w:t>1 060</w:t>
            </w:r>
          </w:p>
        </w:tc>
      </w:tr>
      <w:tr w:rsidR="00000000">
        <w:tblPrEx>
          <w:tblCellMar>
            <w:top w:w="0" w:type="dxa"/>
            <w:bottom w:w="0" w:type="dxa"/>
          </w:tblCellMar>
        </w:tblPrEx>
        <w:tc>
          <w:tcPr>
            <w:tcW w:w="4395" w:type="dxa"/>
            <w:tcBorders>
              <w:top w:val="nil"/>
              <w:bottom w:val="nil"/>
            </w:tcBorders>
          </w:tcPr>
          <w:p w:rsidR="00000000" w:rsidRDefault="00000000">
            <w:pPr>
              <w:rPr>
                <w:sz w:val="20"/>
                <w:szCs w:val="18"/>
              </w:rPr>
            </w:pPr>
            <w:r>
              <w:rPr>
                <w:sz w:val="20"/>
                <w:szCs w:val="18"/>
              </w:rPr>
              <w:t xml:space="preserve">Число клиник, принадлежащих частным </w:t>
            </w:r>
          </w:p>
          <w:p w:rsidR="00000000" w:rsidRDefault="00000000">
            <w:pPr>
              <w:tabs>
                <w:tab w:val="left" w:pos="318"/>
              </w:tabs>
              <w:rPr>
                <w:sz w:val="20"/>
                <w:szCs w:val="18"/>
              </w:rPr>
            </w:pPr>
            <w:r>
              <w:rPr>
                <w:sz w:val="20"/>
                <w:szCs w:val="18"/>
              </w:rPr>
              <w:tab/>
              <w:t>лицам и кооперативам</w:t>
            </w:r>
          </w:p>
        </w:tc>
        <w:tc>
          <w:tcPr>
            <w:tcW w:w="992" w:type="dxa"/>
            <w:tcBorders>
              <w:top w:val="nil"/>
              <w:bottom w:val="nil"/>
            </w:tcBorders>
          </w:tcPr>
          <w:p w:rsidR="00000000" w:rsidRDefault="00000000">
            <w:pPr>
              <w:ind w:right="170"/>
              <w:jc w:val="right"/>
              <w:rPr>
                <w:sz w:val="20"/>
              </w:rPr>
            </w:pPr>
          </w:p>
        </w:tc>
        <w:tc>
          <w:tcPr>
            <w:tcW w:w="1051" w:type="dxa"/>
            <w:tcBorders>
              <w:top w:val="nil"/>
              <w:bottom w:val="nil"/>
            </w:tcBorders>
          </w:tcPr>
          <w:p w:rsidR="00000000" w:rsidRDefault="00000000">
            <w:pPr>
              <w:ind w:right="170"/>
              <w:jc w:val="right"/>
              <w:rPr>
                <w:sz w:val="20"/>
                <w:lang w:val="en-US"/>
              </w:rPr>
            </w:pPr>
            <w:r>
              <w:rPr>
                <w:sz w:val="20"/>
                <w:lang w:val="en-US"/>
              </w:rPr>
              <w:t>16</w:t>
            </w:r>
          </w:p>
        </w:tc>
        <w:tc>
          <w:tcPr>
            <w:tcW w:w="933" w:type="dxa"/>
            <w:tcBorders>
              <w:top w:val="nil"/>
              <w:bottom w:val="nil"/>
            </w:tcBorders>
          </w:tcPr>
          <w:p w:rsidR="00000000" w:rsidRDefault="00000000">
            <w:pPr>
              <w:ind w:right="170"/>
              <w:jc w:val="right"/>
              <w:rPr>
                <w:sz w:val="20"/>
                <w:lang w:val="en-US"/>
              </w:rPr>
            </w:pPr>
            <w:r>
              <w:rPr>
                <w:sz w:val="20"/>
                <w:lang w:val="en-US"/>
              </w:rPr>
              <w:t>26</w:t>
            </w:r>
          </w:p>
        </w:tc>
        <w:tc>
          <w:tcPr>
            <w:tcW w:w="993" w:type="dxa"/>
            <w:tcBorders>
              <w:top w:val="nil"/>
              <w:bottom w:val="nil"/>
            </w:tcBorders>
          </w:tcPr>
          <w:p w:rsidR="00000000" w:rsidRDefault="00000000">
            <w:pPr>
              <w:ind w:right="170"/>
              <w:jc w:val="right"/>
              <w:rPr>
                <w:sz w:val="20"/>
                <w:lang w:val="en-US"/>
              </w:rPr>
            </w:pPr>
            <w:r>
              <w:rPr>
                <w:sz w:val="20"/>
                <w:lang w:val="en-US"/>
              </w:rPr>
              <w:t>26</w:t>
            </w:r>
          </w:p>
        </w:tc>
        <w:tc>
          <w:tcPr>
            <w:tcW w:w="992" w:type="dxa"/>
            <w:tcBorders>
              <w:top w:val="nil"/>
              <w:bottom w:val="nil"/>
            </w:tcBorders>
          </w:tcPr>
          <w:p w:rsidR="00000000" w:rsidRDefault="00000000">
            <w:pPr>
              <w:ind w:right="170"/>
              <w:jc w:val="right"/>
              <w:rPr>
                <w:sz w:val="20"/>
                <w:lang w:val="en-US"/>
              </w:rPr>
            </w:pPr>
            <w:r>
              <w:rPr>
                <w:sz w:val="20"/>
                <w:lang w:val="en-US"/>
              </w:rPr>
              <w:t>26</w:t>
            </w:r>
          </w:p>
        </w:tc>
      </w:tr>
      <w:tr w:rsidR="00000000">
        <w:tblPrEx>
          <w:tblCellMar>
            <w:top w:w="0" w:type="dxa"/>
            <w:bottom w:w="0" w:type="dxa"/>
          </w:tblCellMar>
        </w:tblPrEx>
        <w:tc>
          <w:tcPr>
            <w:tcW w:w="4395" w:type="dxa"/>
            <w:tcBorders>
              <w:top w:val="nil"/>
            </w:tcBorders>
          </w:tcPr>
          <w:p w:rsidR="00000000" w:rsidRDefault="00000000">
            <w:pPr>
              <w:rPr>
                <w:sz w:val="20"/>
                <w:szCs w:val="18"/>
              </w:rPr>
            </w:pPr>
            <w:r>
              <w:rPr>
                <w:sz w:val="20"/>
                <w:szCs w:val="18"/>
              </w:rPr>
              <w:t>Число коек в клиниках</w:t>
            </w:r>
          </w:p>
        </w:tc>
        <w:tc>
          <w:tcPr>
            <w:tcW w:w="992" w:type="dxa"/>
            <w:tcBorders>
              <w:top w:val="nil"/>
            </w:tcBorders>
          </w:tcPr>
          <w:p w:rsidR="00000000" w:rsidRDefault="00000000">
            <w:pPr>
              <w:ind w:right="170"/>
              <w:jc w:val="right"/>
              <w:rPr>
                <w:sz w:val="20"/>
                <w:lang w:val="en-US"/>
              </w:rPr>
            </w:pPr>
            <w:r>
              <w:rPr>
                <w:sz w:val="20"/>
                <w:lang w:val="en-US"/>
              </w:rPr>
              <w:t>502</w:t>
            </w:r>
          </w:p>
        </w:tc>
        <w:tc>
          <w:tcPr>
            <w:tcW w:w="1051" w:type="dxa"/>
            <w:tcBorders>
              <w:top w:val="nil"/>
            </w:tcBorders>
          </w:tcPr>
          <w:p w:rsidR="00000000" w:rsidRDefault="00000000">
            <w:pPr>
              <w:ind w:right="170"/>
              <w:jc w:val="right"/>
              <w:rPr>
                <w:sz w:val="20"/>
                <w:lang w:val="en-US"/>
              </w:rPr>
            </w:pPr>
            <w:r>
              <w:rPr>
                <w:sz w:val="20"/>
                <w:lang w:val="en-US"/>
              </w:rPr>
              <w:t>620</w:t>
            </w:r>
          </w:p>
        </w:tc>
        <w:tc>
          <w:tcPr>
            <w:tcW w:w="933" w:type="dxa"/>
            <w:tcBorders>
              <w:top w:val="nil"/>
            </w:tcBorders>
          </w:tcPr>
          <w:p w:rsidR="00000000" w:rsidRDefault="00000000">
            <w:pPr>
              <w:ind w:right="170"/>
              <w:jc w:val="right"/>
              <w:rPr>
                <w:sz w:val="20"/>
                <w:lang w:val="en-US"/>
              </w:rPr>
            </w:pPr>
            <w:r>
              <w:rPr>
                <w:sz w:val="20"/>
                <w:lang w:val="en-US"/>
              </w:rPr>
              <w:t>747</w:t>
            </w:r>
          </w:p>
        </w:tc>
        <w:tc>
          <w:tcPr>
            <w:tcW w:w="993" w:type="dxa"/>
            <w:tcBorders>
              <w:top w:val="nil"/>
            </w:tcBorders>
          </w:tcPr>
          <w:p w:rsidR="00000000" w:rsidRDefault="00000000">
            <w:pPr>
              <w:ind w:right="170"/>
              <w:jc w:val="right"/>
              <w:rPr>
                <w:sz w:val="20"/>
                <w:lang w:val="en-US"/>
              </w:rPr>
            </w:pPr>
            <w:r>
              <w:rPr>
                <w:sz w:val="20"/>
                <w:lang w:val="en-US"/>
              </w:rPr>
              <w:t>620</w:t>
            </w:r>
          </w:p>
        </w:tc>
        <w:tc>
          <w:tcPr>
            <w:tcW w:w="992" w:type="dxa"/>
            <w:tcBorders>
              <w:top w:val="nil"/>
            </w:tcBorders>
          </w:tcPr>
          <w:p w:rsidR="00000000" w:rsidRDefault="00000000">
            <w:pPr>
              <w:ind w:right="170"/>
              <w:jc w:val="right"/>
              <w:rPr>
                <w:sz w:val="20"/>
                <w:lang w:val="en-US"/>
              </w:rPr>
            </w:pPr>
            <w:r>
              <w:rPr>
                <w:sz w:val="20"/>
                <w:lang w:val="en-US"/>
              </w:rPr>
              <w:t>620</w:t>
            </w:r>
          </w:p>
        </w:tc>
      </w:tr>
      <w:tr w:rsidR="00000000">
        <w:tblPrEx>
          <w:tblCellMar>
            <w:top w:w="0" w:type="dxa"/>
            <w:bottom w:w="0" w:type="dxa"/>
          </w:tblCellMar>
        </w:tblPrEx>
        <w:tc>
          <w:tcPr>
            <w:tcW w:w="9356" w:type="dxa"/>
            <w:gridSpan w:val="6"/>
          </w:tcPr>
          <w:p w:rsidR="00000000" w:rsidRDefault="00000000">
            <w:pPr>
              <w:pStyle w:val="Header"/>
              <w:jc w:val="center"/>
              <w:rPr>
                <w:sz w:val="20"/>
                <w:szCs w:val="18"/>
              </w:rPr>
            </w:pPr>
            <w:r>
              <w:rPr>
                <w:sz w:val="20"/>
                <w:szCs w:val="18"/>
              </w:rPr>
              <w:t>Медицинский персонал</w:t>
            </w:r>
          </w:p>
        </w:tc>
      </w:tr>
      <w:tr w:rsidR="00000000">
        <w:tblPrEx>
          <w:tblCellMar>
            <w:top w:w="0" w:type="dxa"/>
            <w:bottom w:w="0" w:type="dxa"/>
          </w:tblCellMar>
        </w:tblPrEx>
        <w:tc>
          <w:tcPr>
            <w:tcW w:w="4395" w:type="dxa"/>
            <w:tcBorders>
              <w:bottom w:val="nil"/>
            </w:tcBorders>
          </w:tcPr>
          <w:p w:rsidR="00000000" w:rsidRDefault="00000000">
            <w:pPr>
              <w:rPr>
                <w:sz w:val="20"/>
                <w:szCs w:val="18"/>
              </w:rPr>
            </w:pPr>
            <w:r>
              <w:rPr>
                <w:sz w:val="20"/>
                <w:szCs w:val="18"/>
              </w:rPr>
              <w:t>Число специалистов и терапевтов</w:t>
            </w:r>
          </w:p>
        </w:tc>
        <w:tc>
          <w:tcPr>
            <w:tcW w:w="992" w:type="dxa"/>
            <w:tcBorders>
              <w:bottom w:val="nil"/>
            </w:tcBorders>
          </w:tcPr>
          <w:p w:rsidR="00000000" w:rsidRDefault="00000000">
            <w:pPr>
              <w:ind w:right="170"/>
              <w:jc w:val="right"/>
              <w:rPr>
                <w:sz w:val="20"/>
                <w:lang w:val="en-US"/>
              </w:rPr>
            </w:pPr>
            <w:r>
              <w:rPr>
                <w:sz w:val="20"/>
                <w:lang w:val="en-US"/>
              </w:rPr>
              <w:t>5 960</w:t>
            </w:r>
          </w:p>
        </w:tc>
        <w:tc>
          <w:tcPr>
            <w:tcW w:w="1051" w:type="dxa"/>
            <w:tcBorders>
              <w:bottom w:val="nil"/>
            </w:tcBorders>
          </w:tcPr>
          <w:p w:rsidR="00000000" w:rsidRDefault="00000000">
            <w:pPr>
              <w:ind w:right="170"/>
              <w:jc w:val="right"/>
              <w:rPr>
                <w:sz w:val="20"/>
                <w:lang w:val="en-US"/>
              </w:rPr>
            </w:pPr>
            <w:r>
              <w:rPr>
                <w:sz w:val="20"/>
                <w:lang w:val="en-US"/>
              </w:rPr>
              <w:t>5 676</w:t>
            </w:r>
          </w:p>
        </w:tc>
        <w:tc>
          <w:tcPr>
            <w:tcW w:w="933" w:type="dxa"/>
            <w:tcBorders>
              <w:bottom w:val="nil"/>
            </w:tcBorders>
          </w:tcPr>
          <w:p w:rsidR="00000000" w:rsidRDefault="00000000">
            <w:pPr>
              <w:ind w:right="170"/>
              <w:jc w:val="right"/>
              <w:rPr>
                <w:sz w:val="20"/>
                <w:lang w:val="en-US"/>
              </w:rPr>
            </w:pPr>
            <w:r>
              <w:rPr>
                <w:sz w:val="20"/>
                <w:lang w:val="en-US"/>
              </w:rPr>
              <w:t>7 183</w:t>
            </w:r>
          </w:p>
        </w:tc>
        <w:tc>
          <w:tcPr>
            <w:tcW w:w="993" w:type="dxa"/>
            <w:tcBorders>
              <w:bottom w:val="nil"/>
            </w:tcBorders>
          </w:tcPr>
          <w:p w:rsidR="00000000" w:rsidRDefault="00000000">
            <w:pPr>
              <w:ind w:right="170"/>
              <w:jc w:val="right"/>
              <w:rPr>
                <w:sz w:val="20"/>
                <w:lang w:val="en-US"/>
              </w:rPr>
            </w:pPr>
            <w:r>
              <w:rPr>
                <w:sz w:val="20"/>
                <w:lang w:val="en-US"/>
              </w:rPr>
              <w:t>6 676</w:t>
            </w:r>
          </w:p>
        </w:tc>
        <w:tc>
          <w:tcPr>
            <w:tcW w:w="992" w:type="dxa"/>
            <w:tcBorders>
              <w:bottom w:val="nil"/>
            </w:tcBorders>
          </w:tcPr>
          <w:p w:rsidR="00000000" w:rsidRDefault="00000000">
            <w:pPr>
              <w:ind w:right="170"/>
              <w:jc w:val="right"/>
              <w:rPr>
                <w:sz w:val="20"/>
                <w:lang w:val="en-US"/>
              </w:rPr>
            </w:pPr>
            <w:r>
              <w:rPr>
                <w:sz w:val="20"/>
                <w:lang w:val="en-US"/>
              </w:rPr>
              <w:t>6 676</w:t>
            </w:r>
          </w:p>
        </w:tc>
      </w:tr>
      <w:tr w:rsidR="00000000">
        <w:tblPrEx>
          <w:tblCellMar>
            <w:top w:w="0" w:type="dxa"/>
            <w:bottom w:w="0" w:type="dxa"/>
          </w:tblCellMar>
        </w:tblPrEx>
        <w:tc>
          <w:tcPr>
            <w:tcW w:w="4395" w:type="dxa"/>
            <w:tcBorders>
              <w:top w:val="nil"/>
              <w:bottom w:val="nil"/>
            </w:tcBorders>
          </w:tcPr>
          <w:p w:rsidR="00000000" w:rsidRDefault="00000000">
            <w:pPr>
              <w:rPr>
                <w:sz w:val="20"/>
                <w:szCs w:val="18"/>
              </w:rPr>
            </w:pPr>
            <w:r>
              <w:rPr>
                <w:sz w:val="20"/>
                <w:szCs w:val="18"/>
              </w:rPr>
              <w:t>Число стоматологов</w:t>
            </w:r>
          </w:p>
        </w:tc>
        <w:tc>
          <w:tcPr>
            <w:tcW w:w="992" w:type="dxa"/>
            <w:tcBorders>
              <w:top w:val="nil"/>
              <w:bottom w:val="nil"/>
            </w:tcBorders>
          </w:tcPr>
          <w:p w:rsidR="00000000" w:rsidRDefault="00000000">
            <w:pPr>
              <w:ind w:right="170"/>
              <w:jc w:val="right"/>
              <w:rPr>
                <w:sz w:val="20"/>
                <w:lang w:val="en-US"/>
              </w:rPr>
            </w:pPr>
            <w:r>
              <w:rPr>
                <w:sz w:val="20"/>
                <w:lang w:val="en-US"/>
              </w:rPr>
              <w:t>368</w:t>
            </w:r>
          </w:p>
        </w:tc>
        <w:tc>
          <w:tcPr>
            <w:tcW w:w="1051" w:type="dxa"/>
            <w:tcBorders>
              <w:top w:val="nil"/>
              <w:bottom w:val="nil"/>
            </w:tcBorders>
          </w:tcPr>
          <w:p w:rsidR="00000000" w:rsidRDefault="00000000">
            <w:pPr>
              <w:ind w:right="170"/>
              <w:jc w:val="right"/>
              <w:rPr>
                <w:sz w:val="20"/>
                <w:lang w:val="en-US"/>
              </w:rPr>
            </w:pPr>
            <w:r>
              <w:rPr>
                <w:sz w:val="20"/>
                <w:lang w:val="en-US"/>
              </w:rPr>
              <w:t>420</w:t>
            </w:r>
          </w:p>
        </w:tc>
        <w:tc>
          <w:tcPr>
            <w:tcW w:w="933" w:type="dxa"/>
            <w:tcBorders>
              <w:top w:val="nil"/>
              <w:bottom w:val="nil"/>
            </w:tcBorders>
          </w:tcPr>
          <w:p w:rsidR="00000000" w:rsidRDefault="00000000">
            <w:pPr>
              <w:jc w:val="right"/>
              <w:rPr>
                <w:sz w:val="20"/>
                <w:lang w:val="en-US"/>
              </w:rPr>
            </w:pPr>
          </w:p>
        </w:tc>
        <w:tc>
          <w:tcPr>
            <w:tcW w:w="993" w:type="dxa"/>
            <w:tcBorders>
              <w:top w:val="nil"/>
              <w:bottom w:val="nil"/>
            </w:tcBorders>
          </w:tcPr>
          <w:p w:rsidR="00000000" w:rsidRDefault="00000000">
            <w:pPr>
              <w:jc w:val="right"/>
              <w:rPr>
                <w:sz w:val="20"/>
                <w:lang w:val="en-US"/>
              </w:rPr>
            </w:pPr>
            <w:r>
              <w:rPr>
                <w:sz w:val="20"/>
                <w:lang w:val="en-US"/>
              </w:rPr>
              <w:t>420</w:t>
            </w:r>
          </w:p>
        </w:tc>
        <w:tc>
          <w:tcPr>
            <w:tcW w:w="992" w:type="dxa"/>
            <w:tcBorders>
              <w:top w:val="nil"/>
              <w:bottom w:val="nil"/>
            </w:tcBorders>
          </w:tcPr>
          <w:p w:rsidR="00000000" w:rsidRDefault="00000000">
            <w:pPr>
              <w:ind w:right="170"/>
              <w:jc w:val="right"/>
              <w:rPr>
                <w:sz w:val="20"/>
                <w:lang w:val="en-US"/>
              </w:rPr>
            </w:pPr>
            <w:r>
              <w:rPr>
                <w:sz w:val="20"/>
                <w:lang w:val="en-US"/>
              </w:rPr>
              <w:t>420</w:t>
            </w:r>
          </w:p>
        </w:tc>
      </w:tr>
      <w:tr w:rsidR="00000000">
        <w:tblPrEx>
          <w:tblCellMar>
            <w:top w:w="0" w:type="dxa"/>
            <w:bottom w:w="0" w:type="dxa"/>
          </w:tblCellMar>
        </w:tblPrEx>
        <w:trPr>
          <w:trHeight w:val="383"/>
        </w:trPr>
        <w:tc>
          <w:tcPr>
            <w:tcW w:w="4395" w:type="dxa"/>
            <w:tcBorders>
              <w:top w:val="nil"/>
              <w:bottom w:val="nil"/>
            </w:tcBorders>
          </w:tcPr>
          <w:p w:rsidR="00000000" w:rsidRDefault="00000000">
            <w:pPr>
              <w:rPr>
                <w:sz w:val="20"/>
                <w:szCs w:val="18"/>
              </w:rPr>
            </w:pPr>
            <w:r>
              <w:rPr>
                <w:sz w:val="20"/>
                <w:szCs w:val="18"/>
              </w:rPr>
              <w:t>Число фармацевтов</w:t>
            </w:r>
          </w:p>
        </w:tc>
        <w:tc>
          <w:tcPr>
            <w:tcW w:w="992" w:type="dxa"/>
            <w:tcBorders>
              <w:top w:val="nil"/>
              <w:bottom w:val="nil"/>
            </w:tcBorders>
          </w:tcPr>
          <w:p w:rsidR="00000000" w:rsidRDefault="00000000">
            <w:pPr>
              <w:ind w:right="170"/>
              <w:jc w:val="right"/>
              <w:rPr>
                <w:sz w:val="20"/>
                <w:lang w:val="en-US"/>
              </w:rPr>
            </w:pPr>
            <w:r>
              <w:rPr>
                <w:sz w:val="20"/>
                <w:lang w:val="en-US"/>
              </w:rPr>
              <w:t>492</w:t>
            </w:r>
          </w:p>
        </w:tc>
        <w:tc>
          <w:tcPr>
            <w:tcW w:w="1051" w:type="dxa"/>
            <w:tcBorders>
              <w:top w:val="nil"/>
              <w:bottom w:val="nil"/>
            </w:tcBorders>
          </w:tcPr>
          <w:p w:rsidR="00000000" w:rsidRDefault="00000000">
            <w:pPr>
              <w:ind w:right="170"/>
              <w:jc w:val="right"/>
              <w:rPr>
                <w:sz w:val="20"/>
                <w:lang w:val="en-US"/>
              </w:rPr>
            </w:pPr>
            <w:r>
              <w:rPr>
                <w:sz w:val="20"/>
                <w:lang w:val="en-US"/>
              </w:rPr>
              <w:t>518</w:t>
            </w:r>
          </w:p>
        </w:tc>
        <w:tc>
          <w:tcPr>
            <w:tcW w:w="933" w:type="dxa"/>
            <w:tcBorders>
              <w:top w:val="nil"/>
              <w:bottom w:val="nil"/>
            </w:tcBorders>
          </w:tcPr>
          <w:p w:rsidR="00000000" w:rsidRDefault="00000000">
            <w:pPr>
              <w:ind w:right="170"/>
              <w:jc w:val="right"/>
              <w:rPr>
                <w:sz w:val="20"/>
                <w:lang w:val="en-US"/>
              </w:rPr>
            </w:pPr>
            <w:r>
              <w:rPr>
                <w:sz w:val="20"/>
                <w:lang w:val="en-US"/>
              </w:rPr>
              <w:t>509</w:t>
            </w:r>
          </w:p>
        </w:tc>
        <w:tc>
          <w:tcPr>
            <w:tcW w:w="993" w:type="dxa"/>
            <w:tcBorders>
              <w:top w:val="nil"/>
              <w:bottom w:val="nil"/>
            </w:tcBorders>
          </w:tcPr>
          <w:p w:rsidR="00000000" w:rsidRDefault="00000000">
            <w:pPr>
              <w:ind w:right="170"/>
              <w:jc w:val="right"/>
              <w:rPr>
                <w:sz w:val="20"/>
                <w:lang w:val="en-US"/>
              </w:rPr>
            </w:pPr>
            <w:r>
              <w:rPr>
                <w:sz w:val="20"/>
                <w:lang w:val="en-US"/>
              </w:rPr>
              <w:t>722</w:t>
            </w:r>
          </w:p>
        </w:tc>
        <w:tc>
          <w:tcPr>
            <w:tcW w:w="992" w:type="dxa"/>
            <w:tcBorders>
              <w:top w:val="nil"/>
              <w:bottom w:val="nil"/>
            </w:tcBorders>
          </w:tcPr>
          <w:p w:rsidR="00000000" w:rsidRDefault="00000000">
            <w:pPr>
              <w:ind w:right="170"/>
              <w:jc w:val="right"/>
              <w:rPr>
                <w:sz w:val="20"/>
                <w:lang w:val="en-US"/>
              </w:rPr>
            </w:pPr>
            <w:r>
              <w:rPr>
                <w:sz w:val="20"/>
                <w:lang w:val="en-US"/>
              </w:rPr>
              <w:t>722</w:t>
            </w:r>
          </w:p>
        </w:tc>
      </w:tr>
      <w:tr w:rsidR="00000000">
        <w:tblPrEx>
          <w:tblCellMar>
            <w:top w:w="0" w:type="dxa"/>
            <w:bottom w:w="0" w:type="dxa"/>
          </w:tblCellMar>
        </w:tblPrEx>
        <w:tc>
          <w:tcPr>
            <w:tcW w:w="4395" w:type="dxa"/>
            <w:tcBorders>
              <w:top w:val="nil"/>
              <w:bottom w:val="nil"/>
            </w:tcBorders>
          </w:tcPr>
          <w:p w:rsidR="00000000" w:rsidRDefault="00000000">
            <w:pPr>
              <w:rPr>
                <w:sz w:val="20"/>
                <w:szCs w:val="18"/>
              </w:rPr>
            </w:pPr>
            <w:r>
              <w:rPr>
                <w:sz w:val="20"/>
                <w:szCs w:val="18"/>
              </w:rPr>
              <w:t>Число медсестер</w:t>
            </w:r>
          </w:p>
        </w:tc>
        <w:tc>
          <w:tcPr>
            <w:tcW w:w="992" w:type="dxa"/>
            <w:tcBorders>
              <w:top w:val="nil"/>
              <w:bottom w:val="nil"/>
            </w:tcBorders>
          </w:tcPr>
          <w:p w:rsidR="00000000" w:rsidRDefault="00000000">
            <w:pPr>
              <w:ind w:right="170"/>
              <w:jc w:val="right"/>
              <w:rPr>
                <w:sz w:val="20"/>
                <w:lang w:val="en-US"/>
              </w:rPr>
            </w:pPr>
            <w:r>
              <w:rPr>
                <w:sz w:val="20"/>
                <w:lang w:val="en-US"/>
              </w:rPr>
              <w:t>22 289</w:t>
            </w:r>
          </w:p>
        </w:tc>
        <w:tc>
          <w:tcPr>
            <w:tcW w:w="1051" w:type="dxa"/>
            <w:tcBorders>
              <w:top w:val="nil"/>
              <w:bottom w:val="nil"/>
            </w:tcBorders>
          </w:tcPr>
          <w:p w:rsidR="00000000" w:rsidRDefault="00000000">
            <w:pPr>
              <w:ind w:right="170"/>
              <w:jc w:val="right"/>
              <w:rPr>
                <w:sz w:val="20"/>
                <w:lang w:val="en-US"/>
              </w:rPr>
            </w:pPr>
            <w:r>
              <w:rPr>
                <w:sz w:val="20"/>
                <w:lang w:val="en-US"/>
              </w:rPr>
              <w:t>22 951</w:t>
            </w:r>
          </w:p>
        </w:tc>
        <w:tc>
          <w:tcPr>
            <w:tcW w:w="933" w:type="dxa"/>
            <w:tcBorders>
              <w:top w:val="nil"/>
              <w:bottom w:val="nil"/>
            </w:tcBorders>
          </w:tcPr>
          <w:p w:rsidR="00000000" w:rsidRDefault="00000000">
            <w:pPr>
              <w:ind w:right="170"/>
              <w:jc w:val="right"/>
              <w:rPr>
                <w:sz w:val="20"/>
                <w:lang w:val="en-US"/>
              </w:rPr>
            </w:pPr>
            <w:r>
              <w:rPr>
                <w:sz w:val="20"/>
                <w:lang w:val="en-US"/>
              </w:rPr>
              <w:t>30 551</w:t>
            </w:r>
          </w:p>
        </w:tc>
        <w:tc>
          <w:tcPr>
            <w:tcW w:w="993" w:type="dxa"/>
            <w:tcBorders>
              <w:top w:val="nil"/>
              <w:bottom w:val="nil"/>
            </w:tcBorders>
          </w:tcPr>
          <w:p w:rsidR="00000000" w:rsidRDefault="00000000">
            <w:pPr>
              <w:ind w:right="170"/>
              <w:jc w:val="right"/>
              <w:rPr>
                <w:sz w:val="20"/>
                <w:lang w:val="en-US"/>
              </w:rPr>
            </w:pPr>
            <w:r>
              <w:rPr>
                <w:sz w:val="20"/>
                <w:lang w:val="en-US"/>
              </w:rPr>
              <w:t>22 951</w:t>
            </w:r>
          </w:p>
        </w:tc>
        <w:tc>
          <w:tcPr>
            <w:tcW w:w="992" w:type="dxa"/>
            <w:tcBorders>
              <w:top w:val="nil"/>
              <w:bottom w:val="nil"/>
            </w:tcBorders>
          </w:tcPr>
          <w:p w:rsidR="00000000" w:rsidRDefault="00000000">
            <w:pPr>
              <w:ind w:right="170"/>
              <w:jc w:val="right"/>
              <w:rPr>
                <w:sz w:val="20"/>
                <w:lang w:val="en-US"/>
              </w:rPr>
            </w:pPr>
            <w:r>
              <w:rPr>
                <w:sz w:val="20"/>
                <w:lang w:val="en-US"/>
              </w:rPr>
              <w:t>22 951</w:t>
            </w:r>
          </w:p>
        </w:tc>
      </w:tr>
      <w:tr w:rsidR="00000000">
        <w:tblPrEx>
          <w:tblCellMar>
            <w:top w:w="0" w:type="dxa"/>
            <w:bottom w:w="0" w:type="dxa"/>
          </w:tblCellMar>
        </w:tblPrEx>
        <w:tc>
          <w:tcPr>
            <w:tcW w:w="4395" w:type="dxa"/>
            <w:tcBorders>
              <w:top w:val="nil"/>
              <w:bottom w:val="nil"/>
            </w:tcBorders>
          </w:tcPr>
          <w:p w:rsidR="00000000" w:rsidRDefault="00000000">
            <w:pPr>
              <w:tabs>
                <w:tab w:val="left" w:pos="318"/>
              </w:tabs>
              <w:rPr>
                <w:sz w:val="20"/>
                <w:szCs w:val="18"/>
              </w:rPr>
            </w:pPr>
            <w:r>
              <w:rPr>
                <w:sz w:val="20"/>
                <w:szCs w:val="18"/>
              </w:rPr>
              <w:t>Численность младшего медицинского персонала</w:t>
            </w:r>
          </w:p>
        </w:tc>
        <w:tc>
          <w:tcPr>
            <w:tcW w:w="992" w:type="dxa"/>
            <w:tcBorders>
              <w:top w:val="nil"/>
              <w:bottom w:val="nil"/>
            </w:tcBorders>
          </w:tcPr>
          <w:p w:rsidR="00000000" w:rsidRDefault="00000000">
            <w:pPr>
              <w:ind w:right="170"/>
              <w:jc w:val="right"/>
              <w:rPr>
                <w:sz w:val="20"/>
              </w:rPr>
            </w:pPr>
            <w:r>
              <w:rPr>
                <w:sz w:val="20"/>
              </w:rPr>
              <w:t>6 633</w:t>
            </w:r>
          </w:p>
        </w:tc>
        <w:tc>
          <w:tcPr>
            <w:tcW w:w="1051" w:type="dxa"/>
            <w:tcBorders>
              <w:top w:val="nil"/>
              <w:bottom w:val="nil"/>
            </w:tcBorders>
          </w:tcPr>
          <w:p w:rsidR="00000000" w:rsidRDefault="00000000">
            <w:pPr>
              <w:ind w:right="170"/>
              <w:jc w:val="right"/>
              <w:rPr>
                <w:sz w:val="20"/>
                <w:lang w:val="en-US"/>
              </w:rPr>
            </w:pPr>
            <w:r>
              <w:rPr>
                <w:sz w:val="20"/>
                <w:lang w:val="en-US"/>
              </w:rPr>
              <w:t>6 815</w:t>
            </w:r>
          </w:p>
        </w:tc>
        <w:tc>
          <w:tcPr>
            <w:tcW w:w="933" w:type="dxa"/>
            <w:tcBorders>
              <w:top w:val="nil"/>
              <w:bottom w:val="nil"/>
            </w:tcBorders>
          </w:tcPr>
          <w:p w:rsidR="00000000" w:rsidRDefault="00000000">
            <w:pPr>
              <w:jc w:val="right"/>
              <w:rPr>
                <w:sz w:val="20"/>
                <w:lang w:val="en-US"/>
              </w:rPr>
            </w:pPr>
          </w:p>
        </w:tc>
        <w:tc>
          <w:tcPr>
            <w:tcW w:w="993" w:type="dxa"/>
            <w:tcBorders>
              <w:top w:val="nil"/>
              <w:bottom w:val="nil"/>
            </w:tcBorders>
          </w:tcPr>
          <w:p w:rsidR="00000000" w:rsidRDefault="00000000">
            <w:pPr>
              <w:ind w:right="170"/>
              <w:jc w:val="right"/>
              <w:rPr>
                <w:sz w:val="20"/>
                <w:lang w:val="en-US"/>
              </w:rPr>
            </w:pPr>
            <w:r>
              <w:rPr>
                <w:sz w:val="20"/>
                <w:lang w:val="en-US"/>
              </w:rPr>
              <w:t>6 815</w:t>
            </w:r>
          </w:p>
        </w:tc>
        <w:tc>
          <w:tcPr>
            <w:tcW w:w="992" w:type="dxa"/>
            <w:tcBorders>
              <w:top w:val="nil"/>
              <w:bottom w:val="nil"/>
            </w:tcBorders>
          </w:tcPr>
          <w:p w:rsidR="00000000" w:rsidRDefault="00000000">
            <w:pPr>
              <w:ind w:right="170"/>
              <w:jc w:val="right"/>
              <w:rPr>
                <w:sz w:val="20"/>
                <w:lang w:val="en-US"/>
              </w:rPr>
            </w:pPr>
            <w:r>
              <w:rPr>
                <w:sz w:val="20"/>
                <w:lang w:val="en-US"/>
              </w:rPr>
              <w:t>6 815</w:t>
            </w:r>
          </w:p>
        </w:tc>
      </w:tr>
      <w:tr w:rsidR="00000000">
        <w:tblPrEx>
          <w:tblCellMar>
            <w:top w:w="0" w:type="dxa"/>
            <w:bottom w:w="0" w:type="dxa"/>
          </w:tblCellMar>
        </w:tblPrEx>
        <w:tc>
          <w:tcPr>
            <w:tcW w:w="4395" w:type="dxa"/>
            <w:tcBorders>
              <w:top w:val="nil"/>
            </w:tcBorders>
          </w:tcPr>
          <w:p w:rsidR="00000000" w:rsidRDefault="00000000">
            <w:pPr>
              <w:rPr>
                <w:sz w:val="20"/>
                <w:szCs w:val="18"/>
              </w:rPr>
            </w:pPr>
            <w:r>
              <w:rPr>
                <w:sz w:val="20"/>
                <w:szCs w:val="18"/>
              </w:rPr>
              <w:t>Административные работники</w:t>
            </w:r>
          </w:p>
        </w:tc>
        <w:tc>
          <w:tcPr>
            <w:tcW w:w="992" w:type="dxa"/>
            <w:tcBorders>
              <w:top w:val="nil"/>
            </w:tcBorders>
          </w:tcPr>
          <w:p w:rsidR="00000000" w:rsidRDefault="00000000">
            <w:pPr>
              <w:ind w:right="170"/>
              <w:jc w:val="right"/>
              <w:rPr>
                <w:sz w:val="20"/>
                <w:lang w:val="en-US"/>
              </w:rPr>
            </w:pPr>
            <w:r>
              <w:rPr>
                <w:sz w:val="20"/>
                <w:lang w:val="en-US"/>
              </w:rPr>
              <w:t>22 319</w:t>
            </w:r>
          </w:p>
        </w:tc>
        <w:tc>
          <w:tcPr>
            <w:tcW w:w="1051" w:type="dxa"/>
            <w:tcBorders>
              <w:top w:val="nil"/>
            </w:tcBorders>
          </w:tcPr>
          <w:p w:rsidR="00000000" w:rsidRDefault="00000000">
            <w:pPr>
              <w:ind w:right="170"/>
              <w:jc w:val="right"/>
              <w:rPr>
                <w:sz w:val="20"/>
                <w:lang w:val="en-US"/>
              </w:rPr>
            </w:pPr>
            <w:r>
              <w:rPr>
                <w:sz w:val="20"/>
                <w:lang w:val="en-US"/>
              </w:rPr>
              <w:t>63 656</w:t>
            </w:r>
          </w:p>
        </w:tc>
        <w:tc>
          <w:tcPr>
            <w:tcW w:w="933" w:type="dxa"/>
            <w:tcBorders>
              <w:top w:val="nil"/>
            </w:tcBorders>
          </w:tcPr>
          <w:p w:rsidR="00000000" w:rsidRDefault="00000000">
            <w:pPr>
              <w:ind w:right="170"/>
              <w:jc w:val="right"/>
              <w:rPr>
                <w:sz w:val="20"/>
                <w:lang w:val="en-US"/>
              </w:rPr>
            </w:pPr>
            <w:r>
              <w:rPr>
                <w:sz w:val="20"/>
                <w:lang w:val="en-US"/>
              </w:rPr>
              <w:t>64 722</w:t>
            </w:r>
          </w:p>
        </w:tc>
        <w:tc>
          <w:tcPr>
            <w:tcW w:w="993" w:type="dxa"/>
            <w:tcBorders>
              <w:top w:val="nil"/>
            </w:tcBorders>
          </w:tcPr>
          <w:p w:rsidR="00000000" w:rsidRDefault="00000000">
            <w:pPr>
              <w:ind w:right="170"/>
              <w:jc w:val="right"/>
              <w:rPr>
                <w:sz w:val="20"/>
                <w:lang w:val="en-US"/>
              </w:rPr>
            </w:pPr>
            <w:r>
              <w:rPr>
                <w:sz w:val="20"/>
                <w:lang w:val="en-US"/>
              </w:rPr>
              <w:t>63 860</w:t>
            </w:r>
          </w:p>
        </w:tc>
        <w:tc>
          <w:tcPr>
            <w:tcW w:w="992" w:type="dxa"/>
            <w:tcBorders>
              <w:top w:val="nil"/>
            </w:tcBorders>
          </w:tcPr>
          <w:p w:rsidR="00000000" w:rsidRDefault="00000000">
            <w:pPr>
              <w:ind w:right="170"/>
              <w:jc w:val="right"/>
              <w:rPr>
                <w:sz w:val="20"/>
                <w:lang w:val="en-US"/>
              </w:rPr>
            </w:pPr>
            <w:r>
              <w:rPr>
                <w:sz w:val="20"/>
                <w:lang w:val="en-US"/>
              </w:rPr>
              <w:t>63 830</w:t>
            </w:r>
          </w:p>
        </w:tc>
      </w:tr>
    </w:tbl>
    <w:p w:rsidR="00000000" w:rsidRDefault="00000000">
      <w:pPr>
        <w:pStyle w:val="Heading2"/>
        <w:rPr>
          <w:lang w:val="en-US"/>
        </w:rPr>
      </w:pPr>
    </w:p>
    <w:p w:rsidR="00000000" w:rsidRDefault="00000000">
      <w:pPr>
        <w:pStyle w:val="Heading2"/>
        <w:jc w:val="center"/>
        <w:rPr>
          <w:b/>
          <w:bCs/>
          <w:u w:val="none"/>
        </w:rPr>
      </w:pPr>
      <w:r>
        <w:rPr>
          <w:b/>
          <w:bCs/>
          <w:u w:val="none"/>
        </w:rPr>
        <w:t>Статистические данные по больницам за 1996-2001 годы</w:t>
      </w:r>
    </w:p>
    <w:p w:rsidR="00000000" w:rsidRDefault="00000000">
      <w:pPr>
        <w:keepNext/>
      </w:pP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49"/>
        <w:gridCol w:w="1071"/>
        <w:gridCol w:w="1079"/>
        <w:gridCol w:w="1219"/>
        <w:gridCol w:w="994"/>
        <w:gridCol w:w="1190"/>
        <w:gridCol w:w="993"/>
        <w:gridCol w:w="1175"/>
        <w:gridCol w:w="1006"/>
        <w:gridCol w:w="11"/>
      </w:tblGrid>
      <w:tr w:rsidR="00000000">
        <w:tblPrEx>
          <w:tblCellMar>
            <w:top w:w="0" w:type="dxa"/>
            <w:bottom w:w="0" w:type="dxa"/>
          </w:tblCellMar>
        </w:tblPrEx>
        <w:trPr>
          <w:cantSplit/>
        </w:trPr>
        <w:tc>
          <w:tcPr>
            <w:tcW w:w="345" w:type="pct"/>
          </w:tcPr>
          <w:p w:rsidR="00000000" w:rsidRDefault="00000000">
            <w:pPr>
              <w:keepNext/>
              <w:jc w:val="center"/>
              <w:rPr>
                <w:sz w:val="18"/>
              </w:rPr>
            </w:pPr>
            <w:r>
              <w:rPr>
                <w:sz w:val="18"/>
              </w:rPr>
              <w:t>Год</w:t>
            </w:r>
          </w:p>
        </w:tc>
        <w:tc>
          <w:tcPr>
            <w:tcW w:w="570" w:type="pct"/>
          </w:tcPr>
          <w:p w:rsidR="00000000" w:rsidRDefault="00000000">
            <w:pPr>
              <w:keepNext/>
              <w:jc w:val="center"/>
              <w:rPr>
                <w:sz w:val="18"/>
              </w:rPr>
            </w:pPr>
            <w:r>
              <w:rPr>
                <w:sz w:val="18"/>
              </w:rPr>
              <w:t>Количество коек</w:t>
            </w:r>
          </w:p>
        </w:tc>
        <w:tc>
          <w:tcPr>
            <w:tcW w:w="574" w:type="pct"/>
          </w:tcPr>
          <w:p w:rsidR="00000000" w:rsidRDefault="00000000">
            <w:pPr>
              <w:keepNext/>
              <w:jc w:val="center"/>
              <w:rPr>
                <w:sz w:val="18"/>
              </w:rPr>
            </w:pPr>
            <w:r>
              <w:rPr>
                <w:sz w:val="18"/>
              </w:rPr>
              <w:t>Количество принятых больных</w:t>
            </w:r>
          </w:p>
        </w:tc>
        <w:tc>
          <w:tcPr>
            <w:tcW w:w="649" w:type="pct"/>
          </w:tcPr>
          <w:p w:rsidR="00000000" w:rsidRDefault="00000000">
            <w:pPr>
              <w:keepNext/>
              <w:jc w:val="center"/>
              <w:rPr>
                <w:sz w:val="18"/>
              </w:rPr>
            </w:pPr>
            <w:r>
              <w:rPr>
                <w:sz w:val="18"/>
              </w:rPr>
              <w:t>Количество хирургических операций</w:t>
            </w:r>
          </w:p>
        </w:tc>
        <w:tc>
          <w:tcPr>
            <w:tcW w:w="529" w:type="pct"/>
          </w:tcPr>
          <w:p w:rsidR="00000000" w:rsidRDefault="00000000">
            <w:pPr>
              <w:keepNext/>
              <w:jc w:val="center"/>
              <w:rPr>
                <w:sz w:val="18"/>
              </w:rPr>
            </w:pPr>
            <w:r>
              <w:rPr>
                <w:sz w:val="18"/>
              </w:rPr>
              <w:t>Количество родов</w:t>
            </w:r>
          </w:p>
        </w:tc>
        <w:tc>
          <w:tcPr>
            <w:tcW w:w="634" w:type="pct"/>
          </w:tcPr>
          <w:p w:rsidR="00000000" w:rsidRDefault="00000000">
            <w:pPr>
              <w:keepNext/>
              <w:jc w:val="center"/>
              <w:rPr>
                <w:sz w:val="18"/>
              </w:rPr>
            </w:pPr>
            <w:r>
              <w:rPr>
                <w:sz w:val="18"/>
              </w:rPr>
              <w:t>Количество рентгеновских обследований</w:t>
            </w:r>
          </w:p>
        </w:tc>
        <w:tc>
          <w:tcPr>
            <w:tcW w:w="529" w:type="pct"/>
          </w:tcPr>
          <w:p w:rsidR="00000000" w:rsidRDefault="00000000">
            <w:pPr>
              <w:keepNext/>
              <w:jc w:val="center"/>
              <w:rPr>
                <w:sz w:val="18"/>
              </w:rPr>
            </w:pPr>
            <w:r>
              <w:rPr>
                <w:sz w:val="18"/>
              </w:rPr>
              <w:t>Количество анализов крови</w:t>
            </w:r>
          </w:p>
        </w:tc>
        <w:tc>
          <w:tcPr>
            <w:tcW w:w="626" w:type="pct"/>
          </w:tcPr>
          <w:p w:rsidR="00000000" w:rsidRDefault="00000000">
            <w:pPr>
              <w:keepNext/>
              <w:ind w:left="-57"/>
              <w:jc w:val="center"/>
              <w:rPr>
                <w:sz w:val="18"/>
              </w:rPr>
            </w:pPr>
            <w:r>
              <w:rPr>
                <w:sz w:val="18"/>
              </w:rPr>
              <w:t>Количество медицинских обследований</w:t>
            </w:r>
          </w:p>
        </w:tc>
        <w:tc>
          <w:tcPr>
            <w:tcW w:w="542" w:type="pct"/>
            <w:gridSpan w:val="2"/>
          </w:tcPr>
          <w:p w:rsidR="00000000" w:rsidRDefault="00000000">
            <w:pPr>
              <w:keepNext/>
              <w:jc w:val="center"/>
              <w:rPr>
                <w:sz w:val="18"/>
              </w:rPr>
            </w:pPr>
            <w:r>
              <w:rPr>
                <w:sz w:val="18"/>
              </w:rPr>
              <w:t>Количество умерших</w:t>
            </w:r>
          </w:p>
        </w:tc>
      </w:tr>
      <w:tr w:rsidR="00000000">
        <w:tblPrEx>
          <w:tblCellMar>
            <w:top w:w="0" w:type="dxa"/>
            <w:bottom w:w="0" w:type="dxa"/>
          </w:tblCellMar>
        </w:tblPrEx>
        <w:trPr>
          <w:gridAfter w:val="1"/>
          <w:wAfter w:w="6" w:type="pct"/>
        </w:trPr>
        <w:tc>
          <w:tcPr>
            <w:tcW w:w="345" w:type="pct"/>
            <w:tcBorders>
              <w:bottom w:val="nil"/>
            </w:tcBorders>
          </w:tcPr>
          <w:p w:rsidR="00000000" w:rsidRDefault="00000000">
            <w:pPr>
              <w:pStyle w:val="Header"/>
              <w:rPr>
                <w:sz w:val="20"/>
                <w:lang w:val="en-US"/>
              </w:rPr>
            </w:pPr>
            <w:r>
              <w:rPr>
                <w:sz w:val="20"/>
                <w:lang w:val="en-US"/>
              </w:rPr>
              <w:t>1996</w:t>
            </w:r>
          </w:p>
        </w:tc>
        <w:tc>
          <w:tcPr>
            <w:tcW w:w="570" w:type="pct"/>
            <w:tcBorders>
              <w:bottom w:val="nil"/>
            </w:tcBorders>
          </w:tcPr>
          <w:p w:rsidR="00000000" w:rsidRDefault="00000000">
            <w:pPr>
              <w:jc w:val="center"/>
              <w:rPr>
                <w:sz w:val="20"/>
                <w:lang w:val="en-US"/>
              </w:rPr>
            </w:pPr>
            <w:r>
              <w:rPr>
                <w:sz w:val="20"/>
                <w:lang w:val="en-US"/>
              </w:rPr>
              <w:t>20 897</w:t>
            </w:r>
          </w:p>
        </w:tc>
        <w:tc>
          <w:tcPr>
            <w:tcW w:w="574" w:type="pct"/>
            <w:tcBorders>
              <w:bottom w:val="nil"/>
            </w:tcBorders>
          </w:tcPr>
          <w:p w:rsidR="00000000" w:rsidRDefault="00000000">
            <w:pPr>
              <w:tabs>
                <w:tab w:val="clear" w:pos="567"/>
              </w:tabs>
              <w:ind w:right="113"/>
              <w:jc w:val="center"/>
              <w:rPr>
                <w:sz w:val="20"/>
                <w:lang w:val="en-US"/>
              </w:rPr>
            </w:pPr>
            <w:r>
              <w:rPr>
                <w:sz w:val="20"/>
                <w:lang w:val="en-US"/>
              </w:rPr>
              <w:t>432 287</w:t>
            </w:r>
          </w:p>
        </w:tc>
        <w:tc>
          <w:tcPr>
            <w:tcW w:w="649" w:type="pct"/>
            <w:tcBorders>
              <w:bottom w:val="nil"/>
            </w:tcBorders>
          </w:tcPr>
          <w:p w:rsidR="00000000" w:rsidRDefault="00000000">
            <w:pPr>
              <w:tabs>
                <w:tab w:val="clear" w:pos="567"/>
              </w:tabs>
              <w:ind w:right="113"/>
              <w:jc w:val="center"/>
              <w:rPr>
                <w:sz w:val="20"/>
                <w:lang w:val="en-US"/>
              </w:rPr>
            </w:pPr>
            <w:r>
              <w:rPr>
                <w:sz w:val="20"/>
                <w:lang w:val="en-US"/>
              </w:rPr>
              <w:t>92 728</w:t>
            </w:r>
          </w:p>
        </w:tc>
        <w:tc>
          <w:tcPr>
            <w:tcW w:w="529" w:type="pct"/>
            <w:tcBorders>
              <w:bottom w:val="nil"/>
            </w:tcBorders>
          </w:tcPr>
          <w:p w:rsidR="00000000" w:rsidRDefault="00000000">
            <w:pPr>
              <w:jc w:val="right"/>
              <w:rPr>
                <w:sz w:val="20"/>
                <w:lang w:val="en-US"/>
              </w:rPr>
            </w:pPr>
            <w:r>
              <w:rPr>
                <w:sz w:val="20"/>
                <w:lang w:val="en-US"/>
              </w:rPr>
              <w:t>1 023 202</w:t>
            </w:r>
          </w:p>
        </w:tc>
        <w:tc>
          <w:tcPr>
            <w:tcW w:w="634" w:type="pct"/>
            <w:tcBorders>
              <w:bottom w:val="nil"/>
            </w:tcBorders>
          </w:tcPr>
          <w:p w:rsidR="00000000" w:rsidRDefault="00000000">
            <w:pPr>
              <w:tabs>
                <w:tab w:val="clear" w:pos="567"/>
              </w:tabs>
              <w:ind w:right="113"/>
              <w:jc w:val="center"/>
              <w:rPr>
                <w:sz w:val="20"/>
                <w:lang w:val="en-US"/>
              </w:rPr>
            </w:pPr>
            <w:r>
              <w:rPr>
                <w:sz w:val="20"/>
                <w:lang w:val="en-US"/>
              </w:rPr>
              <w:t>1 278 629</w:t>
            </w:r>
          </w:p>
        </w:tc>
        <w:tc>
          <w:tcPr>
            <w:tcW w:w="529" w:type="pct"/>
            <w:tcBorders>
              <w:bottom w:val="nil"/>
            </w:tcBorders>
          </w:tcPr>
          <w:p w:rsidR="00000000" w:rsidRDefault="00000000">
            <w:pPr>
              <w:ind w:right="117"/>
              <w:jc w:val="right"/>
              <w:rPr>
                <w:sz w:val="20"/>
                <w:lang w:val="en-US"/>
              </w:rPr>
            </w:pPr>
            <w:r>
              <w:rPr>
                <w:sz w:val="20"/>
                <w:lang w:val="en-US"/>
              </w:rPr>
              <w:t>7 202 088</w:t>
            </w:r>
          </w:p>
        </w:tc>
        <w:tc>
          <w:tcPr>
            <w:tcW w:w="626" w:type="pct"/>
            <w:tcBorders>
              <w:bottom w:val="nil"/>
            </w:tcBorders>
          </w:tcPr>
          <w:p w:rsidR="00000000" w:rsidRDefault="00000000">
            <w:pPr>
              <w:tabs>
                <w:tab w:val="clear" w:pos="567"/>
                <w:tab w:val="clear" w:pos="1134"/>
                <w:tab w:val="left" w:pos="885"/>
              </w:tabs>
              <w:ind w:right="299"/>
              <w:jc w:val="right"/>
              <w:rPr>
                <w:sz w:val="20"/>
                <w:lang w:val="en-US"/>
              </w:rPr>
            </w:pPr>
            <w:r>
              <w:rPr>
                <w:sz w:val="20"/>
                <w:lang w:val="en-US"/>
              </w:rPr>
              <w:t>419 664</w:t>
            </w:r>
          </w:p>
        </w:tc>
        <w:tc>
          <w:tcPr>
            <w:tcW w:w="536" w:type="pct"/>
            <w:tcBorders>
              <w:bottom w:val="nil"/>
            </w:tcBorders>
          </w:tcPr>
          <w:p w:rsidR="00000000" w:rsidRDefault="00000000">
            <w:pPr>
              <w:tabs>
                <w:tab w:val="clear" w:pos="567"/>
              </w:tabs>
              <w:ind w:right="248"/>
              <w:jc w:val="right"/>
              <w:rPr>
                <w:sz w:val="20"/>
                <w:lang w:val="en-US"/>
              </w:rPr>
            </w:pPr>
            <w:r>
              <w:rPr>
                <w:sz w:val="20"/>
                <w:lang w:val="en-US"/>
              </w:rPr>
              <w:t>7 994</w:t>
            </w:r>
          </w:p>
        </w:tc>
      </w:tr>
      <w:tr w:rsidR="00000000">
        <w:tblPrEx>
          <w:tblCellMar>
            <w:top w:w="0" w:type="dxa"/>
            <w:bottom w:w="0" w:type="dxa"/>
          </w:tblCellMar>
        </w:tblPrEx>
        <w:trPr>
          <w:gridAfter w:val="1"/>
          <w:wAfter w:w="6" w:type="pct"/>
        </w:trPr>
        <w:tc>
          <w:tcPr>
            <w:tcW w:w="345" w:type="pct"/>
            <w:tcBorders>
              <w:top w:val="nil"/>
              <w:bottom w:val="nil"/>
            </w:tcBorders>
          </w:tcPr>
          <w:p w:rsidR="00000000" w:rsidRDefault="00000000">
            <w:pPr>
              <w:rPr>
                <w:sz w:val="20"/>
                <w:lang w:val="en-US"/>
              </w:rPr>
            </w:pPr>
            <w:r>
              <w:rPr>
                <w:sz w:val="20"/>
                <w:lang w:val="en-US"/>
              </w:rPr>
              <w:t>1997</w:t>
            </w:r>
          </w:p>
        </w:tc>
        <w:tc>
          <w:tcPr>
            <w:tcW w:w="570" w:type="pct"/>
            <w:tcBorders>
              <w:top w:val="nil"/>
              <w:bottom w:val="nil"/>
            </w:tcBorders>
          </w:tcPr>
          <w:p w:rsidR="00000000" w:rsidRDefault="00000000">
            <w:pPr>
              <w:jc w:val="center"/>
              <w:rPr>
                <w:sz w:val="20"/>
                <w:lang w:val="en-US"/>
              </w:rPr>
            </w:pPr>
            <w:r>
              <w:rPr>
                <w:sz w:val="20"/>
                <w:lang w:val="en-US"/>
              </w:rPr>
              <w:t>20 926</w:t>
            </w:r>
          </w:p>
        </w:tc>
        <w:tc>
          <w:tcPr>
            <w:tcW w:w="574" w:type="pct"/>
            <w:tcBorders>
              <w:top w:val="nil"/>
              <w:bottom w:val="nil"/>
            </w:tcBorders>
          </w:tcPr>
          <w:p w:rsidR="00000000" w:rsidRDefault="00000000">
            <w:pPr>
              <w:tabs>
                <w:tab w:val="clear" w:pos="567"/>
              </w:tabs>
              <w:ind w:right="113"/>
              <w:jc w:val="center"/>
              <w:rPr>
                <w:sz w:val="20"/>
                <w:lang w:val="en-US"/>
              </w:rPr>
            </w:pPr>
            <w:r>
              <w:rPr>
                <w:sz w:val="20"/>
                <w:lang w:val="en-US"/>
              </w:rPr>
              <w:t>413 802</w:t>
            </w:r>
          </w:p>
        </w:tc>
        <w:tc>
          <w:tcPr>
            <w:tcW w:w="649" w:type="pct"/>
            <w:tcBorders>
              <w:top w:val="nil"/>
              <w:bottom w:val="nil"/>
            </w:tcBorders>
          </w:tcPr>
          <w:p w:rsidR="00000000" w:rsidRDefault="00000000">
            <w:pPr>
              <w:tabs>
                <w:tab w:val="clear" w:pos="567"/>
              </w:tabs>
              <w:ind w:right="113"/>
              <w:jc w:val="center"/>
              <w:rPr>
                <w:sz w:val="20"/>
                <w:lang w:val="en-US"/>
              </w:rPr>
            </w:pPr>
            <w:r>
              <w:rPr>
                <w:sz w:val="20"/>
                <w:lang w:val="en-US"/>
              </w:rPr>
              <w:t>108 716</w:t>
            </w:r>
          </w:p>
        </w:tc>
        <w:tc>
          <w:tcPr>
            <w:tcW w:w="529" w:type="pct"/>
            <w:tcBorders>
              <w:top w:val="nil"/>
              <w:bottom w:val="nil"/>
            </w:tcBorders>
          </w:tcPr>
          <w:p w:rsidR="00000000" w:rsidRDefault="00000000">
            <w:pPr>
              <w:jc w:val="right"/>
              <w:rPr>
                <w:sz w:val="20"/>
                <w:lang w:val="en-US"/>
              </w:rPr>
            </w:pPr>
            <w:r>
              <w:rPr>
                <w:sz w:val="20"/>
                <w:lang w:val="en-US"/>
              </w:rPr>
              <w:t>99 079</w:t>
            </w:r>
          </w:p>
        </w:tc>
        <w:tc>
          <w:tcPr>
            <w:tcW w:w="634" w:type="pct"/>
            <w:tcBorders>
              <w:top w:val="nil"/>
              <w:bottom w:val="nil"/>
            </w:tcBorders>
          </w:tcPr>
          <w:p w:rsidR="00000000" w:rsidRDefault="00000000">
            <w:pPr>
              <w:tabs>
                <w:tab w:val="clear" w:pos="567"/>
              </w:tabs>
              <w:ind w:right="113"/>
              <w:jc w:val="center"/>
              <w:rPr>
                <w:sz w:val="20"/>
                <w:lang w:val="en-US"/>
              </w:rPr>
            </w:pPr>
            <w:r>
              <w:rPr>
                <w:sz w:val="20"/>
                <w:lang w:val="en-US"/>
              </w:rPr>
              <w:t>1 201 166</w:t>
            </w:r>
          </w:p>
        </w:tc>
        <w:tc>
          <w:tcPr>
            <w:tcW w:w="529" w:type="pct"/>
            <w:tcBorders>
              <w:top w:val="nil"/>
              <w:bottom w:val="nil"/>
            </w:tcBorders>
          </w:tcPr>
          <w:p w:rsidR="00000000" w:rsidRDefault="00000000">
            <w:pPr>
              <w:ind w:right="117"/>
              <w:jc w:val="right"/>
              <w:rPr>
                <w:sz w:val="20"/>
                <w:lang w:val="en-US"/>
              </w:rPr>
            </w:pPr>
            <w:r>
              <w:rPr>
                <w:sz w:val="20"/>
                <w:lang w:val="en-US"/>
              </w:rPr>
              <w:t>7 369 294</w:t>
            </w:r>
          </w:p>
        </w:tc>
        <w:tc>
          <w:tcPr>
            <w:tcW w:w="626" w:type="pct"/>
            <w:tcBorders>
              <w:top w:val="nil"/>
              <w:bottom w:val="nil"/>
            </w:tcBorders>
          </w:tcPr>
          <w:p w:rsidR="00000000" w:rsidRDefault="00000000">
            <w:pPr>
              <w:tabs>
                <w:tab w:val="clear" w:pos="567"/>
                <w:tab w:val="clear" w:pos="1134"/>
                <w:tab w:val="left" w:pos="885"/>
              </w:tabs>
              <w:ind w:right="299"/>
              <w:jc w:val="right"/>
              <w:rPr>
                <w:sz w:val="20"/>
                <w:lang w:val="en-US"/>
              </w:rPr>
            </w:pPr>
            <w:r>
              <w:rPr>
                <w:sz w:val="20"/>
                <w:lang w:val="en-US"/>
              </w:rPr>
              <w:t>468 722</w:t>
            </w:r>
          </w:p>
        </w:tc>
        <w:tc>
          <w:tcPr>
            <w:tcW w:w="536" w:type="pct"/>
            <w:tcBorders>
              <w:top w:val="nil"/>
              <w:bottom w:val="nil"/>
            </w:tcBorders>
          </w:tcPr>
          <w:p w:rsidR="00000000" w:rsidRDefault="00000000">
            <w:pPr>
              <w:tabs>
                <w:tab w:val="clear" w:pos="567"/>
              </w:tabs>
              <w:ind w:right="248"/>
              <w:jc w:val="right"/>
              <w:rPr>
                <w:sz w:val="20"/>
                <w:lang w:val="en-US"/>
              </w:rPr>
            </w:pPr>
            <w:r>
              <w:rPr>
                <w:sz w:val="20"/>
                <w:lang w:val="en-US"/>
              </w:rPr>
              <w:t>7 716</w:t>
            </w:r>
          </w:p>
        </w:tc>
      </w:tr>
      <w:tr w:rsidR="00000000">
        <w:tblPrEx>
          <w:tblCellMar>
            <w:top w:w="0" w:type="dxa"/>
            <w:bottom w:w="0" w:type="dxa"/>
          </w:tblCellMar>
        </w:tblPrEx>
        <w:trPr>
          <w:gridAfter w:val="1"/>
          <w:wAfter w:w="6" w:type="pct"/>
        </w:trPr>
        <w:tc>
          <w:tcPr>
            <w:tcW w:w="345" w:type="pct"/>
            <w:tcBorders>
              <w:top w:val="nil"/>
              <w:bottom w:val="nil"/>
            </w:tcBorders>
          </w:tcPr>
          <w:p w:rsidR="00000000" w:rsidRDefault="00000000">
            <w:pPr>
              <w:rPr>
                <w:sz w:val="20"/>
                <w:lang w:val="en-US"/>
              </w:rPr>
            </w:pPr>
            <w:r>
              <w:rPr>
                <w:sz w:val="20"/>
                <w:lang w:val="en-US"/>
              </w:rPr>
              <w:t>1998</w:t>
            </w:r>
          </w:p>
        </w:tc>
        <w:tc>
          <w:tcPr>
            <w:tcW w:w="570" w:type="pct"/>
            <w:tcBorders>
              <w:top w:val="nil"/>
              <w:bottom w:val="nil"/>
            </w:tcBorders>
          </w:tcPr>
          <w:p w:rsidR="00000000" w:rsidRDefault="00000000">
            <w:pPr>
              <w:jc w:val="center"/>
              <w:rPr>
                <w:sz w:val="20"/>
                <w:lang w:val="en-US"/>
              </w:rPr>
            </w:pPr>
            <w:r>
              <w:rPr>
                <w:sz w:val="20"/>
                <w:lang w:val="en-US"/>
              </w:rPr>
              <w:t>20 325</w:t>
            </w:r>
          </w:p>
        </w:tc>
        <w:tc>
          <w:tcPr>
            <w:tcW w:w="574" w:type="pct"/>
            <w:tcBorders>
              <w:top w:val="nil"/>
              <w:bottom w:val="nil"/>
            </w:tcBorders>
          </w:tcPr>
          <w:p w:rsidR="00000000" w:rsidRDefault="00000000">
            <w:pPr>
              <w:tabs>
                <w:tab w:val="clear" w:pos="567"/>
              </w:tabs>
              <w:ind w:right="113"/>
              <w:jc w:val="center"/>
              <w:rPr>
                <w:sz w:val="20"/>
                <w:lang w:val="en-US"/>
              </w:rPr>
            </w:pPr>
            <w:r>
              <w:rPr>
                <w:sz w:val="20"/>
                <w:lang w:val="en-US"/>
              </w:rPr>
              <w:t>405 315</w:t>
            </w:r>
          </w:p>
        </w:tc>
        <w:tc>
          <w:tcPr>
            <w:tcW w:w="649" w:type="pct"/>
            <w:tcBorders>
              <w:top w:val="nil"/>
              <w:bottom w:val="nil"/>
            </w:tcBorders>
          </w:tcPr>
          <w:p w:rsidR="00000000" w:rsidRDefault="00000000">
            <w:pPr>
              <w:tabs>
                <w:tab w:val="clear" w:pos="567"/>
              </w:tabs>
              <w:ind w:right="113"/>
              <w:jc w:val="center"/>
              <w:rPr>
                <w:sz w:val="20"/>
                <w:lang w:val="en-US"/>
              </w:rPr>
            </w:pPr>
            <w:r>
              <w:rPr>
                <w:sz w:val="20"/>
                <w:lang w:val="en-US"/>
              </w:rPr>
              <w:t>11 886</w:t>
            </w:r>
          </w:p>
        </w:tc>
        <w:tc>
          <w:tcPr>
            <w:tcW w:w="529" w:type="pct"/>
            <w:tcBorders>
              <w:top w:val="nil"/>
              <w:bottom w:val="nil"/>
            </w:tcBorders>
          </w:tcPr>
          <w:p w:rsidR="00000000" w:rsidRDefault="00000000">
            <w:pPr>
              <w:jc w:val="right"/>
              <w:rPr>
                <w:sz w:val="20"/>
                <w:lang w:val="en-US"/>
              </w:rPr>
            </w:pPr>
            <w:r>
              <w:rPr>
                <w:sz w:val="20"/>
                <w:lang w:val="en-US"/>
              </w:rPr>
              <w:t>94 878</w:t>
            </w:r>
          </w:p>
        </w:tc>
        <w:tc>
          <w:tcPr>
            <w:tcW w:w="634" w:type="pct"/>
            <w:tcBorders>
              <w:top w:val="nil"/>
              <w:bottom w:val="nil"/>
            </w:tcBorders>
          </w:tcPr>
          <w:p w:rsidR="00000000" w:rsidRDefault="00000000">
            <w:pPr>
              <w:tabs>
                <w:tab w:val="clear" w:pos="567"/>
              </w:tabs>
              <w:ind w:right="113"/>
              <w:jc w:val="center"/>
              <w:rPr>
                <w:sz w:val="20"/>
                <w:lang w:val="en-US"/>
              </w:rPr>
            </w:pPr>
            <w:r>
              <w:rPr>
                <w:sz w:val="20"/>
                <w:lang w:val="en-US"/>
              </w:rPr>
              <w:t>1 573 575</w:t>
            </w:r>
          </w:p>
        </w:tc>
        <w:tc>
          <w:tcPr>
            <w:tcW w:w="529" w:type="pct"/>
            <w:tcBorders>
              <w:top w:val="nil"/>
              <w:bottom w:val="nil"/>
            </w:tcBorders>
          </w:tcPr>
          <w:p w:rsidR="00000000" w:rsidRDefault="00000000">
            <w:pPr>
              <w:ind w:right="117"/>
              <w:jc w:val="right"/>
              <w:rPr>
                <w:sz w:val="20"/>
                <w:lang w:val="en-US"/>
              </w:rPr>
            </w:pPr>
            <w:r>
              <w:rPr>
                <w:sz w:val="20"/>
                <w:lang w:val="en-US"/>
              </w:rPr>
              <w:t>8 002 425</w:t>
            </w:r>
          </w:p>
        </w:tc>
        <w:tc>
          <w:tcPr>
            <w:tcW w:w="626" w:type="pct"/>
            <w:tcBorders>
              <w:top w:val="nil"/>
              <w:bottom w:val="nil"/>
            </w:tcBorders>
          </w:tcPr>
          <w:p w:rsidR="00000000" w:rsidRDefault="00000000">
            <w:pPr>
              <w:tabs>
                <w:tab w:val="clear" w:pos="567"/>
                <w:tab w:val="clear" w:pos="1134"/>
                <w:tab w:val="left" w:pos="885"/>
              </w:tabs>
              <w:ind w:right="299"/>
              <w:jc w:val="right"/>
              <w:rPr>
                <w:sz w:val="20"/>
                <w:lang w:val="en-US"/>
              </w:rPr>
            </w:pPr>
            <w:r>
              <w:rPr>
                <w:sz w:val="20"/>
                <w:lang w:val="en-US"/>
              </w:rPr>
              <w:t>556 603</w:t>
            </w:r>
          </w:p>
        </w:tc>
        <w:tc>
          <w:tcPr>
            <w:tcW w:w="536" w:type="pct"/>
            <w:tcBorders>
              <w:top w:val="nil"/>
              <w:bottom w:val="nil"/>
            </w:tcBorders>
          </w:tcPr>
          <w:p w:rsidR="00000000" w:rsidRDefault="00000000">
            <w:pPr>
              <w:tabs>
                <w:tab w:val="clear" w:pos="567"/>
              </w:tabs>
              <w:ind w:right="248"/>
              <w:jc w:val="right"/>
              <w:rPr>
                <w:sz w:val="20"/>
                <w:lang w:val="en-US"/>
              </w:rPr>
            </w:pPr>
            <w:r>
              <w:rPr>
                <w:sz w:val="20"/>
                <w:lang w:val="en-US"/>
              </w:rPr>
              <w:t>8 212</w:t>
            </w:r>
          </w:p>
        </w:tc>
      </w:tr>
      <w:tr w:rsidR="00000000">
        <w:tblPrEx>
          <w:tblCellMar>
            <w:top w:w="0" w:type="dxa"/>
            <w:bottom w:w="0" w:type="dxa"/>
          </w:tblCellMar>
        </w:tblPrEx>
        <w:trPr>
          <w:gridAfter w:val="1"/>
          <w:wAfter w:w="6" w:type="pct"/>
        </w:trPr>
        <w:tc>
          <w:tcPr>
            <w:tcW w:w="345" w:type="pct"/>
            <w:tcBorders>
              <w:top w:val="nil"/>
              <w:bottom w:val="nil"/>
            </w:tcBorders>
          </w:tcPr>
          <w:p w:rsidR="00000000" w:rsidRDefault="00000000">
            <w:pPr>
              <w:rPr>
                <w:sz w:val="20"/>
                <w:lang w:val="en-US"/>
              </w:rPr>
            </w:pPr>
            <w:r>
              <w:rPr>
                <w:sz w:val="20"/>
                <w:lang w:val="en-US"/>
              </w:rPr>
              <w:t>1999</w:t>
            </w:r>
          </w:p>
        </w:tc>
        <w:tc>
          <w:tcPr>
            <w:tcW w:w="570" w:type="pct"/>
            <w:tcBorders>
              <w:top w:val="nil"/>
              <w:bottom w:val="nil"/>
            </w:tcBorders>
          </w:tcPr>
          <w:p w:rsidR="00000000" w:rsidRDefault="00000000">
            <w:pPr>
              <w:jc w:val="center"/>
              <w:rPr>
                <w:sz w:val="20"/>
                <w:lang w:val="en-US"/>
              </w:rPr>
            </w:pPr>
            <w:r>
              <w:rPr>
                <w:sz w:val="20"/>
                <w:lang w:val="en-US"/>
              </w:rPr>
              <w:t>20 743</w:t>
            </w:r>
          </w:p>
        </w:tc>
        <w:tc>
          <w:tcPr>
            <w:tcW w:w="574" w:type="pct"/>
            <w:tcBorders>
              <w:top w:val="nil"/>
              <w:bottom w:val="nil"/>
            </w:tcBorders>
          </w:tcPr>
          <w:p w:rsidR="00000000" w:rsidRDefault="00000000">
            <w:pPr>
              <w:tabs>
                <w:tab w:val="clear" w:pos="567"/>
              </w:tabs>
              <w:ind w:right="113"/>
              <w:jc w:val="center"/>
              <w:rPr>
                <w:sz w:val="20"/>
                <w:lang w:val="en-US"/>
              </w:rPr>
            </w:pPr>
            <w:r>
              <w:rPr>
                <w:sz w:val="20"/>
                <w:lang w:val="en-US"/>
              </w:rPr>
              <w:t>416 693</w:t>
            </w:r>
          </w:p>
        </w:tc>
        <w:tc>
          <w:tcPr>
            <w:tcW w:w="649" w:type="pct"/>
            <w:tcBorders>
              <w:top w:val="nil"/>
              <w:bottom w:val="nil"/>
            </w:tcBorders>
          </w:tcPr>
          <w:p w:rsidR="00000000" w:rsidRDefault="00000000">
            <w:pPr>
              <w:tabs>
                <w:tab w:val="clear" w:pos="567"/>
              </w:tabs>
              <w:ind w:right="113"/>
              <w:jc w:val="center"/>
              <w:rPr>
                <w:sz w:val="20"/>
                <w:lang w:val="en-US"/>
              </w:rPr>
            </w:pPr>
            <w:r>
              <w:rPr>
                <w:sz w:val="20"/>
                <w:lang w:val="en-US"/>
              </w:rPr>
              <w:t>104 045</w:t>
            </w:r>
          </w:p>
        </w:tc>
        <w:tc>
          <w:tcPr>
            <w:tcW w:w="529" w:type="pct"/>
            <w:tcBorders>
              <w:top w:val="nil"/>
              <w:bottom w:val="nil"/>
            </w:tcBorders>
          </w:tcPr>
          <w:p w:rsidR="00000000" w:rsidRDefault="00000000">
            <w:pPr>
              <w:jc w:val="right"/>
              <w:rPr>
                <w:sz w:val="20"/>
                <w:lang w:val="en-US"/>
              </w:rPr>
            </w:pPr>
            <w:r>
              <w:rPr>
                <w:sz w:val="20"/>
                <w:lang w:val="en-US"/>
              </w:rPr>
              <w:t>79 696</w:t>
            </w:r>
          </w:p>
        </w:tc>
        <w:tc>
          <w:tcPr>
            <w:tcW w:w="634" w:type="pct"/>
            <w:tcBorders>
              <w:top w:val="nil"/>
              <w:bottom w:val="nil"/>
            </w:tcBorders>
          </w:tcPr>
          <w:p w:rsidR="00000000" w:rsidRDefault="00000000">
            <w:pPr>
              <w:tabs>
                <w:tab w:val="clear" w:pos="567"/>
              </w:tabs>
              <w:ind w:right="113"/>
              <w:jc w:val="center"/>
              <w:rPr>
                <w:sz w:val="20"/>
                <w:lang w:val="en-US"/>
              </w:rPr>
            </w:pPr>
            <w:r>
              <w:rPr>
                <w:sz w:val="20"/>
                <w:lang w:val="en-US"/>
              </w:rPr>
              <w:t>944 240</w:t>
            </w:r>
          </w:p>
        </w:tc>
        <w:tc>
          <w:tcPr>
            <w:tcW w:w="529" w:type="pct"/>
            <w:tcBorders>
              <w:top w:val="nil"/>
              <w:bottom w:val="nil"/>
            </w:tcBorders>
          </w:tcPr>
          <w:p w:rsidR="00000000" w:rsidRDefault="00000000">
            <w:pPr>
              <w:ind w:right="117"/>
              <w:jc w:val="right"/>
              <w:rPr>
                <w:sz w:val="20"/>
                <w:lang w:val="en-US"/>
              </w:rPr>
            </w:pPr>
            <w:r>
              <w:rPr>
                <w:sz w:val="20"/>
                <w:lang w:val="en-US"/>
              </w:rPr>
              <w:t>569 270</w:t>
            </w:r>
          </w:p>
        </w:tc>
        <w:tc>
          <w:tcPr>
            <w:tcW w:w="626" w:type="pct"/>
            <w:tcBorders>
              <w:top w:val="nil"/>
              <w:bottom w:val="nil"/>
            </w:tcBorders>
          </w:tcPr>
          <w:p w:rsidR="00000000" w:rsidRDefault="00000000">
            <w:pPr>
              <w:tabs>
                <w:tab w:val="clear" w:pos="567"/>
                <w:tab w:val="clear" w:pos="1134"/>
                <w:tab w:val="left" w:pos="885"/>
              </w:tabs>
              <w:ind w:right="299"/>
              <w:jc w:val="right"/>
              <w:rPr>
                <w:sz w:val="20"/>
                <w:lang w:val="en-US"/>
              </w:rPr>
            </w:pPr>
            <w:r>
              <w:rPr>
                <w:sz w:val="20"/>
                <w:lang w:val="en-US"/>
              </w:rPr>
              <w:t>350 985</w:t>
            </w:r>
          </w:p>
        </w:tc>
        <w:tc>
          <w:tcPr>
            <w:tcW w:w="536" w:type="pct"/>
            <w:tcBorders>
              <w:top w:val="nil"/>
              <w:bottom w:val="nil"/>
            </w:tcBorders>
          </w:tcPr>
          <w:p w:rsidR="00000000" w:rsidRDefault="00000000">
            <w:pPr>
              <w:tabs>
                <w:tab w:val="clear" w:pos="567"/>
              </w:tabs>
              <w:ind w:right="248"/>
              <w:jc w:val="right"/>
              <w:rPr>
                <w:sz w:val="20"/>
                <w:lang w:val="en-US"/>
              </w:rPr>
            </w:pPr>
            <w:r>
              <w:rPr>
                <w:sz w:val="20"/>
                <w:lang w:val="en-US"/>
              </w:rPr>
              <w:t xml:space="preserve">70 878 </w:t>
            </w:r>
          </w:p>
        </w:tc>
      </w:tr>
      <w:tr w:rsidR="00000000">
        <w:tblPrEx>
          <w:tblCellMar>
            <w:top w:w="0" w:type="dxa"/>
            <w:bottom w:w="0" w:type="dxa"/>
          </w:tblCellMar>
        </w:tblPrEx>
        <w:trPr>
          <w:gridAfter w:val="1"/>
          <w:wAfter w:w="6" w:type="pct"/>
        </w:trPr>
        <w:tc>
          <w:tcPr>
            <w:tcW w:w="345" w:type="pct"/>
            <w:tcBorders>
              <w:top w:val="nil"/>
            </w:tcBorders>
          </w:tcPr>
          <w:p w:rsidR="00000000" w:rsidRDefault="00000000">
            <w:pPr>
              <w:rPr>
                <w:sz w:val="20"/>
                <w:lang w:val="en-US"/>
              </w:rPr>
            </w:pPr>
            <w:r>
              <w:rPr>
                <w:sz w:val="20"/>
                <w:lang w:val="en-US"/>
              </w:rPr>
              <w:t>2001</w:t>
            </w:r>
          </w:p>
        </w:tc>
        <w:tc>
          <w:tcPr>
            <w:tcW w:w="570" w:type="pct"/>
            <w:tcBorders>
              <w:top w:val="nil"/>
            </w:tcBorders>
          </w:tcPr>
          <w:p w:rsidR="00000000" w:rsidRDefault="00000000">
            <w:pPr>
              <w:jc w:val="center"/>
              <w:rPr>
                <w:sz w:val="20"/>
                <w:lang w:val="en-US"/>
              </w:rPr>
            </w:pPr>
            <w:r>
              <w:rPr>
                <w:sz w:val="20"/>
                <w:lang w:val="en-US"/>
              </w:rPr>
              <w:t>18 959</w:t>
            </w:r>
          </w:p>
        </w:tc>
        <w:tc>
          <w:tcPr>
            <w:tcW w:w="574" w:type="pct"/>
            <w:tcBorders>
              <w:top w:val="nil"/>
            </w:tcBorders>
          </w:tcPr>
          <w:p w:rsidR="00000000" w:rsidRDefault="00000000">
            <w:pPr>
              <w:tabs>
                <w:tab w:val="clear" w:pos="567"/>
              </w:tabs>
              <w:ind w:right="113"/>
              <w:jc w:val="center"/>
              <w:rPr>
                <w:sz w:val="20"/>
                <w:lang w:val="en-US"/>
              </w:rPr>
            </w:pPr>
            <w:r>
              <w:rPr>
                <w:sz w:val="20"/>
                <w:lang w:val="en-US"/>
              </w:rPr>
              <w:t>406 808</w:t>
            </w:r>
          </w:p>
        </w:tc>
        <w:tc>
          <w:tcPr>
            <w:tcW w:w="649" w:type="pct"/>
            <w:tcBorders>
              <w:top w:val="nil"/>
            </w:tcBorders>
          </w:tcPr>
          <w:p w:rsidR="00000000" w:rsidRDefault="00000000">
            <w:pPr>
              <w:jc w:val="center"/>
              <w:rPr>
                <w:sz w:val="20"/>
                <w:lang w:val="en-US"/>
              </w:rPr>
            </w:pPr>
            <w:r>
              <w:rPr>
                <w:sz w:val="20"/>
                <w:lang w:val="en-US"/>
              </w:rPr>
              <w:t>-</w:t>
            </w:r>
          </w:p>
        </w:tc>
        <w:tc>
          <w:tcPr>
            <w:tcW w:w="529" w:type="pct"/>
            <w:tcBorders>
              <w:top w:val="nil"/>
            </w:tcBorders>
          </w:tcPr>
          <w:p w:rsidR="00000000" w:rsidRDefault="00000000">
            <w:pPr>
              <w:jc w:val="right"/>
              <w:rPr>
                <w:sz w:val="20"/>
                <w:lang w:val="en-US"/>
              </w:rPr>
            </w:pPr>
            <w:r>
              <w:rPr>
                <w:sz w:val="20"/>
                <w:lang w:val="en-US"/>
              </w:rPr>
              <w:t>99 813</w:t>
            </w:r>
          </w:p>
        </w:tc>
        <w:tc>
          <w:tcPr>
            <w:tcW w:w="634" w:type="pct"/>
            <w:tcBorders>
              <w:top w:val="nil"/>
            </w:tcBorders>
          </w:tcPr>
          <w:p w:rsidR="00000000" w:rsidRDefault="00000000">
            <w:pPr>
              <w:tabs>
                <w:tab w:val="clear" w:pos="567"/>
              </w:tabs>
              <w:ind w:right="113"/>
              <w:jc w:val="center"/>
              <w:rPr>
                <w:sz w:val="20"/>
                <w:lang w:val="en-US"/>
              </w:rPr>
            </w:pPr>
            <w:r>
              <w:rPr>
                <w:sz w:val="20"/>
                <w:lang w:val="en-US"/>
              </w:rPr>
              <w:t>-</w:t>
            </w:r>
          </w:p>
        </w:tc>
        <w:tc>
          <w:tcPr>
            <w:tcW w:w="529" w:type="pct"/>
            <w:tcBorders>
              <w:top w:val="nil"/>
            </w:tcBorders>
          </w:tcPr>
          <w:p w:rsidR="00000000" w:rsidRDefault="00000000">
            <w:pPr>
              <w:jc w:val="center"/>
              <w:rPr>
                <w:sz w:val="20"/>
                <w:lang w:val="en-US"/>
              </w:rPr>
            </w:pPr>
            <w:r>
              <w:rPr>
                <w:sz w:val="20"/>
                <w:lang w:val="en-US"/>
              </w:rPr>
              <w:t>-</w:t>
            </w:r>
          </w:p>
        </w:tc>
        <w:tc>
          <w:tcPr>
            <w:tcW w:w="626" w:type="pct"/>
            <w:tcBorders>
              <w:top w:val="nil"/>
            </w:tcBorders>
          </w:tcPr>
          <w:p w:rsidR="00000000" w:rsidRDefault="00000000">
            <w:pPr>
              <w:jc w:val="center"/>
              <w:rPr>
                <w:sz w:val="20"/>
                <w:lang w:val="en-US"/>
              </w:rPr>
            </w:pPr>
            <w:r>
              <w:rPr>
                <w:sz w:val="20"/>
                <w:lang w:val="en-US"/>
              </w:rPr>
              <w:t>-</w:t>
            </w:r>
          </w:p>
        </w:tc>
        <w:tc>
          <w:tcPr>
            <w:tcW w:w="536" w:type="pct"/>
            <w:tcBorders>
              <w:top w:val="nil"/>
            </w:tcBorders>
          </w:tcPr>
          <w:p w:rsidR="00000000" w:rsidRDefault="00000000">
            <w:pPr>
              <w:tabs>
                <w:tab w:val="clear" w:pos="567"/>
              </w:tabs>
              <w:ind w:right="248"/>
              <w:jc w:val="right"/>
              <w:rPr>
                <w:sz w:val="20"/>
                <w:lang w:val="en-US"/>
              </w:rPr>
            </w:pPr>
            <w:r>
              <w:rPr>
                <w:sz w:val="20"/>
                <w:lang w:val="en-US"/>
              </w:rPr>
              <w:t>8 334</w:t>
            </w:r>
          </w:p>
        </w:tc>
      </w:tr>
    </w:tbl>
    <w:p w:rsidR="00000000" w:rsidRDefault="00000000"/>
    <w:p w:rsidR="00000000" w:rsidRDefault="00000000">
      <w:r>
        <w:rPr>
          <w:lang w:val="en-US"/>
        </w:rPr>
        <w:tab/>
      </w:r>
      <w:r>
        <w:t>Примечание:  Данные о количестве коек отражают их число в государственном секторе и в кооперативных учреждениях.</w:t>
      </w:r>
    </w:p>
    <w:p w:rsidR="00000000" w:rsidRDefault="00000000"/>
    <w:p w:rsidR="00000000" w:rsidRDefault="00000000">
      <w:pPr>
        <w:jc w:val="center"/>
        <w:rPr>
          <w:b/>
          <w:bCs/>
        </w:rPr>
      </w:pPr>
      <w:r>
        <w:rPr>
          <w:b/>
          <w:bCs/>
        </w:rPr>
        <w:t>Численность медиков и фельдшеров на 1 000 человек</w:t>
      </w:r>
    </w:p>
    <w:p w:rsidR="00000000" w:rsidRDefault="00000000">
      <w:pPr>
        <w:jc w:val="center"/>
        <w:rPr>
          <w:b/>
          <w:bCs/>
        </w:rPr>
      </w:pPr>
      <w:r>
        <w:rPr>
          <w:b/>
          <w:bCs/>
        </w:rPr>
        <w:t>(1999-2001 годы)</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5"/>
        <w:gridCol w:w="2551"/>
        <w:gridCol w:w="2410"/>
      </w:tblGrid>
      <w:tr w:rsidR="00000000">
        <w:tblPrEx>
          <w:tblCellMar>
            <w:top w:w="0" w:type="dxa"/>
            <w:bottom w:w="0" w:type="dxa"/>
          </w:tblCellMar>
        </w:tblPrEx>
        <w:tc>
          <w:tcPr>
            <w:tcW w:w="4395" w:type="dxa"/>
          </w:tcPr>
          <w:p w:rsidR="00000000" w:rsidRDefault="00000000">
            <w:pPr>
              <w:jc w:val="center"/>
            </w:pPr>
            <w:r>
              <w:t>Специализация</w:t>
            </w:r>
          </w:p>
        </w:tc>
        <w:tc>
          <w:tcPr>
            <w:tcW w:w="2551" w:type="dxa"/>
          </w:tcPr>
          <w:p w:rsidR="00000000" w:rsidRDefault="00000000">
            <w:pPr>
              <w:jc w:val="center"/>
              <w:rPr>
                <w:lang w:val="en-US"/>
              </w:rPr>
            </w:pPr>
            <w:r>
              <w:rPr>
                <w:lang w:val="en-US"/>
              </w:rPr>
              <w:t>1999</w:t>
            </w:r>
          </w:p>
        </w:tc>
        <w:tc>
          <w:tcPr>
            <w:tcW w:w="2410" w:type="dxa"/>
          </w:tcPr>
          <w:p w:rsidR="00000000" w:rsidRDefault="00000000">
            <w:pPr>
              <w:jc w:val="center"/>
              <w:rPr>
                <w:lang w:val="en-US"/>
              </w:rPr>
            </w:pPr>
            <w:r>
              <w:rPr>
                <w:lang w:val="en-US"/>
              </w:rPr>
              <w:t>2001</w:t>
            </w:r>
          </w:p>
        </w:tc>
      </w:tr>
      <w:tr w:rsidR="00000000">
        <w:tblPrEx>
          <w:tblCellMar>
            <w:top w:w="0" w:type="dxa"/>
            <w:bottom w:w="0" w:type="dxa"/>
          </w:tblCellMar>
        </w:tblPrEx>
        <w:tc>
          <w:tcPr>
            <w:tcW w:w="4395" w:type="dxa"/>
            <w:tcBorders>
              <w:bottom w:val="nil"/>
            </w:tcBorders>
          </w:tcPr>
          <w:p w:rsidR="00000000" w:rsidRDefault="00000000">
            <w:r>
              <w:t>Дерматологи</w:t>
            </w:r>
          </w:p>
        </w:tc>
        <w:tc>
          <w:tcPr>
            <w:tcW w:w="2551" w:type="dxa"/>
            <w:tcBorders>
              <w:bottom w:val="nil"/>
            </w:tcBorders>
          </w:tcPr>
          <w:p w:rsidR="00000000" w:rsidRDefault="00000000">
            <w:pPr>
              <w:pStyle w:val="Header"/>
              <w:ind w:right="907"/>
              <w:jc w:val="right"/>
              <w:rPr>
                <w:lang w:val="en-US"/>
              </w:rPr>
            </w:pPr>
            <w:r>
              <w:rPr>
                <w:lang w:val="en-US"/>
              </w:rPr>
              <w:t>830</w:t>
            </w:r>
          </w:p>
        </w:tc>
        <w:tc>
          <w:tcPr>
            <w:tcW w:w="2410" w:type="dxa"/>
            <w:tcBorders>
              <w:bottom w:val="nil"/>
            </w:tcBorders>
          </w:tcPr>
          <w:p w:rsidR="00000000" w:rsidRDefault="00000000">
            <w:pPr>
              <w:ind w:right="907"/>
              <w:jc w:val="right"/>
              <w:rPr>
                <w:lang w:val="en-US"/>
              </w:rPr>
            </w:pPr>
            <w:r>
              <w:rPr>
                <w:lang w:val="en-US"/>
              </w:rPr>
              <w:t>714</w:t>
            </w:r>
          </w:p>
        </w:tc>
      </w:tr>
      <w:tr w:rsidR="00000000">
        <w:tblPrEx>
          <w:tblCellMar>
            <w:top w:w="0" w:type="dxa"/>
            <w:bottom w:w="0" w:type="dxa"/>
          </w:tblCellMar>
        </w:tblPrEx>
        <w:tc>
          <w:tcPr>
            <w:tcW w:w="4395" w:type="dxa"/>
            <w:tcBorders>
              <w:top w:val="nil"/>
              <w:bottom w:val="nil"/>
            </w:tcBorders>
          </w:tcPr>
          <w:p w:rsidR="00000000" w:rsidRDefault="00000000">
            <w:r>
              <w:t>Стоматологи</w:t>
            </w:r>
          </w:p>
        </w:tc>
        <w:tc>
          <w:tcPr>
            <w:tcW w:w="2551" w:type="dxa"/>
            <w:tcBorders>
              <w:top w:val="nil"/>
              <w:bottom w:val="nil"/>
            </w:tcBorders>
          </w:tcPr>
          <w:p w:rsidR="00000000" w:rsidRDefault="00000000">
            <w:pPr>
              <w:ind w:right="907"/>
              <w:jc w:val="right"/>
              <w:rPr>
                <w:lang w:val="en-US"/>
              </w:rPr>
            </w:pPr>
            <w:r>
              <w:rPr>
                <w:lang w:val="en-US"/>
              </w:rPr>
              <w:t>11 200</w:t>
            </w:r>
          </w:p>
        </w:tc>
        <w:tc>
          <w:tcPr>
            <w:tcW w:w="2410" w:type="dxa"/>
            <w:tcBorders>
              <w:top w:val="nil"/>
              <w:bottom w:val="nil"/>
            </w:tcBorders>
          </w:tcPr>
          <w:p w:rsidR="00000000" w:rsidRDefault="00000000">
            <w:pPr>
              <w:ind w:right="907"/>
              <w:jc w:val="right"/>
              <w:rPr>
                <w:lang w:val="en-US"/>
              </w:rPr>
            </w:pPr>
            <w:r>
              <w:rPr>
                <w:lang w:val="en-US"/>
              </w:rPr>
              <w:t>11 354</w:t>
            </w:r>
          </w:p>
        </w:tc>
      </w:tr>
      <w:tr w:rsidR="00000000">
        <w:tblPrEx>
          <w:tblCellMar>
            <w:top w:w="0" w:type="dxa"/>
            <w:bottom w:w="0" w:type="dxa"/>
          </w:tblCellMar>
        </w:tblPrEx>
        <w:tc>
          <w:tcPr>
            <w:tcW w:w="4395" w:type="dxa"/>
            <w:tcBorders>
              <w:top w:val="nil"/>
              <w:bottom w:val="nil"/>
            </w:tcBorders>
          </w:tcPr>
          <w:p w:rsidR="00000000" w:rsidRDefault="00000000">
            <w:r>
              <w:t>Фармацевты</w:t>
            </w:r>
          </w:p>
        </w:tc>
        <w:tc>
          <w:tcPr>
            <w:tcW w:w="2551" w:type="dxa"/>
            <w:tcBorders>
              <w:top w:val="nil"/>
              <w:bottom w:val="nil"/>
            </w:tcBorders>
          </w:tcPr>
          <w:p w:rsidR="00000000" w:rsidRDefault="00000000">
            <w:pPr>
              <w:ind w:right="907"/>
              <w:jc w:val="right"/>
              <w:rPr>
                <w:lang w:val="en-US"/>
              </w:rPr>
            </w:pPr>
            <w:r>
              <w:rPr>
                <w:lang w:val="en-US"/>
              </w:rPr>
              <w:t>9 000</w:t>
            </w:r>
          </w:p>
        </w:tc>
        <w:tc>
          <w:tcPr>
            <w:tcW w:w="2410" w:type="dxa"/>
            <w:tcBorders>
              <w:top w:val="nil"/>
              <w:bottom w:val="nil"/>
            </w:tcBorders>
          </w:tcPr>
          <w:p w:rsidR="00000000" w:rsidRDefault="00000000">
            <w:pPr>
              <w:ind w:right="907"/>
              <w:jc w:val="right"/>
              <w:rPr>
                <w:lang w:val="en-US"/>
              </w:rPr>
            </w:pPr>
            <w:r>
              <w:rPr>
                <w:lang w:val="en-US"/>
              </w:rPr>
              <w:t>5 020</w:t>
            </w:r>
          </w:p>
        </w:tc>
      </w:tr>
      <w:tr w:rsidR="00000000">
        <w:tblPrEx>
          <w:tblCellMar>
            <w:top w:w="0" w:type="dxa"/>
            <w:bottom w:w="0" w:type="dxa"/>
          </w:tblCellMar>
        </w:tblPrEx>
        <w:tc>
          <w:tcPr>
            <w:tcW w:w="4395" w:type="dxa"/>
            <w:tcBorders>
              <w:top w:val="nil"/>
              <w:bottom w:val="nil"/>
            </w:tcBorders>
          </w:tcPr>
          <w:p w:rsidR="00000000" w:rsidRDefault="00000000">
            <w:r>
              <w:t>Медсестры</w:t>
            </w:r>
          </w:p>
        </w:tc>
        <w:tc>
          <w:tcPr>
            <w:tcW w:w="2551" w:type="dxa"/>
            <w:tcBorders>
              <w:top w:val="nil"/>
              <w:bottom w:val="nil"/>
            </w:tcBorders>
          </w:tcPr>
          <w:p w:rsidR="00000000" w:rsidRDefault="00000000">
            <w:pPr>
              <w:ind w:right="907"/>
              <w:jc w:val="right"/>
              <w:rPr>
                <w:lang w:val="en-US"/>
              </w:rPr>
            </w:pPr>
            <w:r>
              <w:rPr>
                <w:lang w:val="en-US"/>
              </w:rPr>
              <w:t>220</w:t>
            </w:r>
          </w:p>
        </w:tc>
        <w:tc>
          <w:tcPr>
            <w:tcW w:w="2410" w:type="dxa"/>
            <w:tcBorders>
              <w:top w:val="nil"/>
              <w:bottom w:val="nil"/>
            </w:tcBorders>
          </w:tcPr>
          <w:p w:rsidR="00000000" w:rsidRDefault="00000000">
            <w:pPr>
              <w:ind w:right="907"/>
              <w:jc w:val="right"/>
              <w:rPr>
                <w:lang w:val="en-US"/>
              </w:rPr>
            </w:pPr>
            <w:r>
              <w:rPr>
                <w:lang w:val="en-US"/>
              </w:rPr>
              <w:t>208</w:t>
            </w:r>
          </w:p>
        </w:tc>
      </w:tr>
      <w:tr w:rsidR="00000000">
        <w:tblPrEx>
          <w:tblCellMar>
            <w:top w:w="0" w:type="dxa"/>
            <w:bottom w:w="0" w:type="dxa"/>
          </w:tblCellMar>
        </w:tblPrEx>
        <w:tc>
          <w:tcPr>
            <w:tcW w:w="4395" w:type="dxa"/>
            <w:tcBorders>
              <w:top w:val="nil"/>
            </w:tcBorders>
          </w:tcPr>
          <w:p w:rsidR="00000000" w:rsidRDefault="00000000">
            <w:r>
              <w:t>Фельдшеры</w:t>
            </w:r>
          </w:p>
        </w:tc>
        <w:tc>
          <w:tcPr>
            <w:tcW w:w="2551" w:type="dxa"/>
            <w:tcBorders>
              <w:top w:val="nil"/>
            </w:tcBorders>
          </w:tcPr>
          <w:p w:rsidR="00000000" w:rsidRDefault="00000000">
            <w:pPr>
              <w:ind w:right="907"/>
              <w:jc w:val="right"/>
              <w:rPr>
                <w:lang w:val="en-US"/>
              </w:rPr>
            </w:pPr>
            <w:r>
              <w:rPr>
                <w:lang w:val="en-US"/>
              </w:rPr>
              <w:t>700</w:t>
            </w:r>
          </w:p>
        </w:tc>
        <w:tc>
          <w:tcPr>
            <w:tcW w:w="2410" w:type="dxa"/>
            <w:tcBorders>
              <w:top w:val="nil"/>
            </w:tcBorders>
          </w:tcPr>
          <w:p w:rsidR="00000000" w:rsidRDefault="00000000">
            <w:pPr>
              <w:ind w:right="907"/>
              <w:jc w:val="right"/>
              <w:rPr>
                <w:lang w:val="en-US"/>
              </w:rPr>
            </w:pPr>
            <w:r>
              <w:rPr>
                <w:lang w:val="en-US"/>
              </w:rPr>
              <w:t>740</w:t>
            </w:r>
          </w:p>
        </w:tc>
      </w:tr>
    </w:tbl>
    <w:p w:rsidR="00000000" w:rsidRDefault="00000000">
      <w:pPr>
        <w:rPr>
          <w:lang w:val="en-US"/>
        </w:rPr>
      </w:pPr>
    </w:p>
    <w:p w:rsidR="00000000" w:rsidRDefault="00000000">
      <w:pPr>
        <w:jc w:val="center"/>
        <w:rPr>
          <w:b/>
          <w:bCs/>
        </w:rPr>
      </w:pPr>
      <w:r>
        <w:rPr>
          <w:b/>
          <w:bCs/>
        </w:rPr>
        <w:t>Вакцинация (в разбивке по месту проживания)</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3"/>
        <w:gridCol w:w="1843"/>
        <w:gridCol w:w="1701"/>
        <w:gridCol w:w="1559"/>
      </w:tblGrid>
      <w:tr w:rsidR="00000000">
        <w:tblPrEx>
          <w:tblCellMar>
            <w:top w:w="0" w:type="dxa"/>
            <w:bottom w:w="0" w:type="dxa"/>
          </w:tblCellMar>
        </w:tblPrEx>
        <w:trPr>
          <w:cantSplit/>
        </w:trPr>
        <w:tc>
          <w:tcPr>
            <w:tcW w:w="4253" w:type="dxa"/>
          </w:tcPr>
          <w:p w:rsidR="00000000" w:rsidRDefault="00000000">
            <w:pPr>
              <w:spacing w:line="240" w:lineRule="auto"/>
            </w:pPr>
            <w:r>
              <w:t>Вакцина (дети от 12 до 23 месяцев)</w:t>
            </w:r>
          </w:p>
        </w:tc>
        <w:tc>
          <w:tcPr>
            <w:tcW w:w="1843" w:type="dxa"/>
          </w:tcPr>
          <w:p w:rsidR="00000000" w:rsidRDefault="00000000">
            <w:pPr>
              <w:spacing w:line="240" w:lineRule="auto"/>
              <w:jc w:val="center"/>
            </w:pPr>
            <w:r>
              <w:t>Города</w:t>
            </w:r>
          </w:p>
        </w:tc>
        <w:tc>
          <w:tcPr>
            <w:tcW w:w="1701" w:type="dxa"/>
          </w:tcPr>
          <w:p w:rsidR="00000000" w:rsidRDefault="00000000">
            <w:pPr>
              <w:spacing w:line="240" w:lineRule="auto"/>
              <w:jc w:val="center"/>
            </w:pPr>
            <w:r>
              <w:t>Сельская местность</w:t>
            </w:r>
          </w:p>
        </w:tc>
        <w:tc>
          <w:tcPr>
            <w:tcW w:w="1559" w:type="dxa"/>
          </w:tcPr>
          <w:p w:rsidR="00000000" w:rsidRDefault="00000000">
            <w:pPr>
              <w:spacing w:line="240" w:lineRule="auto"/>
              <w:jc w:val="center"/>
            </w:pPr>
            <w:r>
              <w:t>Итого</w:t>
            </w:r>
          </w:p>
        </w:tc>
      </w:tr>
      <w:tr w:rsidR="00000000">
        <w:tblPrEx>
          <w:tblCellMar>
            <w:top w:w="0" w:type="dxa"/>
            <w:bottom w:w="0" w:type="dxa"/>
          </w:tblCellMar>
        </w:tblPrEx>
        <w:trPr>
          <w:cantSplit/>
        </w:trPr>
        <w:tc>
          <w:tcPr>
            <w:tcW w:w="4253" w:type="dxa"/>
            <w:tcBorders>
              <w:bottom w:val="nil"/>
            </w:tcBorders>
          </w:tcPr>
          <w:p w:rsidR="00000000" w:rsidRDefault="00000000">
            <w:pPr>
              <w:spacing w:line="240" w:lineRule="auto"/>
            </w:pPr>
            <w:r>
              <w:t>Туберкулез</w:t>
            </w:r>
          </w:p>
        </w:tc>
        <w:tc>
          <w:tcPr>
            <w:tcW w:w="1843" w:type="dxa"/>
            <w:tcBorders>
              <w:bottom w:val="nil"/>
            </w:tcBorders>
          </w:tcPr>
          <w:p w:rsidR="00000000" w:rsidRDefault="00000000">
            <w:pPr>
              <w:pStyle w:val="Header"/>
              <w:spacing w:line="240" w:lineRule="auto"/>
              <w:jc w:val="center"/>
            </w:pPr>
            <w:r>
              <w:t>90,7</w:t>
            </w:r>
          </w:p>
        </w:tc>
        <w:tc>
          <w:tcPr>
            <w:tcW w:w="1701" w:type="dxa"/>
            <w:tcBorders>
              <w:bottom w:val="nil"/>
            </w:tcBorders>
          </w:tcPr>
          <w:p w:rsidR="00000000" w:rsidRDefault="00000000">
            <w:pPr>
              <w:spacing w:line="240" w:lineRule="auto"/>
              <w:jc w:val="center"/>
            </w:pPr>
            <w:r>
              <w:t>98,0</w:t>
            </w:r>
          </w:p>
        </w:tc>
        <w:tc>
          <w:tcPr>
            <w:tcW w:w="1559" w:type="dxa"/>
            <w:tcBorders>
              <w:bottom w:val="nil"/>
            </w:tcBorders>
          </w:tcPr>
          <w:p w:rsidR="00000000" w:rsidRDefault="00000000">
            <w:pPr>
              <w:spacing w:line="240" w:lineRule="auto"/>
              <w:jc w:val="center"/>
            </w:pPr>
            <w:r>
              <w:t>99,2</w:t>
            </w:r>
          </w:p>
        </w:tc>
      </w:tr>
      <w:tr w:rsidR="00000000">
        <w:tblPrEx>
          <w:tblCellMar>
            <w:top w:w="0" w:type="dxa"/>
            <w:bottom w:w="0" w:type="dxa"/>
          </w:tblCellMar>
        </w:tblPrEx>
        <w:trPr>
          <w:cantSplit/>
        </w:trPr>
        <w:tc>
          <w:tcPr>
            <w:tcW w:w="4253" w:type="dxa"/>
            <w:tcBorders>
              <w:top w:val="nil"/>
              <w:bottom w:val="nil"/>
            </w:tcBorders>
          </w:tcPr>
          <w:p w:rsidR="00000000" w:rsidRDefault="00000000">
            <w:pPr>
              <w:spacing w:line="240" w:lineRule="auto"/>
            </w:pPr>
            <w:r>
              <w:t>Полиомиелит:  первая инъекция</w:t>
            </w:r>
          </w:p>
        </w:tc>
        <w:tc>
          <w:tcPr>
            <w:tcW w:w="1843" w:type="dxa"/>
            <w:tcBorders>
              <w:top w:val="nil"/>
              <w:bottom w:val="nil"/>
            </w:tcBorders>
          </w:tcPr>
          <w:p w:rsidR="00000000" w:rsidRDefault="00000000">
            <w:pPr>
              <w:spacing w:line="240" w:lineRule="auto"/>
              <w:jc w:val="center"/>
            </w:pPr>
            <w:r>
              <w:t>98,7</w:t>
            </w:r>
          </w:p>
        </w:tc>
        <w:tc>
          <w:tcPr>
            <w:tcW w:w="1701" w:type="dxa"/>
            <w:tcBorders>
              <w:top w:val="nil"/>
              <w:bottom w:val="nil"/>
            </w:tcBorders>
          </w:tcPr>
          <w:p w:rsidR="00000000" w:rsidRDefault="00000000">
            <w:pPr>
              <w:spacing w:line="240" w:lineRule="auto"/>
              <w:jc w:val="center"/>
            </w:pPr>
            <w:r>
              <w:t>97,1</w:t>
            </w:r>
          </w:p>
        </w:tc>
        <w:tc>
          <w:tcPr>
            <w:tcW w:w="1559" w:type="dxa"/>
            <w:tcBorders>
              <w:top w:val="nil"/>
              <w:bottom w:val="nil"/>
            </w:tcBorders>
          </w:tcPr>
          <w:p w:rsidR="00000000" w:rsidRDefault="00000000">
            <w:pPr>
              <w:spacing w:line="240" w:lineRule="auto"/>
              <w:jc w:val="center"/>
            </w:pPr>
            <w:r>
              <w:t>98,2</w:t>
            </w:r>
          </w:p>
        </w:tc>
      </w:tr>
      <w:tr w:rsidR="00000000">
        <w:tblPrEx>
          <w:tblCellMar>
            <w:top w:w="0" w:type="dxa"/>
            <w:bottom w:w="0" w:type="dxa"/>
          </w:tblCellMar>
        </w:tblPrEx>
        <w:trPr>
          <w:cantSplit/>
        </w:trPr>
        <w:tc>
          <w:tcPr>
            <w:tcW w:w="4253" w:type="dxa"/>
            <w:tcBorders>
              <w:top w:val="nil"/>
              <w:bottom w:val="nil"/>
            </w:tcBorders>
          </w:tcPr>
          <w:p w:rsidR="00000000" w:rsidRDefault="00000000">
            <w:pPr>
              <w:spacing w:line="240" w:lineRule="auto"/>
            </w:pPr>
            <w:r>
              <w:t>Полиомиелит:  вторая инъекция</w:t>
            </w:r>
          </w:p>
        </w:tc>
        <w:tc>
          <w:tcPr>
            <w:tcW w:w="1843" w:type="dxa"/>
            <w:tcBorders>
              <w:top w:val="nil"/>
              <w:bottom w:val="nil"/>
            </w:tcBorders>
          </w:tcPr>
          <w:p w:rsidR="00000000" w:rsidRDefault="00000000">
            <w:pPr>
              <w:spacing w:line="240" w:lineRule="auto"/>
              <w:jc w:val="center"/>
            </w:pPr>
            <w:r>
              <w:t>97,6</w:t>
            </w:r>
          </w:p>
        </w:tc>
        <w:tc>
          <w:tcPr>
            <w:tcW w:w="1701" w:type="dxa"/>
            <w:tcBorders>
              <w:top w:val="nil"/>
              <w:bottom w:val="nil"/>
            </w:tcBorders>
          </w:tcPr>
          <w:p w:rsidR="00000000" w:rsidRDefault="00000000">
            <w:pPr>
              <w:spacing w:line="240" w:lineRule="auto"/>
              <w:jc w:val="center"/>
            </w:pPr>
            <w:r>
              <w:t>96,4</w:t>
            </w:r>
          </w:p>
        </w:tc>
        <w:tc>
          <w:tcPr>
            <w:tcW w:w="1559" w:type="dxa"/>
            <w:tcBorders>
              <w:top w:val="nil"/>
              <w:bottom w:val="nil"/>
            </w:tcBorders>
          </w:tcPr>
          <w:p w:rsidR="00000000" w:rsidRDefault="00000000">
            <w:pPr>
              <w:spacing w:line="240" w:lineRule="auto"/>
              <w:jc w:val="center"/>
            </w:pPr>
            <w:r>
              <w:t>97,2</w:t>
            </w:r>
          </w:p>
        </w:tc>
      </w:tr>
      <w:tr w:rsidR="00000000">
        <w:tblPrEx>
          <w:tblCellMar>
            <w:top w:w="0" w:type="dxa"/>
            <w:bottom w:w="0" w:type="dxa"/>
          </w:tblCellMar>
        </w:tblPrEx>
        <w:trPr>
          <w:cantSplit/>
        </w:trPr>
        <w:tc>
          <w:tcPr>
            <w:tcW w:w="4253" w:type="dxa"/>
            <w:tcBorders>
              <w:top w:val="nil"/>
              <w:bottom w:val="nil"/>
            </w:tcBorders>
          </w:tcPr>
          <w:p w:rsidR="00000000" w:rsidRDefault="00000000">
            <w:pPr>
              <w:spacing w:line="240" w:lineRule="auto"/>
            </w:pPr>
            <w:r>
              <w:t>Полиомиелит:  третья инъекция</w:t>
            </w:r>
          </w:p>
        </w:tc>
        <w:tc>
          <w:tcPr>
            <w:tcW w:w="1843" w:type="dxa"/>
            <w:tcBorders>
              <w:top w:val="nil"/>
              <w:bottom w:val="nil"/>
            </w:tcBorders>
          </w:tcPr>
          <w:p w:rsidR="00000000" w:rsidRDefault="00000000">
            <w:pPr>
              <w:spacing w:line="240" w:lineRule="auto"/>
              <w:jc w:val="center"/>
            </w:pPr>
            <w:r>
              <w:t>95,5</w:t>
            </w:r>
          </w:p>
        </w:tc>
        <w:tc>
          <w:tcPr>
            <w:tcW w:w="1701" w:type="dxa"/>
            <w:tcBorders>
              <w:top w:val="nil"/>
              <w:bottom w:val="nil"/>
            </w:tcBorders>
          </w:tcPr>
          <w:p w:rsidR="00000000" w:rsidRDefault="00000000">
            <w:pPr>
              <w:spacing w:line="240" w:lineRule="auto"/>
              <w:jc w:val="center"/>
            </w:pPr>
            <w:r>
              <w:t>95,6</w:t>
            </w:r>
          </w:p>
        </w:tc>
        <w:tc>
          <w:tcPr>
            <w:tcW w:w="1559" w:type="dxa"/>
            <w:tcBorders>
              <w:top w:val="nil"/>
              <w:bottom w:val="nil"/>
            </w:tcBorders>
          </w:tcPr>
          <w:p w:rsidR="00000000" w:rsidRDefault="00000000">
            <w:pPr>
              <w:spacing w:line="240" w:lineRule="auto"/>
              <w:jc w:val="center"/>
            </w:pPr>
            <w:r>
              <w:t>95,8</w:t>
            </w:r>
          </w:p>
        </w:tc>
      </w:tr>
      <w:tr w:rsidR="00000000">
        <w:tblPrEx>
          <w:tblCellMar>
            <w:top w:w="0" w:type="dxa"/>
            <w:bottom w:w="0" w:type="dxa"/>
          </w:tblCellMar>
        </w:tblPrEx>
        <w:trPr>
          <w:cantSplit/>
        </w:trPr>
        <w:tc>
          <w:tcPr>
            <w:tcW w:w="4253" w:type="dxa"/>
            <w:tcBorders>
              <w:top w:val="nil"/>
            </w:tcBorders>
          </w:tcPr>
          <w:p w:rsidR="00000000" w:rsidRDefault="00000000">
            <w:pPr>
              <w:spacing w:line="240" w:lineRule="auto"/>
            </w:pPr>
            <w:r>
              <w:t>Корь</w:t>
            </w:r>
          </w:p>
        </w:tc>
        <w:tc>
          <w:tcPr>
            <w:tcW w:w="1843" w:type="dxa"/>
            <w:tcBorders>
              <w:top w:val="nil"/>
            </w:tcBorders>
          </w:tcPr>
          <w:p w:rsidR="00000000" w:rsidRDefault="00000000">
            <w:pPr>
              <w:spacing w:line="240" w:lineRule="auto"/>
              <w:jc w:val="center"/>
            </w:pPr>
            <w:r>
              <w:t>92,4</w:t>
            </w:r>
          </w:p>
        </w:tc>
        <w:tc>
          <w:tcPr>
            <w:tcW w:w="1701" w:type="dxa"/>
            <w:tcBorders>
              <w:top w:val="nil"/>
            </w:tcBorders>
          </w:tcPr>
          <w:p w:rsidR="00000000" w:rsidRDefault="00000000">
            <w:pPr>
              <w:spacing w:line="240" w:lineRule="auto"/>
              <w:jc w:val="center"/>
            </w:pPr>
            <w:r>
              <w:t>91,7</w:t>
            </w:r>
          </w:p>
        </w:tc>
        <w:tc>
          <w:tcPr>
            <w:tcW w:w="1559" w:type="dxa"/>
            <w:tcBorders>
              <w:top w:val="nil"/>
            </w:tcBorders>
          </w:tcPr>
          <w:p w:rsidR="00000000" w:rsidRDefault="00000000">
            <w:pPr>
              <w:spacing w:line="240" w:lineRule="auto"/>
              <w:jc w:val="center"/>
            </w:pPr>
            <w:r>
              <w:t>92,2</w:t>
            </w:r>
          </w:p>
        </w:tc>
      </w:tr>
    </w:tbl>
    <w:p w:rsidR="00000000" w:rsidRDefault="00000000"/>
    <w:p w:rsidR="00000000" w:rsidRDefault="00000000">
      <w:pPr>
        <w:keepNext/>
        <w:jc w:val="center"/>
        <w:rPr>
          <w:b/>
          <w:bCs/>
        </w:rPr>
      </w:pPr>
      <w:r>
        <w:rPr>
          <w:b/>
          <w:bCs/>
        </w:rPr>
        <w:t>Частные медицинские учреждения</w:t>
      </w:r>
    </w:p>
    <w:p w:rsidR="00000000" w:rsidRDefault="00000000">
      <w:pPr>
        <w:keepNex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96"/>
        <w:gridCol w:w="3260"/>
      </w:tblGrid>
      <w:tr w:rsidR="00000000">
        <w:tblPrEx>
          <w:tblCellMar>
            <w:top w:w="0" w:type="dxa"/>
            <w:bottom w:w="0" w:type="dxa"/>
          </w:tblCellMar>
        </w:tblPrEx>
        <w:tc>
          <w:tcPr>
            <w:tcW w:w="6096" w:type="dxa"/>
          </w:tcPr>
          <w:p w:rsidR="00000000" w:rsidRDefault="00000000">
            <w:pPr>
              <w:keepNext/>
              <w:spacing w:line="240" w:lineRule="auto"/>
              <w:jc w:val="center"/>
            </w:pPr>
            <w:r>
              <w:t>Вид</w:t>
            </w:r>
          </w:p>
        </w:tc>
        <w:tc>
          <w:tcPr>
            <w:tcW w:w="3260" w:type="dxa"/>
          </w:tcPr>
          <w:p w:rsidR="00000000" w:rsidRDefault="00000000">
            <w:pPr>
              <w:keepNext/>
              <w:spacing w:line="240" w:lineRule="auto"/>
              <w:jc w:val="center"/>
            </w:pPr>
            <w:r>
              <w:t>Число</w:t>
            </w:r>
          </w:p>
        </w:tc>
      </w:tr>
      <w:tr w:rsidR="00000000">
        <w:tblPrEx>
          <w:tblCellMar>
            <w:top w:w="0" w:type="dxa"/>
            <w:bottom w:w="0" w:type="dxa"/>
          </w:tblCellMar>
        </w:tblPrEx>
        <w:tc>
          <w:tcPr>
            <w:tcW w:w="6096" w:type="dxa"/>
            <w:tcBorders>
              <w:bottom w:val="nil"/>
            </w:tcBorders>
          </w:tcPr>
          <w:p w:rsidR="00000000" w:rsidRDefault="00000000">
            <w:pPr>
              <w:spacing w:line="240" w:lineRule="auto"/>
            </w:pPr>
            <w:r>
              <w:t>Кооперативы и частные клиники</w:t>
            </w:r>
          </w:p>
        </w:tc>
        <w:tc>
          <w:tcPr>
            <w:tcW w:w="3260" w:type="dxa"/>
            <w:tcBorders>
              <w:bottom w:val="nil"/>
            </w:tcBorders>
          </w:tcPr>
          <w:p w:rsidR="00000000" w:rsidRDefault="00000000">
            <w:pPr>
              <w:spacing w:line="240" w:lineRule="auto"/>
              <w:jc w:val="center"/>
            </w:pPr>
            <w:r>
              <w:t>324</w:t>
            </w:r>
          </w:p>
        </w:tc>
      </w:tr>
      <w:tr w:rsidR="00000000">
        <w:tblPrEx>
          <w:tblCellMar>
            <w:top w:w="0" w:type="dxa"/>
            <w:bottom w:w="0" w:type="dxa"/>
          </w:tblCellMar>
        </w:tblPrEx>
        <w:tc>
          <w:tcPr>
            <w:tcW w:w="6096" w:type="dxa"/>
            <w:tcBorders>
              <w:top w:val="nil"/>
              <w:bottom w:val="nil"/>
            </w:tcBorders>
          </w:tcPr>
          <w:p w:rsidR="00000000" w:rsidRDefault="00000000">
            <w:pPr>
              <w:spacing w:line="240" w:lineRule="auto"/>
            </w:pPr>
            <w:r>
              <w:t>Частные аптеки</w:t>
            </w:r>
          </w:p>
        </w:tc>
        <w:tc>
          <w:tcPr>
            <w:tcW w:w="3260" w:type="dxa"/>
            <w:tcBorders>
              <w:top w:val="nil"/>
              <w:bottom w:val="nil"/>
            </w:tcBorders>
          </w:tcPr>
          <w:p w:rsidR="00000000" w:rsidRDefault="00000000">
            <w:pPr>
              <w:spacing w:line="240" w:lineRule="auto"/>
              <w:jc w:val="center"/>
            </w:pPr>
            <w:r>
              <w:t>745</w:t>
            </w:r>
          </w:p>
        </w:tc>
      </w:tr>
      <w:tr w:rsidR="00000000">
        <w:tblPrEx>
          <w:tblCellMar>
            <w:top w:w="0" w:type="dxa"/>
            <w:bottom w:w="0" w:type="dxa"/>
          </w:tblCellMar>
        </w:tblPrEx>
        <w:tc>
          <w:tcPr>
            <w:tcW w:w="6096" w:type="dxa"/>
            <w:tcBorders>
              <w:top w:val="nil"/>
            </w:tcBorders>
          </w:tcPr>
          <w:p w:rsidR="00000000" w:rsidRDefault="00000000">
            <w:pPr>
              <w:spacing w:line="240" w:lineRule="auto"/>
            </w:pPr>
            <w:r>
              <w:t>Лаборатории</w:t>
            </w:r>
          </w:p>
        </w:tc>
        <w:tc>
          <w:tcPr>
            <w:tcW w:w="3260" w:type="dxa"/>
            <w:tcBorders>
              <w:top w:val="nil"/>
            </w:tcBorders>
          </w:tcPr>
          <w:p w:rsidR="00000000" w:rsidRDefault="00000000">
            <w:pPr>
              <w:spacing w:line="240" w:lineRule="auto"/>
              <w:jc w:val="center"/>
            </w:pPr>
            <w:r>
              <w:t>  24</w:t>
            </w:r>
          </w:p>
        </w:tc>
      </w:tr>
    </w:tbl>
    <w:p w:rsidR="00000000" w:rsidRDefault="00000000">
      <w:pPr>
        <w:rPr>
          <w:lang w:val="en-US"/>
        </w:rPr>
      </w:pPr>
    </w:p>
    <w:p w:rsidR="00000000" w:rsidRDefault="00000000">
      <w:pPr>
        <w:rPr>
          <w:b/>
          <w:bCs/>
        </w:rPr>
      </w:pPr>
      <w:r>
        <w:rPr>
          <w:b/>
          <w:bCs/>
        </w:rPr>
        <w:t>Пункт 2</w:t>
      </w:r>
    </w:p>
    <w:p w:rsidR="00000000" w:rsidRDefault="00000000">
      <w:pPr>
        <w:rPr>
          <w:b/>
          <w:bCs/>
        </w:rPr>
      </w:pPr>
    </w:p>
    <w:p w:rsidR="00000000" w:rsidRDefault="00000000">
      <w:r>
        <w:t>94.</w:t>
      </w:r>
      <w:r>
        <w:tab/>
        <w:t>Джамахирия проводит политику в области здравоохранения, которая изложена в упоминавшихся выше Указе № 24 Высшего народного комитета (1995 год) и Законе № 106 1973 года о здравоохранении.  Джамахирия твердо следует принятому ВОЗ подходу, отдающему приоритет первичному медико-санитарному обслуживанию, о чем свидетельствует организация ее инфраструктуры здравоохранения и методы использования медицинского персонала.</w:t>
      </w:r>
    </w:p>
    <w:p w:rsidR="00000000" w:rsidRDefault="00000000">
      <w:pPr>
        <w:spacing w:line="240" w:lineRule="auto"/>
      </w:pPr>
    </w:p>
    <w:p w:rsidR="00000000" w:rsidRDefault="00000000">
      <w:pPr>
        <w:spacing w:line="240" w:lineRule="auto"/>
        <w:rPr>
          <w:b/>
          <w:bCs/>
        </w:rPr>
      </w:pPr>
      <w:r>
        <w:rPr>
          <w:b/>
          <w:bCs/>
        </w:rPr>
        <w:t>Пункт 3:  Расходы на здравоохранение</w:t>
      </w:r>
    </w:p>
    <w:p w:rsidR="00000000" w:rsidRDefault="00000000">
      <w:pPr>
        <w:spacing w:line="240" w:lineRule="auto"/>
        <w:rPr>
          <w:b/>
          <w:bCs/>
        </w:rPr>
      </w:pPr>
    </w:p>
    <w:p w:rsidR="00000000" w:rsidRDefault="00000000">
      <w:r>
        <w:t>95.</w:t>
      </w:r>
      <w:r>
        <w:tab/>
        <w:t>В приведенной ниже таблице представлена информация о расходах на здравоохранение в виде процентной доли в государственном бюджете и ВВП за период с 1973 по 1996 год.</w:t>
      </w:r>
    </w:p>
    <w:p w:rsidR="00000000" w:rsidRDefault="00000000">
      <w:pPr>
        <w:tabs>
          <w:tab w:val="clear" w:pos="567"/>
          <w:tab w:val="clear" w:pos="1134"/>
          <w:tab w:val="clear" w:pos="1701"/>
          <w:tab w:val="clear" w:pos="6237"/>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1999"/>
        <w:gridCol w:w="2182"/>
        <w:gridCol w:w="2091"/>
        <w:gridCol w:w="2091"/>
      </w:tblGrid>
      <w:tr w:rsidR="00000000">
        <w:trPr>
          <w:cantSplit/>
        </w:trPr>
        <w:tc>
          <w:tcPr>
            <w:tcW w:w="993" w:type="dxa"/>
            <w:vMerge w:val="restart"/>
            <w:vAlign w:val="center"/>
          </w:tcPr>
          <w:p w:rsidR="00000000" w:rsidRDefault="00000000">
            <w:pPr>
              <w:spacing w:line="240" w:lineRule="auto"/>
              <w:jc w:val="center"/>
            </w:pPr>
            <w:r>
              <w:t>Год</w:t>
            </w:r>
          </w:p>
        </w:tc>
        <w:tc>
          <w:tcPr>
            <w:tcW w:w="4181" w:type="dxa"/>
            <w:gridSpan w:val="2"/>
            <w:vAlign w:val="center"/>
          </w:tcPr>
          <w:p w:rsidR="00000000" w:rsidRDefault="00000000">
            <w:pPr>
              <w:spacing w:line="240" w:lineRule="auto"/>
              <w:jc w:val="center"/>
            </w:pPr>
            <w:r>
              <w:t>Бюджет</w:t>
            </w:r>
          </w:p>
        </w:tc>
        <w:tc>
          <w:tcPr>
            <w:tcW w:w="2091" w:type="dxa"/>
            <w:vMerge w:val="restart"/>
            <w:vAlign w:val="center"/>
          </w:tcPr>
          <w:p w:rsidR="00000000" w:rsidRDefault="00000000">
            <w:pPr>
              <w:spacing w:line="240" w:lineRule="auto"/>
              <w:jc w:val="center"/>
            </w:pPr>
            <w:r>
              <w:t>В % от суммарного ВВП</w:t>
            </w:r>
          </w:p>
        </w:tc>
        <w:tc>
          <w:tcPr>
            <w:tcW w:w="2091" w:type="dxa"/>
            <w:vMerge w:val="restart"/>
            <w:vAlign w:val="center"/>
          </w:tcPr>
          <w:p w:rsidR="00000000" w:rsidRDefault="00000000">
            <w:pPr>
              <w:spacing w:line="240" w:lineRule="auto"/>
              <w:jc w:val="center"/>
            </w:pPr>
            <w:r>
              <w:t>В % от общего бюджета</w:t>
            </w:r>
          </w:p>
        </w:tc>
      </w:tr>
      <w:tr w:rsidR="00000000">
        <w:trPr>
          <w:cantSplit/>
        </w:trPr>
        <w:tc>
          <w:tcPr>
            <w:tcW w:w="993" w:type="dxa"/>
            <w:vMerge/>
          </w:tcPr>
          <w:p w:rsidR="00000000" w:rsidRDefault="00000000">
            <w:pPr>
              <w:spacing w:line="240" w:lineRule="auto"/>
              <w:jc w:val="center"/>
            </w:pPr>
          </w:p>
        </w:tc>
        <w:tc>
          <w:tcPr>
            <w:tcW w:w="1999" w:type="dxa"/>
          </w:tcPr>
          <w:p w:rsidR="00000000" w:rsidRDefault="00000000">
            <w:pPr>
              <w:spacing w:line="240" w:lineRule="auto"/>
              <w:jc w:val="center"/>
            </w:pPr>
            <w:r>
              <w:t>Обычный</w:t>
            </w:r>
          </w:p>
        </w:tc>
        <w:tc>
          <w:tcPr>
            <w:tcW w:w="2182" w:type="dxa"/>
          </w:tcPr>
          <w:p w:rsidR="00000000" w:rsidRDefault="00000000">
            <w:pPr>
              <w:spacing w:line="240" w:lineRule="auto"/>
              <w:jc w:val="center"/>
            </w:pPr>
            <w:r>
              <w:t>На цели развития</w:t>
            </w:r>
          </w:p>
        </w:tc>
        <w:tc>
          <w:tcPr>
            <w:tcW w:w="2091" w:type="dxa"/>
            <w:vMerge/>
          </w:tcPr>
          <w:p w:rsidR="00000000" w:rsidRDefault="00000000">
            <w:pPr>
              <w:spacing w:line="240" w:lineRule="auto"/>
              <w:jc w:val="center"/>
            </w:pPr>
          </w:p>
        </w:tc>
        <w:tc>
          <w:tcPr>
            <w:tcW w:w="2091" w:type="dxa"/>
            <w:vMerge/>
          </w:tcPr>
          <w:p w:rsidR="00000000" w:rsidRDefault="00000000">
            <w:pPr>
              <w:spacing w:line="240" w:lineRule="auto"/>
              <w:jc w:val="center"/>
            </w:pPr>
          </w:p>
        </w:tc>
      </w:tr>
      <w:tr w:rsidR="00000000">
        <w:trPr>
          <w:trHeight w:val="180"/>
        </w:trPr>
        <w:tc>
          <w:tcPr>
            <w:tcW w:w="993" w:type="dxa"/>
            <w:tcBorders>
              <w:bottom w:val="nil"/>
            </w:tcBorders>
          </w:tcPr>
          <w:p w:rsidR="00000000" w:rsidRDefault="00000000">
            <w:pPr>
              <w:spacing w:line="240" w:lineRule="auto"/>
              <w:jc w:val="center"/>
              <w:rPr>
                <w:lang w:val="en-US"/>
              </w:rPr>
            </w:pPr>
            <w:r>
              <w:rPr>
                <w:lang w:val="en-US"/>
              </w:rPr>
              <w:t>1973</w:t>
            </w:r>
          </w:p>
        </w:tc>
        <w:tc>
          <w:tcPr>
            <w:tcW w:w="1999" w:type="dxa"/>
            <w:tcBorders>
              <w:bottom w:val="nil"/>
            </w:tcBorders>
          </w:tcPr>
          <w:p w:rsidR="00000000" w:rsidRDefault="00000000">
            <w:pPr>
              <w:spacing w:line="240" w:lineRule="auto"/>
              <w:jc w:val="center"/>
              <w:rPr>
                <w:lang w:val="en-US"/>
              </w:rPr>
            </w:pPr>
            <w:r>
              <w:rPr>
                <w:lang w:val="en-US"/>
              </w:rPr>
              <w:t>27,2</w:t>
            </w:r>
          </w:p>
        </w:tc>
        <w:tc>
          <w:tcPr>
            <w:tcW w:w="2182" w:type="dxa"/>
            <w:tcBorders>
              <w:bottom w:val="nil"/>
            </w:tcBorders>
          </w:tcPr>
          <w:p w:rsidR="00000000" w:rsidRDefault="00000000">
            <w:pPr>
              <w:spacing w:line="240" w:lineRule="auto"/>
              <w:jc w:val="center"/>
              <w:rPr>
                <w:lang w:val="en-US"/>
              </w:rPr>
            </w:pPr>
            <w:r>
              <w:rPr>
                <w:lang w:val="en-US"/>
              </w:rPr>
              <w:t>15,4</w:t>
            </w:r>
          </w:p>
        </w:tc>
        <w:tc>
          <w:tcPr>
            <w:tcW w:w="2091" w:type="dxa"/>
            <w:tcBorders>
              <w:bottom w:val="nil"/>
            </w:tcBorders>
          </w:tcPr>
          <w:p w:rsidR="00000000" w:rsidRDefault="00000000">
            <w:pPr>
              <w:spacing w:line="240" w:lineRule="auto"/>
              <w:jc w:val="center"/>
              <w:rPr>
                <w:lang w:val="en-US"/>
              </w:rPr>
            </w:pPr>
            <w:r>
              <w:rPr>
                <w:lang w:val="en-US"/>
              </w:rPr>
              <w:t>2,0</w:t>
            </w:r>
          </w:p>
        </w:tc>
        <w:tc>
          <w:tcPr>
            <w:tcW w:w="2091" w:type="dxa"/>
            <w:tcBorders>
              <w:bottom w:val="nil"/>
            </w:tcBorders>
          </w:tcPr>
          <w:p w:rsidR="00000000" w:rsidRDefault="00000000">
            <w:pPr>
              <w:spacing w:line="240" w:lineRule="auto"/>
              <w:jc w:val="center"/>
              <w:rPr>
                <w:lang w:val="en-US"/>
              </w:rPr>
            </w:pPr>
            <w:r>
              <w:rPr>
                <w:lang w:val="en-US"/>
              </w:rPr>
              <w:t>5,1</w:t>
            </w:r>
          </w:p>
        </w:tc>
      </w:tr>
      <w:tr w:rsidR="00000000">
        <w:tc>
          <w:tcPr>
            <w:tcW w:w="993" w:type="dxa"/>
            <w:tcBorders>
              <w:top w:val="nil"/>
              <w:bottom w:val="nil"/>
            </w:tcBorders>
          </w:tcPr>
          <w:p w:rsidR="00000000" w:rsidRDefault="00000000">
            <w:pPr>
              <w:spacing w:line="240" w:lineRule="auto"/>
              <w:jc w:val="center"/>
              <w:rPr>
                <w:lang w:val="en-US"/>
              </w:rPr>
            </w:pPr>
            <w:r>
              <w:rPr>
                <w:lang w:val="en-US"/>
              </w:rPr>
              <w:t>1975</w:t>
            </w:r>
          </w:p>
        </w:tc>
        <w:tc>
          <w:tcPr>
            <w:tcW w:w="1999" w:type="dxa"/>
            <w:tcBorders>
              <w:top w:val="nil"/>
              <w:bottom w:val="nil"/>
            </w:tcBorders>
          </w:tcPr>
          <w:p w:rsidR="00000000" w:rsidRDefault="00000000">
            <w:pPr>
              <w:spacing w:line="240" w:lineRule="auto"/>
              <w:jc w:val="center"/>
              <w:rPr>
                <w:lang w:val="en-US"/>
              </w:rPr>
            </w:pPr>
            <w:r>
              <w:rPr>
                <w:lang w:val="en-US"/>
              </w:rPr>
              <w:t>52,6</w:t>
            </w:r>
          </w:p>
        </w:tc>
        <w:tc>
          <w:tcPr>
            <w:tcW w:w="2182" w:type="dxa"/>
            <w:tcBorders>
              <w:top w:val="nil"/>
              <w:bottom w:val="nil"/>
            </w:tcBorders>
          </w:tcPr>
          <w:p w:rsidR="00000000" w:rsidRDefault="00000000">
            <w:pPr>
              <w:spacing w:line="240" w:lineRule="auto"/>
              <w:jc w:val="center"/>
              <w:rPr>
                <w:lang w:val="en-US"/>
              </w:rPr>
            </w:pPr>
            <w:r>
              <w:rPr>
                <w:lang w:val="en-US"/>
              </w:rPr>
              <w:t>24,7</w:t>
            </w:r>
          </w:p>
        </w:tc>
        <w:tc>
          <w:tcPr>
            <w:tcW w:w="2091" w:type="dxa"/>
            <w:tcBorders>
              <w:top w:val="nil"/>
              <w:bottom w:val="nil"/>
            </w:tcBorders>
          </w:tcPr>
          <w:p w:rsidR="00000000" w:rsidRDefault="00000000">
            <w:pPr>
              <w:spacing w:line="240" w:lineRule="auto"/>
              <w:jc w:val="center"/>
              <w:rPr>
                <w:lang w:val="en-US"/>
              </w:rPr>
            </w:pPr>
            <w:r>
              <w:rPr>
                <w:lang w:val="en-US"/>
              </w:rPr>
              <w:t>2,1</w:t>
            </w:r>
          </w:p>
        </w:tc>
        <w:tc>
          <w:tcPr>
            <w:tcW w:w="2091" w:type="dxa"/>
            <w:tcBorders>
              <w:top w:val="nil"/>
              <w:bottom w:val="nil"/>
            </w:tcBorders>
          </w:tcPr>
          <w:p w:rsidR="00000000" w:rsidRDefault="00000000">
            <w:pPr>
              <w:spacing w:line="240" w:lineRule="auto"/>
              <w:jc w:val="center"/>
              <w:rPr>
                <w:lang w:val="en-US"/>
              </w:rPr>
            </w:pPr>
            <w:r>
              <w:rPr>
                <w:lang w:val="en-US"/>
              </w:rPr>
              <w:t>5,6</w:t>
            </w:r>
          </w:p>
        </w:tc>
      </w:tr>
      <w:tr w:rsidR="00000000">
        <w:tc>
          <w:tcPr>
            <w:tcW w:w="993" w:type="dxa"/>
            <w:tcBorders>
              <w:top w:val="nil"/>
              <w:bottom w:val="nil"/>
            </w:tcBorders>
          </w:tcPr>
          <w:p w:rsidR="00000000" w:rsidRDefault="00000000">
            <w:pPr>
              <w:spacing w:line="240" w:lineRule="auto"/>
              <w:jc w:val="center"/>
              <w:rPr>
                <w:lang w:val="en-US"/>
              </w:rPr>
            </w:pPr>
            <w:r>
              <w:rPr>
                <w:lang w:val="en-US"/>
              </w:rPr>
              <w:t>1980</w:t>
            </w:r>
          </w:p>
        </w:tc>
        <w:tc>
          <w:tcPr>
            <w:tcW w:w="1999" w:type="dxa"/>
            <w:tcBorders>
              <w:top w:val="nil"/>
              <w:bottom w:val="nil"/>
            </w:tcBorders>
          </w:tcPr>
          <w:p w:rsidR="00000000" w:rsidRDefault="00000000">
            <w:pPr>
              <w:spacing w:line="240" w:lineRule="auto"/>
              <w:jc w:val="center"/>
              <w:rPr>
                <w:lang w:val="en-US"/>
              </w:rPr>
            </w:pPr>
            <w:r>
              <w:rPr>
                <w:lang w:val="en-US"/>
              </w:rPr>
              <w:t>52,8</w:t>
            </w:r>
          </w:p>
        </w:tc>
        <w:tc>
          <w:tcPr>
            <w:tcW w:w="2182" w:type="dxa"/>
            <w:tcBorders>
              <w:top w:val="nil"/>
              <w:bottom w:val="nil"/>
            </w:tcBorders>
          </w:tcPr>
          <w:p w:rsidR="00000000" w:rsidRDefault="00000000">
            <w:pPr>
              <w:spacing w:line="240" w:lineRule="auto"/>
              <w:jc w:val="center"/>
              <w:rPr>
                <w:lang w:val="en-US"/>
              </w:rPr>
            </w:pPr>
            <w:r>
              <w:rPr>
                <w:lang w:val="en-US"/>
              </w:rPr>
              <w:t>75,8</w:t>
            </w:r>
          </w:p>
        </w:tc>
        <w:tc>
          <w:tcPr>
            <w:tcW w:w="2091" w:type="dxa"/>
            <w:tcBorders>
              <w:top w:val="nil"/>
              <w:bottom w:val="nil"/>
            </w:tcBorders>
          </w:tcPr>
          <w:p w:rsidR="00000000" w:rsidRDefault="00000000">
            <w:pPr>
              <w:spacing w:line="240" w:lineRule="auto"/>
              <w:jc w:val="center"/>
              <w:rPr>
                <w:lang w:val="en-US"/>
              </w:rPr>
            </w:pPr>
            <w:r>
              <w:rPr>
                <w:lang w:val="en-US"/>
              </w:rPr>
              <w:t>0,7</w:t>
            </w:r>
          </w:p>
        </w:tc>
        <w:tc>
          <w:tcPr>
            <w:tcW w:w="2091" w:type="dxa"/>
            <w:tcBorders>
              <w:top w:val="nil"/>
              <w:bottom w:val="nil"/>
            </w:tcBorders>
          </w:tcPr>
          <w:p w:rsidR="00000000" w:rsidRDefault="00000000">
            <w:pPr>
              <w:spacing w:line="240" w:lineRule="auto"/>
              <w:jc w:val="center"/>
              <w:rPr>
                <w:lang w:val="en-US"/>
              </w:rPr>
            </w:pPr>
            <w:r>
              <w:rPr>
                <w:lang w:val="en-US"/>
              </w:rPr>
              <w:t>2,2</w:t>
            </w:r>
          </w:p>
        </w:tc>
      </w:tr>
      <w:tr w:rsidR="00000000">
        <w:tc>
          <w:tcPr>
            <w:tcW w:w="993" w:type="dxa"/>
            <w:tcBorders>
              <w:top w:val="nil"/>
              <w:bottom w:val="nil"/>
            </w:tcBorders>
          </w:tcPr>
          <w:p w:rsidR="00000000" w:rsidRDefault="00000000">
            <w:pPr>
              <w:spacing w:line="240" w:lineRule="auto"/>
              <w:jc w:val="center"/>
              <w:rPr>
                <w:lang w:val="en-US"/>
              </w:rPr>
            </w:pPr>
            <w:r>
              <w:rPr>
                <w:lang w:val="en-US"/>
              </w:rPr>
              <w:t>1990</w:t>
            </w:r>
          </w:p>
        </w:tc>
        <w:tc>
          <w:tcPr>
            <w:tcW w:w="1999" w:type="dxa"/>
            <w:tcBorders>
              <w:top w:val="nil"/>
              <w:bottom w:val="nil"/>
            </w:tcBorders>
          </w:tcPr>
          <w:p w:rsidR="00000000" w:rsidRDefault="00000000">
            <w:pPr>
              <w:spacing w:line="240" w:lineRule="auto"/>
              <w:jc w:val="center"/>
              <w:rPr>
                <w:lang w:val="en-US"/>
              </w:rPr>
            </w:pPr>
            <w:r>
              <w:rPr>
                <w:lang w:val="en-US"/>
              </w:rPr>
              <w:t>72,8</w:t>
            </w:r>
          </w:p>
        </w:tc>
        <w:tc>
          <w:tcPr>
            <w:tcW w:w="2182" w:type="dxa"/>
            <w:tcBorders>
              <w:top w:val="nil"/>
              <w:bottom w:val="nil"/>
            </w:tcBorders>
          </w:tcPr>
          <w:p w:rsidR="00000000" w:rsidRDefault="00000000">
            <w:pPr>
              <w:spacing w:line="240" w:lineRule="auto"/>
              <w:jc w:val="center"/>
              <w:rPr>
                <w:lang w:val="en-US"/>
              </w:rPr>
            </w:pPr>
            <w:r>
              <w:rPr>
                <w:lang w:val="en-US"/>
              </w:rPr>
              <w:t>22,3</w:t>
            </w:r>
          </w:p>
        </w:tc>
        <w:tc>
          <w:tcPr>
            <w:tcW w:w="2091" w:type="dxa"/>
            <w:tcBorders>
              <w:top w:val="nil"/>
              <w:bottom w:val="nil"/>
            </w:tcBorders>
          </w:tcPr>
          <w:p w:rsidR="00000000" w:rsidRDefault="00000000">
            <w:pPr>
              <w:spacing w:line="240" w:lineRule="auto"/>
              <w:jc w:val="center"/>
              <w:rPr>
                <w:lang w:val="en-US"/>
              </w:rPr>
            </w:pPr>
            <w:r>
              <w:rPr>
                <w:lang w:val="en-US"/>
              </w:rPr>
              <w:t>1,3</w:t>
            </w:r>
          </w:p>
        </w:tc>
        <w:tc>
          <w:tcPr>
            <w:tcW w:w="2091" w:type="dxa"/>
            <w:tcBorders>
              <w:top w:val="nil"/>
              <w:bottom w:val="nil"/>
            </w:tcBorders>
          </w:tcPr>
          <w:p w:rsidR="00000000" w:rsidRDefault="00000000">
            <w:pPr>
              <w:spacing w:line="240" w:lineRule="auto"/>
              <w:jc w:val="center"/>
              <w:rPr>
                <w:lang w:val="en-US"/>
              </w:rPr>
            </w:pPr>
            <w:r>
              <w:rPr>
                <w:lang w:val="en-US"/>
              </w:rPr>
              <w:t>2,5</w:t>
            </w:r>
          </w:p>
        </w:tc>
      </w:tr>
      <w:tr w:rsidR="00000000">
        <w:tc>
          <w:tcPr>
            <w:tcW w:w="993" w:type="dxa"/>
            <w:tcBorders>
              <w:top w:val="nil"/>
              <w:bottom w:val="nil"/>
            </w:tcBorders>
          </w:tcPr>
          <w:p w:rsidR="00000000" w:rsidRDefault="00000000">
            <w:pPr>
              <w:spacing w:line="240" w:lineRule="auto"/>
              <w:jc w:val="center"/>
              <w:rPr>
                <w:lang w:val="en-US"/>
              </w:rPr>
            </w:pPr>
            <w:r>
              <w:rPr>
                <w:lang w:val="en-US"/>
              </w:rPr>
              <w:t>1993</w:t>
            </w:r>
          </w:p>
        </w:tc>
        <w:tc>
          <w:tcPr>
            <w:tcW w:w="1999" w:type="dxa"/>
            <w:tcBorders>
              <w:top w:val="nil"/>
              <w:bottom w:val="nil"/>
            </w:tcBorders>
          </w:tcPr>
          <w:p w:rsidR="00000000" w:rsidRDefault="00000000">
            <w:pPr>
              <w:spacing w:line="240" w:lineRule="auto"/>
              <w:jc w:val="center"/>
              <w:rPr>
                <w:lang w:val="en-US"/>
              </w:rPr>
            </w:pPr>
            <w:r>
              <w:rPr>
                <w:lang w:val="en-US"/>
              </w:rPr>
              <w:t>339,0</w:t>
            </w:r>
          </w:p>
        </w:tc>
        <w:tc>
          <w:tcPr>
            <w:tcW w:w="2182" w:type="dxa"/>
            <w:tcBorders>
              <w:top w:val="nil"/>
              <w:bottom w:val="nil"/>
            </w:tcBorders>
          </w:tcPr>
          <w:p w:rsidR="00000000" w:rsidRDefault="00000000">
            <w:pPr>
              <w:spacing w:line="240" w:lineRule="auto"/>
              <w:jc w:val="center"/>
              <w:rPr>
                <w:lang w:val="en-US"/>
              </w:rPr>
            </w:pPr>
            <w:r>
              <w:rPr>
                <w:lang w:val="en-US"/>
              </w:rPr>
              <w:t>4,6</w:t>
            </w:r>
          </w:p>
        </w:tc>
        <w:tc>
          <w:tcPr>
            <w:tcW w:w="2091" w:type="dxa"/>
            <w:tcBorders>
              <w:top w:val="nil"/>
              <w:bottom w:val="nil"/>
            </w:tcBorders>
          </w:tcPr>
          <w:p w:rsidR="00000000" w:rsidRDefault="00000000">
            <w:pPr>
              <w:spacing w:line="240" w:lineRule="auto"/>
              <w:jc w:val="center"/>
              <w:rPr>
                <w:lang w:val="en-US"/>
              </w:rPr>
            </w:pPr>
            <w:r>
              <w:rPr>
                <w:lang w:val="en-US"/>
              </w:rPr>
              <w:t>1,2</w:t>
            </w:r>
          </w:p>
        </w:tc>
        <w:tc>
          <w:tcPr>
            <w:tcW w:w="2091" w:type="dxa"/>
            <w:tcBorders>
              <w:top w:val="nil"/>
              <w:bottom w:val="nil"/>
            </w:tcBorders>
          </w:tcPr>
          <w:p w:rsidR="00000000" w:rsidRDefault="00000000">
            <w:pPr>
              <w:spacing w:line="240" w:lineRule="auto"/>
              <w:jc w:val="center"/>
              <w:rPr>
                <w:lang w:val="en-US"/>
              </w:rPr>
            </w:pPr>
            <w:r>
              <w:rPr>
                <w:lang w:val="en-US"/>
              </w:rPr>
              <w:t>5,0</w:t>
            </w:r>
          </w:p>
        </w:tc>
      </w:tr>
      <w:tr w:rsidR="00000000">
        <w:tc>
          <w:tcPr>
            <w:tcW w:w="993" w:type="dxa"/>
            <w:tcBorders>
              <w:top w:val="nil"/>
              <w:bottom w:val="single" w:sz="4" w:space="0" w:color="auto"/>
            </w:tcBorders>
          </w:tcPr>
          <w:p w:rsidR="00000000" w:rsidRDefault="00000000">
            <w:pPr>
              <w:spacing w:line="240" w:lineRule="auto"/>
              <w:jc w:val="center"/>
              <w:rPr>
                <w:lang w:val="en-US"/>
              </w:rPr>
            </w:pPr>
            <w:r>
              <w:rPr>
                <w:lang w:val="en-US"/>
              </w:rPr>
              <w:t>1996</w:t>
            </w:r>
          </w:p>
        </w:tc>
        <w:tc>
          <w:tcPr>
            <w:tcW w:w="1999" w:type="dxa"/>
            <w:tcBorders>
              <w:top w:val="nil"/>
              <w:bottom w:val="single" w:sz="4" w:space="0" w:color="auto"/>
            </w:tcBorders>
          </w:tcPr>
          <w:p w:rsidR="00000000" w:rsidRDefault="00000000">
            <w:pPr>
              <w:keepNext/>
              <w:spacing w:line="240" w:lineRule="auto"/>
              <w:jc w:val="center"/>
              <w:rPr>
                <w:lang w:val="en-US"/>
              </w:rPr>
            </w:pPr>
            <w:r>
              <w:rPr>
                <w:lang w:val="en-US"/>
              </w:rPr>
              <w:t>456,1</w:t>
            </w:r>
          </w:p>
        </w:tc>
        <w:tc>
          <w:tcPr>
            <w:tcW w:w="2182" w:type="dxa"/>
            <w:tcBorders>
              <w:top w:val="nil"/>
              <w:bottom w:val="single" w:sz="4" w:space="0" w:color="auto"/>
            </w:tcBorders>
          </w:tcPr>
          <w:p w:rsidR="00000000" w:rsidRDefault="00000000">
            <w:pPr>
              <w:keepNext/>
              <w:spacing w:line="240" w:lineRule="auto"/>
              <w:jc w:val="center"/>
              <w:rPr>
                <w:lang w:val="en-US"/>
              </w:rPr>
            </w:pPr>
            <w:r>
              <w:rPr>
                <w:lang w:val="en-US"/>
              </w:rPr>
              <w:t>66,0</w:t>
            </w:r>
          </w:p>
        </w:tc>
        <w:tc>
          <w:tcPr>
            <w:tcW w:w="2091" w:type="dxa"/>
            <w:tcBorders>
              <w:top w:val="nil"/>
              <w:bottom w:val="single" w:sz="4" w:space="0" w:color="auto"/>
            </w:tcBorders>
          </w:tcPr>
          <w:p w:rsidR="00000000" w:rsidRDefault="00000000">
            <w:pPr>
              <w:keepNext/>
              <w:spacing w:line="240" w:lineRule="auto"/>
              <w:jc w:val="center"/>
            </w:pPr>
            <w:r>
              <w:rPr>
                <w:lang w:val="en-US"/>
              </w:rPr>
              <w:t>3,</w:t>
            </w:r>
          </w:p>
          <w:p w:rsidR="00000000" w:rsidRDefault="00000000">
            <w:pPr>
              <w:keepNext/>
              <w:spacing w:line="240" w:lineRule="auto"/>
              <w:jc w:val="center"/>
            </w:pPr>
            <w:r>
              <w:t>4,4</w:t>
            </w:r>
          </w:p>
        </w:tc>
        <w:tc>
          <w:tcPr>
            <w:tcW w:w="2091" w:type="dxa"/>
            <w:tcBorders>
              <w:top w:val="nil"/>
              <w:bottom w:val="single" w:sz="4" w:space="0" w:color="auto"/>
            </w:tcBorders>
          </w:tcPr>
          <w:p w:rsidR="00000000" w:rsidRDefault="00000000">
            <w:pPr>
              <w:keepNext/>
              <w:spacing w:line="240" w:lineRule="auto"/>
              <w:jc w:val="center"/>
            </w:pPr>
            <w:r>
              <w:rPr>
                <w:lang w:val="en-US"/>
              </w:rPr>
              <w:t>17,1</w:t>
            </w:r>
          </w:p>
          <w:p w:rsidR="00000000" w:rsidRDefault="00000000">
            <w:pPr>
              <w:keepNext/>
              <w:spacing w:line="240" w:lineRule="auto"/>
              <w:jc w:val="center"/>
            </w:pPr>
            <w:r>
              <w:t>19,6</w:t>
            </w:r>
          </w:p>
        </w:tc>
      </w:tr>
    </w:tbl>
    <w:p w:rsidR="00000000" w:rsidRDefault="00000000">
      <w:pPr>
        <w:rPr>
          <w:sz w:val="18"/>
          <w:lang w:val="en-US"/>
        </w:rPr>
      </w:pPr>
    </w:p>
    <w:p w:rsidR="00000000" w:rsidRDefault="00000000">
      <w:pPr>
        <w:spacing w:line="216" w:lineRule="auto"/>
      </w:pPr>
      <w:r>
        <w:rPr>
          <w:lang w:val="en-US"/>
        </w:rPr>
        <w:tab/>
      </w:r>
      <w:r>
        <w:rPr>
          <w:i/>
          <w:iCs/>
        </w:rPr>
        <w:t>Источник</w:t>
      </w:r>
      <w:r>
        <w:t xml:space="preserve">:  Национальное управление документации и информации.  </w:t>
      </w:r>
      <w:r>
        <w:rPr>
          <w:i/>
          <w:iCs/>
        </w:rPr>
        <w:t>Развитие человеческого потенциала в Джамахирии, 1999</w:t>
      </w:r>
      <w:r>
        <w:rPr>
          <w:i/>
          <w:iCs/>
          <w:lang w:val="en-US"/>
        </w:rPr>
        <w:t> </w:t>
      </w:r>
      <w:r>
        <w:rPr>
          <w:i/>
          <w:iCs/>
        </w:rPr>
        <w:t>год</w:t>
      </w:r>
      <w:r>
        <w:t>.</w:t>
      </w:r>
    </w:p>
    <w:p w:rsidR="00000000" w:rsidRDefault="00000000">
      <w:pPr>
        <w:spacing w:line="240" w:lineRule="auto"/>
      </w:pPr>
    </w:p>
    <w:p w:rsidR="00000000" w:rsidRDefault="00000000">
      <w:pPr>
        <w:keepNext/>
        <w:rPr>
          <w:b/>
          <w:bCs/>
        </w:rPr>
      </w:pPr>
      <w:r>
        <w:rPr>
          <w:b/>
          <w:bCs/>
        </w:rPr>
        <w:t>Пункт 4:  Детская смертность</w:t>
      </w:r>
    </w:p>
    <w:p w:rsidR="00000000" w:rsidRDefault="00000000">
      <w:pPr>
        <w:keepNext/>
        <w:rPr>
          <w:b/>
          <w:bCs/>
        </w:rPr>
      </w:pPr>
    </w:p>
    <w:p w:rsidR="00000000" w:rsidRDefault="00000000">
      <w:pPr>
        <w:keepNext/>
      </w:pPr>
      <w:r>
        <w:rPr>
          <w:b/>
          <w:bCs/>
        </w:rPr>
        <w:t>Подпункт а)</w:t>
      </w:r>
    </w:p>
    <w:p w:rsidR="00000000" w:rsidRDefault="00000000">
      <w:pPr>
        <w:keepNext/>
      </w:pPr>
    </w:p>
    <w:p w:rsidR="00000000" w:rsidRDefault="00000000">
      <w:r>
        <w:t>96.</w:t>
      </w:r>
      <w:r>
        <w:tab/>
        <w:t>Показатели детской смертности приводятся в разделе, посвященном общим показателям здравоохранения.</w:t>
      </w:r>
    </w:p>
    <w:p w:rsidR="00000000" w:rsidRDefault="00000000"/>
    <w:p w:rsidR="00000000" w:rsidRDefault="00000000">
      <w:pPr>
        <w:keepNext/>
      </w:pPr>
      <w:r>
        <w:rPr>
          <w:b/>
          <w:bCs/>
        </w:rPr>
        <w:t xml:space="preserve">Подпункт </w:t>
      </w:r>
      <w:r>
        <w:rPr>
          <w:b/>
          <w:bCs/>
          <w:lang w:val="en-US"/>
        </w:rPr>
        <w:t>b</w:t>
      </w:r>
      <w:r>
        <w:rPr>
          <w:b/>
          <w:bCs/>
        </w:rPr>
        <w:t>)</w:t>
      </w:r>
    </w:p>
    <w:p w:rsidR="00000000" w:rsidRDefault="00000000">
      <w:pPr>
        <w:keepNext/>
      </w:pPr>
    </w:p>
    <w:p w:rsidR="00000000" w:rsidRDefault="00000000">
      <w:r>
        <w:t>97.</w:t>
      </w:r>
      <w:r>
        <w:tab/>
        <w:t xml:space="preserve">Что касается доступа к чистой воде, то согласно данным, приведенным в </w:t>
      </w:r>
      <w:r>
        <w:rPr>
          <w:i/>
          <w:iCs/>
        </w:rPr>
        <w:t>Докладе о развитии человеческого потенциала</w:t>
      </w:r>
      <w:r>
        <w:t xml:space="preserve"> за 2000 год, доступа к чистой воде в 1998 году не имело 3% населения.  Это означает, что 97% жителей сельских районов и городов имели доступ к чистой воде.</w:t>
      </w:r>
    </w:p>
    <w:p w:rsidR="00000000" w:rsidRDefault="00000000"/>
    <w:p w:rsidR="00000000" w:rsidRDefault="00000000">
      <w:pPr>
        <w:keepNext/>
      </w:pPr>
      <w:r>
        <w:rPr>
          <w:b/>
          <w:bCs/>
        </w:rPr>
        <w:t>Подпункт с)</w:t>
      </w:r>
    </w:p>
    <w:p w:rsidR="00000000" w:rsidRDefault="00000000">
      <w:pPr>
        <w:keepNext/>
      </w:pPr>
    </w:p>
    <w:p w:rsidR="00000000" w:rsidRDefault="00000000">
      <w:r>
        <w:t>98.</w:t>
      </w:r>
      <w:r>
        <w:tab/>
        <w:t>Что касается надлежащих санитарно-технических средств, то, как указывается в том же докладе, доступа к таким средствам не имеют лишь 2% населения, а 98% жителей такой доступ обеспечен, причем общество гарантирует это право безотносительно к тому, идет ли речь о сельской местности или о городах</w:t>
      </w:r>
      <w:r>
        <w:rPr>
          <w:b/>
          <w:bCs/>
          <w:vertAlign w:val="superscript"/>
        </w:rPr>
        <w:t>8</w:t>
      </w:r>
      <w:r>
        <w:t>.</w:t>
      </w:r>
    </w:p>
    <w:p w:rsidR="00000000" w:rsidRDefault="00000000"/>
    <w:p w:rsidR="00000000" w:rsidRDefault="00000000">
      <w:pPr>
        <w:keepNext/>
      </w:pPr>
      <w:r>
        <w:rPr>
          <w:b/>
          <w:bCs/>
        </w:rPr>
        <w:t xml:space="preserve">Подпункт </w:t>
      </w:r>
      <w:r>
        <w:rPr>
          <w:b/>
          <w:bCs/>
          <w:lang w:val="en-US"/>
        </w:rPr>
        <w:t>d</w:t>
      </w:r>
      <w:r>
        <w:rPr>
          <w:b/>
          <w:bCs/>
        </w:rPr>
        <w:t>)</w:t>
      </w:r>
    </w:p>
    <w:p w:rsidR="00000000" w:rsidRDefault="00000000">
      <w:pPr>
        <w:keepNext/>
      </w:pPr>
    </w:p>
    <w:p w:rsidR="00000000" w:rsidRDefault="00000000">
      <w:r>
        <w:t>99.</w:t>
      </w:r>
      <w:r>
        <w:tab/>
        <w:t>Что касается иммунизации младенцев от дифтерии, коклюша, столбняка, кори и полиомиелита, то согласно данным Статистического ежегодника за 2002 год вакцинацией от этих болезней охвачены 92,4% младенцев в городах и 91,7% в сельской местности, что в среднем соответствует показателю в 92,2%</w:t>
      </w:r>
      <w:r>
        <w:rPr>
          <w:b/>
          <w:bCs/>
          <w:vertAlign w:val="superscript"/>
        </w:rPr>
        <w:t>9</w:t>
      </w:r>
      <w:r>
        <w:t>.  Совместными усилиями по линии общественных инициатив, медицинских кооперативов и Кампании по иммунизации в странах Магриба велась работа по информированию населения о важности иммунизации.  Наряду с этим ливийское законодательство (Закон о здравоохранении и относящиеся к нему подзаконные акты) обязывает законных опекунов следить за своевременной вакцинацией детей и устанавливает штрафные санкции за невыполнение этого требования.</w:t>
      </w:r>
    </w:p>
    <w:p w:rsidR="00000000" w:rsidRDefault="00000000"/>
    <w:p w:rsidR="00000000" w:rsidRDefault="00000000">
      <w:r>
        <w:t>100.</w:t>
      </w:r>
      <w:r>
        <w:tab/>
        <w:t xml:space="preserve">В свете этих и иных показателей, касающихся права на питание и медицинскую помощь, в </w:t>
      </w:r>
      <w:r>
        <w:rPr>
          <w:i/>
          <w:iCs/>
        </w:rPr>
        <w:t>Докладе ПРООН о развитии человеческого потенциала</w:t>
      </w:r>
      <w:r>
        <w:t xml:space="preserve"> Ливия поставлена в один ряд с другими странами, достигшими достойного уровня устойчивого развития человеческого потенциала.  По шкале от 0 до 1 Ливия получила 0,806 балла, заняв в 1998 году 64</w:t>
      </w:r>
      <w:r>
        <w:noBreakHyphen/>
        <w:t>е место среди в общей сложности 174 государств.</w:t>
      </w:r>
    </w:p>
    <w:p w:rsidR="00000000" w:rsidRDefault="00000000"/>
    <w:p w:rsidR="00000000" w:rsidRDefault="00000000">
      <w:pPr>
        <w:keepNext/>
      </w:pPr>
      <w:r>
        <w:rPr>
          <w:b/>
          <w:bCs/>
        </w:rPr>
        <w:t>Пункт е)</w:t>
      </w:r>
    </w:p>
    <w:p w:rsidR="00000000" w:rsidRDefault="00000000">
      <w:pPr>
        <w:keepNext/>
      </w:pPr>
    </w:p>
    <w:p w:rsidR="00000000" w:rsidRDefault="00000000">
      <w:r>
        <w:t>101.</w:t>
      </w:r>
      <w:r>
        <w:tab/>
        <w:t>Ожидаемая продолжительность жизни (на момент рождения) составляла в 1998 году 70,2 года</w:t>
      </w:r>
      <w:r>
        <w:rPr>
          <w:b/>
          <w:bCs/>
          <w:vertAlign w:val="superscript"/>
        </w:rPr>
        <w:t>10</w:t>
      </w:r>
      <w:r>
        <w:t xml:space="preserve"> по сравнению с примерно 46 годами в 1970 году.  В национальном докладе о развитии человеческого потенциала такие успехи объясняются действием ряда факторов, в том числе переменами в инфраструктуре здравоохранения и ориентацией политики в области здравоохранения на максимальный охват населения надлежащим медицинским обслуживанием.  Сейчас доля охваченного населения приближается к 95% по сравнению с 45% в 1973 году.</w:t>
      </w:r>
    </w:p>
    <w:p w:rsidR="00000000" w:rsidRDefault="00000000"/>
    <w:p w:rsidR="00000000" w:rsidRDefault="00000000">
      <w:pPr>
        <w:keepNext/>
        <w:rPr>
          <w:b/>
          <w:bCs/>
        </w:rPr>
      </w:pPr>
      <w:r>
        <w:rPr>
          <w:b/>
          <w:bCs/>
        </w:rPr>
        <w:t xml:space="preserve">Пункт </w:t>
      </w:r>
      <w:r>
        <w:rPr>
          <w:b/>
          <w:bCs/>
          <w:lang w:val="en-US"/>
        </w:rPr>
        <w:t>f</w:t>
      </w:r>
      <w:r>
        <w:rPr>
          <w:b/>
          <w:bCs/>
        </w:rPr>
        <w:t>)</w:t>
      </w:r>
    </w:p>
    <w:p w:rsidR="00000000" w:rsidRDefault="00000000">
      <w:pPr>
        <w:keepNext/>
        <w:rPr>
          <w:b/>
          <w:bCs/>
        </w:rPr>
      </w:pPr>
    </w:p>
    <w:p w:rsidR="00000000" w:rsidRDefault="00000000">
      <w:r>
        <w:t>102.</w:t>
      </w:r>
      <w:r>
        <w:tab/>
        <w:t>Имеющиеся данные свидетельствуют о том, что доля населения, имеющего доступ к медицинской помощи, оказываемой квалифицированным персоналом, в любой области медицины превышает 95% и, возможно, достигает 100% в городах.</w:t>
      </w:r>
    </w:p>
    <w:p w:rsidR="00000000" w:rsidRDefault="00000000"/>
    <w:p w:rsidR="00000000" w:rsidRDefault="00000000">
      <w:pPr>
        <w:keepNext/>
      </w:pPr>
      <w:r>
        <w:rPr>
          <w:b/>
          <w:bCs/>
        </w:rPr>
        <w:t xml:space="preserve">Пункт </w:t>
      </w:r>
      <w:r>
        <w:rPr>
          <w:b/>
          <w:bCs/>
          <w:lang w:val="en-US"/>
        </w:rPr>
        <w:t>g</w:t>
      </w:r>
      <w:r>
        <w:rPr>
          <w:b/>
          <w:bCs/>
        </w:rPr>
        <w:t>)</w:t>
      </w:r>
    </w:p>
    <w:p w:rsidR="00000000" w:rsidRDefault="00000000">
      <w:pPr>
        <w:keepNext/>
      </w:pPr>
    </w:p>
    <w:p w:rsidR="00000000" w:rsidRDefault="00000000">
      <w:r>
        <w:t>103.</w:t>
      </w:r>
      <w:r>
        <w:tab/>
        <w:t>Согласно статистическим данным за 1999 год, собранным Высшим народным комитетом по вопросам здравоохранения</w:t>
      </w:r>
      <w:r>
        <w:rPr>
          <w:b/>
          <w:bCs/>
          <w:vertAlign w:val="superscript"/>
        </w:rPr>
        <w:t>11</w:t>
      </w:r>
      <w:r>
        <w:t>, 99% беременных женщин имели возможность пользоваться услугами квалифицированного персонала во время беременности.  Материнская смертность при родах в тот же год составила 30 смертей на 10 000 живорождений.</w:t>
      </w:r>
    </w:p>
    <w:p w:rsidR="00000000" w:rsidRDefault="00000000"/>
    <w:p w:rsidR="00000000" w:rsidRDefault="00000000">
      <w:pPr>
        <w:keepNext/>
      </w:pPr>
      <w:r>
        <w:rPr>
          <w:b/>
          <w:bCs/>
        </w:rPr>
        <w:t xml:space="preserve">Пункт </w:t>
      </w:r>
      <w:r>
        <w:rPr>
          <w:b/>
          <w:bCs/>
          <w:lang w:val="en-US"/>
        </w:rPr>
        <w:t>h</w:t>
      </w:r>
      <w:r>
        <w:rPr>
          <w:b/>
          <w:bCs/>
        </w:rPr>
        <w:t>)</w:t>
      </w:r>
    </w:p>
    <w:p w:rsidR="00000000" w:rsidRDefault="00000000">
      <w:pPr>
        <w:keepNext/>
      </w:pPr>
    </w:p>
    <w:p w:rsidR="00000000" w:rsidRDefault="00000000">
      <w:r>
        <w:t>104.</w:t>
      </w:r>
      <w:r>
        <w:tab/>
        <w:t>Доля детей, имеющих возможность пользоваться услугами квалифицированного персонала при лечении, составила более 98% в городах и около 96% в сельской местности.</w:t>
      </w:r>
    </w:p>
    <w:p w:rsidR="00000000" w:rsidRDefault="00000000"/>
    <w:p w:rsidR="00000000" w:rsidRDefault="00000000">
      <w:pPr>
        <w:keepNext/>
      </w:pPr>
      <w:r>
        <w:rPr>
          <w:b/>
          <w:bCs/>
        </w:rPr>
        <w:t>Пункт 5</w:t>
      </w:r>
    </w:p>
    <w:p w:rsidR="00000000" w:rsidRDefault="00000000">
      <w:pPr>
        <w:keepNext/>
      </w:pPr>
    </w:p>
    <w:p w:rsidR="00000000" w:rsidRDefault="00000000">
      <w:r>
        <w:t>105.</w:t>
      </w:r>
      <w:r>
        <w:tab/>
        <w:t>Наркозависимые и лица, инфицированные ВИЧ/СПИДом, находятся в гораздо более худшем положении по сравнению с остальными лицами;  впрочем, по статистическим данным, приведенным в подготовленном в 1999 году национальном докладе о развитии человеческого потенциала, число лиц, проходящих лечение по поводу ВИЧ/СПИДа, не превышало 500.</w:t>
      </w:r>
    </w:p>
    <w:p w:rsidR="00000000" w:rsidRDefault="00000000"/>
    <w:p w:rsidR="00000000" w:rsidRDefault="00000000">
      <w:pPr>
        <w:keepNext/>
      </w:pPr>
      <w:r>
        <w:rPr>
          <w:b/>
          <w:bCs/>
        </w:rPr>
        <w:t>Подпункт а)</w:t>
      </w:r>
    </w:p>
    <w:p w:rsidR="00000000" w:rsidRDefault="00000000">
      <w:pPr>
        <w:keepNext/>
      </w:pPr>
    </w:p>
    <w:p w:rsidR="00000000" w:rsidRDefault="00000000">
      <w:r>
        <w:t>106.</w:t>
      </w:r>
      <w:r>
        <w:tab/>
        <w:t>Следует отметить, что проводимая политика предусматривает уважение прав этих групп лиц, и любые изменения в этой политике положительно отразились на состоянии их здоровья.</w:t>
      </w:r>
    </w:p>
    <w:p w:rsidR="00000000" w:rsidRDefault="00000000"/>
    <w:p w:rsidR="00000000" w:rsidRDefault="00000000">
      <w:pPr>
        <w:keepNext/>
      </w:pPr>
      <w:r>
        <w:rPr>
          <w:b/>
          <w:bCs/>
        </w:rPr>
        <w:t xml:space="preserve">Подпункт </w:t>
      </w:r>
      <w:r>
        <w:rPr>
          <w:b/>
          <w:bCs/>
          <w:lang w:val="en-US"/>
        </w:rPr>
        <w:t>b</w:t>
      </w:r>
      <w:r>
        <w:rPr>
          <w:b/>
          <w:bCs/>
        </w:rPr>
        <w:t>)</w:t>
      </w:r>
    </w:p>
    <w:p w:rsidR="00000000" w:rsidRDefault="00000000">
      <w:pPr>
        <w:keepNext/>
      </w:pPr>
    </w:p>
    <w:p w:rsidR="00000000" w:rsidRDefault="00000000">
      <w:r>
        <w:t>107.</w:t>
      </w:r>
      <w:r>
        <w:tab/>
        <w:t>Проводимая политика основана на признании права этих групп на защиту, лечение и реабилитацию.  Созданы центры для лечения наркозависимых и ухода за пациентами с ВИЧ/СПИДом.  Государство ведет работу по повышению информированности об опасности наркотиков и ВИЧ/СПИДа в рамках информационно-консультативной программы по проблемам здоровья, которая была разработана в целях реализации политики в области здравоохранения и осуществления Закона о здравоохранении.</w:t>
      </w:r>
    </w:p>
    <w:p w:rsidR="00000000" w:rsidRDefault="00000000"/>
    <w:p w:rsidR="00000000" w:rsidRDefault="00000000">
      <w:pPr>
        <w:keepNext/>
      </w:pPr>
      <w:r>
        <w:rPr>
          <w:b/>
          <w:bCs/>
        </w:rPr>
        <w:t>Подпункт с)</w:t>
      </w:r>
    </w:p>
    <w:p w:rsidR="00000000" w:rsidRDefault="00000000">
      <w:pPr>
        <w:keepNext/>
      </w:pPr>
    </w:p>
    <w:p w:rsidR="00000000" w:rsidRDefault="00000000">
      <w:r>
        <w:t>108.</w:t>
      </w:r>
      <w:r>
        <w:tab/>
        <w:t>Государственная политика предусматривает принятие ряда мер, касающихся групп населения, о которых говорится в пункте 5.  К числу этих мер относятся:</w:t>
      </w:r>
    </w:p>
    <w:p w:rsidR="00000000" w:rsidRDefault="00000000"/>
    <w:p w:rsidR="00000000" w:rsidRDefault="00000000">
      <w:pPr>
        <w:numPr>
          <w:ilvl w:val="0"/>
          <w:numId w:val="60"/>
        </w:numPr>
      </w:pPr>
      <w:r>
        <w:t>требование о том, чтобы граждане и неграждане предъявляли медицинские справки, свидетельствующие об отсутствии у них каких-либо инфекционных заболеваний, особенно ВИЧ/СПИДа;</w:t>
      </w:r>
    </w:p>
    <w:p w:rsidR="00000000" w:rsidRDefault="00000000">
      <w:pPr>
        <w:tabs>
          <w:tab w:val="clear" w:pos="1134"/>
        </w:tabs>
      </w:pPr>
    </w:p>
    <w:p w:rsidR="00000000" w:rsidRDefault="00000000">
      <w:pPr>
        <w:numPr>
          <w:ilvl w:val="0"/>
          <w:numId w:val="60"/>
        </w:numPr>
      </w:pPr>
      <w:r>
        <w:t>требование о том, чтобы студенты на различных этапах обучения предъявляли справки, свидетельствующие об отсутствии у них каких-либо инфекционных заболеваний;</w:t>
      </w:r>
    </w:p>
    <w:p w:rsidR="00000000" w:rsidRDefault="00000000">
      <w:pPr>
        <w:tabs>
          <w:tab w:val="clear" w:pos="1134"/>
        </w:tabs>
      </w:pPr>
    </w:p>
    <w:p w:rsidR="00000000" w:rsidRDefault="00000000">
      <w:pPr>
        <w:numPr>
          <w:ilvl w:val="0"/>
          <w:numId w:val="60"/>
        </w:numPr>
      </w:pPr>
      <w:r>
        <w:t>требование о том, чтобы иностранцы, особенно незаконные иммигранты, проходили медицинское обследование;</w:t>
      </w:r>
    </w:p>
    <w:p w:rsidR="00000000" w:rsidRDefault="00000000">
      <w:pPr>
        <w:tabs>
          <w:tab w:val="clear" w:pos="1134"/>
        </w:tabs>
      </w:pPr>
    </w:p>
    <w:p w:rsidR="00000000" w:rsidRDefault="00000000">
      <w:pPr>
        <w:numPr>
          <w:ilvl w:val="0"/>
          <w:numId w:val="60"/>
        </w:numPr>
      </w:pPr>
      <w:r>
        <w:t>проведение инспекций в пекарнях и на других объектах, где производятся продукты питания и другие товары продовольственного назначения, на предмет проверки состояния здоровья их работников;</w:t>
      </w:r>
    </w:p>
    <w:p w:rsidR="00000000" w:rsidRDefault="00000000">
      <w:pPr>
        <w:tabs>
          <w:tab w:val="clear" w:pos="1134"/>
        </w:tabs>
      </w:pPr>
    </w:p>
    <w:p w:rsidR="00000000" w:rsidRDefault="00000000">
      <w:pPr>
        <w:numPr>
          <w:ilvl w:val="0"/>
          <w:numId w:val="60"/>
        </w:numPr>
      </w:pPr>
      <w:r>
        <w:t>активизация кампаний против наркотиков, ужесточение пограничного контроля и выявление, арест и судебное преследование наркодельцов.</w:t>
      </w:r>
    </w:p>
    <w:p w:rsidR="00000000" w:rsidRDefault="00000000">
      <w:pPr>
        <w:tabs>
          <w:tab w:val="clear" w:pos="1134"/>
        </w:tabs>
      </w:pPr>
    </w:p>
    <w:p w:rsidR="00000000" w:rsidRDefault="00000000">
      <w:r>
        <w:t>109.</w:t>
      </w:r>
      <w:r>
        <w:tab/>
        <w:t>Благодаря всем вышеупомянутым мерам удалось предотвратить вспышки эпидемий, а также ограничить масштабы употребления наркотиков и число наркозависимых.</w:t>
      </w:r>
    </w:p>
    <w:p w:rsidR="00000000" w:rsidRDefault="00000000"/>
    <w:p w:rsidR="00000000" w:rsidRDefault="00000000">
      <w:r>
        <w:t>110.</w:t>
      </w:r>
      <w:r>
        <w:tab/>
        <w:t>Следует отметить, что наиболее высокие показатели заболеваемости малярией и ВИЧ/СПИДом наблюдаются среди людей, въехавших в страну незаконно.  В 70</w:t>
      </w:r>
      <w:r>
        <w:noBreakHyphen/>
        <w:t>х годах на их долю приходилось 65% всех случаев заболевания малярией.  Те из них, кто болен СПИДом, имеют право на бесплатное лечение на тех же условиях, что и ливийские граждане, однако те, кто представляют угрозу для общества, подлежат возвращению за счет Ливии в свою страну происхождения в соответствии с договорами, заключенными с соответствующим государством.  Едва ли это можно назвать дискриминацией.</w:t>
      </w:r>
    </w:p>
    <w:p w:rsidR="00000000" w:rsidRDefault="00000000"/>
    <w:p w:rsidR="00000000" w:rsidRDefault="00000000">
      <w:r>
        <w:rPr>
          <w:b/>
          <w:bCs/>
        </w:rPr>
        <w:t>Подпункт </w:t>
      </w:r>
      <w:r>
        <w:rPr>
          <w:b/>
          <w:bCs/>
          <w:lang w:val="en-US"/>
        </w:rPr>
        <w:t>d</w:t>
      </w:r>
      <w:r>
        <w:rPr>
          <w:b/>
          <w:bCs/>
        </w:rPr>
        <w:t>)</w:t>
      </w:r>
    </w:p>
    <w:p w:rsidR="00000000" w:rsidRDefault="00000000"/>
    <w:p w:rsidR="00000000" w:rsidRDefault="00000000">
      <w:r>
        <w:t>111.</w:t>
      </w:r>
      <w:r>
        <w:tab/>
        <w:t>Благодаря предпринятым мерам по ограничению распространения ВИЧ/СПИДа темпы распространения инфекции удалось сдержать.  Кроме того, был создан центр инфекционных заболеваний, где этой проблеме уделяется приоритетное внимание.  Во взаимодействии с отделением ПРООН в Ливии этот центр активизировал свои усилия по предупреждению распространения этой страшной инфекции.</w:t>
      </w:r>
    </w:p>
    <w:p w:rsidR="00000000" w:rsidRDefault="00000000"/>
    <w:p w:rsidR="00000000" w:rsidRDefault="00000000">
      <w:pPr>
        <w:rPr>
          <w:b/>
          <w:bCs/>
        </w:rPr>
      </w:pPr>
      <w:r>
        <w:rPr>
          <w:b/>
          <w:bCs/>
        </w:rPr>
        <w:t>Подпункт е)</w:t>
      </w:r>
    </w:p>
    <w:p w:rsidR="00000000" w:rsidRDefault="00000000">
      <w:pPr>
        <w:rPr>
          <w:b/>
          <w:bCs/>
        </w:rPr>
      </w:pPr>
    </w:p>
    <w:p w:rsidR="00000000" w:rsidRDefault="00000000">
      <w:r>
        <w:t>112.</w:t>
      </w:r>
      <w:r>
        <w:tab/>
        <w:t xml:space="preserve">В женских и детских медицинских центрах проводятся регулярные предродовые обследования и оказываются надлежащие медицинские услуги в связи с любыми проблемами, которые могут возникнуть в период беременности.  Как указывается в </w:t>
      </w:r>
      <w:r>
        <w:rPr>
          <w:i/>
          <w:iCs/>
        </w:rPr>
        <w:t>Докладе о развитии человеческого потенциала за 2000 год,</w:t>
      </w:r>
      <w:r>
        <w:t xml:space="preserve"> это способствовало снижению числа случаев мертворождений со 105 на 1 000 родов в 1970 году до 20 в 1998 году.  С 1990 по 1998 год показатель смертности среди новорожденных также снизился до уровня в 75 на 100 000 живорождений.  Это же касается коэффициента детской смертности, который сократился со 160 на 1 000 живорождений в 1970 году до 24 в 1998 году.</w:t>
      </w:r>
    </w:p>
    <w:p w:rsidR="00000000" w:rsidRDefault="00000000"/>
    <w:p w:rsidR="00000000" w:rsidRDefault="00000000">
      <w:pPr>
        <w:rPr>
          <w:b/>
          <w:bCs/>
        </w:rPr>
      </w:pPr>
      <w:r>
        <w:rPr>
          <w:b/>
          <w:bCs/>
        </w:rPr>
        <w:t xml:space="preserve">Подпункт f) </w:t>
      </w:r>
    </w:p>
    <w:p w:rsidR="00000000" w:rsidRDefault="00000000">
      <w:pPr>
        <w:rPr>
          <w:b/>
          <w:bCs/>
        </w:rPr>
      </w:pPr>
    </w:p>
    <w:p w:rsidR="00000000" w:rsidRDefault="00000000">
      <w:r>
        <w:t>113.</w:t>
      </w:r>
      <w:r>
        <w:tab/>
        <w:t>Агентство по охране окружающей среды, Агентство по продовольственным продуктам и медикаментам и Агентство по инспектированию медицинских учреждений следят за реализацией политики охраны окружающей среды и гигиены труда и проверяют соблюдение правил техники безопасности.  Все лица, страдающие профессиональными заболеваниями или получившие производственные травмы, охвачены программами Фонда социального обеспечения.</w:t>
      </w:r>
    </w:p>
    <w:p w:rsidR="00000000" w:rsidRDefault="00000000"/>
    <w:p w:rsidR="00000000" w:rsidRDefault="00000000">
      <w:pPr>
        <w:rPr>
          <w:b/>
          <w:bCs/>
        </w:rPr>
      </w:pPr>
      <w:r>
        <w:rPr>
          <w:b/>
          <w:bCs/>
        </w:rPr>
        <w:t xml:space="preserve">Подпункт g) </w:t>
      </w:r>
    </w:p>
    <w:p w:rsidR="00000000" w:rsidRDefault="00000000">
      <w:pPr>
        <w:rPr>
          <w:b/>
          <w:bCs/>
        </w:rPr>
      </w:pPr>
    </w:p>
    <w:p w:rsidR="00000000" w:rsidRDefault="00000000">
      <w:r>
        <w:t>114.</w:t>
      </w:r>
      <w:r>
        <w:tab/>
        <w:t>Для предотвращения распространения эпидемических, эндемических, профессиональных и прочих заболеваний Ливийской Арабской Джамахирией были реализованы следующие меры:</w:t>
      </w:r>
    </w:p>
    <w:p w:rsidR="00000000" w:rsidRDefault="00000000"/>
    <w:p w:rsidR="00000000" w:rsidRDefault="00000000">
      <w:pPr>
        <w:numPr>
          <w:ilvl w:val="0"/>
          <w:numId w:val="61"/>
        </w:numPr>
      </w:pPr>
      <w:r>
        <w:t>принято законодательство об обязательной вакцинации против этих заболеваний и предусмотрена уголовная ответственность за несоблюдение этих требований;  приняты законы о профилактических мерах и профилактическом лечении, а также о контроле за качеством пищевых продуктов;  введены правила, касающиеся применения пестицидов;  приняты законы о гигиене труда и технике безопасности;</w:t>
      </w:r>
    </w:p>
    <w:p w:rsidR="00000000" w:rsidRDefault="00000000">
      <w:pPr>
        <w:ind w:left="1134" w:hanging="567"/>
      </w:pPr>
    </w:p>
    <w:p w:rsidR="00000000" w:rsidRDefault="00000000">
      <w:pPr>
        <w:numPr>
          <w:ilvl w:val="0"/>
          <w:numId w:val="61"/>
        </w:numPr>
      </w:pPr>
      <w:r>
        <w:t>Высшим институтом по вопросам охраны здоровья трудящихся, экологической безопасности и гигиены организована подготовка экспертов в этой области;</w:t>
      </w:r>
    </w:p>
    <w:p w:rsidR="00000000" w:rsidRDefault="00000000">
      <w:pPr>
        <w:ind w:left="1134" w:hanging="567"/>
      </w:pPr>
    </w:p>
    <w:p w:rsidR="00000000" w:rsidRDefault="00000000">
      <w:pPr>
        <w:numPr>
          <w:ilvl w:val="0"/>
          <w:numId w:val="61"/>
        </w:numPr>
      </w:pPr>
      <w:r>
        <w:t>специализированными кафедрами университетов и другими вузами организована подготовка медицинского и фельдшерского персонала по вопросам реализации мер, направленных на профилактику и искоренение инфекционных и заразных болезней;</w:t>
      </w:r>
    </w:p>
    <w:p w:rsidR="00000000" w:rsidRDefault="00000000">
      <w:pPr>
        <w:ind w:left="1134" w:hanging="567"/>
      </w:pPr>
    </w:p>
    <w:p w:rsidR="00000000" w:rsidRDefault="00000000">
      <w:pPr>
        <w:numPr>
          <w:ilvl w:val="0"/>
          <w:numId w:val="61"/>
        </w:numPr>
      </w:pPr>
      <w:r>
        <w:t>в каждом шабияте страны выполнялась программа медицинского просвещения населения, в рамках которой уделялось особое внимание вопросам, касающимся эпидемии ВИЧ/СПИДа, гепатита и т.п.  В этой связи хотелось бы отметить первую национальную кампанию по повышению информированности общественности, спонсорами которой выступили секретариат Высшего народного комитета по вопросам юстиции и общественной безопасности и факультет права университета "Аль-Фатех" и которая осуществлялась совместно с рядом неправительственных организаций и частных объединений;</w:t>
      </w:r>
    </w:p>
    <w:p w:rsidR="00000000" w:rsidRDefault="00000000">
      <w:pPr>
        <w:ind w:left="1134" w:hanging="567"/>
      </w:pPr>
    </w:p>
    <w:p w:rsidR="00000000" w:rsidRDefault="00000000">
      <w:pPr>
        <w:numPr>
          <w:ilvl w:val="0"/>
          <w:numId w:val="61"/>
        </w:numPr>
      </w:pPr>
      <w:r>
        <w:t>генеральным департаментом лекарственных средств Высшего народного комитета по вопросам юстиции и общественной безопасности приняты дополнительные меры в рамках реализации политики, нацеленной на борьбу со злоупотреблением наркотиками и психотропными средствами;</w:t>
      </w:r>
    </w:p>
    <w:p w:rsidR="00000000" w:rsidRDefault="00000000">
      <w:pPr>
        <w:ind w:left="1134" w:hanging="567"/>
      </w:pPr>
    </w:p>
    <w:p w:rsidR="00000000" w:rsidRDefault="00000000">
      <w:pPr>
        <w:numPr>
          <w:ilvl w:val="0"/>
          <w:numId w:val="61"/>
        </w:numPr>
      </w:pPr>
      <w:r>
        <w:t>в пограничных пунктах введены меры контроля, а въезжающие в страну иностранцы, особенно незаконные иммигранты, подвергаются обследованию с целью предотвращения распространения инфекционных и заразных болезней.</w:t>
      </w:r>
    </w:p>
    <w:p w:rsidR="00000000" w:rsidRDefault="00000000">
      <w:pPr>
        <w:rPr>
          <w:b/>
          <w:bCs/>
        </w:rPr>
      </w:pPr>
      <w:r>
        <w:rPr>
          <w:b/>
          <w:bCs/>
        </w:rPr>
        <w:t xml:space="preserve">Подпункт h) </w:t>
      </w:r>
    </w:p>
    <w:p w:rsidR="00000000" w:rsidRDefault="00000000">
      <w:pPr>
        <w:rPr>
          <w:b/>
          <w:bCs/>
        </w:rPr>
      </w:pPr>
    </w:p>
    <w:p w:rsidR="00000000" w:rsidRDefault="00000000">
      <w:r>
        <w:t>115.</w:t>
      </w:r>
      <w:r>
        <w:tab/>
        <w:t>Более полная информация изложена в ответе на вопросы по статье 12 Пакта, а также в первоначальном ответе.</w:t>
      </w:r>
    </w:p>
    <w:p w:rsidR="00000000" w:rsidRDefault="00000000"/>
    <w:p w:rsidR="00000000" w:rsidRDefault="00000000">
      <w:pPr>
        <w:rPr>
          <w:b/>
          <w:bCs/>
        </w:rPr>
      </w:pPr>
      <w:r>
        <w:rPr>
          <w:b/>
          <w:bCs/>
        </w:rPr>
        <w:t>Пункт 7</w:t>
      </w:r>
    </w:p>
    <w:p w:rsidR="00000000" w:rsidRDefault="00000000">
      <w:pPr>
        <w:rPr>
          <w:b/>
          <w:bCs/>
        </w:rPr>
      </w:pPr>
    </w:p>
    <w:p w:rsidR="00000000" w:rsidRDefault="00000000">
      <w:r>
        <w:t>116.</w:t>
      </w:r>
      <w:r>
        <w:tab/>
        <w:t>Исходя из принципов народовластия, массы в лице народных собраний являются источником всех решений, принимаемых в каждом районе, деревне и городе Ливийской Арабской Джамахирии, и играют активную роль в планировании первичной медико-санитарной помощи.  Лица, отвечающие за вопросы здравоохранения и социального обеспечения на местном уровне, в народных собраниях и на уровне шабиятов, участвуют в процессе планирования первичной медико-санитарной помощи, а народные комитеты здравоохранения в каждом шабияте проводят в жизнь соответствующие решения в этой области, принимаемые на заседаниях Всеобщего народного конгресса.  Надзор за выполнением этих решений осуществляется механизмом народного надзора, контроля и инспекций.</w:t>
      </w:r>
    </w:p>
    <w:p w:rsidR="00000000" w:rsidRDefault="00000000"/>
    <w:p w:rsidR="00000000" w:rsidRDefault="00000000">
      <w:r>
        <w:rPr>
          <w:b/>
          <w:bCs/>
        </w:rPr>
        <w:t>Пункт 8</w:t>
      </w:r>
    </w:p>
    <w:p w:rsidR="00000000" w:rsidRDefault="00000000"/>
    <w:p w:rsidR="00000000" w:rsidRDefault="00000000">
      <w:r>
        <w:t>117.</w:t>
      </w:r>
      <w:r>
        <w:tab/>
        <w:t xml:space="preserve">В докладе уже упоминалось о роли народных комитетов здравоохранения в шабиятах (в прошлом - муниципалитетов) в распространении информации с помощью брошюр, бюллетеней, передач по местному радио, встреч, коллоквиумов и семинаров. </w:t>
      </w:r>
    </w:p>
    <w:p w:rsidR="00000000" w:rsidRDefault="00000000"/>
    <w:p w:rsidR="00000000" w:rsidRDefault="00000000">
      <w:r>
        <w:rPr>
          <w:b/>
          <w:bCs/>
        </w:rPr>
        <w:t>Пункт 9</w:t>
      </w:r>
    </w:p>
    <w:p w:rsidR="00000000" w:rsidRDefault="00000000"/>
    <w:p w:rsidR="00000000" w:rsidRDefault="00000000">
      <w:r>
        <w:t>118.</w:t>
      </w:r>
      <w:r>
        <w:tab/>
        <w:t>Международная помощь, особенно техническая и консультативная, играет важную роль в полном осуществлении права, закрепленного в статье 12.  Мы имеем в виду, в частности, сотрудничество с ВОЗ по проблеме ВИЧ/СПИДа и гепатита, а также с ЮНИСЕФ по вопросу об обеспечении права детей и матерей на медицинскую помощь и на достаточное питание, а также по вопросам борьбы со специфичными для них болезнями.</w:t>
      </w:r>
    </w:p>
    <w:p w:rsidR="00000000" w:rsidRDefault="00000000"/>
    <w:p w:rsidR="00000000" w:rsidRDefault="00000000">
      <w:pPr>
        <w:keepNext/>
        <w:jc w:val="center"/>
        <w:rPr>
          <w:b/>
          <w:bCs/>
        </w:rPr>
      </w:pPr>
      <w:r>
        <w:rPr>
          <w:b/>
          <w:bCs/>
        </w:rPr>
        <w:t>Статья 13 - Право на образование и обучение</w:t>
      </w:r>
    </w:p>
    <w:p w:rsidR="00000000" w:rsidRDefault="00000000">
      <w:pPr>
        <w:keepNext/>
        <w:jc w:val="center"/>
        <w:rPr>
          <w:b/>
          <w:bCs/>
        </w:rPr>
      </w:pPr>
    </w:p>
    <w:p w:rsidR="00000000" w:rsidRDefault="00000000">
      <w:r>
        <w:t>119.</w:t>
      </w:r>
      <w:r>
        <w:tab/>
        <w:t>Что касается выполнения статьи 13, то следует сослаться на первоначальный доклад Ливии и доклад, представленный ею на совещании Международного консультативного форума по вопросам образования для всех, которое состоялось в Дакаре (Сенегал) 26</w:t>
      </w:r>
      <w:r>
        <w:noBreakHyphen/>
        <w:t>28 апреля 2000 года.</w:t>
      </w:r>
    </w:p>
    <w:p w:rsidR="00000000" w:rsidRDefault="00000000"/>
    <w:p w:rsidR="00000000" w:rsidRDefault="00000000">
      <w:pPr>
        <w:jc w:val="center"/>
        <w:rPr>
          <w:b/>
          <w:bCs/>
        </w:rPr>
      </w:pPr>
      <w:r>
        <w:rPr>
          <w:b/>
          <w:bCs/>
        </w:rPr>
        <w:t>Статья 14 - Право на образование</w:t>
      </w:r>
    </w:p>
    <w:p w:rsidR="00000000" w:rsidRDefault="00000000">
      <w:pPr>
        <w:jc w:val="center"/>
        <w:rPr>
          <w:b/>
          <w:bCs/>
        </w:rPr>
      </w:pPr>
    </w:p>
    <w:p w:rsidR="00000000" w:rsidRDefault="00000000">
      <w:r>
        <w:t>120.</w:t>
      </w:r>
      <w:r>
        <w:tab/>
        <w:t>В отношении этой статьи также применимы замечания по статье 13, касающиеся источников информации и выполнения наших обязательств.</w:t>
      </w:r>
    </w:p>
    <w:p w:rsidR="00000000" w:rsidRDefault="00000000"/>
    <w:p w:rsidR="00000000" w:rsidRDefault="00000000">
      <w:pPr>
        <w:jc w:val="center"/>
        <w:rPr>
          <w:b/>
          <w:bCs/>
        </w:rPr>
      </w:pPr>
      <w:r>
        <w:rPr>
          <w:b/>
          <w:bCs/>
        </w:rPr>
        <w:t>Статья 15 - Право на культуру</w:t>
      </w:r>
    </w:p>
    <w:p w:rsidR="00000000" w:rsidRDefault="00000000">
      <w:pPr>
        <w:jc w:val="center"/>
        <w:rPr>
          <w:b/>
          <w:bCs/>
        </w:rPr>
      </w:pPr>
    </w:p>
    <w:p w:rsidR="00000000" w:rsidRDefault="00000000">
      <w:r>
        <w:t>121.</w:t>
      </w:r>
      <w:r>
        <w:tab/>
        <w:t>Эта статья касается признания каждым государством-участником права каждого человека:</w:t>
      </w:r>
    </w:p>
    <w:p w:rsidR="00000000" w:rsidRDefault="00000000"/>
    <w:p w:rsidR="00000000" w:rsidRDefault="00000000">
      <w:pPr>
        <w:numPr>
          <w:ilvl w:val="0"/>
          <w:numId w:val="62"/>
        </w:numPr>
      </w:pPr>
      <w:r>
        <w:t>принимать участие в культурной жизни;</w:t>
      </w:r>
    </w:p>
    <w:p w:rsidR="00000000" w:rsidRDefault="00000000"/>
    <w:p w:rsidR="00000000" w:rsidRDefault="00000000">
      <w:pPr>
        <w:numPr>
          <w:ilvl w:val="0"/>
          <w:numId w:val="62"/>
        </w:numPr>
      </w:pPr>
      <w:r>
        <w:t>пользоваться результатами научного прогресса и их практического применения;</w:t>
      </w:r>
    </w:p>
    <w:p w:rsidR="00000000" w:rsidRDefault="00000000">
      <w:pPr>
        <w:ind w:left="1134" w:hanging="1134"/>
      </w:pPr>
    </w:p>
    <w:p w:rsidR="00000000" w:rsidRDefault="00000000">
      <w:pPr>
        <w:numPr>
          <w:ilvl w:val="0"/>
          <w:numId w:val="62"/>
        </w:numPr>
      </w:pPr>
      <w:r>
        <w:t>пользоваться защитой моральных и материальных интересов, возникающих в связи с любыми научными, литературными или художественными трудами, автором которых он является.</w:t>
      </w:r>
    </w:p>
    <w:p w:rsidR="00000000" w:rsidRDefault="00000000">
      <w:pPr>
        <w:ind w:left="1134" w:hanging="1134"/>
      </w:pPr>
    </w:p>
    <w:p w:rsidR="00000000" w:rsidRDefault="00000000">
      <w:pPr>
        <w:ind w:left="1134" w:hanging="1134"/>
        <w:rPr>
          <w:b/>
          <w:bCs/>
        </w:rPr>
      </w:pPr>
      <w:r>
        <w:rPr>
          <w:b/>
          <w:bCs/>
        </w:rPr>
        <w:t>Пункт 1 а)</w:t>
      </w:r>
    </w:p>
    <w:p w:rsidR="00000000" w:rsidRDefault="00000000">
      <w:pPr>
        <w:ind w:left="1134" w:hanging="1134"/>
        <w:rPr>
          <w:b/>
          <w:bCs/>
        </w:rPr>
      </w:pPr>
    </w:p>
    <w:p w:rsidR="00000000" w:rsidRDefault="00000000">
      <w:r>
        <w:t>122.</w:t>
      </w:r>
      <w:r>
        <w:tab/>
        <w:t>Ливийской Арабской Джамахирией мобилизованы необходимые средства на содействие культурному развитию населения и его участию в культурной жизни, включая поддержку и поощрение частных инициатив.  В приведенной ниже таблице указаны сведения о средствах, ассигнованных на эти цели по бюджету развития на 2002 год.</w:t>
      </w:r>
    </w:p>
    <w:p w:rsidR="00000000" w:rsidRDefault="00000000"/>
    <w:tbl>
      <w:tblPr>
        <w:tblW w:w="0" w:type="auto"/>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6573"/>
        <w:gridCol w:w="2838"/>
      </w:tblGrid>
      <w:tr w:rsidR="00000000">
        <w:tblPrEx>
          <w:tblCellMar>
            <w:top w:w="0" w:type="dxa"/>
            <w:bottom w:w="0" w:type="dxa"/>
          </w:tblCellMar>
        </w:tblPrEx>
        <w:trPr>
          <w:cantSplit/>
        </w:trPr>
        <w:tc>
          <w:tcPr>
            <w:tcW w:w="6573" w:type="dxa"/>
            <w:tcBorders>
              <w:top w:val="single" w:sz="4" w:space="0" w:color="auto"/>
              <w:bottom w:val="single" w:sz="4" w:space="0" w:color="auto"/>
              <w:right w:val="single" w:sz="4" w:space="0" w:color="auto"/>
            </w:tcBorders>
          </w:tcPr>
          <w:p w:rsidR="00000000" w:rsidRDefault="00000000">
            <w:pPr>
              <w:jc w:val="center"/>
            </w:pPr>
            <w:r>
              <w:t>Научная и культурная деятельность</w:t>
            </w:r>
          </w:p>
        </w:tc>
        <w:tc>
          <w:tcPr>
            <w:tcW w:w="2838" w:type="dxa"/>
            <w:tcBorders>
              <w:top w:val="single" w:sz="4" w:space="0" w:color="auto"/>
              <w:left w:val="single" w:sz="4" w:space="0" w:color="auto"/>
              <w:bottom w:val="single" w:sz="4" w:space="0" w:color="auto"/>
            </w:tcBorders>
          </w:tcPr>
          <w:p w:rsidR="00000000" w:rsidRDefault="00000000">
            <w:pPr>
              <w:jc w:val="center"/>
            </w:pPr>
            <w:r>
              <w:t>Ассигнования (в млн. динаров)</w:t>
            </w:r>
          </w:p>
        </w:tc>
      </w:tr>
      <w:tr w:rsidR="00000000">
        <w:tblPrEx>
          <w:tblCellMar>
            <w:top w:w="0" w:type="dxa"/>
            <w:bottom w:w="0" w:type="dxa"/>
          </w:tblCellMar>
        </w:tblPrEx>
        <w:trPr>
          <w:cantSplit/>
        </w:trPr>
        <w:tc>
          <w:tcPr>
            <w:tcW w:w="6573" w:type="dxa"/>
            <w:tcBorders>
              <w:top w:val="single" w:sz="4" w:space="0" w:color="auto"/>
              <w:bottom w:val="nil"/>
              <w:right w:val="single" w:sz="4" w:space="0" w:color="auto"/>
            </w:tcBorders>
          </w:tcPr>
          <w:p w:rsidR="00000000" w:rsidRDefault="00000000">
            <w:pPr>
              <w:pStyle w:val="Header"/>
            </w:pPr>
            <w:r>
              <w:t>Подготовка кадров в научной и культурной сферах</w:t>
            </w:r>
          </w:p>
        </w:tc>
        <w:tc>
          <w:tcPr>
            <w:tcW w:w="2838" w:type="dxa"/>
            <w:tcBorders>
              <w:top w:val="single" w:sz="4" w:space="0" w:color="auto"/>
              <w:left w:val="single" w:sz="4" w:space="0" w:color="auto"/>
            </w:tcBorders>
          </w:tcPr>
          <w:p w:rsidR="00000000" w:rsidRDefault="00000000">
            <w:pPr>
              <w:tabs>
                <w:tab w:val="clear" w:pos="2268"/>
              </w:tabs>
              <w:ind w:right="940"/>
              <w:jc w:val="right"/>
            </w:pPr>
            <w:r>
              <w:t>201 228</w:t>
            </w:r>
          </w:p>
        </w:tc>
      </w:tr>
      <w:tr w:rsidR="00000000">
        <w:tblPrEx>
          <w:tblCellMar>
            <w:top w:w="0" w:type="dxa"/>
            <w:bottom w:w="0" w:type="dxa"/>
          </w:tblCellMar>
        </w:tblPrEx>
        <w:trPr>
          <w:cantSplit/>
        </w:trPr>
        <w:tc>
          <w:tcPr>
            <w:tcW w:w="6573" w:type="dxa"/>
            <w:tcBorders>
              <w:top w:val="nil"/>
              <w:bottom w:val="nil"/>
              <w:right w:val="single" w:sz="4" w:space="0" w:color="auto"/>
            </w:tcBorders>
          </w:tcPr>
          <w:p w:rsidR="00000000" w:rsidRDefault="00000000">
            <w:pPr>
              <w:pStyle w:val="Header"/>
            </w:pPr>
            <w:r>
              <w:t>Научные и литературные исследования</w:t>
            </w:r>
          </w:p>
        </w:tc>
        <w:tc>
          <w:tcPr>
            <w:tcW w:w="2838" w:type="dxa"/>
            <w:tcBorders>
              <w:left w:val="single" w:sz="4" w:space="0" w:color="auto"/>
            </w:tcBorders>
          </w:tcPr>
          <w:p w:rsidR="00000000" w:rsidRDefault="00000000">
            <w:pPr>
              <w:tabs>
                <w:tab w:val="clear" w:pos="2268"/>
              </w:tabs>
              <w:ind w:right="940"/>
              <w:jc w:val="right"/>
            </w:pPr>
            <w:r>
              <w:t>54 239</w:t>
            </w:r>
          </w:p>
        </w:tc>
      </w:tr>
      <w:tr w:rsidR="00000000">
        <w:tblPrEx>
          <w:tblCellMar>
            <w:top w:w="0" w:type="dxa"/>
            <w:bottom w:w="0" w:type="dxa"/>
          </w:tblCellMar>
        </w:tblPrEx>
        <w:trPr>
          <w:cantSplit/>
        </w:trPr>
        <w:tc>
          <w:tcPr>
            <w:tcW w:w="6573" w:type="dxa"/>
            <w:tcBorders>
              <w:top w:val="nil"/>
              <w:bottom w:val="nil"/>
              <w:right w:val="single" w:sz="4" w:space="0" w:color="auto"/>
            </w:tcBorders>
          </w:tcPr>
          <w:p w:rsidR="00000000" w:rsidRDefault="00000000">
            <w:pPr>
              <w:pStyle w:val="Header"/>
            </w:pPr>
            <w:r>
              <w:t>Институт СМИ Джамахирии</w:t>
            </w:r>
          </w:p>
        </w:tc>
        <w:tc>
          <w:tcPr>
            <w:tcW w:w="2838" w:type="dxa"/>
            <w:tcBorders>
              <w:left w:val="single" w:sz="4" w:space="0" w:color="auto"/>
            </w:tcBorders>
          </w:tcPr>
          <w:p w:rsidR="00000000" w:rsidRDefault="00000000">
            <w:pPr>
              <w:tabs>
                <w:tab w:val="clear" w:pos="2268"/>
              </w:tabs>
              <w:ind w:right="940"/>
              <w:jc w:val="right"/>
            </w:pPr>
            <w:r>
              <w:t>17 000</w:t>
            </w:r>
          </w:p>
        </w:tc>
      </w:tr>
      <w:tr w:rsidR="00000000">
        <w:tblPrEx>
          <w:tblCellMar>
            <w:top w:w="0" w:type="dxa"/>
            <w:bottom w:w="0" w:type="dxa"/>
          </w:tblCellMar>
        </w:tblPrEx>
        <w:trPr>
          <w:cantSplit/>
        </w:trPr>
        <w:tc>
          <w:tcPr>
            <w:tcW w:w="6573" w:type="dxa"/>
            <w:tcBorders>
              <w:top w:val="nil"/>
              <w:bottom w:val="nil"/>
              <w:right w:val="single" w:sz="4" w:space="0" w:color="auto"/>
            </w:tcBorders>
          </w:tcPr>
          <w:p w:rsidR="00000000" w:rsidRDefault="00000000">
            <w:pPr>
              <w:pStyle w:val="Header"/>
            </w:pPr>
            <w:r>
              <w:t>Национальное бюро научных исследований</w:t>
            </w:r>
          </w:p>
        </w:tc>
        <w:tc>
          <w:tcPr>
            <w:tcW w:w="2838" w:type="dxa"/>
            <w:tcBorders>
              <w:left w:val="single" w:sz="4" w:space="0" w:color="auto"/>
            </w:tcBorders>
          </w:tcPr>
          <w:p w:rsidR="00000000" w:rsidRDefault="00000000">
            <w:pPr>
              <w:tabs>
                <w:tab w:val="clear" w:pos="2268"/>
              </w:tabs>
              <w:ind w:right="940"/>
              <w:jc w:val="right"/>
            </w:pPr>
            <w:r>
              <w:t>25 666</w:t>
            </w:r>
          </w:p>
        </w:tc>
      </w:tr>
      <w:tr w:rsidR="00000000">
        <w:tblPrEx>
          <w:tblCellMar>
            <w:top w:w="0" w:type="dxa"/>
            <w:bottom w:w="0" w:type="dxa"/>
          </w:tblCellMar>
        </w:tblPrEx>
        <w:trPr>
          <w:cantSplit/>
        </w:trPr>
        <w:tc>
          <w:tcPr>
            <w:tcW w:w="6573" w:type="dxa"/>
            <w:tcBorders>
              <w:top w:val="nil"/>
              <w:bottom w:val="nil"/>
              <w:right w:val="single" w:sz="4" w:space="0" w:color="auto"/>
            </w:tcBorders>
          </w:tcPr>
          <w:p w:rsidR="00000000" w:rsidRDefault="00000000">
            <w:pPr>
              <w:pStyle w:val="Header"/>
            </w:pPr>
            <w:r>
              <w:t>Национальный совет по туризму и памятникам древнего мира</w:t>
            </w:r>
          </w:p>
        </w:tc>
        <w:tc>
          <w:tcPr>
            <w:tcW w:w="2838" w:type="dxa"/>
            <w:tcBorders>
              <w:left w:val="single" w:sz="4" w:space="0" w:color="auto"/>
            </w:tcBorders>
          </w:tcPr>
          <w:p w:rsidR="00000000" w:rsidRDefault="00000000">
            <w:pPr>
              <w:tabs>
                <w:tab w:val="clear" w:pos="2268"/>
              </w:tabs>
              <w:ind w:right="940"/>
              <w:jc w:val="right"/>
            </w:pPr>
            <w:r>
              <w:t>12 078</w:t>
            </w:r>
          </w:p>
        </w:tc>
      </w:tr>
      <w:tr w:rsidR="00000000">
        <w:tblPrEx>
          <w:tblCellMar>
            <w:top w:w="0" w:type="dxa"/>
            <w:bottom w:w="0" w:type="dxa"/>
          </w:tblCellMar>
        </w:tblPrEx>
        <w:trPr>
          <w:cantSplit/>
        </w:trPr>
        <w:tc>
          <w:tcPr>
            <w:tcW w:w="6573" w:type="dxa"/>
            <w:tcBorders>
              <w:top w:val="nil"/>
              <w:bottom w:val="single" w:sz="4" w:space="0" w:color="auto"/>
              <w:right w:val="single" w:sz="4" w:space="0" w:color="auto"/>
            </w:tcBorders>
          </w:tcPr>
          <w:p w:rsidR="00000000" w:rsidRDefault="00000000">
            <w:r>
              <w:t>Творческая деятельность</w:t>
            </w:r>
          </w:p>
        </w:tc>
        <w:tc>
          <w:tcPr>
            <w:tcW w:w="2838" w:type="dxa"/>
            <w:tcBorders>
              <w:left w:val="single" w:sz="4" w:space="0" w:color="auto"/>
            </w:tcBorders>
          </w:tcPr>
          <w:p w:rsidR="00000000" w:rsidRDefault="00000000">
            <w:pPr>
              <w:tabs>
                <w:tab w:val="clear" w:pos="2268"/>
              </w:tabs>
              <w:ind w:right="940"/>
              <w:jc w:val="right"/>
            </w:pPr>
            <w:r>
              <w:t>1 985</w:t>
            </w:r>
          </w:p>
        </w:tc>
      </w:tr>
    </w:tbl>
    <w:p w:rsidR="00000000" w:rsidRDefault="00000000">
      <w:pPr>
        <w:spacing w:line="240" w:lineRule="auto"/>
      </w:pPr>
    </w:p>
    <w:p w:rsidR="00000000" w:rsidRDefault="00000000">
      <w:pPr>
        <w:spacing w:line="240" w:lineRule="auto"/>
      </w:pPr>
    </w:p>
    <w:p w:rsidR="00000000" w:rsidRDefault="00000000">
      <w:pPr>
        <w:rPr>
          <w:b/>
          <w:bCs/>
        </w:rPr>
      </w:pPr>
      <w:r>
        <w:rPr>
          <w:b/>
          <w:bCs/>
        </w:rPr>
        <w:br w:type="page"/>
        <w:t>Подпункт b)</w:t>
      </w:r>
    </w:p>
    <w:p w:rsidR="00000000" w:rsidRDefault="00000000">
      <w:pPr>
        <w:rPr>
          <w:b/>
          <w:bCs/>
          <w:sz w:val="18"/>
        </w:rPr>
      </w:pPr>
    </w:p>
    <w:p w:rsidR="00000000" w:rsidRDefault="00000000">
      <w:r>
        <w:t>123.</w:t>
      </w:r>
      <w:r>
        <w:tab/>
        <w:t>Джамахирия располагает развитой инфраструктурой, предназначенной для содействия культурному развитию и участию населения в культурной жизни.  Во всех городах и сельских районах созданы культурные центры, в школах оборудованы библиотеки;  в стране имеются многочисленные музеи, публичные библиотеки, выставочные залы и Интернет-центры.  Проводится целенаправленная политика поддержки народных искусств и ремесел;  действует профессиональный союз ремесленников и кустарей, защищающий их права.  Разработан проект консервации старого города в Триполи, нацеленный на сохранение народных искусств и промыслов, в настоящее время активно возрождающихся.</w:t>
      </w:r>
    </w:p>
    <w:p w:rsidR="00000000" w:rsidRDefault="00000000">
      <w:pPr>
        <w:rPr>
          <w:sz w:val="18"/>
        </w:rPr>
      </w:pPr>
    </w:p>
    <w:p w:rsidR="00000000" w:rsidRDefault="00000000">
      <w:pPr>
        <w:rPr>
          <w:b/>
          <w:bCs/>
        </w:rPr>
      </w:pPr>
      <w:r>
        <w:rPr>
          <w:b/>
          <w:bCs/>
        </w:rPr>
        <w:t>Подпункт с)</w:t>
      </w:r>
    </w:p>
    <w:p w:rsidR="00000000" w:rsidRDefault="00000000">
      <w:pPr>
        <w:rPr>
          <w:b/>
          <w:bCs/>
          <w:sz w:val="18"/>
        </w:rPr>
      </w:pPr>
    </w:p>
    <w:p w:rsidR="00000000" w:rsidRDefault="00000000">
      <w:r>
        <w:t>124.</w:t>
      </w:r>
      <w:r>
        <w:tab/>
        <w:t xml:space="preserve">Ливийская Арабская Джамахирия содействует развитию культурной самобытности на основах открытости для других культур и укрепления связей между народами.  Она поддерживает создание объединений, преследующих цель укрепления дружественных связей между ливийским народом и другими странами.  Обязанности по контролю за реализацией этой политики возложены на одно из подразделений секретариата Всеобщего народного конгресса.  </w:t>
      </w:r>
    </w:p>
    <w:p w:rsidR="00000000" w:rsidRDefault="00000000">
      <w:pPr>
        <w:rPr>
          <w:sz w:val="18"/>
        </w:rPr>
      </w:pPr>
    </w:p>
    <w:p w:rsidR="00000000" w:rsidRDefault="00000000">
      <w:pPr>
        <w:rPr>
          <w:b/>
          <w:bCs/>
        </w:rPr>
      </w:pPr>
      <w:r>
        <w:rPr>
          <w:b/>
          <w:bCs/>
        </w:rPr>
        <w:t>Подпункт d)</w:t>
      </w:r>
    </w:p>
    <w:p w:rsidR="00000000" w:rsidRDefault="00000000">
      <w:pPr>
        <w:rPr>
          <w:b/>
          <w:bCs/>
          <w:sz w:val="18"/>
        </w:rPr>
      </w:pPr>
    </w:p>
    <w:p w:rsidR="00000000" w:rsidRDefault="00000000">
      <w:r>
        <w:t>125.</w:t>
      </w:r>
      <w:r>
        <w:tab/>
        <w:t>В своей политике в вопросах культуры Ливия, ввиду выраженных различий в культуре различных регионов страны, стремится содействовать осознанию населением многообразия культурного наследия.</w:t>
      </w:r>
    </w:p>
    <w:p w:rsidR="00000000" w:rsidRDefault="00000000"/>
    <w:p w:rsidR="00000000" w:rsidRDefault="00000000">
      <w:pPr>
        <w:rPr>
          <w:b/>
          <w:bCs/>
        </w:rPr>
      </w:pPr>
      <w:r>
        <w:rPr>
          <w:b/>
          <w:bCs/>
        </w:rPr>
        <w:t>Подпункт е)</w:t>
      </w:r>
    </w:p>
    <w:p w:rsidR="00000000" w:rsidRDefault="00000000">
      <w:pPr>
        <w:rPr>
          <w:b/>
          <w:bCs/>
        </w:rPr>
      </w:pPr>
    </w:p>
    <w:p w:rsidR="00000000" w:rsidRDefault="00000000">
      <w:r>
        <w:t>126.</w:t>
      </w:r>
      <w:r>
        <w:tab/>
        <w:t>Средства массовой информации и коммуникации содействуют участию населения в культурной жизни в соответствии со своими мандатами.  Сведения о культурной жизни, особенно о соответствующих институтах и мероприятиях, содержатся в опубликованных Национальным управлением информации и документации докладах, воспроизводимых в Статистическом ежегоднике.</w:t>
      </w:r>
    </w:p>
    <w:p w:rsidR="00000000" w:rsidRDefault="00000000"/>
    <w:p w:rsidR="00000000" w:rsidRDefault="00000000">
      <w:pPr>
        <w:rPr>
          <w:b/>
          <w:bCs/>
        </w:rPr>
      </w:pPr>
      <w:r>
        <w:rPr>
          <w:b/>
          <w:bCs/>
        </w:rPr>
        <w:t>Подпункт f)</w:t>
      </w:r>
    </w:p>
    <w:p w:rsidR="00000000" w:rsidRDefault="00000000">
      <w:pPr>
        <w:rPr>
          <w:b/>
          <w:bCs/>
        </w:rPr>
      </w:pPr>
    </w:p>
    <w:p w:rsidR="00000000" w:rsidRDefault="00000000">
      <w:r>
        <w:t>127.</w:t>
      </w:r>
      <w:r>
        <w:tab/>
        <w:t>Обеспечивается сохранение культурного наследия Ливии, которое является составной частью общечеловеческого наследия;  оно представлено в музее Триполи, открытом для граждан страны и иностранных туристов ежедневно в рабочие часы.</w:t>
      </w:r>
    </w:p>
    <w:p w:rsidR="00000000" w:rsidRDefault="00000000"/>
    <w:p w:rsidR="00000000" w:rsidRDefault="00000000">
      <w:pPr>
        <w:rPr>
          <w:b/>
          <w:bCs/>
        </w:rPr>
      </w:pPr>
      <w:r>
        <w:rPr>
          <w:b/>
          <w:bCs/>
        </w:rPr>
        <w:t>Подпункт g)</w:t>
      </w:r>
    </w:p>
    <w:p w:rsidR="00000000" w:rsidRDefault="00000000">
      <w:pPr>
        <w:rPr>
          <w:b/>
          <w:bCs/>
        </w:rPr>
      </w:pPr>
    </w:p>
    <w:p w:rsidR="00000000" w:rsidRDefault="00000000">
      <w:r>
        <w:t>128.</w:t>
      </w:r>
      <w:r>
        <w:tab/>
        <w:t>Ответ на этот вопрос приведен в одном из предыдущих пунктов.</w:t>
      </w:r>
    </w:p>
    <w:p w:rsidR="00000000" w:rsidRDefault="00000000"/>
    <w:p w:rsidR="00000000" w:rsidRDefault="00000000">
      <w:pPr>
        <w:rPr>
          <w:b/>
          <w:bCs/>
        </w:rPr>
      </w:pPr>
      <w:r>
        <w:rPr>
          <w:b/>
          <w:bCs/>
        </w:rPr>
        <w:t>Подпункт h)</w:t>
      </w:r>
    </w:p>
    <w:p w:rsidR="00000000" w:rsidRDefault="00000000">
      <w:pPr>
        <w:rPr>
          <w:b/>
          <w:bCs/>
        </w:rPr>
      </w:pPr>
    </w:p>
    <w:p w:rsidR="00000000" w:rsidRDefault="00000000">
      <w:r>
        <w:t>129.</w:t>
      </w:r>
      <w:r>
        <w:tab/>
        <w:t>Высшее образование в сфере культуры и искусства можно получить на художественно-музыкальном факультете и его различных отделениях.</w:t>
      </w:r>
    </w:p>
    <w:p w:rsidR="00000000" w:rsidRDefault="00000000"/>
    <w:p w:rsidR="00000000" w:rsidRDefault="00000000">
      <w:pPr>
        <w:rPr>
          <w:b/>
          <w:bCs/>
        </w:rPr>
      </w:pPr>
      <w:r>
        <w:rPr>
          <w:b/>
          <w:bCs/>
        </w:rPr>
        <w:t>Подпункт i)</w:t>
      </w:r>
    </w:p>
    <w:p w:rsidR="00000000" w:rsidRDefault="00000000">
      <w:pPr>
        <w:rPr>
          <w:b/>
          <w:bCs/>
        </w:rPr>
      </w:pPr>
    </w:p>
    <w:p w:rsidR="00000000" w:rsidRDefault="00000000">
      <w:r>
        <w:t>130.</w:t>
      </w:r>
      <w:r>
        <w:tab/>
        <w:t>Ежегодно проводятся фестивали народного искусства;  создаются условия для сохранения группами, состоящими из последователей суфизма, своего интеллектуального и религиозного наследия.  Организуются конкурсы поэзии, литературы, рисования, музыки и пения, оказывается поддержка общественным объединениях, занимающимся вопросами искусств, литературы и культурного наследия в целом.</w:t>
      </w:r>
    </w:p>
    <w:p w:rsidR="00000000" w:rsidRDefault="00000000"/>
    <w:p w:rsidR="00000000" w:rsidRDefault="00000000">
      <w:r>
        <w:t>131.</w:t>
      </w:r>
      <w:r>
        <w:tab/>
        <w:t>Что касается трудностей, то следует упомянуть о таких явлениях, как вторжение инородных культур за счет трансляции зарубежных телепередач через спутник в контексте глобализации и развития средств массовой коммуникации.</w:t>
      </w:r>
    </w:p>
    <w:p w:rsidR="00000000" w:rsidRDefault="00000000"/>
    <w:p w:rsidR="00000000" w:rsidRDefault="00000000">
      <w:pPr>
        <w:rPr>
          <w:b/>
          <w:bCs/>
        </w:rPr>
      </w:pPr>
      <w:r>
        <w:rPr>
          <w:b/>
          <w:bCs/>
        </w:rPr>
        <w:t>Пункт 2 а)</w:t>
      </w:r>
    </w:p>
    <w:p w:rsidR="00000000" w:rsidRDefault="00000000">
      <w:pPr>
        <w:rPr>
          <w:b/>
          <w:bCs/>
        </w:rPr>
      </w:pPr>
    </w:p>
    <w:p w:rsidR="00000000" w:rsidRDefault="00000000">
      <w:r>
        <w:t>132.</w:t>
      </w:r>
      <w:r>
        <w:tab/>
        <w:t>В действующем законодательстве подчеркивается необходимость обеспечить применение научного прогресса в интересах каждого человека, особенно в сферах здравоохранения, образования, промышленности, сельского хозяйства, рыболовства, животноводства, информации и культуры.</w:t>
      </w:r>
    </w:p>
    <w:p w:rsidR="00000000" w:rsidRDefault="00000000"/>
    <w:p w:rsidR="00000000" w:rsidRDefault="00000000">
      <w:pPr>
        <w:rPr>
          <w:b/>
          <w:bCs/>
        </w:rPr>
      </w:pPr>
      <w:r>
        <w:rPr>
          <w:b/>
          <w:bCs/>
        </w:rPr>
        <w:t>Подпункт b)</w:t>
      </w:r>
    </w:p>
    <w:p w:rsidR="00000000" w:rsidRDefault="00000000">
      <w:pPr>
        <w:rPr>
          <w:b/>
          <w:bCs/>
        </w:rPr>
      </w:pPr>
    </w:p>
    <w:p w:rsidR="00000000" w:rsidRDefault="00000000">
      <w:r>
        <w:t>133.</w:t>
      </w:r>
      <w:r>
        <w:tab/>
        <w:t>Национальное управление информации и документации, Национальное бюро научных исследований, Общественная радиовещательная корпорация и Национальный комитет по науке, образованию и культуре распространяют информацию о научном прогрессе и популяризируют научные и культурные достижения.  Благодаря созданным в масштабах всей Джамахирии Интернет-центрам люди, обученные компьютерной грамоте, могут общаться друг с другом через Интернет.  Час пользования Интернетом стоит менее полдоллара США.</w:t>
      </w:r>
    </w:p>
    <w:p w:rsidR="00000000" w:rsidRDefault="00000000"/>
    <w:p w:rsidR="00000000" w:rsidRDefault="00000000">
      <w:pPr>
        <w:rPr>
          <w:b/>
          <w:bCs/>
        </w:rPr>
      </w:pPr>
      <w:r>
        <w:rPr>
          <w:b/>
          <w:bCs/>
        </w:rPr>
        <w:br w:type="page"/>
        <w:t>Подпункт с)</w:t>
      </w:r>
    </w:p>
    <w:p w:rsidR="00000000" w:rsidRDefault="00000000">
      <w:pPr>
        <w:rPr>
          <w:b/>
          <w:bCs/>
        </w:rPr>
      </w:pPr>
    </w:p>
    <w:p w:rsidR="00000000" w:rsidRDefault="00000000">
      <w:r>
        <w:t>134.</w:t>
      </w:r>
      <w:r>
        <w:tab/>
        <w:t>Уголовный кодекс Ливии запрещает использовать научно-технический прогресс в целях, несовместимых с принципом осуществления всех прав человека, включая права на жизнь, здоровье, личную свободу и личную жизнь.</w:t>
      </w:r>
    </w:p>
    <w:p w:rsidR="00000000" w:rsidRDefault="00000000"/>
    <w:p w:rsidR="00000000" w:rsidRDefault="00000000">
      <w:pPr>
        <w:rPr>
          <w:b/>
          <w:bCs/>
        </w:rPr>
      </w:pPr>
      <w:r>
        <w:rPr>
          <w:b/>
          <w:bCs/>
        </w:rPr>
        <w:t xml:space="preserve">Подпункт d) </w:t>
      </w:r>
    </w:p>
    <w:p w:rsidR="00000000" w:rsidRDefault="00000000">
      <w:pPr>
        <w:rPr>
          <w:b/>
          <w:bCs/>
        </w:rPr>
      </w:pPr>
    </w:p>
    <w:p w:rsidR="00000000" w:rsidRDefault="00000000">
      <w:r>
        <w:t>135.</w:t>
      </w:r>
      <w:r>
        <w:tab/>
        <w:t>На осуществление этого права не налагается никаких ограничений за исключением случаев наличия угрозы для национальной безопасности или мира или возможного нарушения прав других лиц.</w:t>
      </w:r>
    </w:p>
    <w:p w:rsidR="00000000" w:rsidRDefault="00000000"/>
    <w:p w:rsidR="00000000" w:rsidRDefault="00000000">
      <w:r>
        <w:t>136.</w:t>
      </w:r>
      <w:r>
        <w:tab/>
        <w:t xml:space="preserve">Ливийской Арабской Джамахирией приняты меры по выделению необходимых средств и ресурсов для улучшения культурной жизни граждан и сохранения культурного и исторического наследия.  201 228 млн. ЛД из бюджета на 2002 год ассигновано на развитие людских ресурсов, 54 239 млн. ЛД - на исследования, 17 003 млн. ЛД - на деятельность Ливийского института СМИ и его вспомогательных органов, 25 666 млн. ЛД - на деятельность Национального бюро научных исследований и 12 078 млн. ЛД - на деятельность Национального совета по туризму и памятникам древнего мира.  </w:t>
      </w:r>
    </w:p>
    <w:p w:rsidR="00000000" w:rsidRDefault="00000000"/>
    <w:p w:rsidR="00000000" w:rsidRDefault="00000000">
      <w:r>
        <w:t>137.</w:t>
      </w:r>
      <w:r>
        <w:tab/>
        <w:t xml:space="preserve">Текущие бюджеты Национального совета по туризму и памятникам древнего мира, Института СМИ Джамахирии и Национального бюро научных исследований составляют соответственно 3 млн., 1 млн. и 6 млн. ЛД.  1 985 000 ЛД выделено Совету по развитию культуры, 1 515 000 ЛД - на нужды государственной радиостанции ("Голос Африки"), 2 287 000 ЛД - информационному агентству Джамахирии (ДЖАНА), 28 001 000 ЛД - Общественной радиовещательной корпорации, 700 000 ЛД - Институту СМИ Джамахирии, 2 757 000 ЛД - Управлению археологии и 453 000 ЛД - Национальному комитету по образованию, науке и культуре.  </w:t>
      </w:r>
    </w:p>
    <w:p w:rsidR="00000000" w:rsidRDefault="00000000"/>
    <w:p w:rsidR="00000000" w:rsidRDefault="00000000">
      <w:r>
        <w:t>138.</w:t>
      </w:r>
      <w:r>
        <w:tab/>
        <w:t>Эти средства выделены на цели содействия развитию культуры и участию населения в культурной жизни путем укрепления и диверсификации соответствующей инфраструктуры.  Параллельно с этим было принято законодательство, предусматривающее гарантии культурных прав, например Закон № 3 1995 года о защите памятников древнего мира, музеев, старых городов и исторических зданий, нацеленный на защиту имеющихся в Ливии объектов мирового наследия и недопущение любых перечисленных в Законе действий, способных нанести им ущерб.  Законом № 471 2000 года учрежден Национальный совет по туризму и памятникам древнего мира.  Некоторые его сотрудники были наделены следственными функциями и правом возбуждать уголовное преследование по случаям нарушения положений Закона.  Совет ведет всестороннюю работу по развитию и поощрению внутреннего и иностранного туризма, ознакомлению граждан с национальным наследием и содействует экономическому, социальному и культурному развитию.</w:t>
      </w:r>
    </w:p>
    <w:p w:rsidR="00000000" w:rsidRDefault="00000000"/>
    <w:p w:rsidR="00000000" w:rsidRDefault="00000000">
      <w:r>
        <w:t>139.</w:t>
      </w:r>
      <w:r>
        <w:tab/>
        <w:t xml:space="preserve">В соответствии с принципом, согласно которому каждый человек имеет право по своему свободному выбору определять знания, которые он желает приобрести, и применять свои творческие способности, был принят специальный закон, призванный защищать права интеллектуальной собственности и не допускать всевозможных подделок или других злоупотреблений, жертвами которых могут стать авторы аутентичных литературных, художественных или научных работ любого рода, способа выражения или предназначения.  В целях осуществления этого закона был принят Указ № 114 1985 года, вводящий правила, касающиеся писательского творчества, перевода, редактирования и публикации материалов в университетах и других высших учебных заведениях.  В Положении № 348 1992 года о писательском творчестве, переводе, редактировании и публикации устанавливаются руководящие принципы защиты прав интеллектуальной собственности.  В целях поощрения творчества был учрежден Национальный совет по развитию культуры, призванный создавать условия для творческого самовыражения граждан и развития их дарования, а также оказывать помощь особо одаренным лицам с целью повышения общего культурного уровня населения.  Совет организует фестивали и коллоквиумы на различных уровнях.  </w:t>
      </w:r>
    </w:p>
    <w:p w:rsidR="00000000" w:rsidRDefault="00000000"/>
    <w:p w:rsidR="00000000" w:rsidRDefault="00000000">
      <w:r>
        <w:t>140.</w:t>
      </w:r>
      <w:r>
        <w:tab/>
        <w:t xml:space="preserve">Одной из мер по повышению культурного уровня и поощрению местных талантов, принятых секретариатом Всеобщего народного конгресса, стало принятие Указа № 166 2002 года относительно реорганизации Фонда содействия творчеству, который присуждает премии и определяет другие стимулы за особо выдающиеся творческие достижения, а также оказывает материальную поддержку художникам и писателям. </w:t>
      </w:r>
    </w:p>
    <w:p w:rsidR="00000000" w:rsidRDefault="00000000"/>
    <w:p w:rsidR="00000000" w:rsidRDefault="00000000">
      <w:r>
        <w:t>141.</w:t>
      </w:r>
      <w:r>
        <w:tab/>
        <w:t>Одной из ключевых областей культуры являются аудиовизуальные средства массовой информации, на нужды которых, как было указано выше, выделены огромные средства, с тем чтобы позволить им исполнять свою роль в популяризации культурных достижений.  К числу таких учреждений относятся Институт СМИ Джамахирии и Общественная радиовещательная корпорация, которые с созданием ряда местных радиостанций (Радио Триполи, Радио Бенгази, Радио Завии, Радио Джебель эль-Гарби, Радио Сирт и т.п.) утратили свой монопольный характер.  Местные радиостанции вносят свой вклад в сохранение культурной самобытности каждого региона, популяризируют культурное наследие и способствуют его использованию.</w:t>
      </w:r>
    </w:p>
    <w:p w:rsidR="00000000" w:rsidRDefault="00000000"/>
    <w:p w:rsidR="00000000" w:rsidRDefault="00000000">
      <w:r>
        <w:t>142.</w:t>
      </w:r>
      <w:r>
        <w:tab/>
        <w:t xml:space="preserve">Другой фундаментальной сферой современной культуры являются печатные средства массовой информации, имеющие широкое распространение в стране;  это газеты, публикуемые Национальным управлением по делам прессы, а также частными организациями, ассоциациями или профсоюзами, желающими знакомить общественность со своими взглядами, обсуждать проблемы современности и излагать свои идеи.  В их число входят выходящая в Триполи газета "Аш-Шатт" (Побережье), газета "Аль-Массхад" (Панорама), являющаяся органом Триполийского клуба писателей и литераторов, а также "Аль-Мунтиджун" (Производитель), "Ат-Талиб" (Студент), "Аль-Муалим" (Учитель) и "Аль-Мухами" (Юрист).  С помощью всех этих изданий люди, входящие в состав тех общественных групп, которым дороги интересы культуры, получают возможность высказывать свои мнения и общаться с коллегами.  </w:t>
      </w:r>
    </w:p>
    <w:p w:rsidR="00000000" w:rsidRDefault="00000000"/>
    <w:p w:rsidR="00000000" w:rsidRDefault="00000000">
      <w:r>
        <w:t>143.</w:t>
      </w:r>
      <w:r>
        <w:tab/>
        <w:t>В Ливийской Арабской Джамахирии широко известно изречение, согласно которому людей сплачивает только их искусство и культурное наследие.  Соответственно были созданы специализированные центры, призванные дать возможность одаренным людям развивать свои способности.  К числу таких центров относятся:  Музыкальный центр Джамаля ад</w:t>
      </w:r>
      <w:r>
        <w:noBreakHyphen/>
        <w:t>Дин аль-Милади;  Центр изящных искусств;  Национальный центр изучения арабской музыки;  Национальный центр популярного искусства.  Позитивная роль принадлежит и многочисленным частным ассоциациям, созданным в интересах сохранения культурного наследия и культурной самобытности.</w:t>
      </w:r>
    </w:p>
    <w:p w:rsidR="00000000" w:rsidRDefault="00000000"/>
    <w:p w:rsidR="00000000" w:rsidRDefault="00000000">
      <w:r>
        <w:t>144.</w:t>
      </w:r>
      <w:r>
        <w:tab/>
        <w:t>Следует приветствовать проводимую ЮНЕСКО работу по поощрению культурных прав народов, в том числе Ливийской Арабской Джамахирии.  Эта организация оказала Ливии помощь в форме нужных стране экспертных консультаций и технической экспертизы в интересах сохранения имеющихся в стране памятников древнего мира.  Весомым фактором укрепления сотрудничества с этой и другими соответствующими международными организациями стало учреждение в стране Национального комитета по делам образования, науки и культуры.</w:t>
      </w:r>
    </w:p>
    <w:p w:rsidR="00000000" w:rsidRDefault="00000000"/>
    <w:p w:rsidR="00000000" w:rsidRDefault="00000000">
      <w:r>
        <w:t>145.</w:t>
      </w:r>
      <w:r>
        <w:tab/>
        <w:t>Сознавая важность укрепления связей между различными народами мира, Ливийская Арабская Джамахирия направляет в различные государства специальных представителей, поручая им вести работу по развитию отношений и активизации культурных обменов с принимающими государствами.  Всего в различных регионах мира создан 21 ливийский культурный центр, из которых 16 действуют в Африке.  Эти центры занимаются распространением культуры и знаний, обучением арабскому языку, ознакомлением с принципами ислама и организуют курсы профессиональной подготовки и компьютерной грамоты.</w:t>
      </w:r>
    </w:p>
    <w:p w:rsidR="00000000" w:rsidRDefault="00000000"/>
    <w:p w:rsidR="00000000" w:rsidRDefault="00000000">
      <w:pPr>
        <w:jc w:val="center"/>
      </w:pPr>
      <w:r>
        <w:br w:type="page"/>
      </w:r>
      <w:r>
        <w:rPr>
          <w:b/>
          <w:bCs/>
        </w:rPr>
        <w:t>Примечания</w:t>
      </w:r>
    </w:p>
    <w:p w:rsidR="00000000" w:rsidRDefault="00000000">
      <w:pPr>
        <w:jc w:val="center"/>
      </w:pPr>
    </w:p>
    <w:p w:rsidR="00000000" w:rsidRDefault="00000000">
      <w:r>
        <w:rPr>
          <w:b/>
          <w:bCs/>
          <w:vertAlign w:val="superscript"/>
        </w:rPr>
        <w:t>1</w:t>
      </w:r>
      <w:r>
        <w:rPr>
          <w:b/>
          <w:bCs/>
          <w:vertAlign w:val="superscript"/>
        </w:rPr>
        <w:tab/>
      </w:r>
      <w:r>
        <w:rPr>
          <w:i/>
          <w:iCs/>
        </w:rPr>
        <w:t>Сводный доклад об экономике арабских стран, 1998 год</w:t>
      </w:r>
      <w:r>
        <w:t>.</w:t>
      </w:r>
    </w:p>
    <w:p w:rsidR="00000000" w:rsidRDefault="00000000"/>
    <w:p w:rsidR="00000000" w:rsidRDefault="00000000">
      <w:r>
        <w:rPr>
          <w:b/>
          <w:bCs/>
          <w:vertAlign w:val="superscript"/>
        </w:rPr>
        <w:t>2</w:t>
      </w:r>
      <w:r>
        <w:tab/>
        <w:t>Национальное управление документации и информации, "Статистический ежегодник за 2002 год", стр. 28.</w:t>
      </w:r>
    </w:p>
    <w:p w:rsidR="00000000" w:rsidRDefault="00000000"/>
    <w:p w:rsidR="00000000" w:rsidRDefault="00000000">
      <w:r>
        <w:rPr>
          <w:b/>
          <w:bCs/>
          <w:vertAlign w:val="superscript"/>
        </w:rPr>
        <w:t>3</w:t>
      </w:r>
      <w:r>
        <w:tab/>
      </w:r>
      <w:r>
        <w:rPr>
          <w:i/>
          <w:iCs/>
        </w:rPr>
        <w:t>Источник</w:t>
      </w:r>
      <w:r>
        <w:t>:  Национальное управление документации и информации, "Доклад о развитии человеческого потенциала за 1999 год".</w:t>
      </w:r>
    </w:p>
    <w:p w:rsidR="00000000" w:rsidRDefault="00000000"/>
    <w:p w:rsidR="00000000" w:rsidRDefault="00000000">
      <w:r>
        <w:rPr>
          <w:b/>
          <w:bCs/>
          <w:vertAlign w:val="superscript"/>
        </w:rPr>
        <w:t>4</w:t>
      </w:r>
      <w:r>
        <w:tab/>
        <w:t>См., в частности, доклады Комитета экспертов по осуществлению конвенций и рекомендаций Международной организации труда (МОТ).</w:t>
      </w:r>
    </w:p>
    <w:p w:rsidR="00000000" w:rsidRDefault="00000000"/>
    <w:p w:rsidR="00000000" w:rsidRDefault="00000000">
      <w:r>
        <w:rPr>
          <w:b/>
          <w:bCs/>
          <w:vertAlign w:val="superscript"/>
        </w:rPr>
        <w:t>5</w:t>
      </w:r>
      <w:r>
        <w:tab/>
        <w:t>См. доклад Ливийской Арабской Джамахирии по статье 11 Конвенции о ликвидации всех форм дискриминации в отношении женщин.</w:t>
      </w:r>
    </w:p>
    <w:p w:rsidR="00000000" w:rsidRDefault="00000000"/>
    <w:p w:rsidR="00000000" w:rsidRDefault="00000000">
      <w:r>
        <w:rPr>
          <w:b/>
          <w:bCs/>
          <w:vertAlign w:val="superscript"/>
        </w:rPr>
        <w:t>6</w:t>
      </w:r>
      <w:r>
        <w:tab/>
        <w:t>Дополнительная информация содержится в ответах, представленных Ливийской Арабской Джамахирией Комитету экспертов МОТ 27 мая 2000 года.</w:t>
      </w:r>
    </w:p>
    <w:p w:rsidR="00000000" w:rsidRDefault="00000000"/>
    <w:p w:rsidR="00000000" w:rsidRDefault="00000000">
      <w:r>
        <w:rPr>
          <w:b/>
          <w:bCs/>
          <w:vertAlign w:val="superscript"/>
        </w:rPr>
        <w:t>7</w:t>
      </w:r>
      <w:r>
        <w:tab/>
        <w:t>Дополнительная информация содержится в ответах, представленных Ливийской Арабской Джамахирией в 2000 году Техническому комитету по рассмотрению замечаний, представленных Комитетом экспертов МОТ.</w:t>
      </w:r>
    </w:p>
    <w:p w:rsidR="00000000" w:rsidRDefault="00000000"/>
    <w:p w:rsidR="00000000" w:rsidRDefault="00000000">
      <w:r>
        <w:rPr>
          <w:b/>
          <w:bCs/>
          <w:vertAlign w:val="superscript"/>
        </w:rPr>
        <w:t>8</w:t>
      </w:r>
      <w:r>
        <w:tab/>
        <w:t>Программа развития Организации Объединенных Наций, "Доклад о развитии человеческого потенциала за 2000 год", стр. 169, таблица 4 (Нищета населения).</w:t>
      </w:r>
    </w:p>
    <w:p w:rsidR="00000000" w:rsidRDefault="00000000"/>
    <w:p w:rsidR="00000000" w:rsidRDefault="00000000">
      <w:r>
        <w:rPr>
          <w:b/>
          <w:bCs/>
          <w:vertAlign w:val="superscript"/>
        </w:rPr>
        <w:t>9</w:t>
      </w:r>
      <w:r>
        <w:tab/>
        <w:t>Национальное управление документации и информации, "Статистический ежегодник за 2002 год".</w:t>
      </w:r>
    </w:p>
    <w:p w:rsidR="00000000" w:rsidRDefault="00000000"/>
    <w:p w:rsidR="00000000" w:rsidRDefault="00000000">
      <w:r>
        <w:rPr>
          <w:b/>
          <w:bCs/>
          <w:vertAlign w:val="superscript"/>
        </w:rPr>
        <w:t>10</w:t>
      </w:r>
      <w:r>
        <w:tab/>
        <w:t>Программа развития Организации Объединенных Наций, "Доклад о развитии человеческого потенциала за 2000 год", стр. 158, таблица 1 (Индекс нищеты населения).</w:t>
      </w:r>
    </w:p>
    <w:p w:rsidR="00000000" w:rsidRDefault="00000000"/>
    <w:p w:rsidR="00000000" w:rsidRDefault="00000000">
      <w:r>
        <w:rPr>
          <w:b/>
          <w:bCs/>
          <w:vertAlign w:val="superscript"/>
        </w:rPr>
        <w:t>11</w:t>
      </w:r>
      <w:r>
        <w:tab/>
        <w:t>Высший народный комитет по вопросам здравоохранения и медицинского страхования, "Здравоохранение и социальные службы", 1969-1999 годы, стр. 65.</w:t>
      </w:r>
    </w:p>
    <w:p w:rsidR="00000000" w:rsidRDefault="00000000">
      <w:pPr>
        <w:spacing w:line="240" w:lineRule="auto"/>
      </w:pPr>
    </w:p>
    <w:p w:rsidR="00000000" w:rsidRDefault="00000000">
      <w:pPr>
        <w:spacing w:after="240"/>
        <w:jc w:val="center"/>
      </w:pPr>
      <w:r>
        <w:br w:type="page"/>
      </w:r>
      <w:r>
        <w:rPr>
          <w:b/>
          <w:bCs/>
        </w:rPr>
        <w:t>Источники, использованные при подготовке доклада</w:t>
      </w:r>
    </w:p>
    <w:p w:rsidR="00000000" w:rsidRDefault="00000000">
      <w:pPr>
        <w:spacing w:after="240"/>
        <w:ind w:left="567" w:hanging="567"/>
      </w:pPr>
      <w:r>
        <w:t>1.</w:t>
      </w:r>
      <w:r>
        <w:tab/>
        <w:t xml:space="preserve">Национальное управление информации и документации, </w:t>
      </w:r>
      <w:r>
        <w:rPr>
          <w:i/>
          <w:iCs/>
          <w:lang w:val="en-US"/>
        </w:rPr>
        <w:t>Human</w:t>
      </w:r>
      <w:r>
        <w:rPr>
          <w:i/>
          <w:iCs/>
        </w:rPr>
        <w:t xml:space="preserve"> </w:t>
      </w:r>
      <w:r>
        <w:rPr>
          <w:i/>
          <w:iCs/>
          <w:lang w:val="en-US"/>
        </w:rPr>
        <w:t>Development</w:t>
      </w:r>
      <w:r>
        <w:rPr>
          <w:i/>
          <w:iCs/>
        </w:rPr>
        <w:t xml:space="preserve"> </w:t>
      </w:r>
      <w:r>
        <w:rPr>
          <w:i/>
          <w:iCs/>
          <w:lang w:val="en-US"/>
        </w:rPr>
        <w:t>Report</w:t>
      </w:r>
      <w:r>
        <w:rPr>
          <w:i/>
          <w:iCs/>
        </w:rPr>
        <w:t xml:space="preserve"> 1999</w:t>
      </w:r>
      <w:r>
        <w:t>.</w:t>
      </w:r>
    </w:p>
    <w:p w:rsidR="00000000" w:rsidRDefault="00000000">
      <w:pPr>
        <w:spacing w:after="240"/>
      </w:pPr>
      <w:r>
        <w:t>2.</w:t>
      </w:r>
      <w:r>
        <w:tab/>
        <w:t xml:space="preserve">Национальное управление информации и документации, </w:t>
      </w:r>
      <w:r>
        <w:rPr>
          <w:i/>
          <w:iCs/>
        </w:rPr>
        <w:t xml:space="preserve">2002 </w:t>
      </w:r>
      <w:r>
        <w:rPr>
          <w:i/>
          <w:iCs/>
          <w:lang w:val="en-US"/>
        </w:rPr>
        <w:t>Statistical</w:t>
      </w:r>
      <w:r>
        <w:rPr>
          <w:i/>
          <w:iCs/>
        </w:rPr>
        <w:t xml:space="preserve"> </w:t>
      </w:r>
      <w:r>
        <w:rPr>
          <w:i/>
          <w:iCs/>
          <w:lang w:val="en-US"/>
        </w:rPr>
        <w:t>Yearbook</w:t>
      </w:r>
      <w:r>
        <w:t>.</w:t>
      </w:r>
    </w:p>
    <w:p w:rsidR="00000000" w:rsidRDefault="00000000">
      <w:pPr>
        <w:spacing w:after="240"/>
        <w:ind w:left="567" w:hanging="567"/>
      </w:pPr>
      <w:r>
        <w:t>3.</w:t>
      </w:r>
      <w:r>
        <w:tab/>
        <w:t xml:space="preserve">Высший народный комитет по вопросам образования и профессионально-технической подготовки, </w:t>
      </w:r>
      <w:r>
        <w:rPr>
          <w:i/>
          <w:iCs/>
          <w:lang w:val="en-US"/>
        </w:rPr>
        <w:t>National</w:t>
      </w:r>
      <w:r>
        <w:rPr>
          <w:i/>
          <w:iCs/>
        </w:rPr>
        <w:t xml:space="preserve"> </w:t>
      </w:r>
      <w:r>
        <w:rPr>
          <w:i/>
          <w:iCs/>
          <w:lang w:val="en-US"/>
        </w:rPr>
        <w:t>Report</w:t>
      </w:r>
      <w:r>
        <w:rPr>
          <w:i/>
          <w:iCs/>
        </w:rPr>
        <w:t xml:space="preserve"> </w:t>
      </w:r>
      <w:r>
        <w:rPr>
          <w:i/>
          <w:iCs/>
          <w:lang w:val="en-US"/>
        </w:rPr>
        <w:t>of</w:t>
      </w:r>
      <w:r>
        <w:rPr>
          <w:i/>
          <w:iCs/>
        </w:rPr>
        <w:t xml:space="preserve"> </w:t>
      </w:r>
      <w:r>
        <w:rPr>
          <w:i/>
          <w:iCs/>
          <w:lang w:val="en-US"/>
        </w:rPr>
        <w:t>the</w:t>
      </w:r>
      <w:r>
        <w:rPr>
          <w:i/>
          <w:iCs/>
        </w:rPr>
        <w:t xml:space="preserve"> </w:t>
      </w:r>
      <w:r>
        <w:rPr>
          <w:i/>
          <w:iCs/>
          <w:lang w:val="en-US"/>
        </w:rPr>
        <w:t>Great</w:t>
      </w:r>
      <w:r>
        <w:rPr>
          <w:i/>
          <w:iCs/>
        </w:rPr>
        <w:t xml:space="preserve"> </w:t>
      </w:r>
      <w:r>
        <w:rPr>
          <w:i/>
          <w:iCs/>
          <w:lang w:val="en-US"/>
        </w:rPr>
        <w:t>Jamahiriya</w:t>
      </w:r>
      <w:r>
        <w:rPr>
          <w:i/>
          <w:iCs/>
        </w:rPr>
        <w:t xml:space="preserve"> </w:t>
      </w:r>
      <w:r>
        <w:rPr>
          <w:i/>
          <w:iCs/>
          <w:lang w:val="en-US"/>
        </w:rPr>
        <w:t>on</w:t>
      </w:r>
      <w:r>
        <w:rPr>
          <w:i/>
          <w:iCs/>
        </w:rPr>
        <w:t xml:space="preserve"> </w:t>
      </w:r>
      <w:r>
        <w:rPr>
          <w:i/>
          <w:iCs/>
          <w:lang w:val="en-US"/>
        </w:rPr>
        <w:t>Education</w:t>
      </w:r>
      <w:r>
        <w:rPr>
          <w:i/>
          <w:iCs/>
        </w:rPr>
        <w:t xml:space="preserve"> </w:t>
      </w:r>
      <w:r>
        <w:rPr>
          <w:i/>
          <w:iCs/>
          <w:lang w:val="en-US"/>
        </w:rPr>
        <w:t>for</w:t>
      </w:r>
      <w:r>
        <w:rPr>
          <w:i/>
          <w:iCs/>
        </w:rPr>
        <w:t xml:space="preserve"> </w:t>
      </w:r>
      <w:r>
        <w:rPr>
          <w:i/>
          <w:iCs/>
          <w:lang w:val="en-US"/>
        </w:rPr>
        <w:t>All</w:t>
      </w:r>
      <w:r>
        <w:rPr>
          <w:i/>
          <w:iCs/>
        </w:rPr>
        <w:t xml:space="preserve"> </w:t>
      </w:r>
      <w:r>
        <w:rPr>
          <w:i/>
          <w:iCs/>
          <w:lang w:val="en-US"/>
        </w:rPr>
        <w:t>to</w:t>
      </w:r>
      <w:r>
        <w:rPr>
          <w:i/>
          <w:iCs/>
        </w:rPr>
        <w:t xml:space="preserve"> </w:t>
      </w:r>
      <w:r>
        <w:rPr>
          <w:i/>
          <w:iCs/>
          <w:lang w:val="en-US"/>
        </w:rPr>
        <w:t>the</w:t>
      </w:r>
      <w:r>
        <w:rPr>
          <w:i/>
          <w:iCs/>
        </w:rPr>
        <w:t xml:space="preserve"> </w:t>
      </w:r>
      <w:r>
        <w:rPr>
          <w:i/>
          <w:iCs/>
          <w:lang w:val="en-US"/>
        </w:rPr>
        <w:t>Year</w:t>
      </w:r>
      <w:r>
        <w:rPr>
          <w:i/>
          <w:iCs/>
        </w:rPr>
        <w:t xml:space="preserve"> 2000</w:t>
      </w:r>
      <w:r>
        <w:t>.</w:t>
      </w:r>
    </w:p>
    <w:p w:rsidR="00000000" w:rsidRDefault="00000000">
      <w:pPr>
        <w:spacing w:after="240"/>
        <w:ind w:left="567" w:hanging="567"/>
        <w:rPr>
          <w:i/>
          <w:iCs/>
        </w:rPr>
      </w:pPr>
      <w:r>
        <w:t>4.</w:t>
      </w:r>
      <w:r>
        <w:tab/>
        <w:t xml:space="preserve">Высший народный комитет по вопросам образования и профессионально-технической подготовки, </w:t>
      </w:r>
      <w:r>
        <w:rPr>
          <w:i/>
          <w:iCs/>
          <w:lang w:val="en-US"/>
        </w:rPr>
        <w:t>Trends</w:t>
      </w:r>
      <w:r>
        <w:rPr>
          <w:i/>
          <w:iCs/>
        </w:rPr>
        <w:t xml:space="preserve"> </w:t>
      </w:r>
      <w:r>
        <w:rPr>
          <w:i/>
          <w:iCs/>
          <w:lang w:val="en-US"/>
        </w:rPr>
        <w:t>in</w:t>
      </w:r>
      <w:r>
        <w:rPr>
          <w:i/>
          <w:iCs/>
        </w:rPr>
        <w:t xml:space="preserve"> </w:t>
      </w:r>
      <w:r>
        <w:rPr>
          <w:i/>
          <w:iCs/>
          <w:lang w:val="en-US"/>
        </w:rPr>
        <w:t>Education</w:t>
      </w:r>
      <w:r>
        <w:rPr>
          <w:i/>
          <w:iCs/>
        </w:rPr>
        <w:t xml:space="preserve"> </w:t>
      </w:r>
      <w:r>
        <w:rPr>
          <w:i/>
          <w:iCs/>
          <w:lang w:val="en-US"/>
        </w:rPr>
        <w:t>and</w:t>
      </w:r>
      <w:r>
        <w:rPr>
          <w:i/>
          <w:iCs/>
        </w:rPr>
        <w:t xml:space="preserve"> </w:t>
      </w:r>
      <w:r>
        <w:rPr>
          <w:i/>
          <w:iCs/>
          <w:lang w:val="en-US"/>
        </w:rPr>
        <w:t>Training</w:t>
      </w:r>
      <w:r>
        <w:rPr>
          <w:i/>
          <w:iCs/>
        </w:rPr>
        <w:t xml:space="preserve"> </w:t>
      </w:r>
      <w:r>
        <w:rPr>
          <w:i/>
          <w:iCs/>
          <w:lang w:val="en-US"/>
        </w:rPr>
        <w:t>in</w:t>
      </w:r>
      <w:r>
        <w:rPr>
          <w:i/>
          <w:iCs/>
        </w:rPr>
        <w:t xml:space="preserve"> </w:t>
      </w:r>
      <w:r>
        <w:rPr>
          <w:i/>
          <w:iCs/>
          <w:lang w:val="en-US"/>
        </w:rPr>
        <w:t>the</w:t>
      </w:r>
      <w:r>
        <w:rPr>
          <w:i/>
          <w:iCs/>
        </w:rPr>
        <w:t xml:space="preserve"> </w:t>
      </w:r>
      <w:r>
        <w:rPr>
          <w:i/>
          <w:iCs/>
          <w:lang w:val="en-US"/>
        </w:rPr>
        <w:t>Jamahiriya</w:t>
      </w:r>
      <w:r>
        <w:t xml:space="preserve">, 1969 </w:t>
      </w:r>
      <w:r>
        <w:rPr>
          <w:lang w:val="en-US"/>
        </w:rPr>
        <w:t>to</w:t>
      </w:r>
      <w:r>
        <w:t xml:space="preserve"> 1999.</w:t>
      </w:r>
    </w:p>
    <w:p w:rsidR="00000000" w:rsidRDefault="00000000">
      <w:pPr>
        <w:spacing w:after="240"/>
        <w:ind w:left="567" w:hanging="567"/>
      </w:pPr>
      <w:r>
        <w:t>5.</w:t>
      </w:r>
      <w:r>
        <w:rPr>
          <w:i/>
          <w:iCs/>
        </w:rPr>
        <w:tab/>
      </w:r>
      <w:r>
        <w:t xml:space="preserve">Высший народный комитет по вопросам здравоохранения и социального обеспечения, </w:t>
      </w:r>
      <w:r>
        <w:rPr>
          <w:i/>
          <w:iCs/>
          <w:lang w:val="en-US"/>
        </w:rPr>
        <w:t>Thirty</w:t>
      </w:r>
      <w:r>
        <w:rPr>
          <w:i/>
          <w:iCs/>
        </w:rPr>
        <w:t xml:space="preserve"> </w:t>
      </w:r>
      <w:r>
        <w:rPr>
          <w:i/>
          <w:iCs/>
          <w:lang w:val="en-US"/>
        </w:rPr>
        <w:t>Years</w:t>
      </w:r>
      <w:r>
        <w:rPr>
          <w:i/>
          <w:iCs/>
        </w:rPr>
        <w:t xml:space="preserve"> </w:t>
      </w:r>
      <w:r>
        <w:rPr>
          <w:i/>
          <w:iCs/>
          <w:lang w:val="en-US"/>
        </w:rPr>
        <w:t>of</w:t>
      </w:r>
      <w:r>
        <w:rPr>
          <w:i/>
          <w:iCs/>
        </w:rPr>
        <w:t xml:space="preserve"> </w:t>
      </w:r>
      <w:r>
        <w:rPr>
          <w:i/>
          <w:iCs/>
          <w:lang w:val="en-US"/>
        </w:rPr>
        <w:t>Health</w:t>
      </w:r>
      <w:r>
        <w:rPr>
          <w:i/>
          <w:iCs/>
        </w:rPr>
        <w:t xml:space="preserve"> </w:t>
      </w:r>
      <w:r>
        <w:rPr>
          <w:i/>
          <w:iCs/>
          <w:lang w:val="en-US"/>
        </w:rPr>
        <w:t>and</w:t>
      </w:r>
      <w:r>
        <w:rPr>
          <w:i/>
          <w:iCs/>
        </w:rPr>
        <w:t xml:space="preserve"> </w:t>
      </w:r>
      <w:r>
        <w:rPr>
          <w:i/>
          <w:iCs/>
          <w:lang w:val="en-US"/>
        </w:rPr>
        <w:t>Social</w:t>
      </w:r>
      <w:r>
        <w:rPr>
          <w:i/>
          <w:iCs/>
        </w:rPr>
        <w:t xml:space="preserve"> </w:t>
      </w:r>
      <w:r>
        <w:rPr>
          <w:i/>
          <w:iCs/>
          <w:lang w:val="en-US"/>
        </w:rPr>
        <w:t>Services</w:t>
      </w:r>
      <w:r>
        <w:t xml:space="preserve">, 1969 </w:t>
      </w:r>
      <w:r>
        <w:rPr>
          <w:lang w:val="en-US"/>
        </w:rPr>
        <w:t>to</w:t>
      </w:r>
      <w:r>
        <w:t xml:space="preserve"> 1999.</w:t>
      </w:r>
    </w:p>
    <w:p w:rsidR="00000000" w:rsidRDefault="00000000">
      <w:pPr>
        <w:spacing w:after="240"/>
        <w:ind w:left="567" w:hanging="567"/>
      </w:pPr>
      <w:r>
        <w:t>6.</w:t>
      </w:r>
      <w:r>
        <w:tab/>
        <w:t>Высший комитет по делам детства и ЮНИСЕФ, выдержка из сравнительного анализа Конвенции о правах ребенка и ливийского законодательства.</w:t>
      </w:r>
    </w:p>
    <w:p w:rsidR="00000000" w:rsidRDefault="00000000">
      <w:pPr>
        <w:spacing w:after="240"/>
        <w:ind w:left="567" w:hanging="567"/>
      </w:pPr>
      <w:r>
        <w:t>7.</w:t>
      </w:r>
      <w:r>
        <w:tab/>
        <w:t xml:space="preserve">Национальный комитет по вопросам образования, науки и культуры, </w:t>
      </w:r>
      <w:r>
        <w:rPr>
          <w:i/>
          <w:iCs/>
          <w:lang w:val="en-US"/>
        </w:rPr>
        <w:t>Trends</w:t>
      </w:r>
      <w:r>
        <w:rPr>
          <w:i/>
          <w:iCs/>
        </w:rPr>
        <w:t xml:space="preserve"> </w:t>
      </w:r>
      <w:r>
        <w:rPr>
          <w:i/>
          <w:iCs/>
          <w:lang w:val="en-US"/>
        </w:rPr>
        <w:t>in</w:t>
      </w:r>
      <w:r>
        <w:rPr>
          <w:i/>
          <w:iCs/>
        </w:rPr>
        <w:t xml:space="preserve"> </w:t>
      </w:r>
      <w:r>
        <w:rPr>
          <w:i/>
          <w:iCs/>
          <w:lang w:val="en-US"/>
        </w:rPr>
        <w:t>Education</w:t>
      </w:r>
      <w:r>
        <w:rPr>
          <w:i/>
          <w:iCs/>
        </w:rPr>
        <w:t xml:space="preserve"> </w:t>
      </w:r>
      <w:r>
        <w:rPr>
          <w:i/>
          <w:iCs/>
          <w:lang w:val="en-US"/>
        </w:rPr>
        <w:t>in</w:t>
      </w:r>
      <w:r>
        <w:rPr>
          <w:i/>
          <w:iCs/>
        </w:rPr>
        <w:t xml:space="preserve"> </w:t>
      </w:r>
      <w:r>
        <w:rPr>
          <w:i/>
          <w:iCs/>
          <w:lang w:val="en-US"/>
        </w:rPr>
        <w:t>the</w:t>
      </w:r>
      <w:r>
        <w:rPr>
          <w:i/>
          <w:iCs/>
        </w:rPr>
        <w:t xml:space="preserve"> </w:t>
      </w:r>
      <w:r>
        <w:rPr>
          <w:i/>
          <w:iCs/>
          <w:lang w:val="en-US"/>
        </w:rPr>
        <w:t>Great</w:t>
      </w:r>
      <w:r>
        <w:rPr>
          <w:i/>
          <w:iCs/>
        </w:rPr>
        <w:t xml:space="preserve"> </w:t>
      </w:r>
      <w:r>
        <w:rPr>
          <w:i/>
          <w:iCs/>
          <w:lang w:val="en-US"/>
        </w:rPr>
        <w:t>Jamahiriya</w:t>
      </w:r>
      <w:r>
        <w:t xml:space="preserve"> - национальный доклад, представленный на Международной конференции по образованию, состоявшейся в Женеве в 2001 году.</w:t>
      </w:r>
    </w:p>
    <w:p w:rsidR="00000000" w:rsidRDefault="00000000">
      <w:pPr>
        <w:spacing w:after="240"/>
      </w:pPr>
    </w:p>
    <w:p w:rsidR="00000000" w:rsidRDefault="00000000">
      <w:pPr>
        <w:jc w:val="center"/>
        <w:rPr>
          <w:b/>
          <w:bCs/>
        </w:rPr>
      </w:pPr>
      <w:r>
        <w:br w:type="page"/>
      </w:r>
      <w:r>
        <w:rPr>
          <w:b/>
          <w:bCs/>
        </w:rPr>
        <w:t>Члены подготовительного комитета</w:t>
      </w:r>
    </w:p>
    <w:p w:rsidR="00000000" w:rsidRDefault="00000000">
      <w:pPr>
        <w:jc w:val="center"/>
      </w:pPr>
    </w:p>
    <w:tbl>
      <w:tblPr>
        <w:tblW w:w="0" w:type="auto"/>
        <w:tblCellMar>
          <w:left w:w="28" w:type="dxa"/>
          <w:right w:w="28" w:type="dxa"/>
        </w:tblCellMar>
        <w:tblLook w:val="0000" w:firstRow="0" w:lastRow="0" w:firstColumn="0" w:lastColumn="0" w:noHBand="0" w:noVBand="0"/>
      </w:tblPr>
      <w:tblGrid>
        <w:gridCol w:w="4516"/>
        <w:gridCol w:w="4894"/>
      </w:tblGrid>
      <w:tr w:rsidR="00000000">
        <w:tblPrEx>
          <w:tblCellMar>
            <w:top w:w="0" w:type="dxa"/>
            <w:bottom w:w="0" w:type="dxa"/>
          </w:tblCellMar>
        </w:tblPrEx>
        <w:tc>
          <w:tcPr>
            <w:tcW w:w="4516" w:type="dxa"/>
          </w:tcPr>
          <w:p w:rsidR="00000000" w:rsidRDefault="00000000">
            <w:r>
              <w:t>1.</w:t>
            </w:r>
            <w:r>
              <w:tab/>
              <w:t>Джумаа Ибрагим аль-Фарджани</w:t>
            </w:r>
          </w:p>
        </w:tc>
        <w:tc>
          <w:tcPr>
            <w:tcW w:w="4895" w:type="dxa"/>
          </w:tcPr>
          <w:p w:rsidR="00000000" w:rsidRDefault="00000000">
            <w:r>
              <w:t>Начальник главного управления международных организаций Высшего народного комитета по внешним связям и международному сотрудничеству</w:t>
            </w:r>
          </w:p>
          <w:p w:rsidR="00000000" w:rsidRDefault="00000000"/>
        </w:tc>
      </w:tr>
      <w:tr w:rsidR="00000000">
        <w:tblPrEx>
          <w:tblCellMar>
            <w:top w:w="0" w:type="dxa"/>
            <w:bottom w:w="0" w:type="dxa"/>
          </w:tblCellMar>
        </w:tblPrEx>
        <w:tc>
          <w:tcPr>
            <w:tcW w:w="4516" w:type="dxa"/>
          </w:tcPr>
          <w:p w:rsidR="00000000" w:rsidRDefault="00000000">
            <w:r>
              <w:t>2.</w:t>
            </w:r>
            <w:r>
              <w:tab/>
              <w:t>Абдул Салам ад-Дувиби</w:t>
            </w:r>
          </w:p>
        </w:tc>
        <w:tc>
          <w:tcPr>
            <w:tcW w:w="4895" w:type="dxa"/>
          </w:tcPr>
          <w:p w:rsidR="00000000" w:rsidRDefault="00000000">
            <w:r>
              <w:t>Высший комитет по делам детства</w:t>
            </w:r>
          </w:p>
          <w:p w:rsidR="00000000" w:rsidRDefault="00000000"/>
        </w:tc>
      </w:tr>
      <w:tr w:rsidR="00000000">
        <w:tblPrEx>
          <w:tblCellMar>
            <w:top w:w="0" w:type="dxa"/>
            <w:bottom w:w="0" w:type="dxa"/>
          </w:tblCellMar>
        </w:tblPrEx>
        <w:tc>
          <w:tcPr>
            <w:tcW w:w="4516" w:type="dxa"/>
          </w:tcPr>
          <w:p w:rsidR="00000000" w:rsidRDefault="00000000">
            <w:r>
              <w:t>3.</w:t>
            </w:r>
            <w:r>
              <w:tab/>
              <w:t>Файза Юнис аль-Баша</w:t>
            </w:r>
          </w:p>
        </w:tc>
        <w:tc>
          <w:tcPr>
            <w:tcW w:w="4895" w:type="dxa"/>
          </w:tcPr>
          <w:p w:rsidR="00000000" w:rsidRDefault="00000000">
            <w:r>
              <w:t>Представитель секретариата по социальным вопросам Всеобщего народного конгресса</w:t>
            </w:r>
          </w:p>
          <w:p w:rsidR="00000000" w:rsidRDefault="00000000"/>
        </w:tc>
      </w:tr>
      <w:tr w:rsidR="00000000">
        <w:tblPrEx>
          <w:tblCellMar>
            <w:top w:w="0" w:type="dxa"/>
            <w:bottom w:w="0" w:type="dxa"/>
          </w:tblCellMar>
        </w:tblPrEx>
        <w:tc>
          <w:tcPr>
            <w:tcW w:w="4516" w:type="dxa"/>
          </w:tcPr>
          <w:p w:rsidR="00000000" w:rsidRDefault="00000000">
            <w:r>
              <w:t>4.</w:t>
            </w:r>
            <w:r>
              <w:tab/>
              <w:t>Халид Мухаммед аль-Джамаль</w:t>
            </w:r>
          </w:p>
        </w:tc>
        <w:tc>
          <w:tcPr>
            <w:tcW w:w="4895" w:type="dxa"/>
          </w:tcPr>
          <w:p w:rsidR="00000000" w:rsidRDefault="00000000">
            <w:r>
              <w:t>Высший народный комитет по социальным службам</w:t>
            </w:r>
          </w:p>
          <w:p w:rsidR="00000000" w:rsidRDefault="00000000"/>
        </w:tc>
      </w:tr>
      <w:tr w:rsidR="00000000">
        <w:tblPrEx>
          <w:tblCellMar>
            <w:top w:w="0" w:type="dxa"/>
            <w:bottom w:w="0" w:type="dxa"/>
          </w:tblCellMar>
        </w:tblPrEx>
        <w:tc>
          <w:tcPr>
            <w:tcW w:w="4516" w:type="dxa"/>
          </w:tcPr>
          <w:p w:rsidR="00000000" w:rsidRDefault="00000000">
            <w:r>
              <w:t>5.</w:t>
            </w:r>
            <w:r>
              <w:tab/>
              <w:t>Абдул Рахман Баршан</w:t>
            </w:r>
          </w:p>
        </w:tc>
        <w:tc>
          <w:tcPr>
            <w:tcW w:w="4895" w:type="dxa"/>
          </w:tcPr>
          <w:p w:rsidR="00000000" w:rsidRDefault="00000000">
            <w:r>
              <w:t>Высший народный комитет по вопросам юстиции и общественной безопасности</w:t>
            </w:r>
          </w:p>
          <w:p w:rsidR="00000000" w:rsidRDefault="00000000"/>
        </w:tc>
      </w:tr>
      <w:tr w:rsidR="00000000">
        <w:tblPrEx>
          <w:tblCellMar>
            <w:top w:w="0" w:type="dxa"/>
            <w:bottom w:w="0" w:type="dxa"/>
          </w:tblCellMar>
        </w:tblPrEx>
        <w:tc>
          <w:tcPr>
            <w:tcW w:w="4516" w:type="dxa"/>
          </w:tcPr>
          <w:p w:rsidR="00000000" w:rsidRDefault="00000000">
            <w:r>
              <w:t>6.</w:t>
            </w:r>
            <w:r>
              <w:tab/>
              <w:t>Бахлул аш-Шатиуи</w:t>
            </w:r>
          </w:p>
        </w:tc>
        <w:tc>
          <w:tcPr>
            <w:tcW w:w="4895" w:type="dxa"/>
          </w:tcPr>
          <w:p w:rsidR="00000000" w:rsidRDefault="00000000">
            <w:r>
              <w:t>Высший народный комитет по вопросам экономики и торговли</w:t>
            </w:r>
          </w:p>
          <w:p w:rsidR="00000000" w:rsidRDefault="00000000"/>
        </w:tc>
      </w:tr>
      <w:tr w:rsidR="00000000">
        <w:tblPrEx>
          <w:tblCellMar>
            <w:top w:w="0" w:type="dxa"/>
            <w:bottom w:w="0" w:type="dxa"/>
          </w:tblCellMar>
        </w:tblPrEx>
        <w:tc>
          <w:tcPr>
            <w:tcW w:w="4516" w:type="dxa"/>
          </w:tcPr>
          <w:p w:rsidR="00000000" w:rsidRDefault="00000000">
            <w:r>
              <w:t>7.</w:t>
            </w:r>
            <w:r>
              <w:tab/>
              <w:t>Хасания Милуд Маркус</w:t>
            </w:r>
          </w:p>
        </w:tc>
        <w:tc>
          <w:tcPr>
            <w:tcW w:w="4895" w:type="dxa"/>
          </w:tcPr>
          <w:p w:rsidR="00000000" w:rsidRDefault="00000000">
            <w:r>
              <w:t>Главное управление международных организаций Высшего народного комитета по внешним связям и международному сотрудничеству</w:t>
            </w:r>
          </w:p>
          <w:p w:rsidR="00000000" w:rsidRDefault="00000000"/>
        </w:tc>
      </w:tr>
      <w:tr w:rsidR="00000000">
        <w:tblPrEx>
          <w:tblCellMar>
            <w:top w:w="0" w:type="dxa"/>
            <w:bottom w:w="0" w:type="dxa"/>
          </w:tblCellMar>
        </w:tblPrEx>
        <w:tc>
          <w:tcPr>
            <w:tcW w:w="4516" w:type="dxa"/>
          </w:tcPr>
          <w:p w:rsidR="00000000" w:rsidRDefault="00000000">
            <w:r>
              <w:t>8.</w:t>
            </w:r>
            <w:r>
              <w:tab/>
              <w:t>Мухаммед Муаммар аш-Шриди</w:t>
            </w:r>
          </w:p>
        </w:tc>
        <w:tc>
          <w:tcPr>
            <w:tcW w:w="4895" w:type="dxa"/>
          </w:tcPr>
          <w:p w:rsidR="00000000" w:rsidRDefault="00000000">
            <w:r>
              <w:t>Главное договорно-правовое управление Высшего народного комитета по внешним связям и международному сотрудничеству</w:t>
            </w:r>
          </w:p>
          <w:p w:rsidR="00000000" w:rsidRDefault="00000000"/>
        </w:tc>
      </w:tr>
      <w:tr w:rsidR="00000000">
        <w:tblPrEx>
          <w:tblCellMar>
            <w:top w:w="0" w:type="dxa"/>
            <w:bottom w:w="0" w:type="dxa"/>
          </w:tblCellMar>
        </w:tblPrEx>
        <w:trPr>
          <w:cantSplit/>
        </w:trPr>
        <w:tc>
          <w:tcPr>
            <w:tcW w:w="9411" w:type="dxa"/>
            <w:gridSpan w:val="2"/>
          </w:tcPr>
          <w:p w:rsidR="00000000" w:rsidRDefault="00000000">
            <w:r>
              <w:t>В состав редакционного комитета входили следующие лица:</w:t>
            </w:r>
          </w:p>
          <w:p w:rsidR="00000000" w:rsidRDefault="00000000"/>
        </w:tc>
      </w:tr>
      <w:tr w:rsidR="00000000">
        <w:tblPrEx>
          <w:tblCellMar>
            <w:top w:w="0" w:type="dxa"/>
            <w:bottom w:w="0" w:type="dxa"/>
          </w:tblCellMar>
        </w:tblPrEx>
        <w:tc>
          <w:tcPr>
            <w:tcW w:w="4516" w:type="dxa"/>
          </w:tcPr>
          <w:p w:rsidR="00000000" w:rsidRDefault="00000000">
            <w:r>
              <w:t>1.</w:t>
            </w:r>
            <w:r>
              <w:tab/>
              <w:t>Файза Юнис аль-Баша</w:t>
            </w:r>
          </w:p>
        </w:tc>
        <w:tc>
          <w:tcPr>
            <w:tcW w:w="4895" w:type="dxa"/>
          </w:tcPr>
          <w:p w:rsidR="00000000" w:rsidRDefault="00000000">
            <w:r>
              <w:t>Представитель секретариата по социальным вопросам Всеобщего народного конгресса (председатель)</w:t>
            </w:r>
          </w:p>
          <w:p w:rsidR="00000000" w:rsidRDefault="00000000"/>
        </w:tc>
      </w:tr>
      <w:tr w:rsidR="00000000">
        <w:tblPrEx>
          <w:tblCellMar>
            <w:top w:w="0" w:type="dxa"/>
            <w:bottom w:w="0" w:type="dxa"/>
          </w:tblCellMar>
        </w:tblPrEx>
        <w:tc>
          <w:tcPr>
            <w:tcW w:w="4516" w:type="dxa"/>
          </w:tcPr>
          <w:p w:rsidR="00000000" w:rsidRDefault="00000000">
            <w:r>
              <w:t>2.</w:t>
            </w:r>
            <w:r>
              <w:tab/>
              <w:t>Абдул Рахман Баршан</w:t>
            </w:r>
          </w:p>
        </w:tc>
        <w:tc>
          <w:tcPr>
            <w:tcW w:w="4895" w:type="dxa"/>
          </w:tcPr>
          <w:p w:rsidR="00000000" w:rsidRDefault="00000000">
            <w:r>
              <w:t>Высший народный комитет по вопросам юстиции и общественной безопасности (член комитета)</w:t>
            </w:r>
          </w:p>
          <w:p w:rsidR="00000000" w:rsidRDefault="00000000"/>
        </w:tc>
      </w:tr>
      <w:tr w:rsidR="00000000">
        <w:tblPrEx>
          <w:tblCellMar>
            <w:top w:w="0" w:type="dxa"/>
            <w:bottom w:w="0" w:type="dxa"/>
          </w:tblCellMar>
        </w:tblPrEx>
        <w:tc>
          <w:tcPr>
            <w:tcW w:w="4516" w:type="dxa"/>
          </w:tcPr>
          <w:p w:rsidR="00000000" w:rsidRDefault="00000000">
            <w:r>
              <w:t>3.</w:t>
            </w:r>
            <w:r>
              <w:tab/>
              <w:t>Хасания Милуд Маркус</w:t>
            </w:r>
          </w:p>
        </w:tc>
        <w:tc>
          <w:tcPr>
            <w:tcW w:w="4895" w:type="dxa"/>
          </w:tcPr>
          <w:p w:rsidR="00000000" w:rsidRDefault="00000000">
            <w:r>
              <w:t>Главное управление международных организаций Высшего народного комитета по внешним связям и международному сотрудничеству (член комитета)</w:t>
            </w:r>
          </w:p>
          <w:p w:rsidR="00000000" w:rsidRDefault="00000000"/>
        </w:tc>
      </w:tr>
      <w:tr w:rsidR="00000000">
        <w:tblPrEx>
          <w:tblCellMar>
            <w:top w:w="0" w:type="dxa"/>
            <w:bottom w:w="0" w:type="dxa"/>
          </w:tblCellMar>
        </w:tblPrEx>
        <w:tc>
          <w:tcPr>
            <w:tcW w:w="4516" w:type="dxa"/>
          </w:tcPr>
          <w:p w:rsidR="00000000" w:rsidRDefault="00000000">
            <w:r>
              <w:t>4.</w:t>
            </w:r>
            <w:r>
              <w:tab/>
              <w:t>Мухаммед Муаммар аш-Шриди</w:t>
            </w:r>
          </w:p>
        </w:tc>
        <w:tc>
          <w:tcPr>
            <w:tcW w:w="4895" w:type="dxa"/>
          </w:tcPr>
          <w:p w:rsidR="00000000" w:rsidRDefault="00000000">
            <w:r>
              <w:t>Главное договорно-правовое управление Высшего народного комитета по внешним связям и международному сотрудничеству (член комитета)</w:t>
            </w:r>
          </w:p>
          <w:p w:rsidR="00000000" w:rsidRDefault="00000000"/>
        </w:tc>
      </w:tr>
    </w:tbl>
    <w:p w:rsidR="00000000" w:rsidRDefault="00000000"/>
    <w:p w:rsidR="00000000" w:rsidRDefault="00000000">
      <w:pPr>
        <w:jc w:val="center"/>
      </w:pPr>
      <w:r>
        <w:t>-----</w:t>
      </w: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lang w:val="en-US"/>
        </w:rPr>
      </w:pPr>
      <w:r>
        <w:rPr>
          <w:rStyle w:val="FootnoteReference"/>
        </w:rPr>
        <w:sym w:font="Symbol" w:char="F02A"/>
      </w:r>
      <w:r>
        <w:t xml:space="preserve"> </w:t>
      </w:r>
      <w:r>
        <w:tab/>
        <w:t>Представленный правительством Ливийской Арабской Джамихирии первоначальный доклад (</w:t>
      </w:r>
      <w:r>
        <w:rPr>
          <w:lang w:val="en-US"/>
        </w:rPr>
        <w:t>E</w:t>
      </w:r>
      <w:r>
        <w:t>/1990/5/</w:t>
      </w:r>
      <w:r>
        <w:rPr>
          <w:lang w:val="en-US"/>
        </w:rPr>
        <w:t>Add</w:t>
      </w:r>
      <w:r>
        <w:t>.26) был рассмотрен Комитет по экономическим, социальным и культурным правам на его шестнадцатой сессии в 1997 году (см.</w:t>
      </w:r>
      <w:r>
        <w:rPr>
          <w:lang w:val="en-US"/>
        </w:rPr>
        <w:t> E</w:t>
      </w:r>
      <w:r>
        <w:t>/</w:t>
      </w:r>
      <w:r>
        <w:rPr>
          <w:lang w:val="en-US"/>
        </w:rPr>
        <w:t>C</w:t>
      </w:r>
      <w:r>
        <w:t>.12/1997/</w:t>
      </w:r>
      <w:r>
        <w:rPr>
          <w:lang w:val="en-US"/>
        </w:rPr>
        <w:t>SR</w:t>
      </w:r>
      <w:r>
        <w:t xml:space="preserve">.20-21;  и заключительные замечания – </w:t>
      </w:r>
      <w:r>
        <w:rPr>
          <w:lang w:val="en-US"/>
        </w:rPr>
        <w:t>E</w:t>
      </w:r>
      <w:r>
        <w:t>/</w:t>
      </w:r>
      <w:r>
        <w:rPr>
          <w:lang w:val="en-US"/>
        </w:rPr>
        <w:t>C</w:t>
      </w:r>
      <w:r>
        <w:t>.12/1/</w:t>
      </w:r>
      <w:r>
        <w:rPr>
          <w:lang w:val="en-US"/>
        </w:rPr>
        <w:t>Add</w:t>
      </w:r>
      <w:r>
        <w:t>.15).</w:t>
      </w:r>
    </w:p>
    <w:p w:rsidR="00000000" w:rsidRDefault="00000000">
      <w:pPr>
        <w:pStyle w:val="FootnoteText"/>
        <w:rPr>
          <w:lang w:val="en-US"/>
        </w:rPr>
      </w:pPr>
    </w:p>
    <w:p w:rsidR="00000000" w:rsidRDefault="00000000">
      <w:pPr>
        <w:pStyle w:val="FootnoteText"/>
      </w:pPr>
      <w:r>
        <w:tab/>
        <w:t>Информация, представленная Ливийской Арабской Джамахирией в соответствии с руководящими принципами в отношении первоначальной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.77).</w:t>
      </w:r>
    </w:p>
    <w:p w:rsidR="00000000" w:rsidRDefault="00000000">
      <w:pPr>
        <w:pStyle w:val="FootnoteText"/>
      </w:pPr>
    </w:p>
    <w:p w:rsidR="00000000" w:rsidRDefault="00000000">
      <w:pPr>
        <w:pStyle w:val="FootnoteText"/>
      </w:pPr>
    </w:p>
  </w:footnote>
  <w:footnote w:id="2">
    <w:p w:rsidR="00000000" w:rsidRDefault="00000000">
      <w:pPr>
        <w:pStyle w:val="FootnoteText"/>
      </w:pPr>
      <w:r>
        <w:rPr>
          <w:rStyle w:val="FootnoteReference"/>
          <w:b w:val="0"/>
          <w:bCs/>
        </w:rPr>
        <w:sym w:font="Symbol" w:char="F02A"/>
      </w:r>
      <w:r>
        <w:t xml:space="preserve"> </w:t>
      </w:r>
      <w:r>
        <w:tab/>
        <w:t xml:space="preserve">Примечание переводчика (с арабского):  В данном разделе в качестве основы были использованы подготовленные Комитетом по экономическим, социальным и культурным правам пересмотренные руководящие принципы в отношении формы и содержания докладов, представляемых государствами-участниками (документ </w:t>
      </w:r>
      <w:r>
        <w:rPr>
          <w:lang w:val="en-US"/>
        </w:rPr>
        <w:t>E</w:t>
      </w:r>
      <w:r>
        <w:t>/</w:t>
      </w:r>
      <w:r>
        <w:rPr>
          <w:lang w:val="en-US"/>
        </w:rPr>
        <w:t>C</w:t>
      </w:r>
      <w:r>
        <w:t>.12/1991/1).</w:t>
      </w:r>
    </w:p>
  </w:footnote>
  <w:footnote w:id="3">
    <w:p w:rsidR="00000000" w:rsidRDefault="00000000">
      <w:pPr>
        <w:pStyle w:val="FootnoteText"/>
      </w:pPr>
      <w:r>
        <w:rPr>
          <w:rStyle w:val="FootnoteReference"/>
        </w:rPr>
        <w:t>*</w:t>
      </w:r>
      <w:r>
        <w:t xml:space="preserve"> </w:t>
      </w:r>
      <w:r>
        <w:tab/>
        <w:t>Примечание переводчика (с арабского):  информация, приведенная в настоящем пункте, относится к статье 12 Пакта.</w:t>
      </w:r>
    </w:p>
  </w:footnote>
  <w:footnote w:id="4">
    <w:p w:rsidR="00000000" w:rsidRDefault="00000000">
      <w:pPr>
        <w:pStyle w:val="FootnoteText"/>
      </w:pPr>
      <w:r>
        <w:rPr>
          <w:rStyle w:val="FootnoteReference"/>
        </w:rPr>
        <w:sym w:font="Symbol" w:char="F02A"/>
      </w:r>
      <w:r>
        <w:t xml:space="preserve"> </w:t>
      </w:r>
      <w:r>
        <w:tab/>
        <w:t>См. статью 11 Пакта.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E/1990/6/Add.38</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ab/>
    </w:r>
    <w:r>
      <w:rPr>
        <w:lang w:val="en-US"/>
      </w:rPr>
      <w:tab/>
      <w:t>E/1990/6/Add.38</w:t>
    </w:r>
  </w:p>
  <w:p w:rsidR="00000000" w:rsidRDefault="00000000">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51</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C9EA90B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32017BA"/>
    <w:multiLevelType w:val="hybridMultilevel"/>
    <w:tmpl w:val="04080954"/>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7EA5A6F"/>
    <w:multiLevelType w:val="hybridMultilevel"/>
    <w:tmpl w:val="36BA056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9965F2A"/>
    <w:multiLevelType w:val="hybridMultilevel"/>
    <w:tmpl w:val="38D259B8"/>
    <w:lvl w:ilvl="0" w:tplc="BA62B82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A784943"/>
    <w:multiLevelType w:val="hybridMultilevel"/>
    <w:tmpl w:val="CAC2F370"/>
    <w:lvl w:ilvl="0" w:tplc="EC3442A4">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0A84236E"/>
    <w:multiLevelType w:val="hybridMultilevel"/>
    <w:tmpl w:val="DA36D122"/>
    <w:lvl w:ilvl="0" w:tplc="7D7C7E4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E906C11"/>
    <w:multiLevelType w:val="hybridMultilevel"/>
    <w:tmpl w:val="E3F27880"/>
    <w:lvl w:ilvl="0" w:tplc="3B3825B6">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0">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1">
    <w:nsid w:val="170C549E"/>
    <w:multiLevelType w:val="singleLevel"/>
    <w:tmpl w:val="01325DD6"/>
    <w:lvl w:ilvl="0">
      <w:start w:val="1"/>
      <w:numFmt w:val="lowerLetter"/>
      <w:lvlText w:val="(%1)"/>
      <w:lvlJc w:val="left"/>
      <w:pPr>
        <w:tabs>
          <w:tab w:val="num" w:pos="720"/>
        </w:tabs>
        <w:ind w:left="720" w:hanging="720"/>
      </w:pPr>
    </w:lvl>
  </w:abstractNum>
  <w:abstractNum w:abstractNumId="22">
    <w:nsid w:val="19F91ADB"/>
    <w:multiLevelType w:val="hybridMultilevel"/>
    <w:tmpl w:val="F77E2FF8"/>
    <w:lvl w:ilvl="0" w:tplc="69F2EF48">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22CD5AC6"/>
    <w:multiLevelType w:val="hybridMultilevel"/>
    <w:tmpl w:val="314A542C"/>
    <w:lvl w:ilvl="0" w:tplc="A344EAB8">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2B3F49C6"/>
    <w:multiLevelType w:val="singleLevel"/>
    <w:tmpl w:val="720CB540"/>
    <w:lvl w:ilvl="0">
      <w:start w:val="1"/>
      <w:numFmt w:val="lowerRoman"/>
      <w:lvlText w:val="(%1)"/>
      <w:lvlJc w:val="right"/>
      <w:pPr>
        <w:tabs>
          <w:tab w:val="num" w:pos="2160"/>
        </w:tabs>
        <w:ind w:left="2160" w:hanging="516"/>
      </w:pPr>
    </w:lvl>
  </w:abstractNum>
  <w:abstractNum w:abstractNumId="25">
    <w:nsid w:val="2D0D781A"/>
    <w:multiLevelType w:val="hybridMultilevel"/>
    <w:tmpl w:val="AB4C033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2F620D20"/>
    <w:multiLevelType w:val="hybridMultilevel"/>
    <w:tmpl w:val="5940795A"/>
    <w:lvl w:ilvl="0" w:tplc="76089F94">
      <w:start w:val="1"/>
      <w:numFmt w:val="bullet"/>
      <w:lvlText w:val="–"/>
      <w:lvlJc w:val="left"/>
      <w:pPr>
        <w:tabs>
          <w:tab w:val="num" w:pos="1080"/>
        </w:tabs>
        <w:ind w:left="1080" w:hanging="360"/>
      </w:pPr>
      <w:rPr>
        <w:rFonts w:asci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28">
    <w:nsid w:val="302A75A7"/>
    <w:multiLevelType w:val="singleLevel"/>
    <w:tmpl w:val="3496DD40"/>
    <w:lvl w:ilvl="0">
      <w:start w:val="1"/>
      <w:numFmt w:val="decimal"/>
      <w:lvlText w:val="(%1)"/>
      <w:lvlJc w:val="left"/>
      <w:pPr>
        <w:tabs>
          <w:tab w:val="num" w:pos="1440"/>
        </w:tabs>
        <w:ind w:left="1440" w:hanging="720"/>
      </w:pPr>
    </w:lvl>
  </w:abstractNum>
  <w:abstractNum w:abstractNumId="29">
    <w:nsid w:val="359973E9"/>
    <w:multiLevelType w:val="hybridMultilevel"/>
    <w:tmpl w:val="FAB810D0"/>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36255761"/>
    <w:multiLevelType w:val="singleLevel"/>
    <w:tmpl w:val="0409000F"/>
    <w:lvl w:ilvl="0">
      <w:start w:val="1"/>
      <w:numFmt w:val="decimal"/>
      <w:lvlText w:val="%1."/>
      <w:lvlJc w:val="left"/>
      <w:pPr>
        <w:tabs>
          <w:tab w:val="num" w:pos="360"/>
        </w:tabs>
        <w:ind w:left="360" w:hanging="360"/>
      </w:pPr>
    </w:lvl>
  </w:abstractNum>
  <w:abstractNum w:abstractNumId="31">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32">
    <w:nsid w:val="3FB4287A"/>
    <w:multiLevelType w:val="hybridMultilevel"/>
    <w:tmpl w:val="F99ECE2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40221049"/>
    <w:multiLevelType w:val="singleLevel"/>
    <w:tmpl w:val="04D4B0C4"/>
    <w:lvl w:ilvl="0">
      <w:start w:val="1"/>
      <w:numFmt w:val="decimal"/>
      <w:lvlText w:val="%1."/>
      <w:lvlJc w:val="left"/>
      <w:pPr>
        <w:tabs>
          <w:tab w:val="num" w:pos="360"/>
        </w:tabs>
        <w:ind w:left="360" w:hanging="360"/>
      </w:pPr>
    </w:lvl>
  </w:abstractNum>
  <w:abstractNum w:abstractNumId="34">
    <w:nsid w:val="43D514F1"/>
    <w:multiLevelType w:val="hybridMultilevel"/>
    <w:tmpl w:val="0C50BA64"/>
    <w:lvl w:ilvl="0" w:tplc="0FAECE9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452D144C"/>
    <w:multiLevelType w:val="singleLevel"/>
    <w:tmpl w:val="7C4C0A7C"/>
    <w:lvl w:ilvl="0">
      <w:start w:val="1"/>
      <w:numFmt w:val="decimal"/>
      <w:pStyle w:val="ParaNo"/>
      <w:lvlText w:val="(%1)"/>
      <w:lvlJc w:val="left"/>
      <w:pPr>
        <w:tabs>
          <w:tab w:val="num" w:pos="720"/>
        </w:tabs>
        <w:ind w:left="720" w:hanging="720"/>
      </w:pPr>
    </w:lvl>
  </w:abstractNum>
  <w:abstractNum w:abstractNumId="36">
    <w:nsid w:val="478B625C"/>
    <w:multiLevelType w:val="hybridMultilevel"/>
    <w:tmpl w:val="70BAF89A"/>
    <w:lvl w:ilvl="0" w:tplc="76A2C7A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8">
    <w:nsid w:val="49FF05B3"/>
    <w:multiLevelType w:val="hybridMultilevel"/>
    <w:tmpl w:val="ABE274D6"/>
    <w:lvl w:ilvl="0" w:tplc="2EB06C98">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4CA80C47"/>
    <w:multiLevelType w:val="hybridMultilevel"/>
    <w:tmpl w:val="53D8F0B4"/>
    <w:lvl w:ilvl="0" w:tplc="2B945386">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4D1F702C"/>
    <w:multiLevelType w:val="hybridMultilevel"/>
    <w:tmpl w:val="1684263E"/>
    <w:lvl w:ilvl="0" w:tplc="76A2C7A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4DD659B2"/>
    <w:multiLevelType w:val="hybridMultilevel"/>
    <w:tmpl w:val="B25A93DE"/>
    <w:lvl w:ilvl="0" w:tplc="7D7C7E4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4EFA2598"/>
    <w:multiLevelType w:val="singleLevel"/>
    <w:tmpl w:val="0409000F"/>
    <w:lvl w:ilvl="0">
      <w:start w:val="1"/>
      <w:numFmt w:val="decimal"/>
      <w:lvlText w:val="%1."/>
      <w:lvlJc w:val="left"/>
      <w:pPr>
        <w:tabs>
          <w:tab w:val="num" w:pos="360"/>
        </w:tabs>
        <w:ind w:left="360" w:hanging="360"/>
      </w:pPr>
    </w:lvl>
  </w:abstractNum>
  <w:abstractNum w:abstractNumId="43">
    <w:nsid w:val="4F7F6E67"/>
    <w:multiLevelType w:val="hybridMultilevel"/>
    <w:tmpl w:val="5148CC08"/>
    <w:lvl w:ilvl="0" w:tplc="96C6908A">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51E17788"/>
    <w:multiLevelType w:val="hybridMultilevel"/>
    <w:tmpl w:val="D716FF2A"/>
    <w:lvl w:ilvl="0" w:tplc="4BD8FA8A">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52C1060E"/>
    <w:multiLevelType w:val="hybridMultilevel"/>
    <w:tmpl w:val="FAB810D0"/>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543D67D0"/>
    <w:multiLevelType w:val="hybridMultilevel"/>
    <w:tmpl w:val="E3F27880"/>
    <w:lvl w:ilvl="0" w:tplc="69F2EF48">
      <w:start w:val="1"/>
      <w:numFmt w:val="bullet"/>
      <w:lvlText w:val="–"/>
      <w:lvlJc w:val="left"/>
      <w:pPr>
        <w:tabs>
          <w:tab w:val="num" w:pos="1701"/>
        </w:tabs>
        <w:ind w:left="1701"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7">
    <w:nsid w:val="56BC43DC"/>
    <w:multiLevelType w:val="hybridMultilevel"/>
    <w:tmpl w:val="38EACE2A"/>
    <w:lvl w:ilvl="0" w:tplc="15CA24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0">
    <w:nsid w:val="5B6D3D95"/>
    <w:multiLevelType w:val="hybridMultilevel"/>
    <w:tmpl w:val="8EBE8EAE"/>
    <w:lvl w:ilvl="0" w:tplc="7D7C7E4E">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639F28F5"/>
    <w:multiLevelType w:val="hybridMultilevel"/>
    <w:tmpl w:val="D3D08690"/>
    <w:lvl w:ilvl="0" w:tplc="15CA24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63BD1CFD"/>
    <w:multiLevelType w:val="hybridMultilevel"/>
    <w:tmpl w:val="E16205AA"/>
    <w:lvl w:ilvl="0" w:tplc="7D7C7E4E">
      <w:start w:val="1"/>
      <w:numFmt w:val="bullet"/>
      <w:lvlText w:val=""/>
      <w:lvlJc w:val="left"/>
      <w:pPr>
        <w:tabs>
          <w:tab w:val="num" w:pos="1136"/>
        </w:tabs>
        <w:ind w:left="1136" w:hanging="567"/>
      </w:pPr>
      <w:rPr>
        <w:rFonts w:ascii="Symbol" w:hAnsi="Symbol" w:hint="default"/>
      </w:rPr>
    </w:lvl>
    <w:lvl w:ilvl="1" w:tplc="04190003" w:tentative="1">
      <w:start w:val="1"/>
      <w:numFmt w:val="bullet"/>
      <w:lvlText w:val="o"/>
      <w:lvlJc w:val="left"/>
      <w:pPr>
        <w:tabs>
          <w:tab w:val="num" w:pos="2009"/>
        </w:tabs>
        <w:ind w:left="2009" w:hanging="360"/>
      </w:pPr>
      <w:rPr>
        <w:rFonts w:ascii="Courier New" w:hAnsi="Courier New" w:hint="default"/>
      </w:rPr>
    </w:lvl>
    <w:lvl w:ilvl="2" w:tplc="04190005" w:tentative="1">
      <w:start w:val="1"/>
      <w:numFmt w:val="bullet"/>
      <w:lvlText w:val=""/>
      <w:lvlJc w:val="left"/>
      <w:pPr>
        <w:tabs>
          <w:tab w:val="num" w:pos="2729"/>
        </w:tabs>
        <w:ind w:left="2729" w:hanging="360"/>
      </w:pPr>
      <w:rPr>
        <w:rFonts w:ascii="Wingdings" w:hAnsi="Wingdings" w:hint="default"/>
      </w:rPr>
    </w:lvl>
    <w:lvl w:ilvl="3" w:tplc="04190001" w:tentative="1">
      <w:start w:val="1"/>
      <w:numFmt w:val="bullet"/>
      <w:lvlText w:val=""/>
      <w:lvlJc w:val="left"/>
      <w:pPr>
        <w:tabs>
          <w:tab w:val="num" w:pos="3449"/>
        </w:tabs>
        <w:ind w:left="3449" w:hanging="360"/>
      </w:pPr>
      <w:rPr>
        <w:rFonts w:ascii="Symbol" w:hAnsi="Symbol" w:hint="default"/>
      </w:rPr>
    </w:lvl>
    <w:lvl w:ilvl="4" w:tplc="04190003" w:tentative="1">
      <w:start w:val="1"/>
      <w:numFmt w:val="bullet"/>
      <w:lvlText w:val="o"/>
      <w:lvlJc w:val="left"/>
      <w:pPr>
        <w:tabs>
          <w:tab w:val="num" w:pos="4169"/>
        </w:tabs>
        <w:ind w:left="4169" w:hanging="360"/>
      </w:pPr>
      <w:rPr>
        <w:rFonts w:ascii="Courier New" w:hAnsi="Courier New" w:hint="default"/>
      </w:rPr>
    </w:lvl>
    <w:lvl w:ilvl="5" w:tplc="04190005" w:tentative="1">
      <w:start w:val="1"/>
      <w:numFmt w:val="bullet"/>
      <w:lvlText w:val=""/>
      <w:lvlJc w:val="left"/>
      <w:pPr>
        <w:tabs>
          <w:tab w:val="num" w:pos="4889"/>
        </w:tabs>
        <w:ind w:left="4889" w:hanging="360"/>
      </w:pPr>
      <w:rPr>
        <w:rFonts w:ascii="Wingdings" w:hAnsi="Wingdings" w:hint="default"/>
      </w:rPr>
    </w:lvl>
    <w:lvl w:ilvl="6" w:tplc="04190001" w:tentative="1">
      <w:start w:val="1"/>
      <w:numFmt w:val="bullet"/>
      <w:lvlText w:val=""/>
      <w:lvlJc w:val="left"/>
      <w:pPr>
        <w:tabs>
          <w:tab w:val="num" w:pos="5609"/>
        </w:tabs>
        <w:ind w:left="5609" w:hanging="360"/>
      </w:pPr>
      <w:rPr>
        <w:rFonts w:ascii="Symbol" w:hAnsi="Symbol" w:hint="default"/>
      </w:rPr>
    </w:lvl>
    <w:lvl w:ilvl="7" w:tplc="04190003" w:tentative="1">
      <w:start w:val="1"/>
      <w:numFmt w:val="bullet"/>
      <w:lvlText w:val="o"/>
      <w:lvlJc w:val="left"/>
      <w:pPr>
        <w:tabs>
          <w:tab w:val="num" w:pos="6329"/>
        </w:tabs>
        <w:ind w:left="6329" w:hanging="360"/>
      </w:pPr>
      <w:rPr>
        <w:rFonts w:ascii="Courier New" w:hAnsi="Courier New" w:hint="default"/>
      </w:rPr>
    </w:lvl>
    <w:lvl w:ilvl="8" w:tplc="04190005" w:tentative="1">
      <w:start w:val="1"/>
      <w:numFmt w:val="bullet"/>
      <w:lvlText w:val=""/>
      <w:lvlJc w:val="left"/>
      <w:pPr>
        <w:tabs>
          <w:tab w:val="num" w:pos="7049"/>
        </w:tabs>
        <w:ind w:left="7049" w:hanging="360"/>
      </w:pPr>
      <w:rPr>
        <w:rFonts w:ascii="Wingdings" w:hAnsi="Wingdings" w:hint="default"/>
      </w:rPr>
    </w:lvl>
  </w:abstractNum>
  <w:abstractNum w:abstractNumId="53">
    <w:nsid w:val="65D15DFE"/>
    <w:multiLevelType w:val="singleLevel"/>
    <w:tmpl w:val="475E6D3C"/>
    <w:lvl w:ilvl="0">
      <w:start w:val="1"/>
      <w:numFmt w:val="decimal"/>
      <w:lvlText w:val="%1."/>
      <w:lvlJc w:val="left"/>
      <w:pPr>
        <w:tabs>
          <w:tab w:val="num" w:pos="360"/>
        </w:tabs>
        <w:ind w:left="360" w:hanging="360"/>
      </w:pPr>
    </w:lvl>
  </w:abstractNum>
  <w:abstractNum w:abstractNumId="54">
    <w:nsid w:val="70F6697D"/>
    <w:multiLevelType w:val="hybridMultilevel"/>
    <w:tmpl w:val="5DA87C6E"/>
    <w:lvl w:ilvl="0" w:tplc="B00C5096">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76403BF9"/>
    <w:multiLevelType w:val="hybridMultilevel"/>
    <w:tmpl w:val="13B66B4A"/>
    <w:lvl w:ilvl="0" w:tplc="A86A9202">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77A8399B"/>
    <w:multiLevelType w:val="hybridMultilevel"/>
    <w:tmpl w:val="6824A014"/>
    <w:lvl w:ilvl="0" w:tplc="76A2C7A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
    <w:nsid w:val="78692050"/>
    <w:multiLevelType w:val="hybridMultilevel"/>
    <w:tmpl w:val="B9CEB6B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7ACA643D"/>
    <w:multiLevelType w:val="singleLevel"/>
    <w:tmpl w:val="0409000F"/>
    <w:lvl w:ilvl="0">
      <w:start w:val="1"/>
      <w:numFmt w:val="decimal"/>
      <w:lvlText w:val="%1."/>
      <w:lvlJc w:val="left"/>
      <w:pPr>
        <w:tabs>
          <w:tab w:val="num" w:pos="360"/>
        </w:tabs>
        <w:ind w:left="360" w:hanging="360"/>
      </w:pPr>
    </w:lvl>
  </w:abstractNum>
  <w:abstractNum w:abstractNumId="5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60">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27"/>
  </w:num>
  <w:num w:numId="3">
    <w:abstractNumId w:val="52"/>
  </w:num>
  <w:num w:numId="4">
    <w:abstractNumId w:val="41"/>
  </w:num>
  <w:num w:numId="5">
    <w:abstractNumId w:val="16"/>
  </w:num>
  <w:num w:numId="6">
    <w:abstractNumId w:val="50"/>
  </w:num>
  <w:num w:numId="7">
    <w:abstractNumId w:val="22"/>
  </w:num>
  <w:num w:numId="8">
    <w:abstractNumId w:val="46"/>
  </w:num>
  <w:num w:numId="9">
    <w:abstractNumId w:val="19"/>
  </w:num>
  <w:num w:numId="10">
    <w:abstractNumId w:val="39"/>
  </w:num>
  <w:num w:numId="11">
    <w:abstractNumId w:val="55"/>
  </w:num>
  <w:num w:numId="12">
    <w:abstractNumId w:val="43"/>
  </w:num>
  <w:num w:numId="13">
    <w:abstractNumId w:val="15"/>
  </w:num>
  <w:num w:numId="14">
    <w:abstractNumId w:val="23"/>
  </w:num>
  <w:num w:numId="15">
    <w:abstractNumId w:val="34"/>
  </w:num>
  <w:num w:numId="16">
    <w:abstractNumId w:val="9"/>
  </w:num>
  <w:num w:numId="17">
    <w:abstractNumId w:val="20"/>
  </w:num>
  <w:num w:numId="18">
    <w:abstractNumId w:val="59"/>
  </w:num>
  <w:num w:numId="19">
    <w:abstractNumId w:val="24"/>
  </w:num>
  <w:num w:numId="20">
    <w:abstractNumId w:val="13"/>
  </w:num>
  <w:num w:numId="21">
    <w:abstractNumId w:val="30"/>
  </w:num>
  <w:num w:numId="22">
    <w:abstractNumId w:val="33"/>
  </w:num>
  <w:num w:numId="23">
    <w:abstractNumId w:val="58"/>
  </w:num>
  <w:num w:numId="24">
    <w:abstractNumId w:val="42"/>
  </w:num>
  <w:num w:numId="25">
    <w:abstractNumId w:val="60"/>
  </w:num>
  <w:num w:numId="26">
    <w:abstractNumId w:val="37"/>
  </w:num>
  <w:num w:numId="27">
    <w:abstractNumId w:val="53"/>
  </w:num>
  <w:num w:numId="28">
    <w:abstractNumId w:val="31"/>
  </w:num>
  <w:num w:numId="29">
    <w:abstractNumId w:val="1"/>
  </w:num>
  <w:num w:numId="30">
    <w:abstractNumId w:val="0"/>
  </w:num>
  <w:num w:numId="31">
    <w:abstractNumId w:val="28"/>
  </w:num>
  <w:num w:numId="32">
    <w:abstractNumId w:val="10"/>
  </w:num>
  <w:num w:numId="33">
    <w:abstractNumId w:val="21"/>
  </w:num>
  <w:num w:numId="34">
    <w:abstractNumId w:val="17"/>
  </w:num>
  <w:num w:numId="35">
    <w:abstractNumId w:val="35"/>
  </w:num>
  <w:num w:numId="36">
    <w:abstractNumId w:val="49"/>
  </w:num>
  <w:num w:numId="37">
    <w:abstractNumId w:val="2"/>
  </w:num>
  <w:num w:numId="38">
    <w:abstractNumId w:val="3"/>
  </w:num>
  <w:num w:numId="39">
    <w:abstractNumId w:val="8"/>
  </w:num>
  <w:num w:numId="40">
    <w:abstractNumId w:val="7"/>
  </w:num>
  <w:num w:numId="41">
    <w:abstractNumId w:val="6"/>
  </w:num>
  <w:num w:numId="42">
    <w:abstractNumId w:val="5"/>
  </w:num>
  <w:num w:numId="43">
    <w:abstractNumId w:val="4"/>
  </w:num>
  <w:num w:numId="44">
    <w:abstractNumId w:val="18"/>
  </w:num>
  <w:num w:numId="45">
    <w:abstractNumId w:val="32"/>
  </w:num>
  <w:num w:numId="46">
    <w:abstractNumId w:val="25"/>
  </w:num>
  <w:num w:numId="47">
    <w:abstractNumId w:val="12"/>
  </w:num>
  <w:num w:numId="48">
    <w:abstractNumId w:val="57"/>
  </w:num>
  <w:num w:numId="49">
    <w:abstractNumId w:val="40"/>
  </w:num>
  <w:num w:numId="50">
    <w:abstractNumId w:val="36"/>
  </w:num>
  <w:num w:numId="51">
    <w:abstractNumId w:val="56"/>
  </w:num>
  <w:num w:numId="52">
    <w:abstractNumId w:val="48"/>
  </w:num>
  <w:num w:numId="53">
    <w:abstractNumId w:val="45"/>
  </w:num>
  <w:num w:numId="54">
    <w:abstractNumId w:val="29"/>
  </w:num>
  <w:num w:numId="55">
    <w:abstractNumId w:val="26"/>
  </w:num>
  <w:num w:numId="56">
    <w:abstractNumId w:val="11"/>
  </w:num>
  <w:num w:numId="57">
    <w:abstractNumId w:val="51"/>
  </w:num>
  <w:num w:numId="58">
    <w:abstractNumId w:val="47"/>
  </w:num>
  <w:num w:numId="59">
    <w:abstractNumId w:val="14"/>
  </w:num>
  <w:num w:numId="60">
    <w:abstractNumId w:val="44"/>
  </w:num>
  <w:num w:numId="61">
    <w:abstractNumId w:val="54"/>
  </w:num>
  <w:num w:numId="6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left" w:pos="567"/>
        <w:tab w:val="left" w:pos="1134"/>
        <w:tab w:val="left" w:pos="1701"/>
        <w:tab w:val="left" w:pos="2268"/>
        <w:tab w:val="left" w:pos="6237"/>
      </w:tabs>
      <w:outlineLvl w:val="4"/>
    </w:pPr>
    <w:rPr>
      <w:i/>
      <w:u w:val="single"/>
    </w:rPr>
  </w:style>
  <w:style w:type="paragraph" w:styleId="Heading6">
    <w:name w:val="heading 6"/>
    <w:basedOn w:val="Normal"/>
    <w:next w:val="Normal"/>
    <w:qFormat/>
    <w:pPr>
      <w:tabs>
        <w:tab w:val="left" w:pos="567"/>
        <w:tab w:val="left" w:pos="1134"/>
        <w:tab w:val="left" w:pos="1701"/>
        <w:tab w:val="left" w:pos="2268"/>
        <w:tab w:val="left" w:pos="6237"/>
      </w:tabs>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dnoteText">
    <w:name w:val="endnote text"/>
    <w:basedOn w:val="Normal"/>
    <w:semiHidden/>
    <w:pPr>
      <w:tabs>
        <w:tab w:val="left" w:pos="567"/>
        <w:tab w:val="left" w:pos="1134"/>
        <w:tab w:val="left" w:pos="1701"/>
        <w:tab w:val="left" w:pos="2268"/>
        <w:tab w:val="left" w:pos="6237"/>
      </w:tabs>
      <w:spacing w:line="240" w:lineRule="auto"/>
    </w:pPr>
  </w:style>
  <w:style w:type="paragraph" w:customStyle="1" w:styleId="1">
    <w:name w:val="текст 1"/>
    <w:basedOn w:val="Normal"/>
  </w:style>
  <w:style w:type="paragraph" w:customStyle="1" w:styleId="2">
    <w:name w:val="текст 2"/>
    <w:basedOn w:val="Normal"/>
  </w:style>
  <w:style w:type="paragraph" w:styleId="ListBullet">
    <w:name w:val="List Bullet"/>
    <w:basedOn w:val="Normal"/>
    <w:autoRedefine/>
    <w:semiHidden/>
    <w:pPr>
      <w:numPr>
        <w:numId w:val="17"/>
      </w:numPr>
      <w:tabs>
        <w:tab w:val="left" w:pos="1134"/>
        <w:tab w:val="left" w:pos="1701"/>
        <w:tab w:val="left" w:pos="2268"/>
        <w:tab w:val="left" w:pos="6237"/>
      </w:tabs>
    </w:pPr>
  </w:style>
  <w:style w:type="paragraph" w:styleId="Subtitle">
    <w:name w:val="Subtitle"/>
    <w:basedOn w:val="Normal"/>
    <w:qFormat/>
    <w:pPr>
      <w:tabs>
        <w:tab w:val="left" w:pos="567"/>
        <w:tab w:val="left" w:pos="1134"/>
        <w:tab w:val="left" w:pos="1701"/>
        <w:tab w:val="left" w:pos="2268"/>
        <w:tab w:val="left" w:pos="6237"/>
      </w:tabs>
      <w:jc w:val="center"/>
    </w:pPr>
    <w:rPr>
      <w:u w:val="single"/>
    </w:rPr>
  </w:style>
  <w:style w:type="paragraph" w:customStyle="1" w:styleId="11">
    <w:name w:val="Заголовок 11"/>
    <w:basedOn w:val="Subtitle"/>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 w:type="paragraph" w:customStyle="1" w:styleId="ParaNo">
    <w:name w:val="(ParaNo.)"/>
    <w:basedOn w:val="Normal"/>
    <w:pPr>
      <w:numPr>
        <w:numId w:val="35"/>
      </w:numPr>
      <w:tabs>
        <w:tab w:val="clear" w:pos="567"/>
        <w:tab w:val="clear" w:pos="1134"/>
        <w:tab w:val="clear" w:pos="1701"/>
        <w:tab w:val="clear" w:pos="2268"/>
        <w:tab w:val="clear" w:pos="6237"/>
      </w:tabs>
      <w:spacing w:after="24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Pages>
  <Words>13307</Words>
  <Characters>75853</Characters>
  <Application>Microsoft Office Word</Application>
  <DocSecurity>4</DocSecurity>
  <Lines>632</Lines>
  <Paragraphs>151</Paragraphs>
  <ScaleCrop>false</ScaleCrop>
  <HeadingPairs>
    <vt:vector size="2" baseType="variant">
      <vt:variant>
        <vt:lpstr>Название</vt:lpstr>
      </vt:variant>
      <vt:variant>
        <vt:i4>1</vt:i4>
      </vt:variant>
    </vt:vector>
  </HeadingPairs>
  <TitlesOfParts>
    <vt:vector size="1" baseType="lpstr">
      <vt:lpstr>0540414.doc</vt:lpstr>
    </vt:vector>
  </TitlesOfParts>
  <Company> </Company>
  <LinksUpToDate>false</LinksUpToDate>
  <CharactersWithSpaces>93152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0540414.doc</dc:title>
  <dc:subject/>
  <dc:creator>Marina Imeninnikova</dc:creator>
  <cp:keywords/>
  <dc:description/>
  <cp:lastModifiedBy>АМир</cp:lastModifiedBy>
  <cp:revision>3</cp:revision>
  <cp:lastPrinted>2005-04-29T13:19:00Z</cp:lastPrinted>
  <dcterms:created xsi:type="dcterms:W3CDTF">2005-04-29T13:19:00Z</dcterms:created>
  <dcterms:modified xsi:type="dcterms:W3CDTF">2005-04-29T13:22:00Z</dcterms:modified>
</cp:coreProperties>
</file>