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rPr>
          <w:b/>
        </w:rPr>
      </w:pPr>
      <w:r>
        <w:rPr>
          <w:b/>
        </w:rPr>
        <w:t>Тридцать шестая сессия</w:t>
      </w:r>
    </w:p>
    <w:p w:rsidR="00000000" w:rsidRDefault="00000000">
      <w:r>
        <w:t>7–25 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Республика Молдова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сводные второй и третий п</w:t>
      </w:r>
      <w:r>
        <w:t>е</w:t>
      </w:r>
      <w:r>
        <w:t>риодические доклады Республики Молдова (CEDAW/C/MDA/2–3).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Просьба представить более подробную информацию о процессе подг</w:t>
      </w:r>
      <w:r>
        <w:t>о</w:t>
      </w:r>
      <w:r>
        <w:t>товки второго и третьего периодических докладов Республики Молдова. В этой информации следует указать, какие правительственные министерства и ведо</w:t>
      </w:r>
      <w:r>
        <w:t>м</w:t>
      </w:r>
      <w:r>
        <w:t>ства, каким образом и в какой степени были задействованы в процессе их по</w:t>
      </w:r>
      <w:r>
        <w:t>д</w:t>
      </w:r>
      <w:r>
        <w:t>готовки, проводились ли консультации с неправительственными организаци</w:t>
      </w:r>
      <w:r>
        <w:t>я</w:t>
      </w:r>
      <w:r>
        <w:t>ми и был ли доклад утвержден правительством и представлен на рассмотрение па</w:t>
      </w:r>
      <w:r>
        <w:t>р</w:t>
      </w:r>
      <w:r>
        <w:t>ламента.</w:t>
      </w:r>
    </w:p>
    <w:p w:rsidR="00000000" w:rsidRDefault="00000000">
      <w:pPr>
        <w:pStyle w:val="SingleTxt"/>
      </w:pPr>
      <w:r>
        <w:t>2.</w:t>
      </w:r>
      <w:r>
        <w:tab/>
        <w:t>В своих заключительных замечаниях по первоначальному докладу Ре</w:t>
      </w:r>
      <w:r>
        <w:t>с</w:t>
      </w:r>
      <w:r>
        <w:t>публики Молдова в 2000 году</w:t>
      </w:r>
      <w:r>
        <w:rPr>
          <w:rStyle w:val="FootnoteReference"/>
        </w:rPr>
        <w:footnoteReference w:id="1"/>
      </w:r>
      <w:r>
        <w:t xml:space="preserve"> Комитет призвал правительство этой страны разработать комплексную политику обеспечения равенства между мужчинами и женщинами. Просьба представить информацию о ходе и результатах осущ</w:t>
      </w:r>
      <w:r>
        <w:t>е</w:t>
      </w:r>
      <w:r>
        <w:t>ствления национального плана по содействию обеспечению гендерного раве</w:t>
      </w:r>
      <w:r>
        <w:t>н</w:t>
      </w:r>
      <w:r>
        <w:t>ства в обществе на период 2003–2005 годов.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основа и статус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В своих предыдущих заключительных замечаниях Комитет призвал пр</w:t>
      </w:r>
      <w:r>
        <w:t>а</w:t>
      </w:r>
      <w:r>
        <w:t>вительство обеспечить внесение конституционной поправки в Конституцию с целью «закрепления в ней равенства полов и полного отражения в ней полож</w:t>
      </w:r>
      <w:r>
        <w:t>е</w:t>
      </w:r>
      <w:r>
        <w:t>ний статьи 1 Конвенции», запрещающих как прямую, так и косвенную дискр</w:t>
      </w:r>
      <w:r>
        <w:t>и</w:t>
      </w:r>
      <w:r>
        <w:t>минацию. Представьте, пожалуйста, информацию о мерах, принятых во испо</w:t>
      </w:r>
      <w:r>
        <w:t>л</w:t>
      </w:r>
      <w:r>
        <w:t>нение этой рекомендации. Каков правовой статус Конвенции в Республике Молдова?</w:t>
      </w:r>
    </w:p>
    <w:p w:rsidR="00000000" w:rsidRDefault="00000000">
      <w:pPr>
        <w:pStyle w:val="SingleTxt"/>
      </w:pPr>
      <w:r>
        <w:t>4.</w:t>
      </w:r>
      <w:r>
        <w:tab/>
        <w:t>В докладе указано, что в настоящее время началась работа над подгото</w:t>
      </w:r>
      <w:r>
        <w:t>в</w:t>
      </w:r>
      <w:r>
        <w:t>кой текста нового законодательства по вопросам гендерного равенства (см. пункт 21). Представьте, пожалуйста информацию о том, какова сфера применения разрабатываемого закона, содержит ли он положения, запреща</w:t>
      </w:r>
      <w:r>
        <w:t>ю</w:t>
      </w:r>
      <w:r>
        <w:t>щие прямую и косвенную дискриминацию в отношении женщин в соответс</w:t>
      </w:r>
      <w:r>
        <w:t>т</w:t>
      </w:r>
      <w:r>
        <w:t>вии со статьей 1 Конвенции, и в какие сроки его планируется принять.</w:t>
      </w:r>
    </w:p>
    <w:p w:rsidR="00000000" w:rsidRDefault="00000000">
      <w:pPr>
        <w:pStyle w:val="SingleTxt"/>
      </w:pPr>
      <w:r>
        <w:t>5.</w:t>
      </w:r>
      <w:r>
        <w:tab/>
        <w:t>В докладе говорится (см. пункт 17), что правовой механизм защиты же</w:t>
      </w:r>
      <w:r>
        <w:t>н</w:t>
      </w:r>
      <w:r>
        <w:t>щин от дискриминации пока не сформировался, а нормативные положения и практические процедуры еще недостаточны для того, чтобы создать такой пр</w:t>
      </w:r>
      <w:r>
        <w:t>а</w:t>
      </w:r>
      <w:r>
        <w:t>вовой механизм. Каковы причины и/или препятствия, не позволяющие прав</w:t>
      </w:r>
      <w:r>
        <w:t>и</w:t>
      </w:r>
      <w:r>
        <w:t>тельству завершить работу по созданию такого правового механизма, который будет ра</w:t>
      </w:r>
      <w:r>
        <w:t>с</w:t>
      </w:r>
      <w:r>
        <w:t>полагать также адекватными средствами обеспечения исполнения.</w:t>
      </w:r>
    </w:p>
    <w:p w:rsidR="00000000" w:rsidRDefault="00000000">
      <w:pPr>
        <w:pStyle w:val="SingleTxt"/>
      </w:pPr>
      <w:r>
        <w:t>6.</w:t>
      </w:r>
      <w:r>
        <w:tab/>
        <w:t>В соответствии с просьбой, высказанной Комитетом в его заключител</w:t>
      </w:r>
      <w:r>
        <w:t>ь</w:t>
      </w:r>
      <w:r>
        <w:t>ных замечаниях</w:t>
      </w:r>
      <w:r>
        <w:rPr>
          <w:rStyle w:val="FootnoteReference"/>
        </w:rPr>
        <w:footnoteReference w:id="2"/>
      </w:r>
      <w:r>
        <w:t>, пожалуйста, представьте информацию об имеющихся в ра</w:t>
      </w:r>
      <w:r>
        <w:t>с</w:t>
      </w:r>
      <w:r>
        <w:t>поряжении женщин средствах правовой защиты и о любых случаях возбужд</w:t>
      </w:r>
      <w:r>
        <w:t>е</w:t>
      </w:r>
      <w:r>
        <w:t>ния дел на основании заявлений женщин, подвергшихся дискриминации, если таковые имели м</w:t>
      </w:r>
      <w:r>
        <w:t>е</w:t>
      </w:r>
      <w:r>
        <w:t>сто.</w:t>
      </w:r>
    </w:p>
    <w:p w:rsidR="00000000" w:rsidRDefault="00000000">
      <w:pPr>
        <w:pStyle w:val="SingleTxt"/>
      </w:pPr>
      <w:r>
        <w:t>7.</w:t>
      </w:r>
      <w:r>
        <w:tab/>
        <w:t>В докладе признается отсутствие прочного и жизнеспособного наци</w:t>
      </w:r>
      <w:r>
        <w:t>о</w:t>
      </w:r>
      <w:r>
        <w:t>нального механизма по обеспечению гендерного равенства, что приводит к н</w:t>
      </w:r>
      <w:r>
        <w:t>е</w:t>
      </w:r>
      <w:r>
        <w:t>гативным последствиям для успешной реализации политики по обеспечению гендерного равенства (см. пункт 99). Какие меры были приняты правительс</w:t>
      </w:r>
      <w:r>
        <w:t>т</w:t>
      </w:r>
      <w:r>
        <w:t>вом во исполнение высказанной Комитетом в его заключительных замечаниях</w:t>
      </w:r>
      <w:r>
        <w:rPr>
          <w:rStyle w:val="FootnoteReference"/>
        </w:rPr>
        <w:footnoteReference w:id="3"/>
      </w:r>
      <w:r>
        <w:t xml:space="preserve"> рекомендации провести оценку потенциала национального механизма и обе</w:t>
      </w:r>
      <w:r>
        <w:t>с</w:t>
      </w:r>
      <w:r>
        <w:t>печить его надлежащими директивными полномочиями, а также финансовыми и людскими ресурсами?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упоминается, что в настоящее время ведется работа по подг</w:t>
      </w:r>
      <w:r>
        <w:t>о</w:t>
      </w:r>
      <w:r>
        <w:t>товке проекта закона о насилии в семье (см. пункт 86). Представьте, пожалу</w:t>
      </w:r>
      <w:r>
        <w:t>й</w:t>
      </w:r>
      <w:r>
        <w:t>ста, подробную информацию об этом законопроекте, в том числе о сфере его применения и о том, когда его предполагается принять.</w:t>
      </w:r>
    </w:p>
    <w:p w:rsidR="00000000" w:rsidRDefault="00000000">
      <w:pPr>
        <w:pStyle w:val="SingleTxt"/>
      </w:pPr>
      <w:r>
        <w:t>9.</w:t>
      </w:r>
      <w:r>
        <w:tab/>
        <w:t>В докладе также приводится информация о новом Уголовном кодексе (см. пункт 28), в который включены положения, касающиеся дополнительных отягчающих обстоятельств в связи с причинением серьезного ущерба физич</w:t>
      </w:r>
      <w:r>
        <w:t>е</w:t>
      </w:r>
      <w:r>
        <w:t>скому или психическому здоровью мужа/жены (пункт 2(а) статьи 151), а также предусмотрено наказание в виде лишения свободы за причинение ущерба средней тяжести физическому или психическому здоровью мужа/жены (пункт 2(с) статьи 152). В Кодекс включено также правонарушение в форме «умышленного незначительного ущерба физическому или психическому зд</w:t>
      </w:r>
      <w:r>
        <w:t>о</w:t>
      </w:r>
      <w:r>
        <w:t>ровью» (статья 153), которое раньше было включено в Кодекс об администр</w:t>
      </w:r>
      <w:r>
        <w:t>а</w:t>
      </w:r>
      <w:r>
        <w:t>тивных правонарушениях. Представьте, пожалуйста, более подробную инфо</w:t>
      </w:r>
      <w:r>
        <w:t>р</w:t>
      </w:r>
      <w:r>
        <w:t>мацию об этих положениях, в том числе подробную информацию о требован</w:t>
      </w:r>
      <w:r>
        <w:t>и</w:t>
      </w:r>
      <w:r>
        <w:t>ях в отношении доказывания и видах наказаний. Предусмотрена ли уголовная ответственность в случае изнасилования супругом?</w:t>
      </w:r>
    </w:p>
    <w:p w:rsidR="00000000" w:rsidRDefault="00000000">
      <w:pPr>
        <w:pStyle w:val="SingleTxt"/>
      </w:pPr>
      <w:r>
        <w:t>10.</w:t>
      </w:r>
      <w:r>
        <w:tab/>
        <w:t>В своем докладе (E/CN.4/2003/75/Add.1, пункт 2059) Специальный до</w:t>
      </w:r>
      <w:r>
        <w:t>к</w:t>
      </w:r>
      <w:r>
        <w:t>ладчик Комиссии по правам человека по вопросу о насилии в отношении же</w:t>
      </w:r>
      <w:r>
        <w:t>н</w:t>
      </w:r>
      <w:r>
        <w:t>щин, его причинах и последствиях выразила обеспокоенность в связи с тем, что насилие в семье является широко распространенной практикой, но данные о масштабах его распространения занижены. Внося свой первоначальный до</w:t>
      </w:r>
      <w:r>
        <w:t>к</w:t>
      </w:r>
      <w:r>
        <w:t>лад на рассмотрение Комитета, правительство заявило, что для решения в</w:t>
      </w:r>
      <w:r>
        <w:t>о</w:t>
      </w:r>
      <w:r>
        <w:t>проса об обеспечении жертвам бытового насилия доступа к средствам прав</w:t>
      </w:r>
      <w:r>
        <w:t>о</w:t>
      </w:r>
      <w:r>
        <w:t>вой защиты предусматривается внести изменение в Уголовный и Уголовно-процессуальный кодексы</w:t>
      </w:r>
      <w:r>
        <w:rPr>
          <w:rStyle w:val="FootnoteReference"/>
        </w:rPr>
        <w:footnoteReference w:id="4"/>
      </w:r>
      <w:r>
        <w:t>. Пожалуйста укажите, каким образом внесенные в Уголовный и Уголовно-процессуальный кодексы изменения способствуют расширению доступа женщин к правосудию и содействуют тому, чтобы же</w:t>
      </w:r>
      <w:r>
        <w:t>н</w:t>
      </w:r>
      <w:r>
        <w:t>щины, пострадавшие от бытового насилия, сообщали о подобных случаях. В частности, укажите, включены ли в пересмотренные варианты этих кодексов положения, обеспечивающие потерпевшим возможность пользоваться услуг</w:t>
      </w:r>
      <w:r>
        <w:t>а</w:t>
      </w:r>
      <w:r>
        <w:t>ми адвоката?</w:t>
      </w:r>
    </w:p>
    <w:p w:rsidR="00000000" w:rsidRDefault="00000000">
      <w:pPr>
        <w:pStyle w:val="SingleTxt"/>
      </w:pPr>
      <w:r>
        <w:t>11.</w:t>
      </w:r>
      <w:r>
        <w:tab/>
        <w:t>Расскажите, пожалуйста, о мерах, принятых в целях сбора, анализа и применения данных и статистической информации с разбивкой по признаку пола и этнической принадлежности в связи со всеми формами насилия в отн</w:t>
      </w:r>
      <w:r>
        <w:t>о</w:t>
      </w:r>
      <w:r>
        <w:t>шении же</w:t>
      </w:r>
      <w:r>
        <w:t>н</w:t>
      </w:r>
      <w:r>
        <w:t>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докладе указано, что в настоящее время проект закона о предупрежд</w:t>
      </w:r>
      <w:r>
        <w:t>е</w:t>
      </w:r>
      <w:r>
        <w:t>нии торговли людьми и борьбе с ней находится в заключительной стадии по</w:t>
      </w:r>
      <w:r>
        <w:t>д</w:t>
      </w:r>
      <w:r>
        <w:t>готовки (см. пункт 30). Пожалуйста, представьте подробную информацию о прогрессе, достигнутом в работе над законопроектом, а также информацию о сути и сфере применения закона.</w:t>
      </w:r>
    </w:p>
    <w:p w:rsidR="00000000" w:rsidRDefault="00000000">
      <w:pPr>
        <w:pStyle w:val="SingleTxt"/>
      </w:pPr>
      <w:r>
        <w:t>13.</w:t>
      </w:r>
      <w:r>
        <w:tab/>
        <w:t>Среди упомянутых в докладе причин торговли женщинами и незаконной миграции женщин из Республики Молдова (см. пункт 29) большинство связаны с тяжелым экономическим положением женщин. Какие меры профилактики в целях улучшения экономического положения женщин были приняты прав</w:t>
      </w:r>
      <w:r>
        <w:t>и</w:t>
      </w:r>
      <w:r>
        <w:t>тельством во исполнение рекомендаций, вынесенных Комитетом о его закл</w:t>
      </w:r>
      <w:r>
        <w:t>ю</w:t>
      </w:r>
      <w:r>
        <w:t>чительных замечаниях в 2000 году</w:t>
      </w:r>
      <w:r>
        <w:rPr>
          <w:rStyle w:val="FootnoteReference"/>
        </w:rPr>
        <w:footnoteReference w:id="5"/>
      </w:r>
      <w:r>
        <w:t>?</w:t>
      </w:r>
    </w:p>
    <w:p w:rsidR="00000000" w:rsidRDefault="00000000">
      <w:pPr>
        <w:pStyle w:val="SingleTxt"/>
      </w:pPr>
      <w:r>
        <w:t>14.</w:t>
      </w:r>
      <w:r>
        <w:tab/>
        <w:t>Представьте, пожалуйста, информацию, включая статистические данные, о распространенности проституции женщин и девочек как явления, в частн</w:t>
      </w:r>
      <w:r>
        <w:t>о</w:t>
      </w:r>
      <w:r>
        <w:t>сти уличной проституции, а также о мерах, принятых в целях устранения п</w:t>
      </w:r>
      <w:r>
        <w:t>о</w:t>
      </w:r>
      <w:r>
        <w:t>рождающих ее причин, профилактики сексуальной эксплуатации женщин и д</w:t>
      </w:r>
      <w:r>
        <w:t>е</w:t>
      </w:r>
      <w:r>
        <w:t>вочек, повышения уровня информированности о том, какую потенциальную опасность проституция представляет для здоровья и личной безопасности, а также в целях обеспечения защиты, реабилитации и социальной реинтеграции проституток.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В своих предыдущих заключительных замечаниях Комитет настоятельно призвал правительство пересмотреть учебные программы и учебные матери</w:t>
      </w:r>
      <w:r>
        <w:t>а</w:t>
      </w:r>
      <w:r>
        <w:t>лы для изменения стереотипных представлений</w:t>
      </w:r>
      <w:r>
        <w:rPr>
          <w:rStyle w:val="FootnoteReference"/>
        </w:rPr>
        <w:footnoteReference w:id="6"/>
      </w:r>
      <w:r>
        <w:t>. Пожалуйста, укажите, какие меры были приняты правительством в этих целях. В частности, укажите, были ли правительством разработаны стратегии в целях искоренения гендерных ст</w:t>
      </w:r>
      <w:r>
        <w:t>е</w:t>
      </w:r>
      <w:r>
        <w:t>реотипов в рамках всей системы образования и повышения показателей зачи</w:t>
      </w:r>
      <w:r>
        <w:t>с</w:t>
      </w:r>
      <w:r>
        <w:t>ления д</w:t>
      </w:r>
      <w:r>
        <w:t>е</w:t>
      </w:r>
      <w:r>
        <w:t>вочек в учебные заведения и их успеваемости.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представленность на международном уровне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16.</w:t>
      </w:r>
      <w:r>
        <w:tab/>
        <w:t>В своих предыдущих заключительных замечаниях Комитет с озабоченн</w:t>
      </w:r>
      <w:r>
        <w:t>о</w:t>
      </w:r>
      <w:r>
        <w:t>стью отметил сохранение стереотипных представлений и линий поведения, к</w:t>
      </w:r>
      <w:r>
        <w:t>а</w:t>
      </w:r>
      <w:r>
        <w:t>сающихся роли женщин и мужчин в семье и обществе, которые находят свое отражение в низком уровне участия женщин в процессе принятия решений в политической жизни и в отсутствии распределения обязанностей между му</w:t>
      </w:r>
      <w:r>
        <w:t>ж</w:t>
      </w:r>
      <w:r>
        <w:t>чинами и женщинами по дому и уходу за семьей</w:t>
      </w:r>
      <w:r>
        <w:rPr>
          <w:rStyle w:val="FootnoteReference"/>
        </w:rPr>
        <w:footnoteReference w:id="7"/>
      </w:r>
      <w:r>
        <w:t>. В докладе подчеркивается, что «доля женщин на директивных должностях крайне мала» и что «прав</w:t>
      </w:r>
      <w:r>
        <w:t>и</w:t>
      </w:r>
      <w:r>
        <w:t>тельство планирует создать механизм, который будет способствовать провед</w:t>
      </w:r>
      <w:r>
        <w:t>е</w:t>
      </w:r>
      <w:r>
        <w:t>нию политики по обеспечению гендерного равенства в государственных учр</w:t>
      </w:r>
      <w:r>
        <w:t>е</w:t>
      </w:r>
      <w:r>
        <w:t>ждениях и политических партиях» (см. пункт 95). Пожалуйста, расскажите б</w:t>
      </w:r>
      <w:r>
        <w:t>о</w:t>
      </w:r>
      <w:r>
        <w:t>лее подробно о созданных правительством механизмах. В частности, укажите, принимались ли правительством временные специальные меры в соответствии с пунктом 1 статьи 4 Конвенции и общей рекомендацией 25 Комитета в целях увеличения числа женщин на руководящих должностях во всех сферах де</w:t>
      </w:r>
      <w:r>
        <w:t>я</w:t>
      </w:r>
      <w:r>
        <w:t>тельности, включая дипломатическую службу, и представьте конкретную и</w:t>
      </w:r>
      <w:r>
        <w:t>н</w:t>
      </w:r>
      <w:r>
        <w:t>формацию о том, какие целевые показатели, квоты и сроки установлены в ц</w:t>
      </w:r>
      <w:r>
        <w:t>е</w:t>
      </w:r>
      <w:r>
        <w:t>лях контроля за ходом осуществления. Представьте, пожалуйста, также и</w:t>
      </w:r>
      <w:r>
        <w:t>н</w:t>
      </w:r>
      <w:r>
        <w:t>формацию о результатах любых прин</w:t>
      </w:r>
      <w:r>
        <w:t>я</w:t>
      </w:r>
      <w:r>
        <w:t>тых мер в этом направлении.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своих последних заключительных замечаниях</w:t>
      </w:r>
      <w:r>
        <w:rPr>
          <w:rStyle w:val="FootnoteReference"/>
        </w:rPr>
        <w:footnoteReference w:id="8"/>
      </w:r>
      <w:r>
        <w:t xml:space="preserve"> Комитет настоятельно призвал правительство «обеспечить принятие законодательства, предусматр</w:t>
      </w:r>
      <w:r>
        <w:t>и</w:t>
      </w:r>
      <w:r>
        <w:t>вающего установление запрета как на прямую, так и косвенную дискримин</w:t>
      </w:r>
      <w:r>
        <w:t>а</w:t>
      </w:r>
      <w:r>
        <w:t>цию в отношении женщин на рынке труда и гарантирующую женщинам ра</w:t>
      </w:r>
      <w:r>
        <w:t>в</w:t>
      </w:r>
      <w:r>
        <w:t>ные возможности в соответствии со статьей 11 Конвенции и соответствующ</w:t>
      </w:r>
      <w:r>
        <w:t>и</w:t>
      </w:r>
      <w:r>
        <w:t>ми конвенциями Международной организации труда (МОТ), ратифицирова</w:t>
      </w:r>
      <w:r>
        <w:t>н</w:t>
      </w:r>
      <w:r>
        <w:t>ными Республикой Молдова». Он далее настоятельно призвал правительство «рассмотреть вопрос о создании органа по равным возможностям для набл</w:t>
      </w:r>
      <w:r>
        <w:t>ю</w:t>
      </w:r>
      <w:r>
        <w:t>дения за осуществлением такого законодательства, который был бы уполном</w:t>
      </w:r>
      <w:r>
        <w:t>о</w:t>
      </w:r>
      <w:r>
        <w:t>чен принимать жалобы на совершенные нарушения». Представьте, пожалуйста, информацию о мерах, принятых во исполнение этой рекомендации.</w:t>
      </w:r>
    </w:p>
    <w:p w:rsidR="00000000" w:rsidRDefault="00000000">
      <w:pPr>
        <w:pStyle w:val="SingleTxt"/>
      </w:pPr>
      <w:r>
        <w:t>18.</w:t>
      </w:r>
      <w:r>
        <w:tab/>
        <w:t>Представьте, пожалуйста, подробную информацию о положении закон</w:t>
      </w:r>
      <w:r>
        <w:t>о</w:t>
      </w:r>
      <w:r>
        <w:t>дательной сфере применительно к вопросам социальной защиты лиц, не охв</w:t>
      </w:r>
      <w:r>
        <w:t>а</w:t>
      </w:r>
      <w:r>
        <w:t>ченных пенсионным обеспечением, в частности оказания помощи нужда</w:t>
      </w:r>
      <w:r>
        <w:t>ю</w:t>
      </w:r>
      <w:r>
        <w:t>щимся пож</w:t>
      </w:r>
      <w:r>
        <w:t>и</w:t>
      </w:r>
      <w:r>
        <w:t>лым женщинам.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Показатели материнской смертности остаются высокими. Из доклада видно, что самые высокие показатели материнской смертности отмечаются среди женщин из сельских районов (пункт 68), а в 2002 году было отмечено увеличение показателя материнской смертности в результате незаконных або</w:t>
      </w:r>
      <w:r>
        <w:t>р</w:t>
      </w:r>
      <w:r>
        <w:t>тов (см. пункт 60, таблица 25). Пожалуйста, укажите, какие меры были прин</w:t>
      </w:r>
      <w:r>
        <w:t>я</w:t>
      </w:r>
      <w:r>
        <w:t>ты правительством непосредственно в целях профилактики материнской смертности в сельских районах и материнской смертности в результате нез</w:t>
      </w:r>
      <w:r>
        <w:t>а</w:t>
      </w:r>
      <w:r>
        <w:t>конных абортов.</w:t>
      </w:r>
    </w:p>
    <w:p w:rsidR="00000000" w:rsidRDefault="00000000">
      <w:pPr>
        <w:pStyle w:val="SingleTxt"/>
      </w:pPr>
      <w:r>
        <w:t>20.</w:t>
      </w:r>
      <w:r>
        <w:tab/>
        <w:t>В докладе указано, что «главной причиной смерти [от заболеваний, по</w:t>
      </w:r>
      <w:r>
        <w:t>д</w:t>
      </w:r>
      <w:r>
        <w:t>дающихся профилактике] и преждевременной смерти может стать чрезмерное табакокурение» (см. пункт 63). Особую тревогу вызывают данные о курении среди очень молодых женщин, среди которых 81 процент составляют женщины в возрасте моложе 20 лет. Разработаны ли правительством национальные стр</w:t>
      </w:r>
      <w:r>
        <w:t>а</w:t>
      </w:r>
      <w:r>
        <w:t>тегии, рассчитанные на эту группу населения и призванные повысить степень осведомле</w:t>
      </w:r>
      <w:r>
        <w:t>н</w:t>
      </w:r>
      <w:r>
        <w:t>ности о связанных с курением рисках для здоровья?</w:t>
      </w:r>
    </w:p>
    <w:p w:rsidR="00000000" w:rsidRDefault="00000000">
      <w:pPr>
        <w:pStyle w:val="SingleTxt"/>
      </w:pPr>
      <w:r>
        <w:t>21.</w:t>
      </w:r>
      <w:r>
        <w:tab/>
        <w:t>Пожалуйста, представьте подробную информацию о применении женщ</w:t>
      </w:r>
      <w:r>
        <w:t>и</w:t>
      </w:r>
      <w:r>
        <w:t>нами наркотических и психотропных веществ, а также о мерах борьбы с этим явлением, представляющим «большую опасность для здоровья населения Ре</w:t>
      </w:r>
      <w:r>
        <w:t>с</w:t>
      </w:r>
      <w:r>
        <w:t>публики Молдова» (см. пункт 62).</w:t>
      </w:r>
    </w:p>
    <w:p w:rsidR="00000000" w:rsidRDefault="00000000">
      <w:pPr>
        <w:pStyle w:val="SingleTxt"/>
      </w:pPr>
      <w:r>
        <w:t>22.</w:t>
      </w:r>
      <w:r>
        <w:tab/>
        <w:t>Пожалуйста, представьте — с разбивкой по признакам пола, принадле</w:t>
      </w:r>
      <w:r>
        <w:t>ж</w:t>
      </w:r>
      <w:r>
        <w:t>ности к национальным меньшинствам и возраста — данные о масштабах ра</w:t>
      </w:r>
      <w:r>
        <w:t>с</w:t>
      </w:r>
      <w:r>
        <w:t>пространения ВИЧ/СПИДа в стране. Расскажите также о мерах, принимаемых правительством для сокращения случаев заражения женщин ВИЧ/СПИДом и другими заболеваниями, передаваемыми половым путем, в соответствии с р</w:t>
      </w:r>
      <w:r>
        <w:t>е</w:t>
      </w:r>
      <w:r>
        <w:t>комендацией Комитета, высказанной в его последних заключительных замеч</w:t>
      </w:r>
      <w:r>
        <w:t>а</w:t>
      </w:r>
      <w:r>
        <w:t>ниях</w:t>
      </w:r>
      <w:r>
        <w:rPr>
          <w:rStyle w:val="FootnoteReference"/>
        </w:rPr>
        <w:footnoteReference w:id="9"/>
      </w:r>
      <w:r>
        <w:t>, и укажите, обеспечивается ли при осуществлении мер в целях проф</w:t>
      </w:r>
      <w:r>
        <w:t>и</w:t>
      </w:r>
      <w:r>
        <w:t>лактики СПИДа учет гендерных аспектов?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нищета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В докладе неоднократно упоминается о том, что в результате перехода экономики на рыночные рельсы произошло резкое обнищание населения и ухудшение жизни людей. Представьте, пожалуйста, соответствующие обно</w:t>
      </w:r>
      <w:r>
        <w:t>в</w:t>
      </w:r>
      <w:r>
        <w:t>ленные данные с разбивкой по признаку пола, возраста и этнической прина</w:t>
      </w:r>
      <w:r>
        <w:t>д</w:t>
      </w:r>
      <w:r>
        <w:t>лежности и проанализируйте тенденции в отношении доли молдавского нас</w:t>
      </w:r>
      <w:r>
        <w:t>е</w:t>
      </w:r>
      <w:r>
        <w:t>ления, живущего в нищете в городских и сельских районах, и числе домох</w:t>
      </w:r>
      <w:r>
        <w:t>о</w:t>
      </w:r>
      <w:r>
        <w:t>зяйств, возглавляемых женщинами, которые влачат нищенское существование. Пожалуйста, укажите также, какие меры принимаются в целях искоренения нищеты и существуют ли программы, разработанные непосредственно с целью облегчить положение живущих в нищете женщин, включая пожилых женщин.</w:t>
      </w:r>
    </w:p>
    <w:p w:rsidR="00000000" w:rsidRDefault="00000000">
      <w:pPr>
        <w:pStyle w:val="SingleTxt"/>
      </w:pPr>
      <w:r>
        <w:t>24.</w:t>
      </w:r>
      <w:r>
        <w:tab/>
        <w:t>С учетом тяжелой экономической ситуации в стране просьба сообщить, каким образом вопросы осуществления Конвенции и установления равенства между мужчинами и женщинами решаются в контексте реализации национал</w:t>
      </w:r>
      <w:r>
        <w:t>ь</w:t>
      </w:r>
      <w:r>
        <w:t>ных страт</w:t>
      </w:r>
      <w:r>
        <w:t>е</w:t>
      </w:r>
      <w:r>
        <w:t>гий и программ в области развития.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 из числа этнических меньшинств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В докладе признается, что ухудшение социального и экономического п</w:t>
      </w:r>
      <w:r>
        <w:t>о</w:t>
      </w:r>
      <w:r>
        <w:t>ложения женщин в сельских районах является еще одной областью, вызыва</w:t>
      </w:r>
      <w:r>
        <w:t>ю</w:t>
      </w:r>
      <w:r>
        <w:t>щей повышенную обеспокоенность (см. пункт 98). В нем говорится также, что в сельских районах было бы полезно открыть дополнительные курсы подг</w:t>
      </w:r>
      <w:r>
        <w:t>о</w:t>
      </w:r>
      <w:r>
        <w:t>товки по вопросам гендерного равенства. В качестве одного из приоритетных направлений деятельности правительства упоминается также разработка и поддержка инициатив по обеспечению гендерного равенства силами женщин из сельских районов. Пожалуйста, представьте подробную информацию о том, какие сроки и какие способы реализации предусмотрены для практического осуществления этих двух мер.</w:t>
      </w:r>
    </w:p>
    <w:p w:rsidR="00000000" w:rsidRDefault="00000000">
      <w:pPr>
        <w:pStyle w:val="SingleTxt"/>
      </w:pPr>
      <w:r>
        <w:t>26.</w:t>
      </w:r>
      <w:r>
        <w:tab/>
        <w:t>В своих заключительных замечаниях Комитет по правам человека выр</w:t>
      </w:r>
      <w:r>
        <w:t>а</w:t>
      </w:r>
      <w:r>
        <w:t>зил «обеспокоенность в связи с положением гагаузов и рома, которые продо</w:t>
      </w:r>
      <w:r>
        <w:t>л</w:t>
      </w:r>
      <w:r>
        <w:t>жают подвергаться серьезной дискриминации, особенно в сельских районах» (CCPR/CO/75/MDA, пункт 19). В докладе не содержится информации по этому вопросу. Пожалуйста, представьте информацию и статистические данные о п</w:t>
      </w:r>
      <w:r>
        <w:t>о</w:t>
      </w:r>
      <w:r>
        <w:t>ложении женщин из числа этнических меньшинств, в частности из числа г</w:t>
      </w:r>
      <w:r>
        <w:t>а</w:t>
      </w:r>
      <w:r>
        <w:t>гаузов и рома, особенно в отношении имеющихся у них возможностей в обла</w:t>
      </w:r>
      <w:r>
        <w:t>с</w:t>
      </w:r>
      <w:r>
        <w:t>ти образования, медицинского обслуживания, занятости и участия в политич</w:t>
      </w:r>
      <w:r>
        <w:t>е</w:t>
      </w:r>
      <w:r>
        <w:t>ской и общественной жизни, а также о мерах, принимаемых правительством по борьбе с широко распространенной дискриминацией в отношении этих же</w:t>
      </w:r>
      <w:r>
        <w:t>н</w:t>
      </w:r>
      <w:r>
        <w:t>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В своих последних заключительных замечаниях Комитет выразил озаб</w:t>
      </w:r>
      <w:r>
        <w:t>о</w:t>
      </w:r>
      <w:r>
        <w:t>ченность по поводу того, что в Семейном кодексе установлен разный брачный возраст для юношей (18 лет) и для девушек (16 лет)</w:t>
      </w:r>
      <w:r>
        <w:rPr>
          <w:rStyle w:val="FootnoteReference"/>
        </w:rPr>
        <w:footnoteReference w:id="10"/>
      </w:r>
      <w:r>
        <w:t>. Аналогичную озабоче</w:t>
      </w:r>
      <w:r>
        <w:t>н</w:t>
      </w:r>
      <w:r>
        <w:t>ность выразил Комитет по правам ребенка (CRC/C/15/Add.192). Принимались ли правительством меры в целях повышения минимального возраста вступл</w:t>
      </w:r>
      <w:r>
        <w:t>е</w:t>
      </w:r>
      <w:r>
        <w:t>ния в брак для девушек, с тем чтобы он был таким же, как у юношей?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При представлении своего первоначального доклада, правительство за</w:t>
      </w:r>
      <w:r>
        <w:t>я</w:t>
      </w:r>
      <w:r>
        <w:t>вило, что оно начало процесс присоединения к Факультативному протоколу к Конвенции о ликвидации всех форм дискриминации в отношении женщин</w:t>
      </w:r>
      <w:r>
        <w:rPr>
          <w:rStyle w:val="FootnoteReference"/>
        </w:rPr>
        <w:footnoteReference w:id="11"/>
      </w:r>
      <w:r>
        <w:t>. Пожалуйста, сообщите, достигнут ли какой</w:t>
      </w:r>
      <w:r>
        <w:noBreakHyphen/>
        <w:t>либо прогресс в деле присоедин</w:t>
      </w:r>
      <w:r>
        <w:t>е</w:t>
      </w:r>
      <w:r>
        <w:t>ния к Факультативному протоколу.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NO&gt;&gt;N0625064R&lt;&lt;ODS JOB NO&gt;&gt;</w:t>
      </w:r>
    </w:p>
    <w:p w:rsidR="00000000" w:rsidRDefault="00000000">
      <w:pPr>
        <w:pStyle w:val="CommentText"/>
      </w:pPr>
      <w:r>
        <w:t>&lt;&lt;ODS DOC SYMBOL1&gt;&gt;CEDAW/C/MDA/Q/3&lt;&lt;ODS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06-25064 (R)    020306    0</w:t>
    </w:r>
    <w:r>
      <w:rPr>
        <w:b w:val="0"/>
        <w:noProof w:val="0"/>
        <w:sz w:val="20"/>
        <w:lang w:val="ru-RU"/>
      </w:rPr>
      <w:t>3</w:t>
    </w:r>
    <w:r>
      <w:rPr>
        <w:b w:val="0"/>
        <w:sz w:val="20"/>
      </w:rPr>
      <w:t>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*0625064*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i/>
        </w:rPr>
        <w:t xml:space="preserve">Официальные отчеты Генеральной Ассамблеи, пятьдесят пятая сессия, Дополнение № 38 </w:t>
      </w:r>
      <w:r>
        <w:t>(А/55/38), часть вторая, пункт 96.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92.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100.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80.</w:t>
      </w:r>
    </w:p>
  </w:footnote>
  <w:footnote w:id="5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104.</w:t>
      </w:r>
    </w:p>
  </w:footnote>
  <w:footnote w:id="6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106.</w:t>
      </w:r>
    </w:p>
  </w:footnote>
  <w:footnote w:id="7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97 и 98.</w:t>
      </w:r>
    </w:p>
  </w:footnote>
  <w:footnote w:id="8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108.</w:t>
      </w:r>
    </w:p>
  </w:footnote>
  <w:footnote w:id="9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110.</w:t>
      </w:r>
    </w:p>
  </w:footnote>
  <w:footnote w:id="10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113 и 114.</w:t>
      </w:r>
    </w:p>
  </w:footnote>
  <w:footnote w:id="1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82.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CEDAW/C/MDA/Q/3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CEDAW/C/MDA/Q/3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/C/MDA/Q/3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20:58:06"/>
    <w:docVar w:name="DocCategory" w:val="Doc"/>
    <w:docVar w:name="DocType" w:val="Final"/>
    <w:docVar w:name="JobNo" w:val="0625064R"/>
    <w:docVar w:name="OandT" w:val=" "/>
    <w:docVar w:name="Symbol1" w:val="CEDAW/C/MDA/Q/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2171</Words>
  <Characters>12375</Characters>
  <Application>Microsoft Office Word</Application>
  <DocSecurity>4</DocSecurity>
  <Lines>103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15197</CharactersWithSpaces>
  <SharedDoc>false</SharedDoc>
  <HLinks>
    <vt:vector size="6" baseType="variant">
      <vt:variant>
        <vt:i4>4522087</vt:i4>
      </vt:variant>
      <vt:variant>
        <vt:i4>32064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2006-03-03T10:48:00Z</cp:lastPrinted>
  <dcterms:created xsi:type="dcterms:W3CDTF">2006-03-03T10:48:00Z</dcterms:created>
  <dcterms:modified xsi:type="dcterms:W3CDTF">2006-03-03T11:06:00Z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0625064</vt:lpwstr>
  </property>
  <property fmtid="{D5CDD505-2E9C-101B-9397-08002B2CF9AE}" pid="3" name="Symbol1">
    <vt:lpwstr>CEDAW/C/MDA/Q/3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Fedorova</vt:lpwstr>
  </property>
</Properties>
</file>