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3B5B959" w14:textId="77777777" w:rsidTr="00E6618E">
        <w:trPr>
          <w:trHeight w:hRule="exact" w:val="851"/>
        </w:trPr>
        <w:tc>
          <w:tcPr>
            <w:tcW w:w="1276" w:type="dxa"/>
            <w:tcBorders>
              <w:bottom w:val="single" w:sz="4" w:space="0" w:color="auto"/>
            </w:tcBorders>
          </w:tcPr>
          <w:p w14:paraId="48DBD6A1" w14:textId="77777777" w:rsidR="00A12E20" w:rsidRPr="00DB58B5" w:rsidRDefault="00A12E20" w:rsidP="006303A9"/>
        </w:tc>
        <w:tc>
          <w:tcPr>
            <w:tcW w:w="2268" w:type="dxa"/>
            <w:tcBorders>
              <w:bottom w:val="single" w:sz="4" w:space="0" w:color="auto"/>
            </w:tcBorders>
            <w:vAlign w:val="bottom"/>
          </w:tcPr>
          <w:p w14:paraId="34C5C032"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6B129C" w14:textId="0A958B96" w:rsidR="00A12E20" w:rsidRPr="00DB58B5" w:rsidRDefault="006303A9" w:rsidP="006303A9">
            <w:pPr>
              <w:jc w:val="right"/>
            </w:pPr>
            <w:r w:rsidRPr="006303A9">
              <w:rPr>
                <w:sz w:val="40"/>
              </w:rPr>
              <w:t>A</w:t>
            </w:r>
            <w:r>
              <w:t>/HRC/50/L.19</w:t>
            </w:r>
          </w:p>
        </w:tc>
      </w:tr>
      <w:tr w:rsidR="00A12E20" w:rsidRPr="00DB58B5" w14:paraId="280D18AB" w14:textId="77777777" w:rsidTr="00E6618E">
        <w:trPr>
          <w:trHeight w:hRule="exact" w:val="2835"/>
        </w:trPr>
        <w:tc>
          <w:tcPr>
            <w:tcW w:w="1276" w:type="dxa"/>
            <w:tcBorders>
              <w:top w:val="single" w:sz="4" w:space="0" w:color="auto"/>
              <w:bottom w:val="single" w:sz="12" w:space="0" w:color="auto"/>
            </w:tcBorders>
          </w:tcPr>
          <w:p w14:paraId="0D945A89" w14:textId="77777777" w:rsidR="00A12E20" w:rsidRPr="00DB58B5" w:rsidRDefault="00A12E20" w:rsidP="00E6618E">
            <w:pPr>
              <w:spacing w:before="120"/>
              <w:jc w:val="center"/>
            </w:pPr>
            <w:r>
              <w:rPr>
                <w:noProof/>
                <w:lang w:eastAsia="fr-CH"/>
              </w:rPr>
              <w:drawing>
                <wp:inline distT="0" distB="0" distL="0" distR="0" wp14:anchorId="6BDE139B" wp14:editId="41A322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61ED06"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0F75FB0" w14:textId="77777777" w:rsidR="00A12E20" w:rsidRDefault="006303A9" w:rsidP="00E6618E">
            <w:pPr>
              <w:spacing w:before="240"/>
            </w:pPr>
            <w:r>
              <w:t>Distr. limitée</w:t>
            </w:r>
          </w:p>
          <w:p w14:paraId="1EE96F16" w14:textId="77777777" w:rsidR="006303A9" w:rsidRDefault="006303A9" w:rsidP="006303A9">
            <w:pPr>
              <w:spacing w:line="240" w:lineRule="exact"/>
            </w:pPr>
            <w:r>
              <w:t>30 juin 2022</w:t>
            </w:r>
          </w:p>
          <w:p w14:paraId="13DB71DC" w14:textId="77777777" w:rsidR="006303A9" w:rsidRDefault="006303A9" w:rsidP="006303A9">
            <w:pPr>
              <w:spacing w:line="240" w:lineRule="exact"/>
            </w:pPr>
            <w:r>
              <w:t>Français</w:t>
            </w:r>
          </w:p>
          <w:p w14:paraId="3ACEBBF2" w14:textId="577E1B44" w:rsidR="006303A9" w:rsidRPr="00DB58B5" w:rsidRDefault="006303A9" w:rsidP="006303A9">
            <w:pPr>
              <w:spacing w:line="240" w:lineRule="exact"/>
            </w:pPr>
            <w:r>
              <w:t>Original</w:t>
            </w:r>
            <w:r w:rsidR="00912B12">
              <w:t> :</w:t>
            </w:r>
            <w:r>
              <w:t xml:space="preserve"> anglais</w:t>
            </w:r>
          </w:p>
        </w:tc>
      </w:tr>
    </w:tbl>
    <w:p w14:paraId="1978253A" w14:textId="77777777" w:rsidR="00D45432" w:rsidRDefault="00D45432" w:rsidP="00D45432">
      <w:pPr>
        <w:spacing w:before="120"/>
        <w:rPr>
          <w:b/>
          <w:sz w:val="24"/>
          <w:szCs w:val="24"/>
        </w:rPr>
      </w:pPr>
      <w:r w:rsidRPr="00BA184E">
        <w:rPr>
          <w:b/>
          <w:sz w:val="24"/>
          <w:szCs w:val="24"/>
        </w:rPr>
        <w:t>Conseil des droits de l’homme</w:t>
      </w:r>
    </w:p>
    <w:p w14:paraId="460A9D71" w14:textId="77777777" w:rsidR="00912B12" w:rsidRPr="000869C7" w:rsidRDefault="00912B12" w:rsidP="00912B12">
      <w:pPr>
        <w:rPr>
          <w:b/>
        </w:rPr>
      </w:pPr>
      <w:r w:rsidRPr="000869C7">
        <w:rPr>
          <w:b/>
          <w:bCs/>
        </w:rPr>
        <w:t>Cinquantième session</w:t>
      </w:r>
    </w:p>
    <w:p w14:paraId="2046C65A" w14:textId="77777777" w:rsidR="00912B12" w:rsidRPr="000869C7" w:rsidRDefault="00912B12" w:rsidP="00912B12">
      <w:r w:rsidRPr="000869C7">
        <w:t>13 juin-8 juillet 2022</w:t>
      </w:r>
    </w:p>
    <w:p w14:paraId="56343D6A" w14:textId="77777777" w:rsidR="00912B12" w:rsidRPr="000869C7" w:rsidRDefault="00912B12" w:rsidP="00912B12">
      <w:r w:rsidRPr="000869C7">
        <w:t>Point 2 de l’ordre du jour</w:t>
      </w:r>
    </w:p>
    <w:p w14:paraId="2D24F9BB" w14:textId="3F9377AC" w:rsidR="00912B12" w:rsidRPr="000869C7" w:rsidRDefault="00912B12" w:rsidP="00912B12">
      <w:pPr>
        <w:rPr>
          <w:b/>
        </w:rPr>
      </w:pPr>
      <w:r w:rsidRPr="000869C7">
        <w:rPr>
          <w:b/>
          <w:bCs/>
        </w:rPr>
        <w:t xml:space="preserve">Rapport annuel du Haut-Commissaire des Nations Unies </w:t>
      </w:r>
      <w:r>
        <w:rPr>
          <w:b/>
          <w:bCs/>
        </w:rPr>
        <w:br/>
      </w:r>
      <w:r w:rsidRPr="000869C7">
        <w:rPr>
          <w:b/>
          <w:bCs/>
        </w:rPr>
        <w:t xml:space="preserve">aux droits de l’homme et rapports du Haut-Commissariat </w:t>
      </w:r>
      <w:r>
        <w:rPr>
          <w:b/>
          <w:bCs/>
        </w:rPr>
        <w:br/>
      </w:r>
      <w:r w:rsidRPr="000869C7">
        <w:rPr>
          <w:b/>
          <w:bCs/>
        </w:rPr>
        <w:t>et du Secrétaire général</w:t>
      </w:r>
    </w:p>
    <w:p w14:paraId="7E8D35D3" w14:textId="3148D894" w:rsidR="00912B12" w:rsidRPr="00912B12" w:rsidRDefault="00912B12" w:rsidP="00912B12">
      <w:pPr>
        <w:pStyle w:val="H23G"/>
        <w:rPr>
          <w:spacing w:val="-2"/>
        </w:rPr>
      </w:pPr>
      <w:r w:rsidRPr="000869C7">
        <w:tab/>
      </w:r>
      <w:r w:rsidRPr="000869C7">
        <w:tab/>
      </w:r>
      <w:r w:rsidRPr="00912B12">
        <w:rPr>
          <w:spacing w:val="-2"/>
        </w:rPr>
        <w:t>Albanie</w:t>
      </w:r>
      <w:r w:rsidRPr="00912B12">
        <w:rPr>
          <w:rStyle w:val="Appelnotedebasdep"/>
          <w:b w:val="0"/>
          <w:spacing w:val="-2"/>
          <w:sz w:val="20"/>
          <w:vertAlign w:val="baseline"/>
        </w:rPr>
        <w:footnoteReference w:customMarkFollows="1" w:id="2"/>
        <w:t>*</w:t>
      </w:r>
      <w:r w:rsidRPr="00912B12">
        <w:rPr>
          <w:spacing w:val="-2"/>
        </w:rPr>
        <w:t>, Allemagne, Australie</w:t>
      </w:r>
      <w:r w:rsidRPr="00912B12">
        <w:rPr>
          <w:b w:val="0"/>
          <w:bCs/>
          <w:spacing w:val="-2"/>
        </w:rPr>
        <w:t>*</w:t>
      </w:r>
      <w:r w:rsidRPr="00912B12">
        <w:rPr>
          <w:spacing w:val="-2"/>
        </w:rPr>
        <w:t>, Autriche</w:t>
      </w:r>
      <w:r w:rsidRPr="00912B12">
        <w:rPr>
          <w:b w:val="0"/>
          <w:bCs/>
          <w:spacing w:val="-2"/>
        </w:rPr>
        <w:t>*</w:t>
      </w:r>
      <w:r w:rsidRPr="00912B12">
        <w:rPr>
          <w:spacing w:val="-2"/>
        </w:rPr>
        <w:t>, Belgique</w:t>
      </w:r>
      <w:r w:rsidRPr="00912B12">
        <w:rPr>
          <w:b w:val="0"/>
          <w:bCs/>
          <w:spacing w:val="-2"/>
        </w:rPr>
        <w:t>*</w:t>
      </w:r>
      <w:r w:rsidRPr="00912B12">
        <w:rPr>
          <w:spacing w:val="-2"/>
        </w:rPr>
        <w:t>, Bulgarie</w:t>
      </w:r>
      <w:r w:rsidRPr="00912B12">
        <w:rPr>
          <w:b w:val="0"/>
          <w:bCs/>
          <w:spacing w:val="-2"/>
        </w:rPr>
        <w:t>*</w:t>
      </w:r>
      <w:r w:rsidRPr="00912B12">
        <w:rPr>
          <w:spacing w:val="-2"/>
        </w:rPr>
        <w:t>, Chypre</w:t>
      </w:r>
      <w:r w:rsidRPr="00912B12">
        <w:rPr>
          <w:b w:val="0"/>
          <w:bCs/>
          <w:spacing w:val="-2"/>
        </w:rPr>
        <w:t>*</w:t>
      </w:r>
      <w:r w:rsidRPr="00912B12">
        <w:rPr>
          <w:spacing w:val="-2"/>
        </w:rPr>
        <w:t>, Costa Rica</w:t>
      </w:r>
      <w:r w:rsidRPr="00912B12">
        <w:rPr>
          <w:b w:val="0"/>
          <w:bCs/>
          <w:spacing w:val="-2"/>
        </w:rPr>
        <w:t>*</w:t>
      </w:r>
      <w:r w:rsidRPr="00912B12">
        <w:rPr>
          <w:spacing w:val="-2"/>
        </w:rPr>
        <w:t>, Croatie</w:t>
      </w:r>
      <w:r w:rsidRPr="00912B12">
        <w:rPr>
          <w:b w:val="0"/>
          <w:bCs/>
          <w:spacing w:val="-2"/>
        </w:rPr>
        <w:t>*</w:t>
      </w:r>
      <w:r w:rsidRPr="00912B12">
        <w:rPr>
          <w:spacing w:val="-2"/>
        </w:rPr>
        <w:t>, Danemark</w:t>
      </w:r>
      <w:r w:rsidRPr="00912B12">
        <w:rPr>
          <w:b w:val="0"/>
          <w:bCs/>
          <w:spacing w:val="-2"/>
        </w:rPr>
        <w:t>*</w:t>
      </w:r>
      <w:r w:rsidRPr="00912B12">
        <w:rPr>
          <w:spacing w:val="-2"/>
        </w:rPr>
        <w:t>, Espagne</w:t>
      </w:r>
      <w:r w:rsidRPr="00912B12">
        <w:rPr>
          <w:b w:val="0"/>
          <w:bCs/>
          <w:spacing w:val="-2"/>
        </w:rPr>
        <w:t>*</w:t>
      </w:r>
      <w:r w:rsidRPr="00912B12">
        <w:rPr>
          <w:spacing w:val="-2"/>
        </w:rPr>
        <w:t>, Estonie</w:t>
      </w:r>
      <w:r w:rsidRPr="00912B12">
        <w:rPr>
          <w:b w:val="0"/>
          <w:bCs/>
          <w:spacing w:val="-2"/>
        </w:rPr>
        <w:t>*</w:t>
      </w:r>
      <w:r w:rsidRPr="00912B12">
        <w:rPr>
          <w:spacing w:val="-2"/>
        </w:rPr>
        <w:t>, États-Unis d’Amérique, Finlande, France, Grèce</w:t>
      </w:r>
      <w:r w:rsidRPr="00912B12">
        <w:rPr>
          <w:b w:val="0"/>
          <w:bCs/>
          <w:spacing w:val="-2"/>
        </w:rPr>
        <w:t>*</w:t>
      </w:r>
      <w:r w:rsidRPr="00912B12">
        <w:rPr>
          <w:spacing w:val="-2"/>
        </w:rPr>
        <w:t>, Hongrie</w:t>
      </w:r>
      <w:r w:rsidRPr="00912B12">
        <w:rPr>
          <w:b w:val="0"/>
          <w:bCs/>
          <w:spacing w:val="-2"/>
        </w:rPr>
        <w:t>*</w:t>
      </w:r>
      <w:r w:rsidRPr="00912B12">
        <w:rPr>
          <w:spacing w:val="-2"/>
        </w:rPr>
        <w:t>, Irlande</w:t>
      </w:r>
      <w:r w:rsidRPr="00912B12">
        <w:rPr>
          <w:b w:val="0"/>
          <w:bCs/>
          <w:spacing w:val="-2"/>
        </w:rPr>
        <w:t>*</w:t>
      </w:r>
      <w:r w:rsidRPr="00912B12">
        <w:rPr>
          <w:spacing w:val="-2"/>
        </w:rPr>
        <w:t>, Islande</w:t>
      </w:r>
      <w:r w:rsidRPr="00912B12">
        <w:rPr>
          <w:b w:val="0"/>
          <w:bCs/>
          <w:spacing w:val="-2"/>
        </w:rPr>
        <w:t>*</w:t>
      </w:r>
      <w:r w:rsidRPr="00912B12">
        <w:rPr>
          <w:spacing w:val="-2"/>
        </w:rPr>
        <w:t>, Israël</w:t>
      </w:r>
      <w:r w:rsidRPr="00912B12">
        <w:rPr>
          <w:b w:val="0"/>
          <w:bCs/>
          <w:spacing w:val="-2"/>
        </w:rPr>
        <w:t>*</w:t>
      </w:r>
      <w:r w:rsidRPr="00912B12">
        <w:rPr>
          <w:spacing w:val="-2"/>
        </w:rPr>
        <w:t>, Italie</w:t>
      </w:r>
      <w:r w:rsidRPr="00912B12">
        <w:rPr>
          <w:b w:val="0"/>
          <w:bCs/>
          <w:spacing w:val="-2"/>
        </w:rPr>
        <w:t>*</w:t>
      </w:r>
      <w:r w:rsidRPr="00912B12">
        <w:rPr>
          <w:spacing w:val="-2"/>
        </w:rPr>
        <w:t>, Lettonie</w:t>
      </w:r>
      <w:r w:rsidRPr="00912B12">
        <w:rPr>
          <w:b w:val="0"/>
          <w:bCs/>
          <w:spacing w:val="-2"/>
        </w:rPr>
        <w:t>*</w:t>
      </w:r>
      <w:r w:rsidRPr="00912B12">
        <w:rPr>
          <w:spacing w:val="-2"/>
        </w:rPr>
        <w:t>, Liechtenstein</w:t>
      </w:r>
      <w:r w:rsidRPr="00912B12">
        <w:rPr>
          <w:b w:val="0"/>
          <w:bCs/>
          <w:spacing w:val="-2"/>
        </w:rPr>
        <w:t>*</w:t>
      </w:r>
      <w:r w:rsidRPr="00912B12">
        <w:rPr>
          <w:spacing w:val="-2"/>
        </w:rPr>
        <w:t>, Lituanie, Luxembourg, Malte</w:t>
      </w:r>
      <w:r w:rsidRPr="00912B12">
        <w:rPr>
          <w:b w:val="0"/>
          <w:bCs/>
          <w:spacing w:val="-2"/>
        </w:rPr>
        <w:t>*</w:t>
      </w:r>
      <w:r w:rsidRPr="00912B12">
        <w:rPr>
          <w:spacing w:val="-2"/>
        </w:rPr>
        <w:t>, Monaco</w:t>
      </w:r>
      <w:r w:rsidRPr="00912B12">
        <w:rPr>
          <w:b w:val="0"/>
          <w:bCs/>
          <w:spacing w:val="-2"/>
        </w:rPr>
        <w:t>*</w:t>
      </w:r>
      <w:r w:rsidRPr="00912B12">
        <w:rPr>
          <w:spacing w:val="-2"/>
        </w:rPr>
        <w:t>, Monténégro, Norvège</w:t>
      </w:r>
      <w:r w:rsidRPr="00912B12">
        <w:rPr>
          <w:b w:val="0"/>
          <w:bCs/>
          <w:spacing w:val="-2"/>
        </w:rPr>
        <w:t>*</w:t>
      </w:r>
      <w:r w:rsidRPr="00912B12">
        <w:rPr>
          <w:spacing w:val="-2"/>
        </w:rPr>
        <w:t>, Pays-Bas, Pologne, Portugal</w:t>
      </w:r>
      <w:r w:rsidRPr="00912B12">
        <w:rPr>
          <w:b w:val="0"/>
          <w:bCs/>
          <w:spacing w:val="-2"/>
        </w:rPr>
        <w:t>*</w:t>
      </w:r>
      <w:r w:rsidRPr="00912B12">
        <w:rPr>
          <w:spacing w:val="-2"/>
        </w:rPr>
        <w:t>, Roumanie</w:t>
      </w:r>
      <w:r w:rsidRPr="00912B12">
        <w:rPr>
          <w:b w:val="0"/>
          <w:bCs/>
          <w:spacing w:val="-2"/>
        </w:rPr>
        <w:t>*</w:t>
      </w:r>
      <w:r w:rsidRPr="00912B12">
        <w:rPr>
          <w:spacing w:val="-2"/>
        </w:rPr>
        <w:t>, Royaume-Uni de Grande-Bretagne et d’Irlande du Nord, Slovaquie</w:t>
      </w:r>
      <w:r w:rsidRPr="00912B12">
        <w:rPr>
          <w:b w:val="0"/>
          <w:bCs/>
          <w:spacing w:val="-2"/>
        </w:rPr>
        <w:t>*</w:t>
      </w:r>
      <w:r w:rsidRPr="00912B12">
        <w:rPr>
          <w:spacing w:val="-2"/>
        </w:rPr>
        <w:t>, Slovénie</w:t>
      </w:r>
      <w:r w:rsidRPr="00912B12">
        <w:rPr>
          <w:b w:val="0"/>
          <w:bCs/>
          <w:spacing w:val="-2"/>
        </w:rPr>
        <w:t>*</w:t>
      </w:r>
      <w:r w:rsidRPr="00912B12">
        <w:rPr>
          <w:spacing w:val="-2"/>
        </w:rPr>
        <w:t>, Suède</w:t>
      </w:r>
      <w:r w:rsidRPr="00912B12">
        <w:rPr>
          <w:b w:val="0"/>
          <w:bCs/>
          <w:spacing w:val="-2"/>
        </w:rPr>
        <w:t>*</w:t>
      </w:r>
      <w:r w:rsidRPr="00912B12">
        <w:rPr>
          <w:spacing w:val="-2"/>
        </w:rPr>
        <w:t>, Suisse</w:t>
      </w:r>
      <w:r w:rsidRPr="00912B12">
        <w:rPr>
          <w:b w:val="0"/>
          <w:bCs/>
          <w:spacing w:val="-2"/>
        </w:rPr>
        <w:t>*</w:t>
      </w:r>
      <w:r w:rsidRPr="00912B12">
        <w:rPr>
          <w:spacing w:val="-2"/>
        </w:rPr>
        <w:t>, Tchéquie et Ukraine</w:t>
      </w:r>
      <w:r w:rsidRPr="00912B12">
        <w:rPr>
          <w:spacing w:val="-2"/>
        </w:rPr>
        <w:t> :</w:t>
      </w:r>
      <w:r w:rsidRPr="00912B12">
        <w:rPr>
          <w:spacing w:val="-2"/>
        </w:rPr>
        <w:t xml:space="preserve"> projet de résolution</w:t>
      </w:r>
    </w:p>
    <w:p w14:paraId="0A56D704" w14:textId="06492380" w:rsidR="00912B12" w:rsidRPr="000869C7" w:rsidRDefault="00912B12" w:rsidP="00912B12">
      <w:pPr>
        <w:pStyle w:val="H1G"/>
        <w:tabs>
          <w:tab w:val="left" w:pos="1985"/>
        </w:tabs>
      </w:pPr>
      <w:r>
        <w:tab/>
      </w:r>
      <w:r>
        <w:tab/>
      </w:r>
      <w:r w:rsidRPr="000869C7">
        <w:t>50/</w:t>
      </w:r>
      <w:r>
        <w:t>…</w:t>
      </w:r>
      <w:r w:rsidRPr="000869C7">
        <w:tab/>
        <w:t>Situation des droits de l’homme en Érythrée</w:t>
      </w:r>
    </w:p>
    <w:p w14:paraId="40837591" w14:textId="1D266225" w:rsidR="00912B12" w:rsidRPr="000869C7" w:rsidRDefault="00912B12" w:rsidP="00912B12">
      <w:pPr>
        <w:pStyle w:val="SingleTxtG"/>
        <w:ind w:firstLine="567"/>
      </w:pPr>
      <w:r w:rsidRPr="00912B12">
        <w:rPr>
          <w:i/>
          <w:iCs/>
        </w:rPr>
        <w:t>Le Conseil des droits de l’homme</w:t>
      </w:r>
      <w:r w:rsidRPr="000869C7">
        <w:t>,</w:t>
      </w:r>
    </w:p>
    <w:p w14:paraId="0E420F99" w14:textId="77777777" w:rsidR="00912B12" w:rsidRPr="000869C7" w:rsidRDefault="00912B12" w:rsidP="00912B12">
      <w:pPr>
        <w:pStyle w:val="SingleTxtG"/>
        <w:ind w:firstLine="567"/>
      </w:pPr>
      <w:r w:rsidRPr="000869C7">
        <w:rPr>
          <w:i/>
          <w:iCs/>
        </w:rPr>
        <w:t>Guidé</w:t>
      </w:r>
      <w:r w:rsidRPr="000869C7">
        <w:t xml:space="preserve"> par la Charte des Nations Unies, la Déclaration universelle des droits de l’homme, les Pactes internationaux relatifs aux droits de l’homme et les autres instruments internationaux pertinents relatifs aux droits de l’homme,</w:t>
      </w:r>
    </w:p>
    <w:p w14:paraId="175D24D8" w14:textId="6E29682B" w:rsidR="00912B12" w:rsidRPr="000869C7" w:rsidRDefault="00912B12" w:rsidP="00912B12">
      <w:pPr>
        <w:pStyle w:val="SingleTxtG"/>
        <w:ind w:firstLine="567"/>
      </w:pPr>
      <w:r w:rsidRPr="000869C7">
        <w:rPr>
          <w:i/>
          <w:iCs/>
        </w:rPr>
        <w:t>Rappelant</w:t>
      </w:r>
      <w:r w:rsidRPr="000869C7">
        <w:t xml:space="preserve"> la résolution </w:t>
      </w:r>
      <w:hyperlink r:id="rId9" w:history="1">
        <w:r w:rsidRPr="00912B12">
          <w:rPr>
            <w:rStyle w:val="Lienhypertexte"/>
          </w:rPr>
          <w:t>60/251</w:t>
        </w:r>
      </w:hyperlink>
      <w:r w:rsidRPr="000869C7">
        <w:t xml:space="preserve"> de l’Assemblée générale, du 15 mars 2006, ses propres résolutions </w:t>
      </w:r>
      <w:hyperlink r:id="rId10" w:history="1">
        <w:r w:rsidRPr="00736C8A">
          <w:rPr>
            <w:rStyle w:val="Lienhypertexte"/>
          </w:rPr>
          <w:t>5/1</w:t>
        </w:r>
      </w:hyperlink>
      <w:r w:rsidRPr="000869C7">
        <w:t xml:space="preserve"> et </w:t>
      </w:r>
      <w:hyperlink r:id="rId11" w:history="1">
        <w:r w:rsidRPr="00736C8A">
          <w:rPr>
            <w:rStyle w:val="Lienhypertexte"/>
          </w:rPr>
          <w:t>5/2</w:t>
        </w:r>
      </w:hyperlink>
      <w:r w:rsidRPr="000869C7">
        <w:t>, du 18 juin 2007, la résolution 91 et les décisions 250/2002, 275/2003 et 428/12 de la Commission africaine des droits de l’homme et des peuples, et toutes ses propres résolutions sur la situation des droits de l’homme en Érythrée,</w:t>
      </w:r>
    </w:p>
    <w:p w14:paraId="6B5B3826" w14:textId="77777777" w:rsidR="00912B12" w:rsidRPr="000869C7" w:rsidRDefault="00912B12" w:rsidP="00912B12">
      <w:pPr>
        <w:pStyle w:val="SingleTxtG"/>
        <w:ind w:firstLine="567"/>
      </w:pPr>
      <w:r w:rsidRPr="000869C7">
        <w:rPr>
          <w:i/>
          <w:iCs/>
        </w:rPr>
        <w:t>Prenant note</w:t>
      </w:r>
      <w:r w:rsidRPr="000869C7">
        <w:t xml:space="preserve"> des faits survenus dans la région et de leurs répercussions, notamment en ce qui concerne les droits de l’homme en Érythrée,</w:t>
      </w:r>
    </w:p>
    <w:p w14:paraId="25860729" w14:textId="77777777" w:rsidR="00912B12" w:rsidRPr="000869C7" w:rsidRDefault="00912B12" w:rsidP="00912B12">
      <w:pPr>
        <w:pStyle w:val="SingleTxtG"/>
        <w:ind w:firstLine="567"/>
      </w:pPr>
      <w:r w:rsidRPr="000869C7">
        <w:rPr>
          <w:i/>
          <w:iCs/>
        </w:rPr>
        <w:t>Vivement préoccupé</w:t>
      </w:r>
      <w:r w:rsidRPr="000869C7">
        <w:t xml:space="preserve"> par la poursuite des violations des droits de l’homme et des atteintes à ces droits, telles que décrites par le Rapporteur spécial dans son rapport</w:t>
      </w:r>
      <w:r w:rsidRPr="000869C7">
        <w:rPr>
          <w:rStyle w:val="Appelnotedebasdep"/>
        </w:rPr>
        <w:footnoteReference w:id="3"/>
      </w:r>
      <w:r w:rsidRPr="000869C7">
        <w:t>,</w:t>
      </w:r>
    </w:p>
    <w:p w14:paraId="21CD8564" w14:textId="51BA3AF7" w:rsidR="00912B12" w:rsidRPr="000869C7" w:rsidRDefault="00912B12" w:rsidP="00912B12">
      <w:pPr>
        <w:pStyle w:val="SingleTxtG"/>
        <w:ind w:firstLine="567"/>
      </w:pPr>
      <w:r w:rsidRPr="000869C7">
        <w:t>1.</w:t>
      </w:r>
      <w:r w:rsidRPr="000869C7">
        <w:tab/>
      </w:r>
      <w:r w:rsidRPr="000869C7">
        <w:rPr>
          <w:i/>
          <w:iCs/>
        </w:rPr>
        <w:t>Accueille avec satisfaction</w:t>
      </w:r>
      <w:r w:rsidRPr="000869C7">
        <w:t xml:space="preserve"> le rapport du Rapporteur spécial sur la situation des droits de l’homme en Érythrée et les conclusions qui y sont formulées</w:t>
      </w:r>
      <w:r>
        <w:t> ;</w:t>
      </w:r>
    </w:p>
    <w:p w14:paraId="64830A78" w14:textId="527915CE" w:rsidR="00912B12" w:rsidRPr="000869C7" w:rsidRDefault="00912B12" w:rsidP="00912B12">
      <w:pPr>
        <w:pStyle w:val="SingleTxtG"/>
        <w:ind w:firstLine="567"/>
      </w:pPr>
      <w:r w:rsidRPr="000869C7">
        <w:t>2.</w:t>
      </w:r>
      <w:r w:rsidRPr="000869C7">
        <w:tab/>
      </w:r>
      <w:r w:rsidRPr="000869C7">
        <w:rPr>
          <w:i/>
          <w:iCs/>
        </w:rPr>
        <w:t>Décide</w:t>
      </w:r>
      <w:r w:rsidRPr="000869C7">
        <w:t xml:space="preserve"> de proroger le mandat de Rapporteur spécial sur la situation des droits de l’homme en Érythrée pour une nouvelle période d’un an</w:t>
      </w:r>
      <w:r>
        <w:t> ;</w:t>
      </w:r>
    </w:p>
    <w:p w14:paraId="12357FD4" w14:textId="46A36243" w:rsidR="00912B12" w:rsidRPr="000869C7" w:rsidRDefault="00912B12" w:rsidP="00912B12">
      <w:pPr>
        <w:pStyle w:val="SingleTxtG"/>
        <w:ind w:firstLine="567"/>
      </w:pPr>
      <w:r w:rsidRPr="000869C7">
        <w:t>3.</w:t>
      </w:r>
      <w:r w:rsidRPr="000869C7">
        <w:tab/>
      </w:r>
      <w:r w:rsidRPr="000869C7">
        <w:rPr>
          <w:i/>
          <w:iCs/>
        </w:rPr>
        <w:t>Prie</w:t>
      </w:r>
      <w:r w:rsidRPr="000869C7">
        <w:t xml:space="preserve"> le Rapporteur spécial de lui soumettre et de lui présenter un rapport écrit à sa cinquante-troisième session et de soumettre et présenter un rapport écrit à l’Assemblée générale à sa soixante-dix-septième session</w:t>
      </w:r>
      <w:r>
        <w:t> ;</w:t>
      </w:r>
    </w:p>
    <w:p w14:paraId="2975A083" w14:textId="0D376CDE" w:rsidR="00912B12" w:rsidRPr="000869C7" w:rsidRDefault="00912B12" w:rsidP="00912B12">
      <w:pPr>
        <w:pStyle w:val="SingleTxtG"/>
        <w:keepLines/>
        <w:ind w:firstLine="567"/>
      </w:pPr>
      <w:r w:rsidRPr="000869C7">
        <w:lastRenderedPageBreak/>
        <w:t>4.</w:t>
      </w:r>
      <w:r w:rsidRPr="000869C7">
        <w:tab/>
      </w:r>
      <w:r w:rsidRPr="000869C7">
        <w:rPr>
          <w:i/>
          <w:iCs/>
        </w:rPr>
        <w:t>Décide</w:t>
      </w:r>
      <w:r w:rsidRPr="000869C7">
        <w:t xml:space="preserve"> de tenir un débat renforcé sur la situation des droits de l’homme en Érythrée à sa cinquante-deuxième session, avec la participation du Rapporteur spécial, du Haut-Commissariat des Nations Unies aux droits de l’homme, de la société civile et d’autres parties prenantes</w:t>
      </w:r>
      <w:r>
        <w:t> ;</w:t>
      </w:r>
    </w:p>
    <w:p w14:paraId="209B99C8" w14:textId="04397CF3" w:rsidR="00912B12" w:rsidRPr="000869C7" w:rsidRDefault="00912B12" w:rsidP="00912B12">
      <w:pPr>
        <w:pStyle w:val="SingleTxtG"/>
        <w:ind w:firstLine="567"/>
        <w:rPr>
          <w:bCs/>
        </w:rPr>
      </w:pPr>
      <w:r w:rsidRPr="000869C7">
        <w:t>5.</w:t>
      </w:r>
      <w:r w:rsidRPr="000869C7">
        <w:tab/>
      </w:r>
      <w:r w:rsidRPr="000869C7">
        <w:rPr>
          <w:i/>
          <w:iCs/>
        </w:rPr>
        <w:t>Demande</w:t>
      </w:r>
      <w:r w:rsidRPr="000869C7">
        <w:t xml:space="preserve"> au Gouvernement érythréen de coopérer pleinement avec le Rapporteur spécial, notamment en l’autorisant à se rendre dans le pays et en s’engageant à faire des progrès dans l’application des recommandations qu’il a formulées dans ses rapports ainsi que des progrès au regard des critères et des indicateurs connexes proposés en 2019, à</w:t>
      </w:r>
      <w:r>
        <w:t> </w:t>
      </w:r>
      <w:r w:rsidRPr="000869C7">
        <w:t>savoir</w:t>
      </w:r>
      <w:r w:rsidRPr="000869C7">
        <w:rPr>
          <w:rStyle w:val="Appelnotedebasdep"/>
        </w:rPr>
        <w:footnoteReference w:id="4"/>
      </w:r>
      <w:r>
        <w:t> :</w:t>
      </w:r>
    </w:p>
    <w:p w14:paraId="0C675F7B" w14:textId="2D643AD5" w:rsidR="00912B12" w:rsidRPr="000869C7" w:rsidRDefault="00912B12" w:rsidP="00912B12">
      <w:pPr>
        <w:pStyle w:val="SingleTxtG"/>
        <w:ind w:firstLine="567"/>
      </w:pPr>
      <w:r w:rsidRPr="000869C7">
        <w:t>a)</w:t>
      </w:r>
      <w:r w:rsidRPr="000869C7">
        <w:tab/>
        <w:t>Amélioration de la promotion de l’état de droit et renforcement des institutions judiciaires et des institutions chargées de l’application des lois</w:t>
      </w:r>
      <w:r>
        <w:t> ;</w:t>
      </w:r>
    </w:p>
    <w:p w14:paraId="74C6B2A5" w14:textId="05E6EA5E" w:rsidR="00912B12" w:rsidRPr="000869C7" w:rsidRDefault="00912B12" w:rsidP="00912B12">
      <w:pPr>
        <w:pStyle w:val="SingleTxtG"/>
        <w:ind w:firstLine="567"/>
      </w:pPr>
      <w:r w:rsidRPr="000869C7">
        <w:t>b)</w:t>
      </w:r>
      <w:r w:rsidRPr="000869C7">
        <w:tab/>
        <w:t>Preuve de l’engagement en faveur de la mise en place de réformes du service national/militaire</w:t>
      </w:r>
      <w:r>
        <w:t> ;</w:t>
      </w:r>
    </w:p>
    <w:p w14:paraId="05C0504B" w14:textId="210A87B2" w:rsidR="00912B12" w:rsidRDefault="00912B12" w:rsidP="00912B12">
      <w:pPr>
        <w:pStyle w:val="SingleTxtG"/>
        <w:ind w:firstLine="567"/>
      </w:pPr>
      <w:r w:rsidRPr="000869C7">
        <w:t>c)</w:t>
      </w:r>
      <w:r w:rsidRPr="000869C7">
        <w:tab/>
        <w:t>Déploiement d’efforts importants pour respecter, protéger et réaliser les droits à la liberté de religion ou de conviction, à la liberté de réunion pacifique et d’association et à la liberté d’opinion et d’expression, y compris pour les membres des médias, ainsi que pour mettre un terme à la discrimination religieuse et ethnique</w:t>
      </w:r>
      <w:r>
        <w:t> ;</w:t>
      </w:r>
    </w:p>
    <w:p w14:paraId="3DD4F389" w14:textId="42EABA97" w:rsidR="00912B12" w:rsidRPr="000869C7" w:rsidRDefault="00912B12" w:rsidP="00912B12">
      <w:pPr>
        <w:pStyle w:val="SingleTxtG"/>
        <w:ind w:firstLine="567"/>
      </w:pPr>
      <w:r w:rsidRPr="000869C7">
        <w:t>d)</w:t>
      </w:r>
      <w:r w:rsidRPr="000869C7">
        <w:tab/>
        <w:t>Preuve de l’engagement en faveur de la lutte contre toutes les formes de violence sexuelle et fondée sur le genre et en faveur de la promotion des droits des femmes et de l’égalité femmes-hommes</w:t>
      </w:r>
      <w:r>
        <w:t> ;</w:t>
      </w:r>
    </w:p>
    <w:p w14:paraId="2D8FA1A4" w14:textId="593D3DE2" w:rsidR="00912B12" w:rsidRPr="000869C7" w:rsidRDefault="00912B12" w:rsidP="00912B12">
      <w:pPr>
        <w:pStyle w:val="SingleTxtG"/>
        <w:ind w:firstLine="567"/>
      </w:pPr>
      <w:r w:rsidRPr="000869C7">
        <w:t>e)</w:t>
      </w:r>
      <w:r w:rsidRPr="000869C7">
        <w:tab/>
        <w:t>Renforcement de la coopération avec les organes de l’Organisation des Nations Unies chargés des droits de l’homme, les organismes internationaux et la Commission africaine des droits de l’homme et des peuples</w:t>
      </w:r>
      <w:r>
        <w:t> ;</w:t>
      </w:r>
    </w:p>
    <w:p w14:paraId="7A38E65E" w14:textId="367C77B0" w:rsidR="00912B12" w:rsidRPr="000869C7" w:rsidRDefault="00912B12" w:rsidP="00912B12">
      <w:pPr>
        <w:pStyle w:val="SingleTxtG"/>
        <w:ind w:firstLine="567"/>
      </w:pPr>
      <w:r w:rsidRPr="000869C7">
        <w:t>6.</w:t>
      </w:r>
      <w:r w:rsidRPr="000869C7">
        <w:tab/>
      </w:r>
      <w:r w:rsidRPr="000869C7">
        <w:rPr>
          <w:i/>
          <w:iCs/>
        </w:rPr>
        <w:t>Engage</w:t>
      </w:r>
      <w:r w:rsidRPr="000869C7">
        <w:t xml:space="preserve"> le Gouvernement érythréen à donner suite aux recommandations acceptées par l’État dans le cadre du troisième cycle de l’Examen périodique universel</w:t>
      </w:r>
      <w:r>
        <w:t> ;</w:t>
      </w:r>
    </w:p>
    <w:p w14:paraId="73EAA386" w14:textId="3C38ED36" w:rsidR="00912B12" w:rsidRPr="000869C7" w:rsidRDefault="00912B12" w:rsidP="00912B12">
      <w:pPr>
        <w:pStyle w:val="SingleTxtG"/>
        <w:ind w:firstLine="567"/>
      </w:pPr>
      <w:r w:rsidRPr="000869C7">
        <w:t>7.</w:t>
      </w:r>
      <w:r w:rsidRPr="000869C7">
        <w:tab/>
      </w:r>
      <w:r w:rsidRPr="000869C7">
        <w:rPr>
          <w:i/>
          <w:iCs/>
        </w:rPr>
        <w:t>Prie</w:t>
      </w:r>
      <w:r w:rsidRPr="000869C7">
        <w:t xml:space="preserve"> le Secrétaire général de fournir au Rapporteur spécial toutes les informations et toutes les ressources nécessaires à l’accomplissement de son mandat</w:t>
      </w:r>
      <w:r>
        <w:t> ;</w:t>
      </w:r>
    </w:p>
    <w:p w14:paraId="0B9043CB" w14:textId="77777777" w:rsidR="00912B12" w:rsidRPr="000869C7" w:rsidRDefault="00912B12" w:rsidP="00912B12">
      <w:pPr>
        <w:pStyle w:val="SingleTxtG"/>
        <w:ind w:firstLine="567"/>
      </w:pPr>
      <w:r w:rsidRPr="000869C7">
        <w:t>8.</w:t>
      </w:r>
      <w:r w:rsidRPr="000869C7">
        <w:tab/>
      </w:r>
      <w:r w:rsidRPr="000869C7">
        <w:rPr>
          <w:i/>
          <w:iCs/>
        </w:rPr>
        <w:t>Décide</w:t>
      </w:r>
      <w:r w:rsidRPr="000869C7">
        <w:t xml:space="preserve"> de rester saisi de la question.</w:t>
      </w:r>
    </w:p>
    <w:p w14:paraId="03346443" w14:textId="55A39B86" w:rsidR="00552797" w:rsidRPr="00912B12" w:rsidRDefault="00912B12" w:rsidP="00912B12">
      <w:pPr>
        <w:pStyle w:val="SingleTxtG"/>
        <w:spacing w:before="240" w:after="0"/>
        <w:jc w:val="center"/>
        <w:rPr>
          <w:u w:val="single"/>
        </w:rPr>
      </w:pPr>
      <w:r>
        <w:rPr>
          <w:u w:val="single"/>
        </w:rPr>
        <w:tab/>
      </w:r>
      <w:r>
        <w:rPr>
          <w:u w:val="single"/>
        </w:rPr>
        <w:tab/>
      </w:r>
      <w:r>
        <w:rPr>
          <w:u w:val="single"/>
        </w:rPr>
        <w:tab/>
      </w:r>
    </w:p>
    <w:sectPr w:rsidR="00552797" w:rsidRPr="00912B12" w:rsidSect="006303A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7CB000" w14:textId="77777777" w:rsidR="00FF733E" w:rsidRPr="00EF7F30" w:rsidRDefault="00FF733E" w:rsidP="00EF7F30">
      <w:pPr>
        <w:pStyle w:val="Pieddepage"/>
      </w:pPr>
    </w:p>
  </w:endnote>
  <w:endnote w:type="continuationSeparator" w:id="0">
    <w:p w14:paraId="2E967245" w14:textId="77777777" w:rsidR="00FF733E" w:rsidRPr="00EF7F30" w:rsidRDefault="00FF733E" w:rsidP="00EF7F30">
      <w:pPr>
        <w:pStyle w:val="Pieddepage"/>
      </w:pPr>
    </w:p>
  </w:endnote>
  <w:endnote w:type="continuationNotice" w:id="1">
    <w:p w14:paraId="1761AF54" w14:textId="77777777" w:rsidR="00FF733E" w:rsidRDefault="00FF73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34DDB" w14:textId="77B3844A" w:rsidR="006303A9" w:rsidRPr="006303A9" w:rsidRDefault="006303A9" w:rsidP="006303A9">
    <w:pPr>
      <w:pStyle w:val="Pieddepage"/>
      <w:tabs>
        <w:tab w:val="right" w:pos="9638"/>
      </w:tabs>
    </w:pPr>
    <w:r w:rsidRPr="006303A9">
      <w:rPr>
        <w:b/>
        <w:sz w:val="18"/>
      </w:rPr>
      <w:fldChar w:fldCharType="begin"/>
    </w:r>
    <w:r w:rsidRPr="006303A9">
      <w:rPr>
        <w:b/>
        <w:sz w:val="18"/>
      </w:rPr>
      <w:instrText xml:space="preserve"> PAGE  \* MERGEFORMAT </w:instrText>
    </w:r>
    <w:r w:rsidRPr="006303A9">
      <w:rPr>
        <w:b/>
        <w:sz w:val="18"/>
      </w:rPr>
      <w:fldChar w:fldCharType="separate"/>
    </w:r>
    <w:r w:rsidRPr="006303A9">
      <w:rPr>
        <w:b/>
        <w:noProof/>
        <w:sz w:val="18"/>
      </w:rPr>
      <w:t>2</w:t>
    </w:r>
    <w:r w:rsidRPr="006303A9">
      <w:rPr>
        <w:b/>
        <w:sz w:val="18"/>
      </w:rPr>
      <w:fldChar w:fldCharType="end"/>
    </w:r>
    <w:r>
      <w:rPr>
        <w:b/>
        <w:sz w:val="18"/>
      </w:rPr>
      <w:tab/>
    </w:r>
    <w:r>
      <w:t>GE.22-10264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C932A" w14:textId="69BB719B" w:rsidR="006303A9" w:rsidRPr="006303A9" w:rsidRDefault="006303A9" w:rsidP="006303A9">
    <w:pPr>
      <w:pStyle w:val="Pieddepage"/>
      <w:tabs>
        <w:tab w:val="right" w:pos="9638"/>
      </w:tabs>
      <w:rPr>
        <w:b/>
        <w:sz w:val="18"/>
      </w:rPr>
    </w:pPr>
    <w:r>
      <w:t>GE.22-10264</w:t>
    </w:r>
    <w:r>
      <w:tab/>
    </w:r>
    <w:r w:rsidRPr="006303A9">
      <w:rPr>
        <w:b/>
        <w:sz w:val="18"/>
      </w:rPr>
      <w:fldChar w:fldCharType="begin"/>
    </w:r>
    <w:r w:rsidRPr="006303A9">
      <w:rPr>
        <w:b/>
        <w:sz w:val="18"/>
      </w:rPr>
      <w:instrText xml:space="preserve"> PAGE  \* MERGEFORMAT </w:instrText>
    </w:r>
    <w:r w:rsidRPr="006303A9">
      <w:rPr>
        <w:b/>
        <w:sz w:val="18"/>
      </w:rPr>
      <w:fldChar w:fldCharType="separate"/>
    </w:r>
    <w:r w:rsidRPr="006303A9">
      <w:rPr>
        <w:b/>
        <w:noProof/>
        <w:sz w:val="18"/>
      </w:rPr>
      <w:t>3</w:t>
    </w:r>
    <w:r w:rsidRPr="006303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1A693" w14:textId="76DF60DB" w:rsidR="0094352E" w:rsidRPr="006303A9" w:rsidRDefault="006303A9" w:rsidP="006303A9">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941E01A" wp14:editId="1667807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22-10264  (F)</w:t>
    </w:r>
    <w:r>
      <w:rPr>
        <w:noProof/>
        <w:sz w:val="20"/>
      </w:rPr>
      <w:drawing>
        <wp:anchor distT="0" distB="0" distL="114300" distR="114300" simplePos="0" relativeHeight="251660288" behindDoc="0" locked="0" layoutInCell="1" allowOverlap="1" wp14:anchorId="51C77227" wp14:editId="1122BAB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040722    040722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00DF5" w14:textId="77777777" w:rsidR="00FF733E" w:rsidRPr="00EF7F30" w:rsidRDefault="00FF733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EBB02CA" w14:textId="77777777" w:rsidR="00FF733E" w:rsidRPr="00EF7F30" w:rsidRDefault="00FF733E" w:rsidP="000E5ADA">
      <w:pPr>
        <w:pStyle w:val="Pieddepage"/>
        <w:tabs>
          <w:tab w:val="right" w:pos="2155"/>
        </w:tabs>
        <w:spacing w:after="80" w:line="240" w:lineRule="atLeast"/>
        <w:ind w:left="680"/>
      </w:pPr>
      <w:r w:rsidRPr="00EF7F30">
        <w:rPr>
          <w:u w:val="single"/>
        </w:rPr>
        <w:tab/>
      </w:r>
    </w:p>
  </w:footnote>
  <w:footnote w:type="continuationNotice" w:id="1">
    <w:p w14:paraId="64E0D53E" w14:textId="77777777" w:rsidR="00FF733E" w:rsidRPr="000F2457" w:rsidRDefault="00FF733E">
      <w:pPr>
        <w:spacing w:line="240" w:lineRule="auto"/>
        <w:rPr>
          <w:sz w:val="2"/>
          <w:szCs w:val="2"/>
        </w:rPr>
      </w:pPr>
    </w:p>
  </w:footnote>
  <w:footnote w:id="2">
    <w:p w14:paraId="38857CD1" w14:textId="430925F5" w:rsidR="00912B12" w:rsidRPr="00912B12" w:rsidRDefault="00912B12" w:rsidP="00912B12">
      <w:pPr>
        <w:pStyle w:val="Notedebasdepage"/>
      </w:pPr>
      <w:r w:rsidRPr="00912B12">
        <w:tab/>
      </w:r>
      <w:r w:rsidRPr="00912B12">
        <w:rPr>
          <w:sz w:val="20"/>
        </w:rPr>
        <w:t>*</w:t>
      </w:r>
      <w:r w:rsidRPr="00912B12">
        <w:tab/>
        <w:t>État non membre du Conseil des droits de l</w:t>
      </w:r>
      <w:r w:rsidRPr="00912B12">
        <w:t>’</w:t>
      </w:r>
      <w:r w:rsidRPr="00912B12">
        <w:t>homme.</w:t>
      </w:r>
    </w:p>
  </w:footnote>
  <w:footnote w:id="3">
    <w:p w14:paraId="74122EFF" w14:textId="0607AB9E" w:rsidR="00912B12" w:rsidRPr="00912B12" w:rsidRDefault="00912B12" w:rsidP="00912B12">
      <w:pPr>
        <w:pStyle w:val="Notedebasdepage"/>
      </w:pPr>
      <w:r w:rsidRPr="00912B12">
        <w:tab/>
      </w:r>
      <w:r w:rsidRPr="00912B12">
        <w:rPr>
          <w:rStyle w:val="Appelnotedebasdep"/>
        </w:rPr>
        <w:footnoteRef/>
      </w:r>
      <w:r w:rsidRPr="00912B12">
        <w:tab/>
      </w:r>
      <w:hyperlink r:id="rId1" w:history="1">
        <w:r w:rsidRPr="00912B12">
          <w:rPr>
            <w:rStyle w:val="Lienhypertexte"/>
          </w:rPr>
          <w:t>A/HRC/50/20</w:t>
        </w:r>
      </w:hyperlink>
      <w:r w:rsidRPr="00912B12">
        <w:t>.</w:t>
      </w:r>
    </w:p>
  </w:footnote>
  <w:footnote w:id="4">
    <w:p w14:paraId="78A1DB01" w14:textId="0A992937" w:rsidR="00912B12" w:rsidRPr="00912B12" w:rsidRDefault="00912B12" w:rsidP="00912B12">
      <w:pPr>
        <w:pStyle w:val="Notedebasdepage"/>
      </w:pPr>
      <w:r w:rsidRPr="00912B12">
        <w:tab/>
      </w:r>
      <w:r w:rsidRPr="00912B12">
        <w:rPr>
          <w:rStyle w:val="Appelnotedebasdep"/>
        </w:rPr>
        <w:footnoteRef/>
      </w:r>
      <w:r w:rsidRPr="00912B12">
        <w:tab/>
        <w:t xml:space="preserve">Voir </w:t>
      </w:r>
      <w:hyperlink r:id="rId2" w:history="1">
        <w:r w:rsidRPr="00912B12">
          <w:rPr>
            <w:rStyle w:val="Lienhypertexte"/>
          </w:rPr>
          <w:t>A/HRC/41/53</w:t>
        </w:r>
      </w:hyperlink>
      <w:r w:rsidRPr="00912B12">
        <w:t>, par.</w:t>
      </w:r>
      <w:r w:rsidRPr="00912B12">
        <w:t> </w:t>
      </w:r>
      <w:r w:rsidRPr="00912B12">
        <w:t>78 à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0CA2E" w14:textId="6DBFE198" w:rsidR="006303A9" w:rsidRPr="006303A9" w:rsidRDefault="00514F18">
    <w:pPr>
      <w:pStyle w:val="En-tte"/>
    </w:pPr>
    <w:r>
      <w:fldChar w:fldCharType="begin"/>
    </w:r>
    <w:r>
      <w:instrText xml:space="preserve"> TITLE  \* MERGEFORMAT </w:instrText>
    </w:r>
    <w:r>
      <w:fldChar w:fldCharType="separate"/>
    </w:r>
    <w:r w:rsidR="006303A9">
      <w:t>A/HRC/50/L.19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CE8F9" w14:textId="72E377AF" w:rsidR="006303A9" w:rsidRPr="006303A9" w:rsidRDefault="00514F18" w:rsidP="006303A9">
    <w:pPr>
      <w:pStyle w:val="En-tte"/>
      <w:jc w:val="right"/>
    </w:pPr>
    <w:r>
      <w:fldChar w:fldCharType="begin"/>
    </w:r>
    <w:r>
      <w:instrText xml:space="preserve"> TITLE  \* MERGEFORMAT </w:instrText>
    </w:r>
    <w:r>
      <w:fldChar w:fldCharType="separate"/>
    </w:r>
    <w:r w:rsidR="006303A9">
      <w:t>A/HRC/50/L.19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33E"/>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303A9"/>
    <w:rsid w:val="0068446C"/>
    <w:rsid w:val="00695AED"/>
    <w:rsid w:val="00710BD6"/>
    <w:rsid w:val="0071601D"/>
    <w:rsid w:val="00721020"/>
    <w:rsid w:val="00731589"/>
    <w:rsid w:val="00736C8A"/>
    <w:rsid w:val="0080684C"/>
    <w:rsid w:val="00840FB4"/>
    <w:rsid w:val="00871C75"/>
    <w:rsid w:val="008776DC"/>
    <w:rsid w:val="008B386A"/>
    <w:rsid w:val="00912B12"/>
    <w:rsid w:val="0094352E"/>
    <w:rsid w:val="00962015"/>
    <w:rsid w:val="009705C8"/>
    <w:rsid w:val="009A47AB"/>
    <w:rsid w:val="00A12E20"/>
    <w:rsid w:val="00A2307A"/>
    <w:rsid w:val="00AC7BEB"/>
    <w:rsid w:val="00AE323C"/>
    <w:rsid w:val="00B16AAF"/>
    <w:rsid w:val="00B22A9E"/>
    <w:rsid w:val="00B24C75"/>
    <w:rsid w:val="00B528BF"/>
    <w:rsid w:val="00BE2FA2"/>
    <w:rsid w:val="00C00A36"/>
    <w:rsid w:val="00C02897"/>
    <w:rsid w:val="00C12613"/>
    <w:rsid w:val="00D45432"/>
    <w:rsid w:val="00DB1831"/>
    <w:rsid w:val="00DD3BFD"/>
    <w:rsid w:val="00E228A8"/>
    <w:rsid w:val="00E6618E"/>
    <w:rsid w:val="00EF7F30"/>
    <w:rsid w:val="00F660DF"/>
    <w:rsid w:val="00F95C08"/>
    <w:rsid w:val="00FF733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144C2D"/>
  <w15:docId w15:val="{0245848A-2B7D-461D-B6E5-7CE8EC4D3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styleId="Mentionnonrsolue">
    <w:name w:val="Unresolved Mention"/>
    <w:basedOn w:val="Policepardfaut"/>
    <w:uiPriority w:val="99"/>
    <w:semiHidden/>
    <w:unhideWhenUsed/>
    <w:rsid w:val="00912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fr/A/HRC/RES/5/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fr/A/HRC/RES/5/1" TargetMode="External"/><Relationship Id="rId4" Type="http://schemas.openxmlformats.org/officeDocument/2006/relationships/settings" Target="settings.xml"/><Relationship Id="rId9" Type="http://schemas.openxmlformats.org/officeDocument/2006/relationships/hyperlink" Target="https://undocs.org/fr/A/RES/60/25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HRC/41/53" TargetMode="External"/><Relationship Id="rId1" Type="http://schemas.openxmlformats.org/officeDocument/2006/relationships/hyperlink" Target="http://undocs.org/fr/A/HRC/50/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688</Words>
  <Characters>3795</Characters>
  <Application>Microsoft Office Word</Application>
  <DocSecurity>0</DocSecurity>
  <Lines>74</Lines>
  <Paragraphs>38</Paragraphs>
  <ScaleCrop>false</ScaleCrop>
  <HeadingPairs>
    <vt:vector size="2" baseType="variant">
      <vt:variant>
        <vt:lpstr>Titre</vt:lpstr>
      </vt:variant>
      <vt:variant>
        <vt:i4>1</vt:i4>
      </vt:variant>
    </vt:vector>
  </HeadingPairs>
  <TitlesOfParts>
    <vt:vector size="1" baseType="lpstr">
      <vt:lpstr>A/HRC/50/L.19</vt:lpstr>
    </vt:vector>
  </TitlesOfParts>
  <Company>DCM</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A/HRC/50/L.19</dc:title>
  <dc:subject/>
  <dc:creator>Nicolas MORIN</dc:creator>
  <cp:keywords/>
  <cp:lastModifiedBy>Nicolas Morin</cp:lastModifiedBy>
  <cp:revision>2</cp:revision>
  <dcterms:created xsi:type="dcterms:W3CDTF">2022-07-04T08:48:00Z</dcterms:created>
  <dcterms:modified xsi:type="dcterms:W3CDTF">2022-07-04T08:48:00Z</dcterms:modified>
</cp:coreProperties>
</file>