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8A7" w:rsidRDefault="00B578A7" w:rsidP="00B578A7">
      <w:pPr>
        <w:spacing w:line="240" w:lineRule="auto"/>
        <w:rPr>
          <w:sz w:val="6"/>
        </w:rPr>
        <w:sectPr w:rsidR="00B578A7" w:rsidSect="00B578A7">
          <w:headerReference w:type="even" r:id="rId7"/>
          <w:headerReference w:type="default" r:id="rId8"/>
          <w:footerReference w:type="even" r:id="rId9"/>
          <w:footerReference w:type="default" r:id="rId10"/>
          <w:headerReference w:type="first" r:id="rId11"/>
          <w:footerReference w:type="first" r:id="rId12"/>
          <w:endnotePr>
            <w:numFmt w:val="decimal"/>
          </w:endnotePr>
          <w:pgSz w:w="11906" w:h="16838"/>
          <w:pgMar w:top="1701" w:right="1032" w:bottom="3118" w:left="1032" w:header="578" w:footer="1996" w:gutter="0"/>
          <w:pgNumType w:start="1"/>
          <w:cols w:space="708"/>
          <w:titlePg/>
          <w:docGrid w:linePitch="360"/>
        </w:sectPr>
      </w:pPr>
    </w:p>
    <w:tbl>
      <w:tblPr>
        <w:tblW w:w="10012" w:type="dxa"/>
        <w:tblLayout w:type="fixed"/>
        <w:tblLook w:val="0000" w:firstRow="0" w:lastRow="0" w:firstColumn="0" w:lastColumn="0" w:noHBand="0" w:noVBand="0"/>
      </w:tblPr>
      <w:tblGrid>
        <w:gridCol w:w="6629"/>
        <w:gridCol w:w="425"/>
        <w:gridCol w:w="2958"/>
      </w:tblGrid>
      <w:tr w:rsidR="00B578A7" w:rsidTr="00697F64">
        <w:tblPrEx>
          <w:tblCellMar>
            <w:top w:w="0" w:type="dxa"/>
            <w:bottom w:w="0" w:type="dxa"/>
          </w:tblCellMar>
        </w:tblPrEx>
        <w:tc>
          <w:tcPr>
            <w:tcW w:w="6629" w:type="dxa"/>
            <w:shd w:val="clear" w:color="auto" w:fill="auto"/>
          </w:tcPr>
          <w:p w:rsidR="00581E29" w:rsidRDefault="00581E29" w:rsidP="00581E29">
            <w:pPr>
              <w:pStyle w:val="H1"/>
            </w:pPr>
            <w:r>
              <w:t>Human Rights Committee</w:t>
            </w:r>
          </w:p>
          <w:p w:rsidR="00581E29" w:rsidRDefault="00581E29" w:rsidP="00581E29">
            <w:pPr>
              <w:pStyle w:val="H23"/>
              <w:tabs>
                <w:tab w:val="left" w:pos="1182"/>
              </w:tabs>
              <w:rPr>
                <w:sz w:val="20"/>
                <w:szCs w:val="20"/>
              </w:rPr>
            </w:pPr>
            <w:r w:rsidRPr="00581E29">
              <w:rPr>
                <w:sz w:val="20"/>
                <w:szCs w:val="20"/>
              </w:rPr>
              <w:t>106th session</w:t>
            </w:r>
          </w:p>
          <w:p w:rsidR="00581E29" w:rsidRPr="00581E29" w:rsidRDefault="00581E29" w:rsidP="00581E29">
            <w:pPr>
              <w:spacing w:line="120" w:lineRule="exact"/>
              <w:rPr>
                <w:sz w:val="10"/>
              </w:rPr>
            </w:pPr>
          </w:p>
          <w:p w:rsidR="00581E29" w:rsidRPr="00581E29" w:rsidRDefault="00581E29" w:rsidP="00581E29">
            <w:pPr>
              <w:pStyle w:val="H23"/>
              <w:tabs>
                <w:tab w:val="left" w:pos="1182"/>
              </w:tabs>
              <w:rPr>
                <w:sz w:val="20"/>
                <w:szCs w:val="20"/>
              </w:rPr>
            </w:pPr>
            <w:r w:rsidRPr="00581E29">
              <w:rPr>
                <w:sz w:val="20"/>
                <w:szCs w:val="20"/>
              </w:rPr>
              <w:t>Summary record of the 2930th meeting</w:t>
            </w:r>
          </w:p>
          <w:p w:rsidR="00B578A7" w:rsidRDefault="00581E29" w:rsidP="00581E29">
            <w:pPr>
              <w:pStyle w:val="H23"/>
              <w:tabs>
                <w:tab w:val="left" w:pos="1182"/>
              </w:tabs>
              <w:rPr>
                <w:b w:val="0"/>
                <w:bCs/>
                <w:sz w:val="20"/>
                <w:szCs w:val="20"/>
              </w:rPr>
            </w:pPr>
            <w:r w:rsidRPr="00581E29">
              <w:rPr>
                <w:b w:val="0"/>
                <w:bCs/>
                <w:sz w:val="20"/>
                <w:szCs w:val="20"/>
              </w:rPr>
              <w:t xml:space="preserve">Held at the Palais </w:t>
            </w:r>
            <w:smartTag w:uri="urn:schemas-microsoft-com:office:smarttags" w:element="City">
              <w:r w:rsidRPr="00581E29">
                <w:rPr>
                  <w:b w:val="0"/>
                  <w:bCs/>
                  <w:sz w:val="20"/>
                  <w:szCs w:val="20"/>
                </w:rPr>
                <w:t>Wilson</w:t>
              </w:r>
            </w:smartTag>
            <w:r w:rsidRPr="00581E29">
              <w:rPr>
                <w:b w:val="0"/>
                <w:bCs/>
                <w:sz w:val="20"/>
                <w:szCs w:val="20"/>
              </w:rPr>
              <w:t xml:space="preserve">, </w:t>
            </w:r>
            <w:smartTag w:uri="urn:schemas-microsoft-com:office:smarttags" w:element="City">
              <w:smartTag w:uri="urn:schemas-microsoft-com:office:smarttags" w:element="place">
                <w:r w:rsidRPr="00581E29">
                  <w:rPr>
                    <w:b w:val="0"/>
                    <w:bCs/>
                    <w:sz w:val="20"/>
                    <w:szCs w:val="20"/>
                  </w:rPr>
                  <w:t>Geneva</w:t>
                </w:r>
              </w:smartTag>
            </w:smartTag>
            <w:r w:rsidR="00697F64">
              <w:rPr>
                <w:b w:val="0"/>
                <w:bCs/>
                <w:sz w:val="20"/>
                <w:szCs w:val="20"/>
              </w:rPr>
              <w:t>,</w:t>
            </w:r>
            <w:r w:rsidRPr="00581E29">
              <w:rPr>
                <w:b w:val="0"/>
                <w:bCs/>
                <w:sz w:val="20"/>
                <w:szCs w:val="20"/>
              </w:rPr>
              <w:t xml:space="preserve"> on Thursday, 18 October 2012, at 3 p.m.</w:t>
            </w:r>
          </w:p>
          <w:p w:rsidR="00697F64" w:rsidRPr="00697F64" w:rsidRDefault="00697F64" w:rsidP="00697F64">
            <w:pPr>
              <w:spacing w:line="120" w:lineRule="exact"/>
              <w:rPr>
                <w:sz w:val="10"/>
              </w:rPr>
            </w:pPr>
          </w:p>
          <w:p w:rsidR="00697F64" w:rsidRPr="00697F64" w:rsidRDefault="00697F64" w:rsidP="00697F64">
            <w:r w:rsidRPr="00697F64">
              <w:rPr>
                <w:i/>
                <w:iCs/>
              </w:rPr>
              <w:t>Chairperson</w:t>
            </w:r>
            <w:r w:rsidRPr="00697F64">
              <w:t>:</w:t>
            </w:r>
            <w:r>
              <w:tab/>
            </w:r>
            <w:r w:rsidRPr="00697F64">
              <w:t>Ms. Majodina</w:t>
            </w:r>
          </w:p>
        </w:tc>
        <w:tc>
          <w:tcPr>
            <w:tcW w:w="425" w:type="dxa"/>
            <w:shd w:val="clear" w:color="auto" w:fill="auto"/>
          </w:tcPr>
          <w:p w:rsidR="00B578A7" w:rsidRDefault="00B578A7" w:rsidP="00B578A7">
            <w:pPr>
              <w:pStyle w:val="H23"/>
            </w:pPr>
          </w:p>
        </w:tc>
        <w:tc>
          <w:tcPr>
            <w:tcW w:w="2958" w:type="dxa"/>
            <w:shd w:val="clear" w:color="auto" w:fill="auto"/>
          </w:tcPr>
          <w:p w:rsidR="00B578A7" w:rsidRDefault="00B578A7" w:rsidP="00B578A7">
            <w:pPr>
              <w:pStyle w:val="H23"/>
            </w:pPr>
            <w:r>
              <w:t xml:space="preserve"> </w:t>
            </w:r>
          </w:p>
        </w:tc>
      </w:tr>
      <w:tr w:rsidR="00B578A7" w:rsidTr="00697F64">
        <w:tblPrEx>
          <w:tblCellMar>
            <w:top w:w="0" w:type="dxa"/>
            <w:bottom w:w="0" w:type="dxa"/>
          </w:tblCellMar>
        </w:tblPrEx>
        <w:tc>
          <w:tcPr>
            <w:tcW w:w="6629" w:type="dxa"/>
            <w:shd w:val="clear" w:color="auto" w:fill="auto"/>
          </w:tcPr>
          <w:p w:rsidR="00B578A7" w:rsidRDefault="00B578A7" w:rsidP="00B578A7">
            <w:pPr>
              <w:pStyle w:val="H23"/>
            </w:pPr>
          </w:p>
        </w:tc>
        <w:tc>
          <w:tcPr>
            <w:tcW w:w="425" w:type="dxa"/>
            <w:shd w:val="clear" w:color="auto" w:fill="auto"/>
          </w:tcPr>
          <w:p w:rsidR="00B578A7" w:rsidRDefault="00B578A7" w:rsidP="00B578A7">
            <w:pPr>
              <w:pStyle w:val="H23"/>
            </w:pPr>
          </w:p>
        </w:tc>
        <w:tc>
          <w:tcPr>
            <w:tcW w:w="2958" w:type="dxa"/>
            <w:shd w:val="clear" w:color="auto" w:fill="auto"/>
          </w:tcPr>
          <w:p w:rsidR="00B578A7" w:rsidRDefault="00B578A7" w:rsidP="00B578A7">
            <w:pPr>
              <w:pStyle w:val="H23"/>
            </w:pPr>
          </w:p>
        </w:tc>
      </w:tr>
    </w:tbl>
    <w:p w:rsidR="00B578A7" w:rsidRPr="00697F64" w:rsidRDefault="00B578A7" w:rsidP="00697F64">
      <w:pPr>
        <w:pStyle w:val="SingleTxt"/>
        <w:spacing w:after="0" w:line="120" w:lineRule="exact"/>
        <w:rPr>
          <w:sz w:val="10"/>
          <w:lang w:val="en-GB"/>
        </w:rPr>
      </w:pPr>
    </w:p>
    <w:p w:rsidR="00697F64" w:rsidRPr="00697F64" w:rsidRDefault="00697F64" w:rsidP="00697F64">
      <w:pPr>
        <w:pStyle w:val="SingleTxt"/>
        <w:spacing w:after="0" w:line="120" w:lineRule="exact"/>
        <w:rPr>
          <w:sz w:val="10"/>
          <w:lang w:val="en-GB"/>
        </w:rPr>
      </w:pPr>
    </w:p>
    <w:p w:rsidR="00697F64" w:rsidRPr="00697F64" w:rsidRDefault="00697F64" w:rsidP="00697F64">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spacing w:after="120"/>
        <w:ind w:left="1267" w:right="1260" w:hanging="1267"/>
        <w:rPr>
          <w:b w:val="0"/>
          <w:lang w:val="en-GB"/>
        </w:rPr>
      </w:pPr>
      <w:r>
        <w:rPr>
          <w:b w:val="0"/>
          <w:lang w:val="en-GB"/>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97F64" w:rsidRPr="00697F64" w:rsidTr="00697F64">
        <w:tblPrEx>
          <w:tblCellMar>
            <w:top w:w="0" w:type="dxa"/>
            <w:bottom w:w="0" w:type="dxa"/>
          </w:tblCellMar>
        </w:tblPrEx>
        <w:tc>
          <w:tcPr>
            <w:tcW w:w="1060" w:type="dxa"/>
            <w:shd w:val="clear" w:color="auto" w:fill="auto"/>
          </w:tcPr>
          <w:p w:rsidR="00697F64" w:rsidRPr="00697F64" w:rsidRDefault="00697F64" w:rsidP="00697F64">
            <w:pPr>
              <w:spacing w:after="120" w:line="240" w:lineRule="auto"/>
              <w:jc w:val="right"/>
              <w:rPr>
                <w:i/>
                <w:sz w:val="14"/>
                <w:lang w:val="en-GB"/>
              </w:rPr>
            </w:pPr>
          </w:p>
        </w:tc>
        <w:tc>
          <w:tcPr>
            <w:tcW w:w="7315" w:type="dxa"/>
            <w:shd w:val="clear" w:color="auto" w:fill="auto"/>
          </w:tcPr>
          <w:p w:rsidR="00697F64" w:rsidRPr="00697F64" w:rsidRDefault="00697F64" w:rsidP="00697F64">
            <w:pPr>
              <w:spacing w:after="120" w:line="240" w:lineRule="auto"/>
              <w:rPr>
                <w:i/>
                <w:sz w:val="14"/>
                <w:lang w:val="en-GB"/>
              </w:rPr>
            </w:pPr>
          </w:p>
        </w:tc>
        <w:tc>
          <w:tcPr>
            <w:tcW w:w="994" w:type="dxa"/>
            <w:shd w:val="clear" w:color="auto" w:fill="auto"/>
          </w:tcPr>
          <w:p w:rsidR="00697F64" w:rsidRPr="00697F64" w:rsidRDefault="00697F64" w:rsidP="00697F64">
            <w:pPr>
              <w:spacing w:after="120" w:line="240" w:lineRule="auto"/>
              <w:jc w:val="right"/>
              <w:rPr>
                <w:i/>
                <w:sz w:val="14"/>
                <w:lang w:val="en-GB"/>
              </w:rPr>
            </w:pPr>
          </w:p>
        </w:tc>
        <w:tc>
          <w:tcPr>
            <w:tcW w:w="533" w:type="dxa"/>
            <w:shd w:val="clear" w:color="auto" w:fill="auto"/>
          </w:tcPr>
          <w:p w:rsidR="00697F64" w:rsidRPr="00697F64" w:rsidRDefault="00697F64" w:rsidP="00697F64">
            <w:pPr>
              <w:spacing w:after="120" w:line="240" w:lineRule="auto"/>
              <w:jc w:val="right"/>
              <w:rPr>
                <w:i/>
                <w:sz w:val="14"/>
                <w:lang w:val="en-GB"/>
              </w:rPr>
            </w:pPr>
          </w:p>
        </w:tc>
      </w:tr>
      <w:tr w:rsidR="00697F64" w:rsidRPr="00697F64" w:rsidTr="00697F64">
        <w:tblPrEx>
          <w:tblCellMar>
            <w:top w:w="0" w:type="dxa"/>
            <w:bottom w:w="0" w:type="dxa"/>
          </w:tblCellMar>
        </w:tblPrEx>
        <w:tc>
          <w:tcPr>
            <w:tcW w:w="9369" w:type="dxa"/>
            <w:gridSpan w:val="3"/>
            <w:shd w:val="clear" w:color="auto" w:fill="auto"/>
          </w:tcPr>
          <w:p w:rsidR="00697F64" w:rsidRPr="00697F64" w:rsidRDefault="00697F64" w:rsidP="00697F64">
            <w:pPr>
              <w:tabs>
                <w:tab w:val="right" w:pos="1080"/>
                <w:tab w:val="left" w:pos="1296"/>
                <w:tab w:val="right" w:pos="1512"/>
                <w:tab w:val="left" w:pos="1800"/>
                <w:tab w:val="left" w:pos="1944"/>
                <w:tab w:val="left" w:pos="2232"/>
                <w:tab w:val="left" w:pos="2592"/>
                <w:tab w:val="left" w:pos="3024"/>
                <w:tab w:val="left" w:pos="3456"/>
                <w:tab w:val="right" w:leader="dot" w:pos="9360"/>
              </w:tabs>
              <w:spacing w:after="120"/>
              <w:ind w:left="1080"/>
              <w:rPr>
                <w:lang w:val="en-GB"/>
              </w:rPr>
            </w:pPr>
            <w:r w:rsidRPr="00697F64">
              <w:rPr>
                <w:lang w:val="en-GB"/>
              </w:rPr>
              <w:t>Consideration of reports submitted by States parties under ar</w:t>
            </w:r>
            <w:r>
              <w:rPr>
                <w:lang w:val="en-GB"/>
              </w:rPr>
              <w:t>ticle 40 of the Covenant (</w:t>
            </w:r>
            <w:r w:rsidRPr="00697F64">
              <w:rPr>
                <w:i/>
                <w:iCs/>
                <w:lang w:val="en-GB"/>
              </w:rPr>
              <w:t>continued</w:t>
            </w:r>
            <w:r w:rsidRPr="00697F64">
              <w:rPr>
                <w:lang w:val="en-GB"/>
              </w:rPr>
              <w:t>)</w:t>
            </w:r>
          </w:p>
        </w:tc>
        <w:tc>
          <w:tcPr>
            <w:tcW w:w="533" w:type="dxa"/>
            <w:shd w:val="clear" w:color="auto" w:fill="auto"/>
            <w:vAlign w:val="bottom"/>
          </w:tcPr>
          <w:p w:rsidR="00697F64" w:rsidRPr="00697F64" w:rsidRDefault="00697F64" w:rsidP="00697F64">
            <w:pPr>
              <w:spacing w:after="120"/>
              <w:jc w:val="right"/>
              <w:rPr>
                <w:lang w:val="en-GB"/>
              </w:rPr>
            </w:pPr>
          </w:p>
        </w:tc>
      </w:tr>
      <w:tr w:rsidR="00697F64" w:rsidRPr="00697F64" w:rsidTr="00697F64">
        <w:tblPrEx>
          <w:tblCellMar>
            <w:top w:w="0" w:type="dxa"/>
            <w:bottom w:w="0" w:type="dxa"/>
          </w:tblCellMar>
        </w:tblPrEx>
        <w:tc>
          <w:tcPr>
            <w:tcW w:w="9369" w:type="dxa"/>
            <w:gridSpan w:val="3"/>
            <w:shd w:val="clear" w:color="auto" w:fill="auto"/>
          </w:tcPr>
          <w:p w:rsidR="00697F64" w:rsidRPr="00697F64" w:rsidRDefault="00697F64" w:rsidP="00697F64">
            <w:pPr>
              <w:tabs>
                <w:tab w:val="right" w:pos="1080"/>
                <w:tab w:val="left" w:pos="1296"/>
                <w:tab w:val="right" w:pos="1512"/>
                <w:tab w:val="left" w:pos="1800"/>
                <w:tab w:val="left" w:pos="1944"/>
                <w:tab w:val="left" w:pos="2232"/>
                <w:tab w:val="left" w:pos="2592"/>
                <w:tab w:val="left" w:pos="3024"/>
                <w:tab w:val="left" w:pos="3456"/>
                <w:tab w:val="right" w:leader="dot" w:pos="9360"/>
              </w:tabs>
              <w:spacing w:after="120"/>
              <w:ind w:left="1080"/>
              <w:rPr>
                <w:i/>
                <w:iCs/>
                <w:lang w:val="en-GB"/>
              </w:rPr>
            </w:pPr>
            <w:r>
              <w:rPr>
                <w:lang w:val="en-GB"/>
              </w:rPr>
              <w:tab/>
            </w:r>
            <w:r w:rsidRPr="00697F64">
              <w:rPr>
                <w:i/>
                <w:iCs/>
                <w:lang w:val="en-GB"/>
              </w:rPr>
              <w:t>Sixth periodic report of Germany</w:t>
            </w:r>
          </w:p>
        </w:tc>
        <w:tc>
          <w:tcPr>
            <w:tcW w:w="533" w:type="dxa"/>
            <w:shd w:val="clear" w:color="auto" w:fill="auto"/>
            <w:vAlign w:val="bottom"/>
          </w:tcPr>
          <w:p w:rsidR="00697F64" w:rsidRPr="00697F64" w:rsidRDefault="00697F64" w:rsidP="00697F64">
            <w:pPr>
              <w:spacing w:after="120"/>
              <w:jc w:val="right"/>
              <w:rPr>
                <w:lang w:val="en-GB"/>
              </w:rPr>
            </w:pPr>
          </w:p>
        </w:tc>
      </w:tr>
    </w:tbl>
    <w:p w:rsidR="00697F64" w:rsidRDefault="00697F64" w:rsidP="00697F64">
      <w:pPr>
        <w:pStyle w:val="SingleTxt"/>
        <w:rPr>
          <w:lang w:val="en-GB"/>
        </w:rPr>
      </w:pPr>
    </w:p>
    <w:p w:rsidR="00A75683" w:rsidRDefault="00697F64" w:rsidP="00E80F9D">
      <w:pPr>
        <w:pStyle w:val="SingleTxt"/>
        <w:rPr>
          <w:i/>
          <w:iCs/>
          <w:lang w:val="en-GB"/>
        </w:rPr>
      </w:pPr>
      <w:r>
        <w:rPr>
          <w:lang w:val="en-GB"/>
        </w:rPr>
        <w:br w:type="page"/>
      </w:r>
      <w:r w:rsidR="00A75683" w:rsidRPr="00E80F9D">
        <w:rPr>
          <w:i/>
          <w:iCs/>
          <w:lang w:val="en-GB"/>
        </w:rPr>
        <w:t>The meeting was called to order at 3.</w:t>
      </w:r>
      <w:r w:rsidR="00E80F9D" w:rsidRPr="00E80F9D">
        <w:rPr>
          <w:i/>
          <w:iCs/>
          <w:lang w:val="en-GB"/>
        </w:rPr>
        <w:t>0</w:t>
      </w:r>
      <w:r w:rsidR="00A75683" w:rsidRPr="00E80F9D">
        <w:rPr>
          <w:i/>
          <w:iCs/>
          <w:lang w:val="en-GB"/>
        </w:rPr>
        <w:t>5 p.m.</w:t>
      </w:r>
    </w:p>
    <w:p w:rsidR="00E80F9D" w:rsidRPr="00E80F9D" w:rsidRDefault="00E80F9D" w:rsidP="00E80F9D">
      <w:pPr>
        <w:pStyle w:val="SingleTxt"/>
        <w:spacing w:after="0" w:line="120" w:lineRule="exact"/>
        <w:rPr>
          <w:i/>
          <w:iCs/>
          <w:sz w:val="10"/>
          <w:lang w:val="en-GB"/>
        </w:rPr>
      </w:pPr>
    </w:p>
    <w:p w:rsidR="00A75683" w:rsidRDefault="00E80F9D" w:rsidP="00E80F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lang w:val="en-GB"/>
        </w:rPr>
      </w:pPr>
      <w:r w:rsidRPr="00E80F9D">
        <w:rPr>
          <w:sz w:val="20"/>
          <w:szCs w:val="20"/>
          <w:lang w:val="en-GB"/>
        </w:rPr>
        <w:tab/>
      </w:r>
      <w:r w:rsidRPr="00E80F9D">
        <w:rPr>
          <w:sz w:val="20"/>
          <w:szCs w:val="20"/>
          <w:lang w:val="en-GB"/>
        </w:rPr>
        <w:tab/>
      </w:r>
      <w:r w:rsidR="00A75683" w:rsidRPr="00E80F9D">
        <w:rPr>
          <w:sz w:val="20"/>
          <w:szCs w:val="20"/>
          <w:lang w:val="en-GB"/>
        </w:rPr>
        <w:t xml:space="preserve">Consideration of reports submitted by States parties under article 40 of the Covenant </w:t>
      </w:r>
      <w:r w:rsidR="00A75683" w:rsidRPr="00E80F9D">
        <w:rPr>
          <w:b w:val="0"/>
          <w:bCs/>
          <w:sz w:val="20"/>
          <w:szCs w:val="20"/>
          <w:lang w:val="en-GB"/>
        </w:rPr>
        <w:t>(</w:t>
      </w:r>
      <w:r w:rsidR="00A75683" w:rsidRPr="00E80F9D">
        <w:rPr>
          <w:b w:val="0"/>
          <w:bCs/>
          <w:i/>
          <w:iCs/>
          <w:sz w:val="20"/>
          <w:szCs w:val="20"/>
          <w:lang w:val="en-GB"/>
        </w:rPr>
        <w:t>cont</w:t>
      </w:r>
      <w:r w:rsidRPr="00E80F9D">
        <w:rPr>
          <w:b w:val="0"/>
          <w:bCs/>
          <w:i/>
          <w:iCs/>
          <w:sz w:val="20"/>
          <w:szCs w:val="20"/>
          <w:lang w:val="en-GB"/>
        </w:rPr>
        <w:t>inued</w:t>
      </w:r>
      <w:r w:rsidR="00A75683" w:rsidRPr="00E80F9D">
        <w:rPr>
          <w:b w:val="0"/>
          <w:bCs/>
          <w:sz w:val="20"/>
          <w:szCs w:val="20"/>
          <w:lang w:val="en-GB"/>
        </w:rPr>
        <w:t>)</w:t>
      </w:r>
    </w:p>
    <w:p w:rsidR="00E80F9D" w:rsidRPr="00E80F9D" w:rsidRDefault="00E80F9D" w:rsidP="00E80F9D">
      <w:pPr>
        <w:pStyle w:val="SingleTxt"/>
        <w:spacing w:after="0" w:line="120" w:lineRule="exact"/>
        <w:rPr>
          <w:sz w:val="10"/>
          <w:lang w:val="en-GB"/>
        </w:rPr>
      </w:pPr>
    </w:p>
    <w:p w:rsidR="00A75683" w:rsidRDefault="00E80F9D" w:rsidP="00E80F9D">
      <w:pPr>
        <w:pStyle w:val="H4"/>
        <w:tabs>
          <w:tab w:val="clear" w:pos="3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n-GB"/>
        </w:rPr>
      </w:pPr>
      <w:r w:rsidRPr="00E80F9D">
        <w:rPr>
          <w:sz w:val="20"/>
          <w:szCs w:val="20"/>
          <w:lang w:val="en-GB"/>
        </w:rPr>
        <w:tab/>
      </w:r>
      <w:r w:rsidRPr="00E80F9D">
        <w:rPr>
          <w:sz w:val="20"/>
          <w:szCs w:val="20"/>
          <w:lang w:val="en-GB"/>
        </w:rPr>
        <w:tab/>
      </w:r>
      <w:r w:rsidR="00A75683" w:rsidRPr="00E80F9D">
        <w:rPr>
          <w:sz w:val="20"/>
          <w:szCs w:val="20"/>
          <w:lang w:val="en-GB"/>
        </w:rPr>
        <w:t xml:space="preserve">Sixth periodic report of </w:t>
      </w:r>
      <w:smartTag w:uri="urn:schemas-microsoft-com:office:smarttags" w:element="country-region">
        <w:smartTag w:uri="urn:schemas-microsoft-com:office:smarttags" w:element="place">
          <w:r w:rsidR="00A75683" w:rsidRPr="00E80F9D">
            <w:rPr>
              <w:sz w:val="20"/>
              <w:szCs w:val="20"/>
              <w:lang w:val="en-GB"/>
            </w:rPr>
            <w:t>Germany</w:t>
          </w:r>
        </w:smartTag>
      </w:smartTag>
      <w:r w:rsidR="00A75683" w:rsidRPr="00E80F9D">
        <w:rPr>
          <w:sz w:val="20"/>
          <w:szCs w:val="20"/>
          <w:lang w:val="en-GB"/>
        </w:rPr>
        <w:t xml:space="preserve"> </w:t>
      </w:r>
      <w:r w:rsidR="00A75683" w:rsidRPr="004B2321">
        <w:rPr>
          <w:i w:val="0"/>
          <w:iCs/>
          <w:sz w:val="20"/>
          <w:szCs w:val="20"/>
          <w:lang w:val="en-GB"/>
        </w:rPr>
        <w:t xml:space="preserve">(CCPR/C/DEU/6; CCPR/C/DEU/Q/6 </w:t>
      </w:r>
      <w:r w:rsidRPr="004B2321">
        <w:rPr>
          <w:i w:val="0"/>
          <w:iCs/>
          <w:sz w:val="20"/>
          <w:szCs w:val="20"/>
          <w:lang w:val="en-GB"/>
        </w:rPr>
        <w:t xml:space="preserve">and </w:t>
      </w:r>
      <w:r w:rsidR="00A75683" w:rsidRPr="004B2321">
        <w:rPr>
          <w:i w:val="0"/>
          <w:iCs/>
          <w:sz w:val="20"/>
          <w:szCs w:val="20"/>
          <w:lang w:val="en-GB"/>
        </w:rPr>
        <w:t>Add.1)</w:t>
      </w:r>
    </w:p>
    <w:p w:rsidR="00E80F9D" w:rsidRPr="00E80F9D" w:rsidRDefault="00E80F9D" w:rsidP="00E80F9D">
      <w:pPr>
        <w:pStyle w:val="SingleTxt"/>
        <w:spacing w:after="0" w:line="120" w:lineRule="exact"/>
        <w:rPr>
          <w:sz w:val="10"/>
          <w:lang w:val="en-GB"/>
        </w:rPr>
      </w:pPr>
    </w:p>
    <w:p w:rsidR="00A75683" w:rsidRPr="00A75683" w:rsidRDefault="00A75683" w:rsidP="00A75683">
      <w:pPr>
        <w:pStyle w:val="SingleTxt"/>
        <w:rPr>
          <w:lang w:val="en-GB"/>
        </w:rPr>
      </w:pPr>
      <w:r w:rsidRPr="00A75683">
        <w:rPr>
          <w:lang w:val="en-GB"/>
        </w:rPr>
        <w:t>1.</w:t>
      </w:r>
      <w:r w:rsidRPr="00A75683">
        <w:rPr>
          <w:lang w:val="en-GB"/>
        </w:rPr>
        <w:tab/>
      </w:r>
      <w:r w:rsidRPr="00E80F9D">
        <w:rPr>
          <w:i/>
          <w:iCs/>
          <w:lang w:val="en-GB"/>
        </w:rPr>
        <w:t xml:space="preserve">At the invitation of the Chairperson, the delegation of </w:t>
      </w:r>
      <w:smartTag w:uri="urn:schemas-microsoft-com:office:smarttags" w:element="country-region">
        <w:smartTag w:uri="urn:schemas-microsoft-com:office:smarttags" w:element="place">
          <w:r w:rsidRPr="00E80F9D">
            <w:rPr>
              <w:i/>
              <w:iCs/>
              <w:lang w:val="en-GB"/>
            </w:rPr>
            <w:t>Germany</w:t>
          </w:r>
        </w:smartTag>
      </w:smartTag>
      <w:r w:rsidRPr="00E80F9D">
        <w:rPr>
          <w:i/>
          <w:iCs/>
          <w:lang w:val="en-GB"/>
        </w:rPr>
        <w:t xml:space="preserve"> took places at the Committee table.</w:t>
      </w:r>
    </w:p>
    <w:p w:rsidR="00A75683" w:rsidRPr="00A75683" w:rsidRDefault="00A75683" w:rsidP="00755271">
      <w:pPr>
        <w:pStyle w:val="SingleTxt"/>
        <w:rPr>
          <w:lang w:val="en-GB"/>
        </w:rPr>
      </w:pPr>
      <w:r w:rsidRPr="00A75683">
        <w:rPr>
          <w:lang w:val="en-GB"/>
        </w:rPr>
        <w:t>2.</w:t>
      </w:r>
      <w:r w:rsidRPr="00A75683">
        <w:rPr>
          <w:lang w:val="en-GB"/>
        </w:rPr>
        <w:tab/>
      </w:r>
      <w:r w:rsidRPr="00E80F9D">
        <w:rPr>
          <w:b/>
          <w:bCs/>
          <w:lang w:val="en-GB"/>
        </w:rPr>
        <w:t>Mr. Giesler</w:t>
      </w:r>
      <w:r w:rsidRPr="00A75683">
        <w:rPr>
          <w:lang w:val="en-GB"/>
        </w:rPr>
        <w:t xml:space="preserve"> (Germany) said that the significant increase in the number of </w:t>
      </w:r>
      <w:r w:rsidR="00E80F9D">
        <w:rPr>
          <w:lang w:val="en-GB"/>
        </w:rPr>
        <w:t>judicial</w:t>
      </w:r>
      <w:r w:rsidRPr="00A75683">
        <w:rPr>
          <w:lang w:val="en-GB"/>
        </w:rPr>
        <w:t xml:space="preserve"> decisions making reference to</w:t>
      </w:r>
      <w:r w:rsidR="00755271">
        <w:rPr>
          <w:lang w:val="en-GB"/>
        </w:rPr>
        <w:t xml:space="preserve"> the</w:t>
      </w:r>
      <w:r w:rsidRPr="00A75683">
        <w:rPr>
          <w:lang w:val="en-GB"/>
        </w:rPr>
        <w:t xml:space="preserve"> core human rights instruments and the many debates held in Parliament on the concluding observations of the treaty bodies demonstrated to what extent awareness of the obligations stemming from th</w:t>
      </w:r>
      <w:r w:rsidR="00755271">
        <w:rPr>
          <w:lang w:val="en-GB"/>
        </w:rPr>
        <w:t>o</w:t>
      </w:r>
      <w:r w:rsidRPr="00A75683">
        <w:rPr>
          <w:lang w:val="en-GB"/>
        </w:rPr>
        <w:t>se treaties had increased in the State party.</w:t>
      </w:r>
    </w:p>
    <w:p w:rsidR="00A75683" w:rsidRPr="00A75683" w:rsidRDefault="00A75683" w:rsidP="00E504C8">
      <w:pPr>
        <w:pStyle w:val="SingleTxt"/>
        <w:rPr>
          <w:lang w:val="en-GB"/>
        </w:rPr>
      </w:pPr>
      <w:r w:rsidRPr="00A75683">
        <w:rPr>
          <w:lang w:val="en-GB"/>
        </w:rPr>
        <w:t>3.</w:t>
      </w:r>
      <w:r w:rsidRPr="00A75683">
        <w:rPr>
          <w:lang w:val="en-GB"/>
        </w:rPr>
        <w:tab/>
        <w:t xml:space="preserve">Since the submission of the sixth periodic report of the State party, Parliament had been examining a bill to allow parents to legally consent to the circumcision of their child, provided that the procedure </w:t>
      </w:r>
      <w:r w:rsidR="00E504C8">
        <w:rPr>
          <w:lang w:val="en-GB"/>
        </w:rPr>
        <w:t>was</w:t>
      </w:r>
      <w:r w:rsidRPr="00A75683">
        <w:rPr>
          <w:lang w:val="en-GB"/>
        </w:rPr>
        <w:t xml:space="preserve"> carried out skilfully; th</w:t>
      </w:r>
      <w:r w:rsidR="00E504C8">
        <w:rPr>
          <w:lang w:val="en-GB"/>
        </w:rPr>
        <w:t>e</w:t>
      </w:r>
      <w:r w:rsidRPr="00A75683">
        <w:rPr>
          <w:lang w:val="en-GB"/>
        </w:rPr>
        <w:t xml:space="preserve"> practice would thus no longer be criminalized. Another bill, to </w:t>
      </w:r>
      <w:r w:rsidR="00E504C8">
        <w:rPr>
          <w:lang w:val="en-GB"/>
        </w:rPr>
        <w:t>tighten up</w:t>
      </w:r>
      <w:r w:rsidRPr="00A75683">
        <w:rPr>
          <w:lang w:val="en-GB"/>
        </w:rPr>
        <w:t xml:space="preserve"> the conditions for pretrial detention, had been put before Parliament.</w:t>
      </w:r>
    </w:p>
    <w:p w:rsidR="00A75683" w:rsidRPr="00A75683" w:rsidRDefault="00A75683" w:rsidP="002545CD">
      <w:pPr>
        <w:pStyle w:val="SingleTxt"/>
        <w:rPr>
          <w:lang w:val="en-GB"/>
        </w:rPr>
      </w:pPr>
      <w:r w:rsidRPr="00A75683">
        <w:rPr>
          <w:lang w:val="en-GB"/>
        </w:rPr>
        <w:t>4.</w:t>
      </w:r>
      <w:r w:rsidRPr="00A75683">
        <w:rPr>
          <w:lang w:val="en-GB"/>
        </w:rPr>
        <w:tab/>
        <w:t>Major efforts were being made to ensure universal access to housing without discrimination. Article 19</w:t>
      </w:r>
      <w:r w:rsidR="00E504C8">
        <w:rPr>
          <w:lang w:val="en-GB"/>
        </w:rPr>
        <w:t>,</w:t>
      </w:r>
      <w:r w:rsidRPr="00A75683">
        <w:rPr>
          <w:lang w:val="en-GB"/>
        </w:rPr>
        <w:t xml:space="preserve"> paragraph 3</w:t>
      </w:r>
      <w:r w:rsidR="00E504C8">
        <w:rPr>
          <w:lang w:val="en-GB"/>
        </w:rPr>
        <w:t>,</w:t>
      </w:r>
      <w:r w:rsidRPr="00A75683">
        <w:rPr>
          <w:lang w:val="en-GB"/>
        </w:rPr>
        <w:t xml:space="preserve"> of the General </w:t>
      </w:r>
      <w:r w:rsidR="002545CD" w:rsidRPr="00A75683">
        <w:rPr>
          <w:lang w:val="en-GB"/>
        </w:rPr>
        <w:t xml:space="preserve">Equal Treatment </w:t>
      </w:r>
      <w:r w:rsidRPr="00A75683">
        <w:rPr>
          <w:lang w:val="en-GB"/>
        </w:rPr>
        <w:t>Act aimed to promote</w:t>
      </w:r>
      <w:r w:rsidR="00E504C8">
        <w:rPr>
          <w:lang w:val="en-GB"/>
        </w:rPr>
        <w:t xml:space="preserve"> allocation of</w:t>
      </w:r>
      <w:r w:rsidRPr="00A75683">
        <w:rPr>
          <w:lang w:val="en-GB"/>
        </w:rPr>
        <w:t xml:space="preserve"> housing that would encourage diversity within districts. The Federal Government maintained its view that </w:t>
      </w:r>
      <w:r w:rsidR="00E504C8">
        <w:rPr>
          <w:lang w:val="en-GB"/>
        </w:rPr>
        <w:t>such a</w:t>
      </w:r>
      <w:r w:rsidRPr="00A75683">
        <w:rPr>
          <w:lang w:val="en-GB"/>
        </w:rPr>
        <w:t xml:space="preserve"> provision was appropriate and vital for successful integration.</w:t>
      </w:r>
    </w:p>
    <w:p w:rsidR="00A75683" w:rsidRPr="00A75683" w:rsidRDefault="00A75683" w:rsidP="00E504C8">
      <w:pPr>
        <w:pStyle w:val="SingleTxt"/>
        <w:rPr>
          <w:lang w:val="en-GB"/>
        </w:rPr>
      </w:pPr>
      <w:r w:rsidRPr="00A75683">
        <w:rPr>
          <w:lang w:val="en-GB"/>
        </w:rPr>
        <w:t>5.</w:t>
      </w:r>
      <w:r w:rsidRPr="00A75683">
        <w:rPr>
          <w:lang w:val="en-GB"/>
        </w:rPr>
        <w:tab/>
        <w:t xml:space="preserve">Women </w:t>
      </w:r>
      <w:r w:rsidR="00E504C8">
        <w:rPr>
          <w:lang w:val="en-GB"/>
        </w:rPr>
        <w:t>had come to</w:t>
      </w:r>
      <w:r w:rsidRPr="00A75683">
        <w:rPr>
          <w:lang w:val="en-GB"/>
        </w:rPr>
        <w:t xml:space="preserve"> represent a third of parliamentarians and 40 per cent of judges. There was still </w:t>
      </w:r>
      <w:r w:rsidR="00E504C8">
        <w:rPr>
          <w:lang w:val="en-GB"/>
        </w:rPr>
        <w:t>room</w:t>
      </w:r>
      <w:r w:rsidRPr="00A75683">
        <w:rPr>
          <w:lang w:val="en-GB"/>
        </w:rPr>
        <w:t xml:space="preserve"> for progress in management posts, in </w:t>
      </w:r>
      <w:r w:rsidR="00E504C8">
        <w:rPr>
          <w:lang w:val="en-GB"/>
        </w:rPr>
        <w:t xml:space="preserve">both </w:t>
      </w:r>
      <w:r w:rsidRPr="00A75683">
        <w:rPr>
          <w:lang w:val="en-GB"/>
        </w:rPr>
        <w:t xml:space="preserve">the private </w:t>
      </w:r>
      <w:r w:rsidR="00E504C8">
        <w:rPr>
          <w:lang w:val="en-GB"/>
        </w:rPr>
        <w:t>and</w:t>
      </w:r>
      <w:r w:rsidRPr="00A75683">
        <w:rPr>
          <w:lang w:val="en-GB"/>
        </w:rPr>
        <w:t xml:space="preserve"> the public sector.</w:t>
      </w:r>
    </w:p>
    <w:p w:rsidR="00A75683" w:rsidRPr="00A75683" w:rsidRDefault="00A75683" w:rsidP="00E504C8">
      <w:pPr>
        <w:pStyle w:val="SingleTxt"/>
        <w:rPr>
          <w:lang w:val="en-GB"/>
        </w:rPr>
      </w:pPr>
      <w:r w:rsidRPr="00A75683">
        <w:rPr>
          <w:lang w:val="en-GB"/>
        </w:rPr>
        <w:t>6.</w:t>
      </w:r>
      <w:r w:rsidRPr="00A75683">
        <w:rPr>
          <w:lang w:val="en-GB"/>
        </w:rPr>
        <w:tab/>
        <w:t xml:space="preserve">The crime of torture was codified in the </w:t>
      </w:r>
      <w:r w:rsidR="00E504C8">
        <w:rPr>
          <w:lang w:val="en-GB"/>
        </w:rPr>
        <w:t>Criminal</w:t>
      </w:r>
      <w:r w:rsidRPr="00A75683">
        <w:rPr>
          <w:lang w:val="en-GB"/>
        </w:rPr>
        <w:t xml:space="preserve"> Code under the offence of forced extraction of a statement. Since 2009, statistics on investigations and prosecutions </w:t>
      </w:r>
      <w:r w:rsidR="00E504C8">
        <w:rPr>
          <w:lang w:val="en-GB"/>
        </w:rPr>
        <w:t>of</w:t>
      </w:r>
      <w:r w:rsidRPr="00A75683">
        <w:rPr>
          <w:lang w:val="en-GB"/>
        </w:rPr>
        <w:t xml:space="preserve"> police officers had been compiled separately. </w:t>
      </w:r>
      <w:r w:rsidR="00E504C8">
        <w:rPr>
          <w:lang w:val="en-GB"/>
        </w:rPr>
        <w:t>Lastly</w:t>
      </w:r>
      <w:r w:rsidRPr="00A75683">
        <w:rPr>
          <w:lang w:val="en-GB"/>
        </w:rPr>
        <w:t>,</w:t>
      </w:r>
      <w:r w:rsidR="00E504C8">
        <w:rPr>
          <w:lang w:val="en-GB"/>
        </w:rPr>
        <w:t xml:space="preserve"> there was continuing</w:t>
      </w:r>
      <w:r w:rsidRPr="00A75683">
        <w:rPr>
          <w:lang w:val="en-GB"/>
        </w:rPr>
        <w:t xml:space="preserve"> political debate </w:t>
      </w:r>
      <w:r w:rsidR="00E504C8">
        <w:rPr>
          <w:lang w:val="en-GB"/>
        </w:rPr>
        <w:t xml:space="preserve">regarding </w:t>
      </w:r>
      <w:r w:rsidRPr="00A75683">
        <w:rPr>
          <w:lang w:val="en-GB"/>
        </w:rPr>
        <w:t xml:space="preserve">the wearing of identification badges by police officers, which was currently obligatory </w:t>
      </w:r>
      <w:r w:rsidR="00E504C8" w:rsidRPr="00A75683">
        <w:rPr>
          <w:lang w:val="en-GB"/>
        </w:rPr>
        <w:t xml:space="preserve">only </w:t>
      </w:r>
      <w:r w:rsidRPr="00A75683">
        <w:rPr>
          <w:lang w:val="en-GB"/>
        </w:rPr>
        <w:t xml:space="preserve">in four Länder, and </w:t>
      </w:r>
      <w:r w:rsidR="009E1EE6">
        <w:rPr>
          <w:lang w:val="en-GB"/>
        </w:rPr>
        <w:t xml:space="preserve">in any case </w:t>
      </w:r>
      <w:r w:rsidRPr="00A75683">
        <w:rPr>
          <w:lang w:val="en-GB"/>
        </w:rPr>
        <w:t>not for the federal police.</w:t>
      </w:r>
    </w:p>
    <w:p w:rsidR="00A75683" w:rsidRPr="00A75683" w:rsidRDefault="00A75683" w:rsidP="009E1EE6">
      <w:pPr>
        <w:pStyle w:val="SingleTxt"/>
        <w:rPr>
          <w:lang w:val="en-GB"/>
        </w:rPr>
      </w:pPr>
      <w:r w:rsidRPr="00A75683">
        <w:rPr>
          <w:lang w:val="en-GB"/>
        </w:rPr>
        <w:t>7.</w:t>
      </w:r>
      <w:r w:rsidRPr="00A75683">
        <w:rPr>
          <w:lang w:val="en-GB"/>
        </w:rPr>
        <w:tab/>
        <w:t xml:space="preserve">From the start of 2011, </w:t>
      </w:r>
      <w:smartTag w:uri="urn:schemas-microsoft-com:office:smarttags" w:element="country-region">
        <w:r w:rsidRPr="00A75683">
          <w:rPr>
            <w:lang w:val="en-GB"/>
          </w:rPr>
          <w:t>Germany</w:t>
        </w:r>
      </w:smartTag>
      <w:r w:rsidRPr="00A75683">
        <w:rPr>
          <w:lang w:val="en-GB"/>
        </w:rPr>
        <w:t xml:space="preserve"> had decided of its own accord to suspend expulsions to </w:t>
      </w:r>
      <w:smartTag w:uri="urn:schemas-microsoft-com:office:smarttags" w:element="country-region">
        <w:smartTag w:uri="urn:schemas-microsoft-com:office:smarttags" w:element="place">
          <w:r w:rsidRPr="00A75683">
            <w:rPr>
              <w:lang w:val="en-GB"/>
            </w:rPr>
            <w:t>Greece</w:t>
          </w:r>
        </w:smartTag>
      </w:smartTag>
      <w:r w:rsidRPr="00A75683">
        <w:rPr>
          <w:lang w:val="en-GB"/>
        </w:rPr>
        <w:t xml:space="preserve"> under the Dublin II Regulation and, furthermore, continued to view the use of diplomatic assurances, under the strict conditions set out by the European Court of Human Rights, as prudent and necessary.</w:t>
      </w:r>
    </w:p>
    <w:p w:rsidR="00A75683" w:rsidRPr="00A75683" w:rsidRDefault="00A75683" w:rsidP="009E1EE6">
      <w:pPr>
        <w:pStyle w:val="SingleTxt"/>
        <w:rPr>
          <w:lang w:val="en-GB"/>
        </w:rPr>
      </w:pPr>
      <w:r w:rsidRPr="00A75683">
        <w:rPr>
          <w:lang w:val="en-GB"/>
        </w:rPr>
        <w:t>8.</w:t>
      </w:r>
      <w:r w:rsidRPr="00A75683">
        <w:rPr>
          <w:lang w:val="en-GB"/>
        </w:rPr>
        <w:tab/>
      </w:r>
      <w:r w:rsidRPr="009E1EE6">
        <w:rPr>
          <w:b/>
          <w:bCs/>
          <w:lang w:val="en-GB"/>
        </w:rPr>
        <w:t>Mr. Behrens</w:t>
      </w:r>
      <w:r w:rsidRPr="00A75683">
        <w:rPr>
          <w:lang w:val="en-GB"/>
        </w:rPr>
        <w:t xml:space="preserve"> (</w:t>
      </w:r>
      <w:smartTag w:uri="urn:schemas-microsoft-com:office:smarttags" w:element="country-region">
        <w:smartTag w:uri="urn:schemas-microsoft-com:office:smarttags" w:element="place">
          <w:r w:rsidRPr="00A75683">
            <w:rPr>
              <w:lang w:val="en-GB"/>
            </w:rPr>
            <w:t>Germany</w:t>
          </w:r>
        </w:smartTag>
      </w:smartTag>
      <w:r w:rsidRPr="00A75683">
        <w:rPr>
          <w:lang w:val="en-GB"/>
        </w:rPr>
        <w:t xml:space="preserve">) said that the Federal Government was aware that </w:t>
      </w:r>
      <w:r w:rsidR="009E1EE6">
        <w:rPr>
          <w:lang w:val="en-GB"/>
        </w:rPr>
        <w:t>considerable</w:t>
      </w:r>
      <w:r w:rsidRPr="00A75683">
        <w:rPr>
          <w:lang w:val="en-GB"/>
        </w:rPr>
        <w:t xml:space="preserve"> efforts were still required to improve facilities </w:t>
      </w:r>
      <w:r w:rsidR="009E1EE6">
        <w:rPr>
          <w:lang w:val="en-GB"/>
        </w:rPr>
        <w:t>and</w:t>
      </w:r>
      <w:r w:rsidRPr="00A75683">
        <w:rPr>
          <w:lang w:val="en-GB"/>
        </w:rPr>
        <w:t xml:space="preserve"> increase staffing levels, in order to reduce the number of people </w:t>
      </w:r>
      <w:r w:rsidR="009E1EE6">
        <w:rPr>
          <w:lang w:val="en-GB"/>
        </w:rPr>
        <w:t>kept under restraint</w:t>
      </w:r>
      <w:r w:rsidRPr="00A75683">
        <w:rPr>
          <w:lang w:val="en-GB"/>
        </w:rPr>
        <w:t xml:space="preserve"> in medical establishments. It would continue to </w:t>
      </w:r>
      <w:r w:rsidR="009E1EE6">
        <w:rPr>
          <w:lang w:val="en-GB"/>
        </w:rPr>
        <w:t>monitor</w:t>
      </w:r>
      <w:r w:rsidRPr="00A75683">
        <w:rPr>
          <w:lang w:val="en-GB"/>
        </w:rPr>
        <w:t xml:space="preserve"> the situation.</w:t>
      </w:r>
    </w:p>
    <w:p w:rsidR="00A75683" w:rsidRPr="00A75683" w:rsidRDefault="00A75683" w:rsidP="00A75683">
      <w:pPr>
        <w:pStyle w:val="SingleTxt"/>
        <w:rPr>
          <w:lang w:val="en-GB"/>
        </w:rPr>
      </w:pPr>
      <w:r w:rsidRPr="00A75683">
        <w:rPr>
          <w:lang w:val="en-GB"/>
        </w:rPr>
        <w:t>9.</w:t>
      </w:r>
      <w:r w:rsidRPr="00A75683">
        <w:rPr>
          <w:lang w:val="en-GB"/>
        </w:rPr>
        <w:tab/>
        <w:t>On the elimination of slavery and servitude, there were no indications that rates of trafficking were rising in the country.</w:t>
      </w:r>
    </w:p>
    <w:p w:rsidR="00A75683" w:rsidRPr="00A75683" w:rsidRDefault="00A75683" w:rsidP="009E1EE6">
      <w:pPr>
        <w:pStyle w:val="SingleTxt"/>
        <w:rPr>
          <w:lang w:val="en-GB"/>
        </w:rPr>
      </w:pPr>
      <w:r w:rsidRPr="00A75683">
        <w:rPr>
          <w:lang w:val="en-GB"/>
        </w:rPr>
        <w:t>10.</w:t>
      </w:r>
      <w:r w:rsidRPr="00A75683">
        <w:rPr>
          <w:lang w:val="en-GB"/>
        </w:rPr>
        <w:tab/>
        <w:t>The Federal Government deplored the persistence of anti-Semitic or racist crimes but had noted no real upward trend in the number of such cases. To complement</w:t>
      </w:r>
      <w:r w:rsidR="009E1EE6">
        <w:rPr>
          <w:lang w:val="en-GB"/>
        </w:rPr>
        <w:t xml:space="preserve"> action on</w:t>
      </w:r>
      <w:r w:rsidRPr="00A75683">
        <w:rPr>
          <w:lang w:val="en-GB"/>
        </w:rPr>
        <w:t xml:space="preserve"> prevention and </w:t>
      </w:r>
      <w:r w:rsidR="009E1EE6">
        <w:rPr>
          <w:lang w:val="en-GB"/>
        </w:rPr>
        <w:t>suppression</w:t>
      </w:r>
      <w:r w:rsidRPr="00A75683">
        <w:rPr>
          <w:lang w:val="en-GB"/>
        </w:rPr>
        <w:t xml:space="preserve">, it supported programmes to combat racist and anti-Semitic mindsets. </w:t>
      </w:r>
      <w:r w:rsidR="009E1EE6">
        <w:rPr>
          <w:lang w:val="en-GB"/>
        </w:rPr>
        <w:t>Lastly</w:t>
      </w:r>
      <w:r w:rsidRPr="00A75683">
        <w:rPr>
          <w:lang w:val="en-GB"/>
        </w:rPr>
        <w:t xml:space="preserve">, thorough investigations would be carried out on the </w:t>
      </w:r>
      <w:r w:rsidR="009E1EE6">
        <w:rPr>
          <w:lang w:val="en-GB"/>
        </w:rPr>
        <w:t>circumstances of</w:t>
      </w:r>
      <w:r w:rsidRPr="00A75683">
        <w:rPr>
          <w:lang w:val="en-GB"/>
        </w:rPr>
        <w:t xml:space="preserve"> the terrorist murders committed by the extreme right-wing National Socialist Underground </w:t>
      </w:r>
      <w:r w:rsidR="009E1EE6">
        <w:rPr>
          <w:lang w:val="en-GB"/>
        </w:rPr>
        <w:t xml:space="preserve">(NSU) </w:t>
      </w:r>
      <w:r w:rsidRPr="00A75683">
        <w:rPr>
          <w:lang w:val="en-GB"/>
        </w:rPr>
        <w:t>movement</w:t>
      </w:r>
      <w:r w:rsidR="009E1EE6">
        <w:rPr>
          <w:lang w:val="en-GB"/>
        </w:rPr>
        <w:t>;</w:t>
      </w:r>
      <w:r w:rsidRPr="00A75683">
        <w:rPr>
          <w:lang w:val="en-GB"/>
        </w:rPr>
        <w:t xml:space="preserve"> and the launch in 2011 of a joint </w:t>
      </w:r>
      <w:r w:rsidR="009E1EE6">
        <w:rPr>
          <w:lang w:val="en-GB"/>
        </w:rPr>
        <w:t xml:space="preserve">protection </w:t>
      </w:r>
      <w:r w:rsidRPr="00A75683">
        <w:rPr>
          <w:lang w:val="en-GB"/>
        </w:rPr>
        <w:t>centr</w:t>
      </w:r>
      <w:r w:rsidR="00CB588E">
        <w:rPr>
          <w:lang w:val="en-GB"/>
        </w:rPr>
        <w:t xml:space="preserve">e against right-wing extremism </w:t>
      </w:r>
      <w:r w:rsidRPr="00A75683">
        <w:rPr>
          <w:lang w:val="en-GB"/>
        </w:rPr>
        <w:t xml:space="preserve">would </w:t>
      </w:r>
      <w:r w:rsidR="009E1EE6">
        <w:rPr>
          <w:lang w:val="en-GB"/>
        </w:rPr>
        <w:t>strengthen</w:t>
      </w:r>
      <w:r w:rsidRPr="00A75683">
        <w:rPr>
          <w:lang w:val="en-GB"/>
        </w:rPr>
        <w:t xml:space="preserve"> police cooperation with federal and regional intelligence services. </w:t>
      </w:r>
    </w:p>
    <w:p w:rsidR="00A75683" w:rsidRPr="00A75683" w:rsidRDefault="00A75683" w:rsidP="00CB588E">
      <w:pPr>
        <w:pStyle w:val="SingleTxt"/>
        <w:rPr>
          <w:lang w:val="en-GB"/>
        </w:rPr>
      </w:pPr>
      <w:r w:rsidRPr="00A75683">
        <w:rPr>
          <w:lang w:val="en-GB"/>
        </w:rPr>
        <w:t>11.</w:t>
      </w:r>
      <w:r w:rsidRPr="00A75683">
        <w:rPr>
          <w:lang w:val="en-GB"/>
        </w:rPr>
        <w:tab/>
      </w:r>
      <w:r w:rsidRPr="00CB588E">
        <w:rPr>
          <w:b/>
          <w:bCs/>
          <w:lang w:val="en-GB"/>
        </w:rPr>
        <w:t>Mr. Kälin</w:t>
      </w:r>
      <w:r w:rsidRPr="00A75683">
        <w:rPr>
          <w:lang w:val="en-GB"/>
        </w:rPr>
        <w:t xml:space="preserve"> asked </w:t>
      </w:r>
      <w:r w:rsidR="00CB588E">
        <w:rPr>
          <w:lang w:val="en-GB"/>
        </w:rPr>
        <w:t>whether</w:t>
      </w:r>
      <w:r w:rsidRPr="00A75683">
        <w:rPr>
          <w:lang w:val="en-GB"/>
        </w:rPr>
        <w:t xml:space="preserve"> there was a procedure in the State party to ensure the implementation of recommendations made by the Committee and </w:t>
      </w:r>
      <w:r w:rsidR="00CB588E">
        <w:rPr>
          <w:lang w:val="en-GB"/>
        </w:rPr>
        <w:t xml:space="preserve">the </w:t>
      </w:r>
      <w:r w:rsidRPr="00A75683">
        <w:rPr>
          <w:lang w:val="en-GB"/>
        </w:rPr>
        <w:t xml:space="preserve">other treaty bodies. </w:t>
      </w:r>
      <w:r w:rsidR="00CB588E">
        <w:rPr>
          <w:lang w:val="en-GB"/>
        </w:rPr>
        <w:t>He wished</w:t>
      </w:r>
      <w:r w:rsidRPr="00A75683">
        <w:rPr>
          <w:lang w:val="en-GB"/>
        </w:rPr>
        <w:t xml:space="preserve"> to know</w:t>
      </w:r>
      <w:r w:rsidR="00CB588E">
        <w:rPr>
          <w:lang w:val="en-GB"/>
        </w:rPr>
        <w:t xml:space="preserve"> </w:t>
      </w:r>
      <w:r w:rsidR="00CB588E" w:rsidRPr="00A75683">
        <w:rPr>
          <w:lang w:val="en-GB"/>
        </w:rPr>
        <w:t>whether</w:t>
      </w:r>
      <w:r w:rsidRPr="00A75683">
        <w:rPr>
          <w:lang w:val="en-GB"/>
        </w:rPr>
        <w:t xml:space="preserve">, when the provisions of the Covenant were cited before the courts, the judgements simply made reference to the Covenant or whether they also considered the rights enshrined in it, their substance and their </w:t>
      </w:r>
      <w:r w:rsidR="00CB588E">
        <w:rPr>
          <w:lang w:val="en-GB"/>
        </w:rPr>
        <w:t>relevance</w:t>
      </w:r>
      <w:r w:rsidRPr="00A75683">
        <w:rPr>
          <w:lang w:val="en-GB"/>
        </w:rPr>
        <w:t xml:space="preserve"> to the case in question.</w:t>
      </w:r>
    </w:p>
    <w:p w:rsidR="00A75683" w:rsidRPr="00A75683" w:rsidRDefault="00A75683" w:rsidP="00CB588E">
      <w:pPr>
        <w:pStyle w:val="SingleTxt"/>
        <w:rPr>
          <w:lang w:val="en-GB"/>
        </w:rPr>
      </w:pPr>
      <w:r w:rsidRPr="00A75683">
        <w:rPr>
          <w:lang w:val="en-GB"/>
        </w:rPr>
        <w:t>12.</w:t>
      </w:r>
      <w:r w:rsidRPr="00A75683">
        <w:rPr>
          <w:lang w:val="en-GB"/>
        </w:rPr>
        <w:tab/>
      </w:r>
      <w:r w:rsidRPr="00CB588E">
        <w:rPr>
          <w:b/>
          <w:bCs/>
          <w:lang w:val="en-GB"/>
        </w:rPr>
        <w:t>Mr. Neuman</w:t>
      </w:r>
      <w:r w:rsidRPr="00A75683">
        <w:rPr>
          <w:lang w:val="en-GB"/>
        </w:rPr>
        <w:t xml:space="preserve"> asked whether the Ministry of Justice, which would </w:t>
      </w:r>
      <w:r w:rsidR="00CB588E">
        <w:rPr>
          <w:lang w:val="en-GB"/>
        </w:rPr>
        <w:t>thenceforward</w:t>
      </w:r>
      <w:r w:rsidRPr="00A75683">
        <w:rPr>
          <w:lang w:val="en-GB"/>
        </w:rPr>
        <w:t xml:space="preserve"> bear primary responsibility for following up the Committee’s findings, had esta</w:t>
      </w:r>
      <w:r w:rsidR="00CB588E">
        <w:rPr>
          <w:lang w:val="en-GB"/>
        </w:rPr>
        <w:t>blished written procedures</w:t>
      </w:r>
      <w:r w:rsidRPr="00A75683">
        <w:rPr>
          <w:lang w:val="en-GB"/>
        </w:rPr>
        <w:t xml:space="preserve"> and, </w:t>
      </w:r>
      <w:r w:rsidR="00CB588E">
        <w:rPr>
          <w:lang w:val="en-GB"/>
        </w:rPr>
        <w:t>if it had</w:t>
      </w:r>
      <w:r w:rsidRPr="00A75683">
        <w:rPr>
          <w:lang w:val="en-GB"/>
        </w:rPr>
        <w:t xml:space="preserve">, whether the delegation </w:t>
      </w:r>
      <w:r w:rsidR="00CB588E">
        <w:rPr>
          <w:lang w:val="en-GB"/>
        </w:rPr>
        <w:t>c</w:t>
      </w:r>
      <w:r w:rsidRPr="00A75683">
        <w:rPr>
          <w:lang w:val="en-GB"/>
        </w:rPr>
        <w:t>ould communicate them to the Committee so that they could potentially serve as a model.</w:t>
      </w:r>
    </w:p>
    <w:p w:rsidR="00A75683" w:rsidRPr="00A75683" w:rsidRDefault="00A75683" w:rsidP="00BA473E">
      <w:pPr>
        <w:pStyle w:val="SingleTxt"/>
        <w:rPr>
          <w:lang w:val="en-GB"/>
        </w:rPr>
      </w:pPr>
      <w:r w:rsidRPr="00A75683">
        <w:rPr>
          <w:lang w:val="en-GB"/>
        </w:rPr>
        <w:t>13.</w:t>
      </w:r>
      <w:r w:rsidRPr="00A75683">
        <w:rPr>
          <w:lang w:val="en-GB"/>
        </w:rPr>
        <w:tab/>
        <w:t xml:space="preserve">The delegation </w:t>
      </w:r>
      <w:r w:rsidR="00CB588E">
        <w:rPr>
          <w:lang w:val="en-GB"/>
        </w:rPr>
        <w:t>should</w:t>
      </w:r>
      <w:r w:rsidRPr="00A75683">
        <w:rPr>
          <w:lang w:val="en-GB"/>
        </w:rPr>
        <w:t xml:space="preserve"> explain why the State party had ultimately decided not to withdraw its reservation to article 15 of the Covenant, given that the principle of </w:t>
      </w:r>
      <w:r w:rsidRPr="00CB588E">
        <w:rPr>
          <w:i/>
          <w:iCs/>
          <w:lang w:val="en-GB"/>
        </w:rPr>
        <w:t>lex mitior</w:t>
      </w:r>
      <w:r w:rsidRPr="00A75683">
        <w:rPr>
          <w:lang w:val="en-GB"/>
        </w:rPr>
        <w:t xml:space="preserve"> set out in th</w:t>
      </w:r>
      <w:r w:rsidR="00CB588E">
        <w:rPr>
          <w:lang w:val="en-GB"/>
        </w:rPr>
        <w:t>e</w:t>
      </w:r>
      <w:r w:rsidRPr="00A75683">
        <w:rPr>
          <w:lang w:val="en-GB"/>
        </w:rPr>
        <w:t xml:space="preserve"> article was also enshrined in the Charter of Fundamental Rights of the European Union and in Protocol No. 7 to the European Convention for the Protection of Human Rights and Fundamental Freedoms, instruments to which the State had issued no reservations. With regard to the reservation </w:t>
      </w:r>
      <w:r w:rsidR="00CB588E">
        <w:rPr>
          <w:lang w:val="en-GB"/>
        </w:rPr>
        <w:t>under which</w:t>
      </w:r>
      <w:r w:rsidRPr="00A75683">
        <w:rPr>
          <w:lang w:val="en-GB"/>
        </w:rPr>
        <w:t xml:space="preserve"> the State party did not recognize the Committee’s jurisdiction to consider </w:t>
      </w:r>
      <w:r w:rsidR="00CB588E">
        <w:rPr>
          <w:lang w:val="en-GB"/>
        </w:rPr>
        <w:t>communications claiming</w:t>
      </w:r>
      <w:r w:rsidRPr="00A75683">
        <w:rPr>
          <w:lang w:val="en-GB"/>
        </w:rPr>
        <w:t xml:space="preserve"> a violation of article 26 of the Covenant, th</w:t>
      </w:r>
      <w:r w:rsidR="00BA473E">
        <w:rPr>
          <w:lang w:val="en-GB"/>
        </w:rPr>
        <w:t>at</w:t>
      </w:r>
      <w:r w:rsidRPr="00A75683">
        <w:rPr>
          <w:lang w:val="en-GB"/>
        </w:rPr>
        <w:t xml:space="preserve"> seemed to contradict the State party’s acceptance of the obligations stemming from th</w:t>
      </w:r>
      <w:r w:rsidR="00BA473E">
        <w:rPr>
          <w:lang w:val="en-GB"/>
        </w:rPr>
        <w:t>e</w:t>
      </w:r>
      <w:r w:rsidRPr="00A75683">
        <w:rPr>
          <w:lang w:val="en-GB"/>
        </w:rPr>
        <w:t xml:space="preserve"> article and </w:t>
      </w:r>
      <w:r w:rsidR="00BA473E">
        <w:rPr>
          <w:lang w:val="en-GB"/>
        </w:rPr>
        <w:t>might</w:t>
      </w:r>
      <w:r w:rsidRPr="00A75683">
        <w:rPr>
          <w:lang w:val="en-GB"/>
        </w:rPr>
        <w:t xml:space="preserve"> not be valid. Dialogue with the delegation on th</w:t>
      </w:r>
      <w:r w:rsidR="00BA473E">
        <w:rPr>
          <w:lang w:val="en-GB"/>
        </w:rPr>
        <w:t>o</w:t>
      </w:r>
      <w:r w:rsidRPr="00A75683">
        <w:rPr>
          <w:lang w:val="en-GB"/>
        </w:rPr>
        <w:t>se issues would be welcome.</w:t>
      </w:r>
    </w:p>
    <w:p w:rsidR="00A75683" w:rsidRPr="00A75683" w:rsidRDefault="00A75683" w:rsidP="002545CD">
      <w:pPr>
        <w:pStyle w:val="SingleTxt"/>
        <w:rPr>
          <w:lang w:val="en-GB"/>
        </w:rPr>
      </w:pPr>
      <w:r w:rsidRPr="00A75683">
        <w:rPr>
          <w:lang w:val="en-GB"/>
        </w:rPr>
        <w:t>14.</w:t>
      </w:r>
      <w:r w:rsidRPr="00A75683">
        <w:rPr>
          <w:lang w:val="en-GB"/>
        </w:rPr>
        <w:tab/>
      </w:r>
      <w:r w:rsidRPr="00BA473E">
        <w:rPr>
          <w:b/>
          <w:bCs/>
          <w:lang w:val="en-GB"/>
        </w:rPr>
        <w:t>Mr. Flinterman</w:t>
      </w:r>
      <w:r w:rsidRPr="00A75683">
        <w:rPr>
          <w:lang w:val="en-GB"/>
        </w:rPr>
        <w:t xml:space="preserve"> hoped to see additional information on the General </w:t>
      </w:r>
      <w:r w:rsidR="002545CD" w:rsidRPr="00A75683">
        <w:rPr>
          <w:lang w:val="en-GB"/>
        </w:rPr>
        <w:t xml:space="preserve">Equal Treatment </w:t>
      </w:r>
      <w:r w:rsidR="00BA473E" w:rsidRPr="00A75683">
        <w:rPr>
          <w:lang w:val="en-GB"/>
        </w:rPr>
        <w:t xml:space="preserve">Act </w:t>
      </w:r>
      <w:r w:rsidRPr="00A75683">
        <w:rPr>
          <w:lang w:val="en-GB"/>
        </w:rPr>
        <w:t>of 2006</w:t>
      </w:r>
      <w:r w:rsidR="00BA473E">
        <w:rPr>
          <w:lang w:val="en-GB"/>
        </w:rPr>
        <w:t>,</w:t>
      </w:r>
      <w:r w:rsidRPr="00A75683">
        <w:rPr>
          <w:lang w:val="en-GB"/>
        </w:rPr>
        <w:t xml:space="preserve"> particular</w:t>
      </w:r>
      <w:r w:rsidR="00BA473E">
        <w:rPr>
          <w:lang w:val="en-GB"/>
        </w:rPr>
        <w:t>ly with</w:t>
      </w:r>
      <w:r w:rsidRPr="00A75683">
        <w:rPr>
          <w:lang w:val="en-GB"/>
        </w:rPr>
        <w:t xml:space="preserve"> regard</w:t>
      </w:r>
      <w:r w:rsidR="00BA473E">
        <w:rPr>
          <w:lang w:val="en-GB"/>
        </w:rPr>
        <w:t xml:space="preserve"> to</w:t>
      </w:r>
      <w:r w:rsidRPr="00A75683">
        <w:rPr>
          <w:lang w:val="en-GB"/>
        </w:rPr>
        <w:t xml:space="preserve"> its scope, the authority it bestowed upon the Federal A</w:t>
      </w:r>
      <w:r w:rsidR="00BA473E">
        <w:rPr>
          <w:lang w:val="en-GB"/>
        </w:rPr>
        <w:t>nti-Discrimination Agency, the A</w:t>
      </w:r>
      <w:r w:rsidRPr="00A75683">
        <w:rPr>
          <w:lang w:val="en-GB"/>
        </w:rPr>
        <w:t xml:space="preserve">gency’s composition and the possible </w:t>
      </w:r>
      <w:r w:rsidR="00BA473E">
        <w:rPr>
          <w:lang w:val="en-GB"/>
        </w:rPr>
        <w:t>establishment</w:t>
      </w:r>
      <w:r w:rsidRPr="00A75683">
        <w:rPr>
          <w:lang w:val="en-GB"/>
        </w:rPr>
        <w:t xml:space="preserve"> of similar agencies at </w:t>
      </w:r>
      <w:r w:rsidR="00BA473E">
        <w:rPr>
          <w:lang w:val="en-GB"/>
        </w:rPr>
        <w:t xml:space="preserve">the </w:t>
      </w:r>
      <w:r w:rsidRPr="00A75683">
        <w:rPr>
          <w:lang w:val="en-GB"/>
        </w:rPr>
        <w:t>L</w:t>
      </w:r>
      <w:r w:rsidR="00BA473E">
        <w:rPr>
          <w:lang w:val="en-GB"/>
        </w:rPr>
        <w:t>a</w:t>
      </w:r>
      <w:r w:rsidRPr="00A75683">
        <w:rPr>
          <w:lang w:val="en-GB"/>
        </w:rPr>
        <w:t>nd level.</w:t>
      </w:r>
    </w:p>
    <w:p w:rsidR="00A75683" w:rsidRPr="00A75683" w:rsidRDefault="00A75683" w:rsidP="00BA473E">
      <w:pPr>
        <w:pStyle w:val="SingleTxt"/>
        <w:rPr>
          <w:lang w:val="en-GB"/>
        </w:rPr>
      </w:pPr>
      <w:r w:rsidRPr="00A75683">
        <w:rPr>
          <w:lang w:val="en-GB"/>
        </w:rPr>
        <w:t>15.</w:t>
      </w:r>
      <w:r w:rsidRPr="00A75683">
        <w:rPr>
          <w:lang w:val="en-GB"/>
        </w:rPr>
        <w:tab/>
        <w:t xml:space="preserve">It would be useful to know whether similar progress to that made at federal level on women’s representation in </w:t>
      </w:r>
      <w:r w:rsidR="00BA473E">
        <w:rPr>
          <w:lang w:val="en-GB"/>
        </w:rPr>
        <w:t xml:space="preserve">the </w:t>
      </w:r>
      <w:r w:rsidRPr="00A75683">
        <w:rPr>
          <w:lang w:val="en-GB"/>
        </w:rPr>
        <w:t xml:space="preserve">legislature and the judiciary had been observed at </w:t>
      </w:r>
      <w:r w:rsidR="00BA473E">
        <w:rPr>
          <w:lang w:val="en-GB"/>
        </w:rPr>
        <w:t xml:space="preserve">the </w:t>
      </w:r>
      <w:r w:rsidRPr="00A75683">
        <w:rPr>
          <w:lang w:val="en-GB"/>
        </w:rPr>
        <w:t>level</w:t>
      </w:r>
      <w:r w:rsidR="00BA473E">
        <w:rPr>
          <w:lang w:val="en-GB"/>
        </w:rPr>
        <w:t xml:space="preserve"> of the </w:t>
      </w:r>
      <w:r w:rsidR="00BA473E" w:rsidRPr="00A75683">
        <w:rPr>
          <w:lang w:val="en-GB"/>
        </w:rPr>
        <w:t>Länder</w:t>
      </w:r>
      <w:r w:rsidRPr="00A75683">
        <w:rPr>
          <w:lang w:val="en-GB"/>
        </w:rPr>
        <w:t>. Whether it had</w:t>
      </w:r>
      <w:r w:rsidR="00BA473E">
        <w:rPr>
          <w:lang w:val="en-GB"/>
        </w:rPr>
        <w:t xml:space="preserve"> </w:t>
      </w:r>
      <w:r w:rsidR="00BA473E" w:rsidRPr="00A75683">
        <w:rPr>
          <w:lang w:val="en-GB"/>
        </w:rPr>
        <w:t>or not</w:t>
      </w:r>
      <w:r w:rsidRPr="00A75683">
        <w:rPr>
          <w:lang w:val="en-GB"/>
        </w:rPr>
        <w:t xml:space="preserve">, it seemed that the fundamental goal of effective equality between men and women had not yet been reached. The delegation </w:t>
      </w:r>
      <w:r w:rsidR="00BA473E">
        <w:rPr>
          <w:lang w:val="en-GB"/>
        </w:rPr>
        <w:t>sh</w:t>
      </w:r>
      <w:r w:rsidRPr="00A75683">
        <w:rPr>
          <w:lang w:val="en-GB"/>
        </w:rPr>
        <w:t xml:space="preserve">ould explain </w:t>
      </w:r>
      <w:r w:rsidR="00BA473E">
        <w:rPr>
          <w:lang w:val="en-GB"/>
        </w:rPr>
        <w:t>whether that</w:t>
      </w:r>
      <w:r w:rsidRPr="00A75683">
        <w:rPr>
          <w:lang w:val="en-GB"/>
        </w:rPr>
        <w:t xml:space="preserve"> was due to the persistence of traditional gender-role stereotypes or to other obstacles. It would also be useful to find out about the measures taken to help men and women to achieve a work-life balance.</w:t>
      </w:r>
    </w:p>
    <w:p w:rsidR="00A75683" w:rsidRPr="00A75683" w:rsidRDefault="00A75683" w:rsidP="00883649">
      <w:pPr>
        <w:pStyle w:val="SingleTxt"/>
        <w:rPr>
          <w:lang w:val="en-GB"/>
        </w:rPr>
      </w:pPr>
      <w:r w:rsidRPr="00A75683">
        <w:rPr>
          <w:lang w:val="en-GB"/>
        </w:rPr>
        <w:t>16.</w:t>
      </w:r>
      <w:r w:rsidRPr="00A75683">
        <w:rPr>
          <w:lang w:val="en-GB"/>
        </w:rPr>
        <w:tab/>
        <w:t xml:space="preserve">According to the </w:t>
      </w:r>
      <w:r w:rsidR="00BA473E">
        <w:rPr>
          <w:lang w:val="en-GB"/>
        </w:rPr>
        <w:t>non-governmental organization (</w:t>
      </w:r>
      <w:r w:rsidRPr="00A75683">
        <w:rPr>
          <w:lang w:val="en-GB"/>
        </w:rPr>
        <w:t>NGO</w:t>
      </w:r>
      <w:r w:rsidR="00BA473E">
        <w:rPr>
          <w:lang w:val="en-GB"/>
        </w:rPr>
        <w:t>)</w:t>
      </w:r>
      <w:r w:rsidRPr="00A75683">
        <w:rPr>
          <w:lang w:val="en-GB"/>
        </w:rPr>
        <w:t xml:space="preserve"> the Open Society Institute, the children of immigrants were very clearly underrepresented in secondary education. Th</w:t>
      </w:r>
      <w:r w:rsidR="006F0897">
        <w:rPr>
          <w:lang w:val="en-GB"/>
        </w:rPr>
        <w:t>at</w:t>
      </w:r>
      <w:r w:rsidRPr="00A75683">
        <w:rPr>
          <w:lang w:val="en-GB"/>
        </w:rPr>
        <w:t xml:space="preserve"> could be viewed as a form of indirect discrimination </w:t>
      </w:r>
      <w:r w:rsidR="006F0897">
        <w:rPr>
          <w:lang w:val="en-GB"/>
        </w:rPr>
        <w:t>and</w:t>
      </w:r>
      <w:r w:rsidRPr="00A75683">
        <w:rPr>
          <w:lang w:val="en-GB"/>
        </w:rPr>
        <w:t xml:space="preserve"> the State party </w:t>
      </w:r>
      <w:r w:rsidR="006F0897">
        <w:rPr>
          <w:lang w:val="en-GB"/>
        </w:rPr>
        <w:t>sh</w:t>
      </w:r>
      <w:r w:rsidRPr="00A75683">
        <w:rPr>
          <w:lang w:val="en-GB"/>
        </w:rPr>
        <w:t>ould not ignore</w:t>
      </w:r>
      <w:r w:rsidR="006F0897">
        <w:rPr>
          <w:lang w:val="en-GB"/>
        </w:rPr>
        <w:t xml:space="preserve"> it.</w:t>
      </w:r>
      <w:r w:rsidRPr="00A75683">
        <w:rPr>
          <w:lang w:val="en-GB"/>
        </w:rPr>
        <w:t xml:space="preserve"> </w:t>
      </w:r>
      <w:r w:rsidR="006F0897">
        <w:rPr>
          <w:lang w:val="en-GB"/>
        </w:rPr>
        <w:t>I</w:t>
      </w:r>
      <w:r w:rsidRPr="00A75683">
        <w:rPr>
          <w:lang w:val="en-GB"/>
        </w:rPr>
        <w:t xml:space="preserve">nformation on existing or planned countermeasures would be useful. According to the same NGO, some primary and secondary schools separated children from German and immigrant families on the grounds that the latter did not have sufficient German-language skills. The delegation was invited to comment on </w:t>
      </w:r>
      <w:r w:rsidR="006F0897">
        <w:rPr>
          <w:lang w:val="en-GB"/>
        </w:rPr>
        <w:t>those reports</w:t>
      </w:r>
      <w:r w:rsidRPr="00A75683">
        <w:rPr>
          <w:lang w:val="en-GB"/>
        </w:rPr>
        <w:t xml:space="preserve"> in </w:t>
      </w:r>
      <w:r w:rsidR="006F0897">
        <w:rPr>
          <w:lang w:val="en-GB"/>
        </w:rPr>
        <w:t xml:space="preserve">the </w:t>
      </w:r>
      <w:r w:rsidRPr="00A75683">
        <w:rPr>
          <w:lang w:val="en-GB"/>
        </w:rPr>
        <w:t>light of articles 2 and 26 of the Covenant.</w:t>
      </w:r>
    </w:p>
    <w:p w:rsidR="00A75683" w:rsidRPr="00A75683" w:rsidRDefault="00A75683" w:rsidP="006F0897">
      <w:pPr>
        <w:pStyle w:val="SingleTxt"/>
        <w:rPr>
          <w:lang w:val="en-GB"/>
        </w:rPr>
      </w:pPr>
      <w:r w:rsidRPr="00A75683">
        <w:rPr>
          <w:lang w:val="en-GB"/>
        </w:rPr>
        <w:t>17.</w:t>
      </w:r>
      <w:r w:rsidRPr="00A75683">
        <w:rPr>
          <w:lang w:val="en-GB"/>
        </w:rPr>
        <w:tab/>
      </w:r>
      <w:r w:rsidRPr="006F0897">
        <w:rPr>
          <w:b/>
          <w:bCs/>
          <w:lang w:val="en-GB"/>
        </w:rPr>
        <w:t>Ms. Motoc</w:t>
      </w:r>
      <w:r w:rsidRPr="00A75683">
        <w:rPr>
          <w:lang w:val="en-GB"/>
        </w:rPr>
        <w:t xml:space="preserve"> said that the proportion of female teaching staff at universities was very low </w:t>
      </w:r>
      <w:r w:rsidR="006F0897">
        <w:rPr>
          <w:lang w:val="en-GB"/>
        </w:rPr>
        <w:t>—</w:t>
      </w:r>
      <w:r w:rsidRPr="00A75683">
        <w:rPr>
          <w:lang w:val="en-GB"/>
        </w:rPr>
        <w:t xml:space="preserve"> only </w:t>
      </w:r>
      <w:r w:rsidR="006F0897">
        <w:rPr>
          <w:lang w:val="en-GB"/>
        </w:rPr>
        <w:t>5</w:t>
      </w:r>
      <w:r w:rsidRPr="00A75683">
        <w:rPr>
          <w:lang w:val="en-GB"/>
        </w:rPr>
        <w:t xml:space="preserve"> per cent of </w:t>
      </w:r>
      <w:r w:rsidR="006F0897">
        <w:rPr>
          <w:lang w:val="en-GB"/>
        </w:rPr>
        <w:t>l</w:t>
      </w:r>
      <w:r w:rsidRPr="00A75683">
        <w:rPr>
          <w:lang w:val="en-GB"/>
        </w:rPr>
        <w:t xml:space="preserve">aw professorships were held by women </w:t>
      </w:r>
      <w:r w:rsidR="006F0897">
        <w:rPr>
          <w:lang w:val="en-GB"/>
        </w:rPr>
        <w:t>—</w:t>
      </w:r>
      <w:r w:rsidRPr="00A75683">
        <w:rPr>
          <w:lang w:val="en-GB"/>
        </w:rPr>
        <w:t xml:space="preserve"> and wanted to know what measures had been taken to ensure better representation of women in th</w:t>
      </w:r>
      <w:r w:rsidR="006F0897">
        <w:rPr>
          <w:lang w:val="en-GB"/>
        </w:rPr>
        <w:t>e</w:t>
      </w:r>
      <w:r w:rsidRPr="00A75683">
        <w:rPr>
          <w:lang w:val="en-GB"/>
        </w:rPr>
        <w:t xml:space="preserve"> profession.</w:t>
      </w:r>
    </w:p>
    <w:p w:rsidR="00A75683" w:rsidRPr="00A75683" w:rsidRDefault="00A75683" w:rsidP="006F0897">
      <w:pPr>
        <w:pStyle w:val="SingleTxt"/>
        <w:rPr>
          <w:lang w:val="en-GB"/>
        </w:rPr>
      </w:pPr>
      <w:r w:rsidRPr="00A75683">
        <w:rPr>
          <w:lang w:val="en-GB"/>
        </w:rPr>
        <w:t>18.</w:t>
      </w:r>
      <w:r w:rsidRPr="00A75683">
        <w:rPr>
          <w:lang w:val="en-GB"/>
        </w:rPr>
        <w:tab/>
      </w:r>
      <w:r w:rsidRPr="006F0897">
        <w:rPr>
          <w:b/>
          <w:bCs/>
          <w:lang w:val="en-GB"/>
        </w:rPr>
        <w:t>Mr. Bouzid</w:t>
      </w:r>
      <w:r w:rsidR="006F0897">
        <w:rPr>
          <w:lang w:val="en-GB"/>
        </w:rPr>
        <w:t xml:space="preserve"> </w:t>
      </w:r>
      <w:r w:rsidRPr="00A75683">
        <w:rPr>
          <w:lang w:val="en-GB"/>
        </w:rPr>
        <w:t>asked whether the Committee’s concluding observations had been discussed in Parliament on Parliament’s own initiative or after they had been referred to Parliament by the Government. He also wanted to know whether the discussions had led to bills that would implement the Committee’s recommendations.</w:t>
      </w:r>
    </w:p>
    <w:p w:rsidR="00A75683" w:rsidRPr="00A75683" w:rsidRDefault="00A75683" w:rsidP="006F0897">
      <w:pPr>
        <w:pStyle w:val="SingleTxt"/>
        <w:rPr>
          <w:lang w:val="en-GB"/>
        </w:rPr>
      </w:pPr>
      <w:r w:rsidRPr="00A75683">
        <w:rPr>
          <w:lang w:val="en-GB"/>
        </w:rPr>
        <w:t>19.</w:t>
      </w:r>
      <w:r w:rsidRPr="00A75683">
        <w:rPr>
          <w:lang w:val="en-GB"/>
        </w:rPr>
        <w:tab/>
      </w:r>
      <w:r w:rsidRPr="006F0897">
        <w:rPr>
          <w:b/>
          <w:bCs/>
          <w:lang w:val="en-GB"/>
        </w:rPr>
        <w:t>The Chairperson</w:t>
      </w:r>
      <w:r w:rsidRPr="00A75683">
        <w:rPr>
          <w:lang w:val="en-GB"/>
        </w:rPr>
        <w:t xml:space="preserve"> thanked the members of the Committee and </w:t>
      </w:r>
      <w:r w:rsidR="006F0897">
        <w:rPr>
          <w:lang w:val="en-GB"/>
        </w:rPr>
        <w:t xml:space="preserve">said that she would suspend </w:t>
      </w:r>
      <w:r w:rsidRPr="00A75683">
        <w:rPr>
          <w:lang w:val="en-GB"/>
        </w:rPr>
        <w:t>the meeting for a few minutes to allow the German delegation to prepare its responses.</w:t>
      </w:r>
    </w:p>
    <w:p w:rsidR="00A75683" w:rsidRPr="00F512D5" w:rsidRDefault="00A75683" w:rsidP="00F512D5">
      <w:pPr>
        <w:pStyle w:val="SingleTxt"/>
        <w:rPr>
          <w:i/>
          <w:iCs/>
          <w:lang w:val="en-GB"/>
        </w:rPr>
      </w:pPr>
      <w:r w:rsidRPr="00F512D5">
        <w:rPr>
          <w:i/>
          <w:iCs/>
          <w:lang w:val="en-GB"/>
        </w:rPr>
        <w:t>The meeting was suspended at 4.05 p.m. and resumed at 4.20 p.m.</w:t>
      </w:r>
    </w:p>
    <w:p w:rsidR="00A75683" w:rsidRPr="00A75683" w:rsidRDefault="00A75683" w:rsidP="005F76FC">
      <w:pPr>
        <w:pStyle w:val="SingleTxt"/>
        <w:rPr>
          <w:lang w:val="en-GB"/>
        </w:rPr>
      </w:pPr>
      <w:r w:rsidRPr="00A75683">
        <w:rPr>
          <w:lang w:val="en-GB"/>
        </w:rPr>
        <w:t>20.</w:t>
      </w:r>
      <w:r w:rsidRPr="00A75683">
        <w:rPr>
          <w:lang w:val="en-GB"/>
        </w:rPr>
        <w:tab/>
      </w:r>
      <w:r w:rsidRPr="006F0897">
        <w:rPr>
          <w:b/>
          <w:bCs/>
          <w:lang w:val="en-GB"/>
        </w:rPr>
        <w:t>Mr. Behrens</w:t>
      </w:r>
      <w:r w:rsidRPr="00A75683">
        <w:rPr>
          <w:lang w:val="en-GB"/>
        </w:rPr>
        <w:t xml:space="preserve"> (</w:t>
      </w:r>
      <w:smartTag w:uri="urn:schemas-microsoft-com:office:smarttags" w:element="country-region">
        <w:smartTag w:uri="urn:schemas-microsoft-com:office:smarttags" w:element="place">
          <w:r w:rsidRPr="00A75683">
            <w:rPr>
              <w:lang w:val="en-GB"/>
            </w:rPr>
            <w:t>Germany</w:t>
          </w:r>
        </w:smartTag>
      </w:smartTag>
      <w:r w:rsidRPr="00A75683">
        <w:rPr>
          <w:lang w:val="en-GB"/>
        </w:rPr>
        <w:t xml:space="preserve">) said that the Committee’s concluding observations were translated into German and sent to Parliament (Bundestag), the Federal Council (Bundesrat), all federal ministries and </w:t>
      </w:r>
      <w:r w:rsidR="005F76FC">
        <w:rPr>
          <w:lang w:val="en-GB"/>
        </w:rPr>
        <w:t xml:space="preserve">the </w:t>
      </w:r>
      <w:r w:rsidRPr="00A75683">
        <w:rPr>
          <w:lang w:val="en-GB"/>
        </w:rPr>
        <w:t xml:space="preserve">Länder administrations. At the Federal Council, where all of the Länder administrations </w:t>
      </w:r>
      <w:r w:rsidR="005F76FC">
        <w:rPr>
          <w:lang w:val="en-GB"/>
        </w:rPr>
        <w:t>were</w:t>
      </w:r>
      <w:r w:rsidRPr="00A75683">
        <w:rPr>
          <w:lang w:val="en-GB"/>
        </w:rPr>
        <w:t xml:space="preserve"> represented, the observations were not debated as a matter of course, except where there were issues specifically </w:t>
      </w:r>
      <w:r w:rsidR="005F76FC">
        <w:rPr>
          <w:lang w:val="en-GB"/>
        </w:rPr>
        <w:t>relating to</w:t>
      </w:r>
      <w:r w:rsidRPr="00A75683">
        <w:rPr>
          <w:lang w:val="en-GB"/>
        </w:rPr>
        <w:t xml:space="preserve"> the implementation of the Convention at local level.</w:t>
      </w:r>
    </w:p>
    <w:p w:rsidR="00A75683" w:rsidRPr="00A75683" w:rsidRDefault="00A75683" w:rsidP="005F76FC">
      <w:pPr>
        <w:pStyle w:val="SingleTxt"/>
        <w:rPr>
          <w:lang w:val="en-GB"/>
        </w:rPr>
      </w:pPr>
      <w:r w:rsidRPr="00A75683">
        <w:rPr>
          <w:lang w:val="en-GB"/>
        </w:rPr>
        <w:t>21.</w:t>
      </w:r>
      <w:r w:rsidRPr="00A75683">
        <w:rPr>
          <w:lang w:val="en-GB"/>
        </w:rPr>
        <w:tab/>
      </w:r>
      <w:r w:rsidRPr="005F76FC">
        <w:rPr>
          <w:b/>
          <w:bCs/>
          <w:lang w:val="en-GB"/>
        </w:rPr>
        <w:t>Ms. Dahs</w:t>
      </w:r>
      <w:r w:rsidRPr="00A75683">
        <w:rPr>
          <w:lang w:val="en-GB"/>
        </w:rPr>
        <w:t xml:space="preserve"> (Germany) said that race, ethnic origin and sex were not the only reasons for discrimination that were forbidden by the anti-discrimination law, which also mentioned age, sexual orientation and disability. The law provided fo</w:t>
      </w:r>
      <w:r w:rsidR="005F76FC">
        <w:rPr>
          <w:lang w:val="en-GB"/>
        </w:rPr>
        <w:t xml:space="preserve">r compensation to victims. The </w:t>
      </w:r>
      <w:r w:rsidRPr="00A75683">
        <w:rPr>
          <w:lang w:val="en-GB"/>
        </w:rPr>
        <w:t xml:space="preserve">Federal Anti-Discrimination Agency offered assistance to victims, carried out studies and </w:t>
      </w:r>
      <w:r w:rsidR="005F76FC">
        <w:rPr>
          <w:lang w:val="en-GB"/>
        </w:rPr>
        <w:t>gathered</w:t>
      </w:r>
      <w:r w:rsidRPr="00A75683">
        <w:rPr>
          <w:lang w:val="en-GB"/>
        </w:rPr>
        <w:t xml:space="preserve"> statistics. Legal rulings in discrimination cases were recorded in a database.</w:t>
      </w:r>
    </w:p>
    <w:p w:rsidR="00A75683" w:rsidRPr="00A75683" w:rsidRDefault="00A75683" w:rsidP="002545CD">
      <w:pPr>
        <w:pStyle w:val="SingleTxt"/>
        <w:rPr>
          <w:lang w:val="en-GB"/>
        </w:rPr>
      </w:pPr>
      <w:r w:rsidRPr="00A75683">
        <w:rPr>
          <w:lang w:val="en-GB"/>
        </w:rPr>
        <w:t>22.</w:t>
      </w:r>
      <w:r w:rsidRPr="00A75683">
        <w:rPr>
          <w:lang w:val="en-GB"/>
        </w:rPr>
        <w:tab/>
        <w:t xml:space="preserve">Progress observed at federal level in women’s representation in the public sector was reflected at </w:t>
      </w:r>
      <w:r w:rsidR="005F76FC">
        <w:rPr>
          <w:lang w:val="en-GB"/>
        </w:rPr>
        <w:t xml:space="preserve">the </w:t>
      </w:r>
      <w:r w:rsidRPr="00A75683">
        <w:rPr>
          <w:lang w:val="en-GB"/>
        </w:rPr>
        <w:t>level</w:t>
      </w:r>
      <w:r w:rsidR="005F76FC">
        <w:rPr>
          <w:lang w:val="en-GB"/>
        </w:rPr>
        <w:t xml:space="preserve"> of the </w:t>
      </w:r>
      <w:r w:rsidR="005F76FC" w:rsidRPr="00A75683">
        <w:rPr>
          <w:lang w:val="en-GB"/>
        </w:rPr>
        <w:t>Länder</w:t>
      </w:r>
      <w:r w:rsidRPr="00A75683">
        <w:rPr>
          <w:lang w:val="en-GB"/>
        </w:rPr>
        <w:t xml:space="preserve">. In Berlin, for example, 25 per cent of management posts were currently held by women </w:t>
      </w:r>
      <w:r w:rsidR="005F76FC">
        <w:rPr>
          <w:lang w:val="en-GB"/>
        </w:rPr>
        <w:t>—</w:t>
      </w:r>
      <w:r w:rsidRPr="00A75683">
        <w:rPr>
          <w:lang w:val="en-GB"/>
        </w:rPr>
        <w:t xml:space="preserve"> compared to only 9.8 per cent in 2002 </w:t>
      </w:r>
      <w:r w:rsidR="005F76FC">
        <w:rPr>
          <w:lang w:val="en-GB"/>
        </w:rPr>
        <w:t>—</w:t>
      </w:r>
      <w:r w:rsidRPr="00A75683">
        <w:rPr>
          <w:lang w:val="en-GB"/>
        </w:rPr>
        <w:t xml:space="preserve"> and 15.1 per cent of judges and prosecutors were female. Nonetheless, sexual equality had not yet been achieved. That would require a change in mentality, which would involve </w:t>
      </w:r>
      <w:r w:rsidR="005F76FC">
        <w:rPr>
          <w:lang w:val="en-GB"/>
        </w:rPr>
        <w:t>much</w:t>
      </w:r>
      <w:r w:rsidRPr="00A75683">
        <w:rPr>
          <w:lang w:val="en-GB"/>
        </w:rPr>
        <w:t xml:space="preserve"> awareness-raising and educational work. It would also be necessary to give women the means to combine their professional and family lives</w:t>
      </w:r>
      <w:r w:rsidR="005F76FC">
        <w:rPr>
          <w:lang w:val="en-GB"/>
        </w:rPr>
        <w:t xml:space="preserve"> more effectively —</w:t>
      </w:r>
      <w:r w:rsidRPr="00A75683">
        <w:rPr>
          <w:lang w:val="en-GB"/>
        </w:rPr>
        <w:t xml:space="preserve"> for example, by developing childcare services and opportunities for part-time work. Efforts were being made in </w:t>
      </w:r>
      <w:r w:rsidR="005F76FC">
        <w:rPr>
          <w:lang w:val="en-GB"/>
        </w:rPr>
        <w:t>that direction. Among</w:t>
      </w:r>
      <w:r w:rsidRPr="00A75683">
        <w:rPr>
          <w:lang w:val="en-GB"/>
        </w:rPr>
        <w:t xml:space="preserve"> other special </w:t>
      </w:r>
      <w:r w:rsidR="005F76FC">
        <w:rPr>
          <w:lang w:val="en-GB"/>
        </w:rPr>
        <w:t xml:space="preserve">interim </w:t>
      </w:r>
      <w:r w:rsidRPr="00A75683">
        <w:rPr>
          <w:lang w:val="en-GB"/>
        </w:rPr>
        <w:t xml:space="preserve">measures, the General </w:t>
      </w:r>
      <w:r w:rsidR="002545CD" w:rsidRPr="00A75683">
        <w:rPr>
          <w:lang w:val="en-GB"/>
        </w:rPr>
        <w:t xml:space="preserve">Equal Treatment </w:t>
      </w:r>
      <w:r w:rsidRPr="00A75683">
        <w:rPr>
          <w:lang w:val="en-GB"/>
        </w:rPr>
        <w:t xml:space="preserve">Act stated that, provided that she was equally qualified, a woman applying for a job in a </w:t>
      </w:r>
      <w:r w:rsidR="005F76FC">
        <w:rPr>
          <w:lang w:val="en-GB"/>
        </w:rPr>
        <w:t>field</w:t>
      </w:r>
      <w:r w:rsidRPr="00A75683">
        <w:rPr>
          <w:lang w:val="en-GB"/>
        </w:rPr>
        <w:t xml:space="preserve"> where women were underrepresented </w:t>
      </w:r>
      <w:r w:rsidR="005F76FC">
        <w:rPr>
          <w:lang w:val="en-GB"/>
        </w:rPr>
        <w:t>must</w:t>
      </w:r>
      <w:r w:rsidRPr="00A75683">
        <w:rPr>
          <w:lang w:val="en-GB"/>
        </w:rPr>
        <w:t xml:space="preserve"> be given priority over male candidates.</w:t>
      </w:r>
    </w:p>
    <w:p w:rsidR="00A75683" w:rsidRPr="00A75683" w:rsidRDefault="00A75683" w:rsidP="00A13E16">
      <w:pPr>
        <w:pStyle w:val="SingleTxt"/>
        <w:rPr>
          <w:lang w:val="en-GB"/>
        </w:rPr>
      </w:pPr>
      <w:r w:rsidRPr="00A75683">
        <w:rPr>
          <w:lang w:val="en-GB"/>
        </w:rPr>
        <w:t>23.</w:t>
      </w:r>
      <w:r w:rsidRPr="00A75683">
        <w:rPr>
          <w:lang w:val="en-GB"/>
        </w:rPr>
        <w:tab/>
      </w:r>
      <w:r w:rsidRPr="005F76FC">
        <w:rPr>
          <w:b/>
          <w:bCs/>
          <w:lang w:val="en-GB"/>
        </w:rPr>
        <w:t>Ms. Hentschel</w:t>
      </w:r>
      <w:r w:rsidRPr="00A75683">
        <w:rPr>
          <w:lang w:val="en-GB"/>
        </w:rPr>
        <w:t xml:space="preserve"> (</w:t>
      </w:r>
      <w:smartTag w:uri="urn:schemas-microsoft-com:office:smarttags" w:element="country-region">
        <w:smartTag w:uri="urn:schemas-microsoft-com:office:smarttags" w:element="place">
          <w:r w:rsidRPr="00A75683">
            <w:rPr>
              <w:lang w:val="en-GB"/>
            </w:rPr>
            <w:t>Germany</w:t>
          </w:r>
        </w:smartTag>
      </w:smartTag>
      <w:r w:rsidRPr="00A75683">
        <w:rPr>
          <w:lang w:val="en-GB"/>
        </w:rPr>
        <w:t>) said that</w:t>
      </w:r>
      <w:r w:rsidR="00A13E16">
        <w:rPr>
          <w:lang w:val="en-GB"/>
        </w:rPr>
        <w:t>,</w:t>
      </w:r>
      <w:r w:rsidRPr="00A75683">
        <w:rPr>
          <w:lang w:val="en-GB"/>
        </w:rPr>
        <w:t xml:space="preserve"> in 2007, at national level, the proportion of university professorships held by women was on average 16.2 per cent. </w:t>
      </w:r>
      <w:smartTag w:uri="urn:schemas-microsoft-com:office:smarttags" w:element="place">
        <w:smartTag w:uri="urn:schemas-microsoft-com:office:smarttags" w:element="PlaceName">
          <w:r w:rsidRPr="00A75683">
            <w:rPr>
              <w:lang w:val="en-GB"/>
            </w:rPr>
            <w:t>Berlin</w:t>
          </w:r>
        </w:smartTag>
        <w:r w:rsidRPr="00A75683">
          <w:rPr>
            <w:lang w:val="en-GB"/>
          </w:rPr>
          <w:t xml:space="preserve"> </w:t>
        </w:r>
        <w:smartTag w:uri="urn:schemas-microsoft-com:office:smarttags" w:element="PlaceType">
          <w:r w:rsidRPr="00A75683">
            <w:rPr>
              <w:lang w:val="en-GB"/>
            </w:rPr>
            <w:t>Land</w:t>
          </w:r>
        </w:smartTag>
      </w:smartTag>
      <w:r w:rsidRPr="00A75683">
        <w:rPr>
          <w:lang w:val="en-GB"/>
        </w:rPr>
        <w:t>, where th</w:t>
      </w:r>
      <w:r w:rsidR="00A13E16">
        <w:rPr>
          <w:lang w:val="en-GB"/>
        </w:rPr>
        <w:t>e</w:t>
      </w:r>
      <w:r w:rsidRPr="00A75683">
        <w:rPr>
          <w:lang w:val="en-GB"/>
        </w:rPr>
        <w:t xml:space="preserve"> proportion was as high as 29.5 per cent, stood out</w:t>
      </w:r>
      <w:r w:rsidR="00A13E16">
        <w:rPr>
          <w:lang w:val="en-GB"/>
        </w:rPr>
        <w:t>,</w:t>
      </w:r>
      <w:r w:rsidRPr="00A75683">
        <w:rPr>
          <w:lang w:val="en-GB"/>
        </w:rPr>
        <w:t xml:space="preserve"> thanks to its active policy </w:t>
      </w:r>
      <w:r w:rsidR="00A13E16">
        <w:rPr>
          <w:lang w:val="en-GB"/>
        </w:rPr>
        <w:t>of increasing</w:t>
      </w:r>
      <w:r w:rsidRPr="00A75683">
        <w:rPr>
          <w:lang w:val="en-GB"/>
        </w:rPr>
        <w:t xml:space="preserve"> the number of women teaching at universities through measures including</w:t>
      </w:r>
      <w:r w:rsidR="00A13E16">
        <w:rPr>
          <w:lang w:val="en-GB"/>
        </w:rPr>
        <w:t xml:space="preserve"> </w:t>
      </w:r>
      <w:r w:rsidRPr="00A75683">
        <w:rPr>
          <w:lang w:val="en-GB"/>
        </w:rPr>
        <w:t>a quota system. Knowing the language was a key element of access to education and it was often due to insufficient knowledge of German that children with other mother tongues had lower levels of attainment at scho</w:t>
      </w:r>
      <w:r w:rsidR="00A13E16">
        <w:rPr>
          <w:lang w:val="en-GB"/>
        </w:rPr>
        <w:t>ol. Improving attainment among</w:t>
      </w:r>
      <w:r w:rsidRPr="00A75683">
        <w:rPr>
          <w:lang w:val="en-GB"/>
        </w:rPr>
        <w:t xml:space="preserve"> </w:t>
      </w:r>
      <w:r w:rsidR="00A13E16">
        <w:rPr>
          <w:lang w:val="en-GB"/>
        </w:rPr>
        <w:t>such</w:t>
      </w:r>
      <w:r w:rsidRPr="00A75683">
        <w:rPr>
          <w:lang w:val="en-GB"/>
        </w:rPr>
        <w:t xml:space="preserve"> children was a priority, and programmes focused on language</w:t>
      </w:r>
      <w:r w:rsidR="00A13E16">
        <w:rPr>
          <w:lang w:val="en-GB"/>
        </w:rPr>
        <w:t xml:space="preserve"> </w:t>
      </w:r>
      <w:r w:rsidRPr="00A75683">
        <w:rPr>
          <w:lang w:val="en-GB"/>
        </w:rPr>
        <w:t>learning were being implemented to achieve th</w:t>
      </w:r>
      <w:r w:rsidR="00A13E16">
        <w:rPr>
          <w:lang w:val="en-GB"/>
        </w:rPr>
        <w:t>at</w:t>
      </w:r>
      <w:r w:rsidRPr="00A75683">
        <w:rPr>
          <w:lang w:val="en-GB"/>
        </w:rPr>
        <w:t xml:space="preserve"> goal.</w:t>
      </w:r>
    </w:p>
    <w:p w:rsidR="00A75683" w:rsidRPr="00A75683" w:rsidRDefault="00A75683" w:rsidP="002545CD">
      <w:pPr>
        <w:pStyle w:val="SingleTxt"/>
        <w:rPr>
          <w:lang w:val="en-GB"/>
        </w:rPr>
      </w:pPr>
      <w:r w:rsidRPr="00A75683">
        <w:rPr>
          <w:lang w:val="en-GB"/>
        </w:rPr>
        <w:t>24.</w:t>
      </w:r>
      <w:r w:rsidRPr="00A75683">
        <w:rPr>
          <w:lang w:val="en-GB"/>
        </w:rPr>
        <w:tab/>
      </w:r>
      <w:r w:rsidRPr="00A13E16">
        <w:rPr>
          <w:b/>
          <w:bCs/>
          <w:lang w:val="en-GB"/>
        </w:rPr>
        <w:t>Ms. Behr</w:t>
      </w:r>
      <w:r w:rsidRPr="00A75683">
        <w:rPr>
          <w:lang w:val="en-GB"/>
        </w:rPr>
        <w:t xml:space="preserve"> (</w:t>
      </w:r>
      <w:smartTag w:uri="urn:schemas-microsoft-com:office:smarttags" w:element="country-region">
        <w:smartTag w:uri="urn:schemas-microsoft-com:office:smarttags" w:element="place">
          <w:r w:rsidRPr="00A75683">
            <w:rPr>
              <w:lang w:val="en-GB"/>
            </w:rPr>
            <w:t>Germany</w:t>
          </w:r>
        </w:smartTag>
      </w:smartTag>
      <w:r w:rsidRPr="00A75683">
        <w:rPr>
          <w:lang w:val="en-GB"/>
        </w:rPr>
        <w:t>) said that article 19</w:t>
      </w:r>
      <w:r w:rsidR="00A13E16">
        <w:rPr>
          <w:lang w:val="en-GB"/>
        </w:rPr>
        <w:t>, paragraph 3,</w:t>
      </w:r>
      <w:r w:rsidRPr="00A75683">
        <w:rPr>
          <w:lang w:val="en-GB"/>
        </w:rPr>
        <w:t xml:space="preserve"> of the General </w:t>
      </w:r>
      <w:r w:rsidR="002545CD" w:rsidRPr="00A75683">
        <w:rPr>
          <w:lang w:val="en-GB"/>
        </w:rPr>
        <w:t xml:space="preserve">Equal Treatment </w:t>
      </w:r>
      <w:r w:rsidRPr="00A75683">
        <w:rPr>
          <w:lang w:val="en-GB"/>
        </w:rPr>
        <w:t>Act was in no way intended to be discriminatory and, on the contrary, promoted integration by preventing ghettoi</w:t>
      </w:r>
      <w:r w:rsidR="00A13E16">
        <w:rPr>
          <w:lang w:val="en-GB"/>
        </w:rPr>
        <w:t>z</w:t>
      </w:r>
      <w:r w:rsidRPr="00A75683">
        <w:rPr>
          <w:lang w:val="en-GB"/>
        </w:rPr>
        <w:t>ation, which was often the cause of inter-community tensions.</w:t>
      </w:r>
    </w:p>
    <w:p w:rsidR="00A75683" w:rsidRPr="00A75683" w:rsidRDefault="00A75683" w:rsidP="002545CD">
      <w:pPr>
        <w:pStyle w:val="SingleTxt"/>
        <w:rPr>
          <w:lang w:val="en-GB"/>
        </w:rPr>
      </w:pPr>
      <w:r w:rsidRPr="00A75683">
        <w:rPr>
          <w:lang w:val="en-GB"/>
        </w:rPr>
        <w:t>25.</w:t>
      </w:r>
      <w:r w:rsidRPr="00A75683">
        <w:rPr>
          <w:lang w:val="en-GB"/>
        </w:rPr>
        <w:tab/>
      </w:r>
      <w:r w:rsidRPr="00A13E16">
        <w:rPr>
          <w:b/>
          <w:bCs/>
          <w:lang w:val="en-GB"/>
        </w:rPr>
        <w:t>Mr. Kälin</w:t>
      </w:r>
      <w:r w:rsidRPr="00A75683">
        <w:rPr>
          <w:lang w:val="en-GB"/>
        </w:rPr>
        <w:t xml:space="preserve"> said that article 19</w:t>
      </w:r>
      <w:r w:rsidR="00A13E16">
        <w:rPr>
          <w:lang w:val="en-GB"/>
        </w:rPr>
        <w:t>, paragraph</w:t>
      </w:r>
      <w:r w:rsidRPr="00A75683">
        <w:rPr>
          <w:lang w:val="en-GB"/>
        </w:rPr>
        <w:t xml:space="preserve"> 3</w:t>
      </w:r>
      <w:r w:rsidR="00A13E16">
        <w:rPr>
          <w:lang w:val="en-GB"/>
        </w:rPr>
        <w:t>,</w:t>
      </w:r>
      <w:r w:rsidRPr="00A75683">
        <w:rPr>
          <w:lang w:val="en-GB"/>
        </w:rPr>
        <w:t xml:space="preserve"> of the General </w:t>
      </w:r>
      <w:r w:rsidR="002545CD" w:rsidRPr="00A75683">
        <w:rPr>
          <w:lang w:val="en-GB"/>
        </w:rPr>
        <w:t xml:space="preserve">Equal Treatment </w:t>
      </w:r>
      <w:r w:rsidRPr="00A75683">
        <w:rPr>
          <w:lang w:val="en-GB"/>
        </w:rPr>
        <w:t>Act could nonetheless lead to the exclusion of certain categories of people from some districts on the basis that their presence might give rise to unrest. It would be interesting to know how th</w:t>
      </w:r>
      <w:r w:rsidR="00A13E16">
        <w:rPr>
          <w:lang w:val="en-GB"/>
        </w:rPr>
        <w:t>at</w:t>
      </w:r>
      <w:r w:rsidRPr="00A75683">
        <w:rPr>
          <w:lang w:val="en-GB"/>
        </w:rPr>
        <w:t xml:space="preserve"> provision was interpreted by the courts.</w:t>
      </w:r>
    </w:p>
    <w:p w:rsidR="00A75683" w:rsidRPr="00A75683" w:rsidRDefault="00A75683" w:rsidP="002545CD">
      <w:pPr>
        <w:pStyle w:val="SingleTxt"/>
        <w:rPr>
          <w:lang w:val="en-GB"/>
        </w:rPr>
      </w:pPr>
      <w:r w:rsidRPr="00A75683">
        <w:rPr>
          <w:lang w:val="en-GB"/>
        </w:rPr>
        <w:t>26.</w:t>
      </w:r>
      <w:r w:rsidRPr="00A75683">
        <w:rPr>
          <w:lang w:val="en-GB"/>
        </w:rPr>
        <w:tab/>
      </w:r>
      <w:r w:rsidRPr="00A13E16">
        <w:rPr>
          <w:b/>
          <w:bCs/>
          <w:lang w:val="en-GB"/>
        </w:rPr>
        <w:t>Mr. Flinterman</w:t>
      </w:r>
      <w:r w:rsidRPr="00A75683">
        <w:rPr>
          <w:lang w:val="en-GB"/>
        </w:rPr>
        <w:t xml:space="preserve"> asked why it appeared that, in spite of the delegation’s recognition that efforts still had to be made to bring about sexual equality in practice, special </w:t>
      </w:r>
      <w:r w:rsidR="00A13E16">
        <w:rPr>
          <w:lang w:val="en-GB"/>
        </w:rPr>
        <w:t xml:space="preserve">interim </w:t>
      </w:r>
      <w:r w:rsidRPr="00A75683">
        <w:rPr>
          <w:lang w:val="en-GB"/>
        </w:rPr>
        <w:t xml:space="preserve">measures authorized by law were being used </w:t>
      </w:r>
      <w:r w:rsidR="00A13E16" w:rsidRPr="00A75683">
        <w:rPr>
          <w:lang w:val="en-GB"/>
        </w:rPr>
        <w:t xml:space="preserve">only </w:t>
      </w:r>
      <w:r w:rsidRPr="00A75683">
        <w:rPr>
          <w:lang w:val="en-GB"/>
        </w:rPr>
        <w:t>in exceptional circumstances. In the report on his visit to Germany in 2009 (A/HRC/14/43/Add.2), the Special Rapporteur on contemporary forms of racism, racial discrimination, xenophobia and related intolerance had observed that the Federal Anti-Discrimination Agency should be strengthened so that it could be effective in promoting equality between the sexes. Had any measures been taken in th</w:t>
      </w:r>
      <w:r w:rsidR="00A13E16">
        <w:rPr>
          <w:lang w:val="en-GB"/>
        </w:rPr>
        <w:t>at</w:t>
      </w:r>
      <w:r w:rsidRPr="00A75683">
        <w:rPr>
          <w:lang w:val="en-GB"/>
        </w:rPr>
        <w:t xml:space="preserve"> regard? The Special Rapporteur had also noted that the goal of article 19</w:t>
      </w:r>
      <w:r w:rsidR="00A13E16">
        <w:rPr>
          <w:lang w:val="en-GB"/>
        </w:rPr>
        <w:t xml:space="preserve">, paragraph </w:t>
      </w:r>
      <w:r w:rsidRPr="00A75683">
        <w:rPr>
          <w:lang w:val="en-GB"/>
        </w:rPr>
        <w:t>3</w:t>
      </w:r>
      <w:r w:rsidR="00A13E16">
        <w:rPr>
          <w:lang w:val="en-GB"/>
        </w:rPr>
        <w:t>,</w:t>
      </w:r>
      <w:r w:rsidRPr="00A75683">
        <w:rPr>
          <w:lang w:val="en-GB"/>
        </w:rPr>
        <w:t xml:space="preserve"> of the General </w:t>
      </w:r>
      <w:r w:rsidR="002545CD" w:rsidRPr="00A75683">
        <w:rPr>
          <w:lang w:val="en-GB"/>
        </w:rPr>
        <w:t xml:space="preserve">Equal Treatment </w:t>
      </w:r>
      <w:r w:rsidRPr="00A75683">
        <w:rPr>
          <w:lang w:val="en-GB"/>
        </w:rPr>
        <w:t>Act had not been achieved in practice. It would be interesting to know what the current situation was.</w:t>
      </w:r>
    </w:p>
    <w:p w:rsidR="00A75683" w:rsidRPr="00A75683" w:rsidRDefault="00A75683" w:rsidP="00671929">
      <w:pPr>
        <w:pStyle w:val="SingleTxt"/>
        <w:rPr>
          <w:lang w:val="en-GB"/>
        </w:rPr>
      </w:pPr>
      <w:r w:rsidRPr="00A75683">
        <w:rPr>
          <w:lang w:val="en-GB"/>
        </w:rPr>
        <w:t>27.</w:t>
      </w:r>
      <w:r w:rsidRPr="00A75683">
        <w:rPr>
          <w:lang w:val="en-GB"/>
        </w:rPr>
        <w:tab/>
      </w:r>
      <w:r w:rsidRPr="00A13E16">
        <w:rPr>
          <w:b/>
          <w:bCs/>
          <w:lang w:val="en-GB"/>
        </w:rPr>
        <w:t>Ms. Chanet</w:t>
      </w:r>
      <w:r w:rsidRPr="00A75683">
        <w:rPr>
          <w:lang w:val="en-GB"/>
        </w:rPr>
        <w:t xml:space="preserve"> asked, </w:t>
      </w:r>
      <w:r w:rsidR="004E683D">
        <w:rPr>
          <w:lang w:val="en-GB"/>
        </w:rPr>
        <w:t>with</w:t>
      </w:r>
      <w:r w:rsidRPr="00A75683">
        <w:rPr>
          <w:lang w:val="en-GB"/>
        </w:rPr>
        <w:t xml:space="preserve"> reference to the State party’s reservation </w:t>
      </w:r>
      <w:r w:rsidR="004E683D">
        <w:rPr>
          <w:lang w:val="en-GB"/>
        </w:rPr>
        <w:t>on</w:t>
      </w:r>
      <w:r w:rsidRPr="00A75683">
        <w:rPr>
          <w:lang w:val="en-GB"/>
        </w:rPr>
        <w:t xml:space="preserve"> article 15</w:t>
      </w:r>
      <w:r w:rsidR="004E683D">
        <w:rPr>
          <w:lang w:val="en-GB"/>
        </w:rPr>
        <w:t>,</w:t>
      </w:r>
      <w:r w:rsidRPr="00A75683">
        <w:rPr>
          <w:lang w:val="en-GB"/>
        </w:rPr>
        <w:t xml:space="preserve"> paragraph 1</w:t>
      </w:r>
      <w:r w:rsidR="004E683D">
        <w:rPr>
          <w:lang w:val="en-GB"/>
        </w:rPr>
        <w:t>,</w:t>
      </w:r>
      <w:r w:rsidRPr="00A75683">
        <w:rPr>
          <w:lang w:val="en-GB"/>
        </w:rPr>
        <w:t xml:space="preserve"> of the Convention, </w:t>
      </w:r>
      <w:r w:rsidR="004E683D">
        <w:rPr>
          <w:lang w:val="en-GB"/>
        </w:rPr>
        <w:t>what the</w:t>
      </w:r>
      <w:r w:rsidRPr="00A75683">
        <w:rPr>
          <w:lang w:val="en-GB"/>
        </w:rPr>
        <w:t xml:space="preserve"> exceptional </w:t>
      </w:r>
      <w:r w:rsidR="004E683D">
        <w:rPr>
          <w:lang w:val="en-GB"/>
        </w:rPr>
        <w:t>circumstances consisted in when,</w:t>
      </w:r>
      <w:r w:rsidRPr="00A75683">
        <w:rPr>
          <w:lang w:val="en-GB"/>
        </w:rPr>
        <w:t xml:space="preserve"> where a case was in progress and more lenient legislation came into force, the courts continued to prosecute and sentence according to </w:t>
      </w:r>
      <w:r w:rsidR="004E683D">
        <w:rPr>
          <w:lang w:val="en-GB"/>
        </w:rPr>
        <w:t>the previous</w:t>
      </w:r>
      <w:r w:rsidRPr="00A75683">
        <w:rPr>
          <w:lang w:val="en-GB"/>
        </w:rPr>
        <w:t xml:space="preserve"> legislation. She noted with satisfaction that the State party had taken account of the Committee’s decision of</w:t>
      </w:r>
      <w:r w:rsidR="004E683D">
        <w:rPr>
          <w:lang w:val="en-GB"/>
        </w:rPr>
        <w:t xml:space="preserve"> March 2012 on a communication relating to it</w:t>
      </w:r>
      <w:r w:rsidRPr="00A75683">
        <w:rPr>
          <w:lang w:val="en-GB"/>
        </w:rPr>
        <w:t xml:space="preserve"> and was willing to consider the possibility of withdrawing its reservation regarding the Optional Protocol. </w:t>
      </w:r>
      <w:r w:rsidR="004E683D">
        <w:rPr>
          <w:lang w:val="en-GB"/>
        </w:rPr>
        <w:t>Under that</w:t>
      </w:r>
      <w:r w:rsidRPr="00A75683">
        <w:rPr>
          <w:lang w:val="en-GB"/>
        </w:rPr>
        <w:t xml:space="preserve"> reservation, it refused to recognize the Committee’s jurisdiction in considering reports of violations of article 26 of the Covenant</w:t>
      </w:r>
      <w:r w:rsidR="004E683D">
        <w:rPr>
          <w:lang w:val="en-GB"/>
        </w:rPr>
        <w:t>,</w:t>
      </w:r>
      <w:r w:rsidRPr="00A75683">
        <w:rPr>
          <w:lang w:val="en-GB"/>
        </w:rPr>
        <w:t xml:space="preserve"> if the reported violation concerned rights other than those guaranteed under the Covenant. She strongly encouraged the State party to lift </w:t>
      </w:r>
      <w:r w:rsidR="004E683D">
        <w:rPr>
          <w:lang w:val="en-GB"/>
        </w:rPr>
        <w:t>its</w:t>
      </w:r>
      <w:r w:rsidRPr="00A75683">
        <w:rPr>
          <w:lang w:val="en-GB"/>
        </w:rPr>
        <w:t xml:space="preserve"> reservation.</w:t>
      </w:r>
    </w:p>
    <w:p w:rsidR="00A75683" w:rsidRPr="00A75683" w:rsidRDefault="00A75683" w:rsidP="002545CD">
      <w:pPr>
        <w:pStyle w:val="SingleTxt"/>
        <w:rPr>
          <w:lang w:val="en-GB"/>
        </w:rPr>
      </w:pPr>
      <w:r w:rsidRPr="00A75683">
        <w:rPr>
          <w:lang w:val="en-GB"/>
        </w:rPr>
        <w:t>28.</w:t>
      </w:r>
      <w:r w:rsidRPr="00A75683">
        <w:rPr>
          <w:lang w:val="en-GB"/>
        </w:rPr>
        <w:tab/>
      </w:r>
      <w:r w:rsidRPr="004E683D">
        <w:rPr>
          <w:b/>
          <w:bCs/>
          <w:lang w:val="en-GB"/>
        </w:rPr>
        <w:t>Ms. Behr</w:t>
      </w:r>
      <w:r w:rsidRPr="00A75683">
        <w:rPr>
          <w:lang w:val="en-GB"/>
        </w:rPr>
        <w:t xml:space="preserve"> (Germany) said that she doubted that there was any jurisprudence concerning article 19</w:t>
      </w:r>
      <w:r w:rsidR="004E683D">
        <w:rPr>
          <w:lang w:val="en-GB"/>
        </w:rPr>
        <w:t>, paragraph</w:t>
      </w:r>
      <w:r w:rsidRPr="00A75683">
        <w:rPr>
          <w:lang w:val="en-GB"/>
        </w:rPr>
        <w:t xml:space="preserve"> 3</w:t>
      </w:r>
      <w:r w:rsidR="004E683D">
        <w:rPr>
          <w:lang w:val="en-GB"/>
        </w:rPr>
        <w:t>,</w:t>
      </w:r>
      <w:r w:rsidRPr="00A75683">
        <w:rPr>
          <w:lang w:val="en-GB"/>
        </w:rPr>
        <w:t xml:space="preserve"> of the General </w:t>
      </w:r>
      <w:r w:rsidR="002545CD" w:rsidRPr="00A75683">
        <w:rPr>
          <w:lang w:val="en-GB"/>
        </w:rPr>
        <w:t xml:space="preserve">Equal Treatment </w:t>
      </w:r>
      <w:r w:rsidR="00671929">
        <w:rPr>
          <w:lang w:val="en-GB"/>
        </w:rPr>
        <w:t>Act, but</w:t>
      </w:r>
      <w:r w:rsidRPr="00A75683">
        <w:rPr>
          <w:lang w:val="en-GB"/>
        </w:rPr>
        <w:t xml:space="preserve"> she would seek confirmation from the competent authorities. She added that the Act had been recognized as </w:t>
      </w:r>
      <w:r w:rsidR="004E683D">
        <w:rPr>
          <w:lang w:val="en-GB"/>
        </w:rPr>
        <w:t xml:space="preserve">being </w:t>
      </w:r>
      <w:r w:rsidRPr="00A75683">
        <w:rPr>
          <w:lang w:val="en-GB"/>
        </w:rPr>
        <w:t>in line with European anti-discrimination directives and that, to the best of her knowledge, no cases of discriminatory exclusion resulting from the application of article 19</w:t>
      </w:r>
      <w:r w:rsidR="004E683D">
        <w:rPr>
          <w:lang w:val="en-GB"/>
        </w:rPr>
        <w:t>, paragraph</w:t>
      </w:r>
      <w:r w:rsidRPr="00A75683">
        <w:rPr>
          <w:lang w:val="en-GB"/>
        </w:rPr>
        <w:t xml:space="preserve"> 3</w:t>
      </w:r>
      <w:r w:rsidR="004E683D">
        <w:rPr>
          <w:lang w:val="en-GB"/>
        </w:rPr>
        <w:t>,</w:t>
      </w:r>
      <w:r w:rsidRPr="00A75683">
        <w:rPr>
          <w:lang w:val="en-GB"/>
        </w:rPr>
        <w:t xml:space="preserve"> had been reported to date.</w:t>
      </w:r>
    </w:p>
    <w:p w:rsidR="00A75683" w:rsidRPr="00A75683" w:rsidRDefault="00A75683" w:rsidP="002545CD">
      <w:pPr>
        <w:pStyle w:val="SingleTxt"/>
        <w:rPr>
          <w:lang w:val="en-GB"/>
        </w:rPr>
      </w:pPr>
      <w:r w:rsidRPr="00A75683">
        <w:rPr>
          <w:lang w:val="en-GB"/>
        </w:rPr>
        <w:t>29.</w:t>
      </w:r>
      <w:r w:rsidRPr="00A75683">
        <w:rPr>
          <w:lang w:val="en-GB"/>
        </w:rPr>
        <w:tab/>
      </w:r>
      <w:r w:rsidRPr="000D3582">
        <w:rPr>
          <w:b/>
          <w:bCs/>
          <w:lang w:val="en-GB"/>
        </w:rPr>
        <w:t>Ms. Dahs</w:t>
      </w:r>
      <w:r w:rsidRPr="00A75683">
        <w:rPr>
          <w:lang w:val="en-GB"/>
        </w:rPr>
        <w:t xml:space="preserve"> (</w:t>
      </w:r>
      <w:smartTag w:uri="urn:schemas-microsoft-com:office:smarttags" w:element="country-region">
        <w:smartTag w:uri="urn:schemas-microsoft-com:office:smarttags" w:element="place">
          <w:r w:rsidRPr="00A75683">
            <w:rPr>
              <w:lang w:val="en-GB"/>
            </w:rPr>
            <w:t>Germany</w:t>
          </w:r>
        </w:smartTag>
      </w:smartTag>
      <w:r w:rsidRPr="00A75683">
        <w:rPr>
          <w:lang w:val="en-GB"/>
        </w:rPr>
        <w:t xml:space="preserve">) said that special </w:t>
      </w:r>
      <w:r w:rsidR="00731F33">
        <w:rPr>
          <w:lang w:val="en-GB"/>
        </w:rPr>
        <w:t xml:space="preserve">interim </w:t>
      </w:r>
      <w:r w:rsidRPr="00A75683">
        <w:rPr>
          <w:lang w:val="en-GB"/>
        </w:rPr>
        <w:t xml:space="preserve">measures could be taken to promote women under article 5 of the General </w:t>
      </w:r>
      <w:r w:rsidR="002545CD" w:rsidRPr="00A75683">
        <w:rPr>
          <w:lang w:val="en-GB"/>
        </w:rPr>
        <w:t xml:space="preserve">Equal Treatment </w:t>
      </w:r>
      <w:r w:rsidRPr="00A75683">
        <w:rPr>
          <w:lang w:val="en-GB"/>
        </w:rPr>
        <w:t>Act</w:t>
      </w:r>
      <w:r w:rsidR="002545CD">
        <w:rPr>
          <w:lang w:val="en-GB"/>
        </w:rPr>
        <w:t>,</w:t>
      </w:r>
      <w:r w:rsidRPr="00A75683">
        <w:rPr>
          <w:lang w:val="en-GB"/>
        </w:rPr>
        <w:t xml:space="preserve"> which allow</w:t>
      </w:r>
      <w:r w:rsidR="00731F33">
        <w:rPr>
          <w:lang w:val="en-GB"/>
        </w:rPr>
        <w:t>ed</w:t>
      </w:r>
      <w:r w:rsidRPr="00A75683">
        <w:rPr>
          <w:lang w:val="en-GB"/>
        </w:rPr>
        <w:t xml:space="preserve"> for differential treatment on the basis of sex in order to redress inequalities. Furthermore, reports that were regularly drawn up on the status of the Act’s application meant that progress could be measured, areas requiring additional </w:t>
      </w:r>
      <w:r w:rsidR="00E74548">
        <w:rPr>
          <w:lang w:val="en-GB"/>
        </w:rPr>
        <w:t>work</w:t>
      </w:r>
      <w:r w:rsidRPr="00A75683">
        <w:rPr>
          <w:lang w:val="en-GB"/>
        </w:rPr>
        <w:t xml:space="preserve"> identified and the necessary measures taken.</w:t>
      </w:r>
    </w:p>
    <w:p w:rsidR="00A75683" w:rsidRPr="00A75683" w:rsidRDefault="00A75683" w:rsidP="00E74548">
      <w:pPr>
        <w:pStyle w:val="SingleTxt"/>
        <w:rPr>
          <w:lang w:val="en-GB"/>
        </w:rPr>
      </w:pPr>
      <w:r w:rsidRPr="00A75683">
        <w:rPr>
          <w:lang w:val="en-GB"/>
        </w:rPr>
        <w:t>30.</w:t>
      </w:r>
      <w:r w:rsidRPr="00A75683">
        <w:rPr>
          <w:lang w:val="en-GB"/>
        </w:rPr>
        <w:tab/>
      </w:r>
      <w:r w:rsidRPr="00E74548">
        <w:rPr>
          <w:b/>
          <w:bCs/>
          <w:lang w:val="en-GB"/>
        </w:rPr>
        <w:t>The Chairperson</w:t>
      </w:r>
      <w:r w:rsidRPr="00A75683">
        <w:rPr>
          <w:lang w:val="en-GB"/>
        </w:rPr>
        <w:t xml:space="preserve"> thanked the delegation for its follow-up replies and invited the members of the Committee to move </w:t>
      </w:r>
      <w:r w:rsidR="00E74548">
        <w:rPr>
          <w:lang w:val="en-GB"/>
        </w:rPr>
        <w:t xml:space="preserve">on </w:t>
      </w:r>
      <w:r w:rsidRPr="00A75683">
        <w:rPr>
          <w:lang w:val="en-GB"/>
        </w:rPr>
        <w:t>to the next set of questions.</w:t>
      </w:r>
    </w:p>
    <w:p w:rsidR="00A75683" w:rsidRPr="00A75683" w:rsidRDefault="00A75683" w:rsidP="00E74548">
      <w:pPr>
        <w:pStyle w:val="SingleTxt"/>
        <w:rPr>
          <w:lang w:val="en-GB"/>
        </w:rPr>
      </w:pPr>
      <w:r w:rsidRPr="00A75683">
        <w:rPr>
          <w:lang w:val="en-GB"/>
        </w:rPr>
        <w:t>31.</w:t>
      </w:r>
      <w:r w:rsidRPr="00A75683">
        <w:rPr>
          <w:lang w:val="en-GB"/>
        </w:rPr>
        <w:tab/>
      </w:r>
      <w:r w:rsidRPr="00E74548">
        <w:rPr>
          <w:b/>
          <w:bCs/>
          <w:lang w:val="en-GB"/>
        </w:rPr>
        <w:t>Mr. Sarsembayev</w:t>
      </w:r>
      <w:r w:rsidR="00E74548">
        <w:rPr>
          <w:lang w:val="en-GB"/>
        </w:rPr>
        <w:t xml:space="preserve"> requested clarification</w:t>
      </w:r>
      <w:r w:rsidRPr="00A75683">
        <w:rPr>
          <w:lang w:val="en-GB"/>
        </w:rPr>
        <w:t xml:space="preserve"> on </w:t>
      </w:r>
      <w:r w:rsidR="00E74548">
        <w:rPr>
          <w:lang w:val="en-GB"/>
        </w:rPr>
        <w:t xml:space="preserve">the </w:t>
      </w:r>
      <w:r w:rsidRPr="00A75683">
        <w:rPr>
          <w:lang w:val="en-GB"/>
        </w:rPr>
        <w:t xml:space="preserve">measures </w:t>
      </w:r>
      <w:r w:rsidR="00E74548">
        <w:rPr>
          <w:lang w:val="en-GB"/>
        </w:rPr>
        <w:t xml:space="preserve">taken </w:t>
      </w:r>
      <w:r w:rsidRPr="00A75683">
        <w:rPr>
          <w:lang w:val="en-GB"/>
        </w:rPr>
        <w:t xml:space="preserve">to combat gender-based violence, and particularly </w:t>
      </w:r>
      <w:r w:rsidR="00E74548">
        <w:rPr>
          <w:lang w:val="en-GB"/>
        </w:rPr>
        <w:t>on</w:t>
      </w:r>
      <w:r w:rsidRPr="00A75683">
        <w:rPr>
          <w:lang w:val="en-GB"/>
        </w:rPr>
        <w:t xml:space="preserve"> the many agencies involved, the </w:t>
      </w:r>
      <w:r w:rsidR="00E74548">
        <w:rPr>
          <w:lang w:val="en-GB"/>
        </w:rPr>
        <w:t>various</w:t>
      </w:r>
      <w:r w:rsidRPr="00A75683">
        <w:rPr>
          <w:lang w:val="en-GB"/>
        </w:rPr>
        <w:t xml:space="preserve"> training and awareness-raising initiatives, </w:t>
      </w:r>
      <w:r w:rsidR="00E74548">
        <w:rPr>
          <w:lang w:val="en-GB"/>
        </w:rPr>
        <w:t>the financing and</w:t>
      </w:r>
      <w:r w:rsidRPr="00A75683">
        <w:rPr>
          <w:lang w:val="en-GB"/>
        </w:rPr>
        <w:t xml:space="preserve"> construction </w:t>
      </w:r>
      <w:r w:rsidR="00E74548">
        <w:rPr>
          <w:lang w:val="en-GB"/>
        </w:rPr>
        <w:t xml:space="preserve">of </w:t>
      </w:r>
      <w:r w:rsidR="00E74548" w:rsidRPr="00A75683">
        <w:rPr>
          <w:lang w:val="en-GB"/>
        </w:rPr>
        <w:t xml:space="preserve">refuges </w:t>
      </w:r>
      <w:r w:rsidRPr="00A75683">
        <w:rPr>
          <w:lang w:val="en-GB"/>
        </w:rPr>
        <w:t xml:space="preserve">and </w:t>
      </w:r>
      <w:r w:rsidR="00E74548">
        <w:rPr>
          <w:lang w:val="en-GB"/>
        </w:rPr>
        <w:t xml:space="preserve">any </w:t>
      </w:r>
      <w:r w:rsidR="00E74548" w:rsidRPr="00A75683">
        <w:rPr>
          <w:lang w:val="en-GB"/>
        </w:rPr>
        <w:t xml:space="preserve">improvements </w:t>
      </w:r>
      <w:r w:rsidRPr="00A75683">
        <w:rPr>
          <w:lang w:val="en-GB"/>
        </w:rPr>
        <w:t xml:space="preserve">planned and </w:t>
      </w:r>
      <w:r w:rsidR="00E74548">
        <w:rPr>
          <w:lang w:val="en-GB"/>
        </w:rPr>
        <w:t xml:space="preserve">the </w:t>
      </w:r>
      <w:r w:rsidRPr="00A75683">
        <w:rPr>
          <w:lang w:val="en-GB"/>
        </w:rPr>
        <w:t>types of assistance offered to victims of domestic violence. Did the problem of female genital mutilation exist in the State party?</w:t>
      </w:r>
    </w:p>
    <w:p w:rsidR="00A75683" w:rsidRPr="00A75683" w:rsidRDefault="00A75683" w:rsidP="00A719FB">
      <w:pPr>
        <w:pStyle w:val="SingleTxt"/>
        <w:rPr>
          <w:lang w:val="en-GB"/>
        </w:rPr>
      </w:pPr>
      <w:r w:rsidRPr="00A75683">
        <w:rPr>
          <w:lang w:val="en-GB"/>
        </w:rPr>
        <w:t>32.</w:t>
      </w:r>
      <w:r w:rsidRPr="00A75683">
        <w:rPr>
          <w:lang w:val="en-GB"/>
        </w:rPr>
        <w:tab/>
      </w:r>
      <w:r w:rsidR="00E74548">
        <w:rPr>
          <w:lang w:val="en-GB"/>
        </w:rPr>
        <w:t>With</w:t>
      </w:r>
      <w:r w:rsidRPr="00A75683">
        <w:rPr>
          <w:lang w:val="en-GB"/>
        </w:rPr>
        <w:t xml:space="preserve"> regard to torture and </w:t>
      </w:r>
      <w:r w:rsidR="00E74548">
        <w:rPr>
          <w:lang w:val="en-GB"/>
        </w:rPr>
        <w:t>ill-</w:t>
      </w:r>
      <w:r w:rsidRPr="00A75683">
        <w:rPr>
          <w:lang w:val="en-GB"/>
        </w:rPr>
        <w:t xml:space="preserve">treatment, there were many </w:t>
      </w:r>
      <w:r w:rsidR="00E74548">
        <w:rPr>
          <w:lang w:val="en-GB"/>
        </w:rPr>
        <w:t xml:space="preserve">other </w:t>
      </w:r>
      <w:r w:rsidRPr="00A75683">
        <w:rPr>
          <w:lang w:val="en-GB"/>
        </w:rPr>
        <w:t xml:space="preserve">points </w:t>
      </w:r>
      <w:r w:rsidR="00E74548">
        <w:rPr>
          <w:lang w:val="en-GB"/>
        </w:rPr>
        <w:t>that</w:t>
      </w:r>
      <w:r w:rsidRPr="00A75683">
        <w:rPr>
          <w:lang w:val="en-GB"/>
        </w:rPr>
        <w:t xml:space="preserve"> called for further explanation: there did not seem to be a definition of torture in </w:t>
      </w:r>
      <w:r w:rsidR="00E74548">
        <w:rPr>
          <w:lang w:val="en-GB"/>
        </w:rPr>
        <w:t xml:space="preserve">the country’s </w:t>
      </w:r>
      <w:r w:rsidRPr="00A75683">
        <w:rPr>
          <w:lang w:val="en-GB"/>
        </w:rPr>
        <w:t xml:space="preserve">legislation, there were no national statistics on complaints against prison staff, victims of police brutality were not informed of the complaints mechanisms in place and the federal police itself carried out investigations into allegations of torture or </w:t>
      </w:r>
      <w:r w:rsidR="00E74548">
        <w:rPr>
          <w:lang w:val="en-GB"/>
        </w:rPr>
        <w:t>ill-</w:t>
      </w:r>
      <w:r w:rsidRPr="00A75683">
        <w:rPr>
          <w:lang w:val="en-GB"/>
        </w:rPr>
        <w:t xml:space="preserve">treatment made against its personnel. In some Länder, police officers were advised, but not obliged, to wear badges. A university study had shown that </w:t>
      </w:r>
      <w:r w:rsidR="00E74548">
        <w:rPr>
          <w:lang w:val="en-GB"/>
        </w:rPr>
        <w:t>such</w:t>
      </w:r>
      <w:r w:rsidRPr="00A75683">
        <w:rPr>
          <w:lang w:val="en-GB"/>
        </w:rPr>
        <w:t xml:space="preserve"> identification did not improve the effectiveness of the police’s work. Th</w:t>
      </w:r>
      <w:r w:rsidR="00A719FB">
        <w:rPr>
          <w:lang w:val="en-GB"/>
        </w:rPr>
        <w:t>e</w:t>
      </w:r>
      <w:r w:rsidRPr="00A75683">
        <w:rPr>
          <w:lang w:val="en-GB"/>
        </w:rPr>
        <w:t xml:space="preserve"> study </w:t>
      </w:r>
      <w:r w:rsidR="00A719FB">
        <w:rPr>
          <w:lang w:val="en-GB"/>
        </w:rPr>
        <w:t>had</w:t>
      </w:r>
      <w:r w:rsidRPr="00A75683">
        <w:rPr>
          <w:lang w:val="en-GB"/>
        </w:rPr>
        <w:t xml:space="preserve">, however, </w:t>
      </w:r>
      <w:r w:rsidR="00A719FB">
        <w:rPr>
          <w:lang w:val="en-GB"/>
        </w:rPr>
        <w:t xml:space="preserve">been </w:t>
      </w:r>
      <w:r w:rsidRPr="00A75683">
        <w:rPr>
          <w:lang w:val="en-GB"/>
        </w:rPr>
        <w:t>commissioned by police senior management</w:t>
      </w:r>
      <w:r w:rsidR="00A719FB">
        <w:rPr>
          <w:lang w:val="en-GB"/>
        </w:rPr>
        <w:t xml:space="preserve"> rather</w:t>
      </w:r>
      <w:r w:rsidRPr="00A75683">
        <w:rPr>
          <w:lang w:val="en-GB"/>
        </w:rPr>
        <w:t xml:space="preserve"> </w:t>
      </w:r>
      <w:r w:rsidR="00A719FB">
        <w:rPr>
          <w:lang w:val="en-GB"/>
        </w:rPr>
        <w:t xml:space="preserve">than, </w:t>
      </w:r>
      <w:r w:rsidRPr="00A75683">
        <w:rPr>
          <w:lang w:val="en-GB"/>
        </w:rPr>
        <w:t>for example, the public prosecutor</w:t>
      </w:r>
      <w:r w:rsidR="00A719FB">
        <w:rPr>
          <w:lang w:val="en-GB"/>
        </w:rPr>
        <w:t xml:space="preserve"> and was therefore</w:t>
      </w:r>
      <w:r w:rsidRPr="00A75683">
        <w:rPr>
          <w:lang w:val="en-GB"/>
        </w:rPr>
        <w:t xml:space="preserve"> question</w:t>
      </w:r>
      <w:r w:rsidR="00A719FB">
        <w:rPr>
          <w:lang w:val="en-GB"/>
        </w:rPr>
        <w:t>able</w:t>
      </w:r>
      <w:r w:rsidRPr="00A75683">
        <w:rPr>
          <w:lang w:val="en-GB"/>
        </w:rPr>
        <w:t>.</w:t>
      </w:r>
    </w:p>
    <w:p w:rsidR="00A75683" w:rsidRPr="00A75683" w:rsidRDefault="00A75683" w:rsidP="00FC0B17">
      <w:pPr>
        <w:pStyle w:val="SingleTxt"/>
        <w:rPr>
          <w:lang w:val="en-GB"/>
        </w:rPr>
      </w:pPr>
      <w:r w:rsidRPr="00A75683">
        <w:rPr>
          <w:lang w:val="en-GB"/>
        </w:rPr>
        <w:t>33.</w:t>
      </w:r>
      <w:r w:rsidRPr="00A75683">
        <w:rPr>
          <w:lang w:val="en-GB"/>
        </w:rPr>
        <w:tab/>
      </w:r>
      <w:r w:rsidRPr="00A719FB">
        <w:rPr>
          <w:b/>
          <w:bCs/>
          <w:lang w:val="en-GB"/>
        </w:rPr>
        <w:t>Mr. Kälin</w:t>
      </w:r>
      <w:r w:rsidRPr="00A75683">
        <w:rPr>
          <w:lang w:val="en-GB"/>
        </w:rPr>
        <w:t xml:space="preserve"> hoped that the provisional suspension of transfers to </w:t>
      </w:r>
      <w:smartTag w:uri="urn:schemas-microsoft-com:office:smarttags" w:element="country-region">
        <w:smartTag w:uri="urn:schemas-microsoft-com:office:smarttags" w:element="place">
          <w:r w:rsidRPr="00A75683">
            <w:rPr>
              <w:lang w:val="en-GB"/>
            </w:rPr>
            <w:t>Greece</w:t>
          </w:r>
        </w:smartTag>
      </w:smartTag>
      <w:r w:rsidRPr="00A75683">
        <w:rPr>
          <w:lang w:val="en-GB"/>
        </w:rPr>
        <w:t xml:space="preserve"> under the Dublin II Regulation would be extended beyond January 2013. Regarding suspension orders in general, it was true that some courts interpreted article 34a</w:t>
      </w:r>
      <w:r w:rsidR="004F1DDD">
        <w:rPr>
          <w:lang w:val="en-GB"/>
        </w:rPr>
        <w:t>, paragraph</w:t>
      </w:r>
      <w:r w:rsidRPr="00A75683">
        <w:rPr>
          <w:lang w:val="en-GB"/>
        </w:rPr>
        <w:t xml:space="preserve"> 2</w:t>
      </w:r>
      <w:r w:rsidR="004F1DDD">
        <w:rPr>
          <w:lang w:val="en-GB"/>
        </w:rPr>
        <w:t>,</w:t>
      </w:r>
      <w:r w:rsidRPr="00A75683">
        <w:rPr>
          <w:lang w:val="en-GB"/>
        </w:rPr>
        <w:t xml:space="preserve"> of the Asylum Procedures Act in </w:t>
      </w:r>
      <w:r w:rsidR="004F1DDD">
        <w:rPr>
          <w:lang w:val="en-GB"/>
        </w:rPr>
        <w:t xml:space="preserve">the </w:t>
      </w:r>
      <w:r w:rsidRPr="00A75683">
        <w:rPr>
          <w:lang w:val="en-GB"/>
        </w:rPr>
        <w:t xml:space="preserve">light of the Covenant and the European Convention on Human Rights, forbidding </w:t>
      </w:r>
      <w:r w:rsidR="004F1DDD">
        <w:rPr>
          <w:lang w:val="en-GB"/>
        </w:rPr>
        <w:t>deportation</w:t>
      </w:r>
      <w:r w:rsidRPr="00A75683">
        <w:rPr>
          <w:lang w:val="en-GB"/>
        </w:rPr>
        <w:t xml:space="preserve"> as soon as a “real risk”</w:t>
      </w:r>
      <w:r w:rsidR="00FC0B17">
        <w:rPr>
          <w:lang w:val="en-GB"/>
        </w:rPr>
        <w:t xml:space="preserve"> arose</w:t>
      </w:r>
      <w:r w:rsidRPr="00A75683">
        <w:rPr>
          <w:lang w:val="en-GB"/>
        </w:rPr>
        <w:t>, while others followed the jurisprudence of the Federal Constitutional Court and applied the stricter criterion of an “exceptional situation”. Th</w:t>
      </w:r>
      <w:r w:rsidR="00FC0B17">
        <w:rPr>
          <w:lang w:val="en-GB"/>
        </w:rPr>
        <w:t>at</w:t>
      </w:r>
      <w:r w:rsidRPr="00A75683">
        <w:rPr>
          <w:lang w:val="en-GB"/>
        </w:rPr>
        <w:t xml:space="preserve"> created legal uncertainty and reduced protection from </w:t>
      </w:r>
      <w:r w:rsidR="00FC0B17">
        <w:rPr>
          <w:lang w:val="en-GB"/>
        </w:rPr>
        <w:t>deportation</w:t>
      </w:r>
      <w:r w:rsidRPr="00A75683">
        <w:rPr>
          <w:lang w:val="en-GB"/>
        </w:rPr>
        <w:t>, contrary to article 7 of the Covenant.</w:t>
      </w:r>
    </w:p>
    <w:p w:rsidR="00A75683" w:rsidRPr="00A75683" w:rsidRDefault="00A75683" w:rsidP="00FC0B17">
      <w:pPr>
        <w:pStyle w:val="SingleTxt"/>
        <w:rPr>
          <w:lang w:val="en-GB"/>
        </w:rPr>
      </w:pPr>
      <w:r w:rsidRPr="00A75683">
        <w:rPr>
          <w:lang w:val="en-GB"/>
        </w:rPr>
        <w:t>34.</w:t>
      </w:r>
      <w:r w:rsidRPr="00A75683">
        <w:rPr>
          <w:lang w:val="en-GB"/>
        </w:rPr>
        <w:tab/>
        <w:t>Statistics on the “fast-track” asylum determination procedure used in airports showed that 90 per cent of applicants had been granted a residence permit in recent years, compared to less than 50 per cent in previous years. Th</w:t>
      </w:r>
      <w:r w:rsidR="00FC0B17">
        <w:rPr>
          <w:lang w:val="en-GB"/>
        </w:rPr>
        <w:t>at</w:t>
      </w:r>
      <w:r w:rsidRPr="00A75683">
        <w:rPr>
          <w:lang w:val="en-GB"/>
        </w:rPr>
        <w:t xml:space="preserve"> trend, which was both encouraging and troubling (in that it might </w:t>
      </w:r>
      <w:r w:rsidR="00FC0B17">
        <w:rPr>
          <w:lang w:val="en-GB"/>
        </w:rPr>
        <w:t>indicate</w:t>
      </w:r>
      <w:r w:rsidRPr="00A75683">
        <w:rPr>
          <w:lang w:val="en-GB"/>
        </w:rPr>
        <w:t xml:space="preserve"> inadequacies in the processing of previous applications)</w:t>
      </w:r>
      <w:r w:rsidR="00FC0B17">
        <w:rPr>
          <w:lang w:val="en-GB"/>
        </w:rPr>
        <w:t>,</w:t>
      </w:r>
      <w:r w:rsidRPr="00A75683">
        <w:rPr>
          <w:lang w:val="en-GB"/>
        </w:rPr>
        <w:t xml:space="preserve"> should be investigated. The two-day deadline for rejected applicants to lodge appeals seemed very short, especially if they were not given help </w:t>
      </w:r>
      <w:r w:rsidR="00FC0B17">
        <w:rPr>
          <w:lang w:val="en-GB"/>
        </w:rPr>
        <w:t>in navigating</w:t>
      </w:r>
      <w:r w:rsidRPr="00A75683">
        <w:rPr>
          <w:lang w:val="en-GB"/>
        </w:rPr>
        <w:t xml:space="preserve"> the complex procedure. The delegation was invited to provide further explanations of the criteria for granting refugee status to conscientious objectors. It would also be</w:t>
      </w:r>
      <w:r w:rsidR="00FC0B17">
        <w:rPr>
          <w:lang w:val="en-GB"/>
        </w:rPr>
        <w:t xml:space="preserve"> </w:t>
      </w:r>
      <w:r w:rsidRPr="00A75683">
        <w:rPr>
          <w:lang w:val="en-GB"/>
        </w:rPr>
        <w:t>useful to obtain clarification on diplomatic assurances</w:t>
      </w:r>
      <w:r w:rsidR="00FC0B17">
        <w:rPr>
          <w:lang w:val="en-GB"/>
        </w:rPr>
        <w:t>.</w:t>
      </w:r>
      <w:r w:rsidRPr="00A75683">
        <w:rPr>
          <w:lang w:val="en-GB"/>
        </w:rPr>
        <w:t xml:space="preserve"> </w:t>
      </w:r>
      <w:r w:rsidR="00FC0B17">
        <w:rPr>
          <w:lang w:val="en-GB"/>
        </w:rPr>
        <w:t>In particular, he asked</w:t>
      </w:r>
      <w:r w:rsidRPr="00A75683">
        <w:rPr>
          <w:lang w:val="en-GB"/>
        </w:rPr>
        <w:t xml:space="preserve"> which authority in the </w:t>
      </w:r>
      <w:r w:rsidR="00FC0B17" w:rsidRPr="00A75683">
        <w:rPr>
          <w:lang w:val="en-GB"/>
        </w:rPr>
        <w:t xml:space="preserve">country </w:t>
      </w:r>
      <w:r w:rsidR="00FC0B17">
        <w:rPr>
          <w:lang w:val="en-GB"/>
        </w:rPr>
        <w:t xml:space="preserve">of </w:t>
      </w:r>
      <w:r w:rsidRPr="00A75683">
        <w:rPr>
          <w:lang w:val="en-GB"/>
        </w:rPr>
        <w:t xml:space="preserve">destination </w:t>
      </w:r>
      <w:r w:rsidR="00FC0B17">
        <w:rPr>
          <w:lang w:val="en-GB"/>
        </w:rPr>
        <w:t>was requested to provide such assurances</w:t>
      </w:r>
      <w:r w:rsidRPr="00A75683">
        <w:rPr>
          <w:lang w:val="en-GB"/>
        </w:rPr>
        <w:t xml:space="preserve"> and what action the State party </w:t>
      </w:r>
      <w:r w:rsidR="00FC0B17">
        <w:rPr>
          <w:lang w:val="en-GB"/>
        </w:rPr>
        <w:t>took</w:t>
      </w:r>
      <w:r w:rsidRPr="00A75683">
        <w:rPr>
          <w:lang w:val="en-GB"/>
        </w:rPr>
        <w:t xml:space="preserve"> if they were not honoured.</w:t>
      </w:r>
    </w:p>
    <w:p w:rsidR="00A75683" w:rsidRPr="00A75683" w:rsidRDefault="00A75683" w:rsidP="00FC0B17">
      <w:pPr>
        <w:pStyle w:val="SingleTxt"/>
        <w:rPr>
          <w:lang w:val="en-GB"/>
        </w:rPr>
      </w:pPr>
      <w:r w:rsidRPr="00A75683">
        <w:rPr>
          <w:lang w:val="en-GB"/>
        </w:rPr>
        <w:t>35.</w:t>
      </w:r>
      <w:r w:rsidRPr="00A75683">
        <w:rPr>
          <w:lang w:val="en-GB"/>
        </w:rPr>
        <w:tab/>
        <w:t>The State party had not explained why some decision</w:t>
      </w:r>
      <w:r w:rsidR="00FC0B17">
        <w:rPr>
          <w:lang w:val="en-GB"/>
        </w:rPr>
        <w:t>s to place persons with dementia under</w:t>
      </w:r>
      <w:r w:rsidRPr="00A75683">
        <w:rPr>
          <w:lang w:val="en-GB"/>
        </w:rPr>
        <w:t xml:space="preserve"> physical restraint did not adhere to the required conditions (10 per cent of cases, according to some sources), or how </w:t>
      </w:r>
      <w:r w:rsidR="00FC0B17">
        <w:rPr>
          <w:lang w:val="en-GB"/>
        </w:rPr>
        <w:t>such</w:t>
      </w:r>
      <w:r w:rsidRPr="00A75683">
        <w:rPr>
          <w:lang w:val="en-GB"/>
        </w:rPr>
        <w:t xml:space="preserve"> irregularities were being resolved, given that victim</w:t>
      </w:r>
      <w:r w:rsidR="00FC0B17">
        <w:rPr>
          <w:lang w:val="en-GB"/>
        </w:rPr>
        <w:t>s</w:t>
      </w:r>
      <w:r w:rsidRPr="00A75683">
        <w:rPr>
          <w:lang w:val="en-GB"/>
        </w:rPr>
        <w:t xml:space="preserve"> </w:t>
      </w:r>
      <w:r w:rsidR="00FC0B17">
        <w:rPr>
          <w:lang w:val="en-GB"/>
        </w:rPr>
        <w:t>were</w:t>
      </w:r>
      <w:r w:rsidRPr="00A75683">
        <w:rPr>
          <w:lang w:val="en-GB"/>
        </w:rPr>
        <w:t xml:space="preserve"> clearly unable to pursue the available legal remedies themselves.</w:t>
      </w:r>
    </w:p>
    <w:p w:rsidR="00A75683" w:rsidRPr="00A75683" w:rsidRDefault="00A75683" w:rsidP="007771D9">
      <w:pPr>
        <w:pStyle w:val="SingleTxt"/>
        <w:rPr>
          <w:lang w:val="en-GB"/>
        </w:rPr>
      </w:pPr>
      <w:r w:rsidRPr="00A75683">
        <w:rPr>
          <w:lang w:val="en-GB"/>
        </w:rPr>
        <w:t>36.</w:t>
      </w:r>
      <w:r w:rsidRPr="00A75683">
        <w:rPr>
          <w:lang w:val="en-GB"/>
        </w:rPr>
        <w:tab/>
      </w:r>
      <w:r w:rsidRPr="00FC0B17">
        <w:rPr>
          <w:b/>
          <w:bCs/>
          <w:lang w:val="en-GB"/>
        </w:rPr>
        <w:t>Mr. Neuman</w:t>
      </w:r>
      <w:r w:rsidRPr="00A75683">
        <w:rPr>
          <w:lang w:val="en-GB"/>
        </w:rPr>
        <w:t xml:space="preserve"> noted that the State party had analys</w:t>
      </w:r>
      <w:r w:rsidR="001F2A8F">
        <w:rPr>
          <w:lang w:val="en-GB"/>
        </w:rPr>
        <w:t>ed</w:t>
      </w:r>
      <w:r w:rsidRPr="00A75683">
        <w:rPr>
          <w:lang w:val="en-GB"/>
        </w:rPr>
        <w:t xml:space="preserve"> </w:t>
      </w:r>
      <w:r w:rsidR="001F2A8F">
        <w:rPr>
          <w:lang w:val="en-GB"/>
        </w:rPr>
        <w:t>the reasons for</w:t>
      </w:r>
      <w:r w:rsidRPr="00A75683">
        <w:rPr>
          <w:lang w:val="en-GB"/>
        </w:rPr>
        <w:t xml:space="preserve"> rising levels of </w:t>
      </w:r>
      <w:r w:rsidR="001F2A8F">
        <w:rPr>
          <w:lang w:val="en-GB"/>
        </w:rPr>
        <w:t xml:space="preserve">criminal </w:t>
      </w:r>
      <w:r w:rsidR="002545CD">
        <w:rPr>
          <w:lang w:val="en-GB"/>
        </w:rPr>
        <w:t>behaviour</w:t>
      </w:r>
      <w:r w:rsidR="001F2A8F">
        <w:rPr>
          <w:lang w:val="en-GB"/>
        </w:rPr>
        <w:t xml:space="preserve"> among young people</w:t>
      </w:r>
      <w:r w:rsidRPr="00A75683">
        <w:rPr>
          <w:lang w:val="en-GB"/>
        </w:rPr>
        <w:t xml:space="preserve"> </w:t>
      </w:r>
      <w:r w:rsidR="001F2A8F">
        <w:rPr>
          <w:lang w:val="en-GB"/>
        </w:rPr>
        <w:t>—</w:t>
      </w:r>
      <w:r w:rsidRPr="00A75683">
        <w:rPr>
          <w:lang w:val="en-GB"/>
        </w:rPr>
        <w:t xml:space="preserve"> and taken a number of measures in th</w:t>
      </w:r>
      <w:r w:rsidR="001F2A8F">
        <w:rPr>
          <w:lang w:val="en-GB"/>
        </w:rPr>
        <w:t xml:space="preserve">at </w:t>
      </w:r>
      <w:r w:rsidRPr="00A75683">
        <w:rPr>
          <w:lang w:val="en-GB"/>
        </w:rPr>
        <w:t xml:space="preserve">regard </w:t>
      </w:r>
      <w:r w:rsidR="001F2A8F">
        <w:rPr>
          <w:lang w:val="en-GB"/>
        </w:rPr>
        <w:t>—</w:t>
      </w:r>
      <w:r w:rsidRPr="00A75683">
        <w:rPr>
          <w:lang w:val="en-GB"/>
        </w:rPr>
        <w:t xml:space="preserve"> but not </w:t>
      </w:r>
      <w:r w:rsidR="001F2A8F">
        <w:rPr>
          <w:lang w:val="en-GB"/>
        </w:rPr>
        <w:t>the reasons for</w:t>
      </w:r>
      <w:r w:rsidRPr="00A75683">
        <w:rPr>
          <w:lang w:val="en-GB"/>
        </w:rPr>
        <w:t xml:space="preserve"> the high </w:t>
      </w:r>
      <w:r w:rsidR="001F2A8F">
        <w:rPr>
          <w:lang w:val="en-GB"/>
        </w:rPr>
        <w:t>incidence of detention</w:t>
      </w:r>
      <w:r w:rsidRPr="00A75683">
        <w:rPr>
          <w:lang w:val="en-GB"/>
        </w:rPr>
        <w:t xml:space="preserve"> of people from immigrant families, as the Committee had requested. If th</w:t>
      </w:r>
      <w:r w:rsidR="001F2A8F">
        <w:rPr>
          <w:lang w:val="en-GB"/>
        </w:rPr>
        <w:t>e</w:t>
      </w:r>
      <w:r w:rsidRPr="00A75683">
        <w:rPr>
          <w:lang w:val="en-GB"/>
        </w:rPr>
        <w:t xml:space="preserve"> level was also higher </w:t>
      </w:r>
      <w:r w:rsidR="002F6471">
        <w:rPr>
          <w:lang w:val="en-GB"/>
        </w:rPr>
        <w:t xml:space="preserve">among persons held </w:t>
      </w:r>
      <w:r w:rsidRPr="00A75683">
        <w:rPr>
          <w:lang w:val="en-GB"/>
        </w:rPr>
        <w:t xml:space="preserve">in pretrial detention, then it could not be explained by offending behaviour that was alleged to be more frequent within </w:t>
      </w:r>
      <w:r w:rsidR="002F6471">
        <w:rPr>
          <w:lang w:val="en-GB"/>
        </w:rPr>
        <w:t>that category</w:t>
      </w:r>
      <w:r w:rsidRPr="00A75683">
        <w:rPr>
          <w:lang w:val="en-GB"/>
        </w:rPr>
        <w:t xml:space="preserve">. Information provided by the State party on preventive detention appeared to focus on instances where it was applied retroactively at the end of a sentence, but </w:t>
      </w:r>
      <w:r w:rsidR="002F6471">
        <w:rPr>
          <w:lang w:val="en-GB"/>
        </w:rPr>
        <w:t xml:space="preserve">such a </w:t>
      </w:r>
      <w:r w:rsidRPr="00A75683">
        <w:rPr>
          <w:lang w:val="en-GB"/>
        </w:rPr>
        <w:t xml:space="preserve">measure could also be imposed at the time of sentencing. Did the explanations provided, and the announced changes to legislation, cover both situations? Would the principle of “distinction” </w:t>
      </w:r>
      <w:r w:rsidR="002F6471">
        <w:rPr>
          <w:lang w:val="en-GB"/>
        </w:rPr>
        <w:t>used with regard to ordinary</w:t>
      </w:r>
      <w:r w:rsidRPr="00A75683">
        <w:rPr>
          <w:lang w:val="en-GB"/>
        </w:rPr>
        <w:t xml:space="preserve"> detention be applied in both cases? </w:t>
      </w:r>
      <w:r w:rsidR="002F6471">
        <w:rPr>
          <w:lang w:val="en-GB"/>
        </w:rPr>
        <w:t>He would welcome c</w:t>
      </w:r>
      <w:r w:rsidRPr="00A75683">
        <w:rPr>
          <w:lang w:val="en-GB"/>
        </w:rPr>
        <w:t xml:space="preserve">larification on how </w:t>
      </w:r>
      <w:r w:rsidR="002F6471">
        <w:rPr>
          <w:lang w:val="en-GB"/>
        </w:rPr>
        <w:t>such detention</w:t>
      </w:r>
      <w:r w:rsidRPr="00A75683">
        <w:rPr>
          <w:lang w:val="en-GB"/>
        </w:rPr>
        <w:t xml:space="preserve"> was </w:t>
      </w:r>
      <w:r w:rsidR="002F6471">
        <w:rPr>
          <w:lang w:val="en-GB"/>
        </w:rPr>
        <w:t>imposed</w:t>
      </w:r>
      <w:r w:rsidRPr="00A75683">
        <w:rPr>
          <w:lang w:val="en-GB"/>
        </w:rPr>
        <w:t xml:space="preserve"> in practice, </w:t>
      </w:r>
      <w:r w:rsidR="002F6471">
        <w:rPr>
          <w:lang w:val="en-GB"/>
        </w:rPr>
        <w:t>what</w:t>
      </w:r>
      <w:r w:rsidRPr="00A75683">
        <w:rPr>
          <w:lang w:val="en-GB"/>
        </w:rPr>
        <w:t xml:space="preserve"> the decision-making authority</w:t>
      </w:r>
      <w:r w:rsidR="002F6471">
        <w:rPr>
          <w:lang w:val="en-GB"/>
        </w:rPr>
        <w:t xml:space="preserve"> was</w:t>
      </w:r>
      <w:r w:rsidRPr="00A75683">
        <w:rPr>
          <w:lang w:val="en-GB"/>
        </w:rPr>
        <w:t xml:space="preserve">, how often the </w:t>
      </w:r>
      <w:r w:rsidR="002F6471">
        <w:rPr>
          <w:lang w:val="en-GB"/>
        </w:rPr>
        <w:t>detention</w:t>
      </w:r>
      <w:r w:rsidRPr="00A75683">
        <w:rPr>
          <w:lang w:val="en-GB"/>
        </w:rPr>
        <w:t xml:space="preserve"> was reviewed,</w:t>
      </w:r>
      <w:r w:rsidR="002F6471">
        <w:rPr>
          <w:lang w:val="en-GB"/>
        </w:rPr>
        <w:t xml:space="preserve"> the</w:t>
      </w:r>
      <w:r w:rsidRPr="00A75683">
        <w:rPr>
          <w:lang w:val="en-GB"/>
        </w:rPr>
        <w:t xml:space="preserve"> possibilities for legal review, the burden of proof and the dual criteria of mental disturbance and </w:t>
      </w:r>
      <w:r w:rsidR="007771D9">
        <w:rPr>
          <w:lang w:val="en-GB"/>
        </w:rPr>
        <w:t>risk-level</w:t>
      </w:r>
      <w:r w:rsidRPr="00A75683">
        <w:rPr>
          <w:lang w:val="en-GB"/>
        </w:rPr>
        <w:t>.</w:t>
      </w:r>
    </w:p>
    <w:p w:rsidR="00A75683" w:rsidRPr="00A75683" w:rsidRDefault="00A75683" w:rsidP="007771D9">
      <w:pPr>
        <w:pStyle w:val="SingleTxt"/>
        <w:rPr>
          <w:lang w:val="en-GB"/>
        </w:rPr>
      </w:pPr>
      <w:r w:rsidRPr="00A75683">
        <w:rPr>
          <w:lang w:val="en-GB"/>
        </w:rPr>
        <w:t>37.</w:t>
      </w:r>
      <w:r w:rsidRPr="00A75683">
        <w:rPr>
          <w:lang w:val="en-GB"/>
        </w:rPr>
        <w:tab/>
      </w:r>
      <w:r w:rsidRPr="007771D9">
        <w:rPr>
          <w:b/>
          <w:bCs/>
          <w:lang w:val="en-GB"/>
        </w:rPr>
        <w:t>Mr. Behrens</w:t>
      </w:r>
      <w:r w:rsidRPr="00A75683">
        <w:rPr>
          <w:lang w:val="en-GB"/>
        </w:rPr>
        <w:t xml:space="preserve"> (</w:t>
      </w:r>
      <w:smartTag w:uri="urn:schemas-microsoft-com:office:smarttags" w:element="country-region">
        <w:smartTag w:uri="urn:schemas-microsoft-com:office:smarttags" w:element="place">
          <w:r w:rsidRPr="00A75683">
            <w:rPr>
              <w:lang w:val="en-GB"/>
            </w:rPr>
            <w:t>Germany</w:t>
          </w:r>
        </w:smartTag>
      </w:smartTag>
      <w:r w:rsidRPr="00A75683">
        <w:rPr>
          <w:lang w:val="en-GB"/>
        </w:rPr>
        <w:t xml:space="preserve">) said that a decision on preventive detention could indeed be made at the time of sentencing or retroactively at the end of a sentence. All the same, the two forms were implemented in very similar ways. The delegation would </w:t>
      </w:r>
      <w:r w:rsidR="007771D9">
        <w:rPr>
          <w:lang w:val="en-GB"/>
        </w:rPr>
        <w:t>provide</w:t>
      </w:r>
      <w:r w:rsidRPr="00A75683">
        <w:rPr>
          <w:lang w:val="en-GB"/>
        </w:rPr>
        <w:t xml:space="preserve"> more detail</w:t>
      </w:r>
      <w:r w:rsidR="007771D9">
        <w:rPr>
          <w:lang w:val="en-GB"/>
        </w:rPr>
        <w:t>s</w:t>
      </w:r>
      <w:r w:rsidRPr="00A75683">
        <w:rPr>
          <w:lang w:val="en-GB"/>
        </w:rPr>
        <w:t xml:space="preserve"> on th</w:t>
      </w:r>
      <w:r w:rsidR="007771D9">
        <w:rPr>
          <w:lang w:val="en-GB"/>
        </w:rPr>
        <w:t>e</w:t>
      </w:r>
      <w:r w:rsidRPr="00A75683">
        <w:rPr>
          <w:lang w:val="en-GB"/>
        </w:rPr>
        <w:t xml:space="preserve"> issue at the next meeting.</w:t>
      </w:r>
    </w:p>
    <w:p w:rsidR="00697F64" w:rsidRPr="007771D9" w:rsidRDefault="00A75683" w:rsidP="00A75683">
      <w:pPr>
        <w:pStyle w:val="SingleTxt"/>
        <w:rPr>
          <w:i/>
          <w:iCs/>
          <w:lang w:val="en-GB"/>
        </w:rPr>
      </w:pPr>
      <w:r w:rsidRPr="007771D9">
        <w:rPr>
          <w:i/>
          <w:iCs/>
          <w:lang w:val="en-GB"/>
        </w:rPr>
        <w:t>The meeting rose at 6 p.m.</w:t>
      </w:r>
    </w:p>
    <w:sectPr w:rsidR="00697F64" w:rsidRPr="007771D9" w:rsidSect="00B578A7">
      <w:endnotePr>
        <w:numFmt w:val="decimal"/>
      </w:endnotePr>
      <w:type w:val="continuous"/>
      <w:pgSz w:w="11906" w:h="16838"/>
      <w:pgMar w:top="1701" w:right="1032" w:bottom="3118" w:left="1032" w:header="578" w:footer="1996" w:gutter="0"/>
      <w:pgNumType w:start="1"/>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473" w:rsidRDefault="005E2473" w:rsidP="00B578A7">
      <w:pPr>
        <w:spacing w:line="240" w:lineRule="auto"/>
      </w:pPr>
      <w:r>
        <w:separator/>
      </w:r>
    </w:p>
  </w:endnote>
  <w:endnote w:type="continuationSeparator" w:id="0">
    <w:p w:rsidR="005E2473" w:rsidRDefault="005E2473" w:rsidP="00B578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8D113B" w:rsidTr="00B578A7">
      <w:tblPrEx>
        <w:tblCellMar>
          <w:top w:w="0" w:type="dxa"/>
          <w:bottom w:w="0" w:type="dxa"/>
        </w:tblCellMar>
      </w:tblPrEx>
      <w:tc>
        <w:tcPr>
          <w:tcW w:w="5029" w:type="dxa"/>
          <w:shd w:val="clear" w:color="auto" w:fill="auto"/>
          <w:vAlign w:val="bottom"/>
        </w:tcPr>
        <w:p w:rsidR="008D113B" w:rsidRPr="00B578A7" w:rsidRDefault="008D113B" w:rsidP="00B578A7">
          <w:pPr>
            <w:pStyle w:val="Footer"/>
            <w:rPr>
              <w:b w:val="0"/>
            </w:rPr>
          </w:pPr>
          <w:r>
            <w:fldChar w:fldCharType="begin"/>
          </w:r>
          <w:r>
            <w:instrText xml:space="preserve"> PAGE  \* MERGEFORMAT </w:instrText>
          </w:r>
          <w:r>
            <w:fldChar w:fldCharType="separate"/>
          </w:r>
          <w:r w:rsidR="00E36357">
            <w:rPr>
              <w:noProof/>
            </w:rPr>
            <w:t>2</w:t>
          </w:r>
          <w:r>
            <w:fldChar w:fldCharType="end"/>
          </w:r>
        </w:p>
      </w:tc>
      <w:tc>
        <w:tcPr>
          <w:tcW w:w="5029" w:type="dxa"/>
          <w:vAlign w:val="bottom"/>
        </w:tcPr>
        <w:p w:rsidR="008D113B" w:rsidRPr="00B578A7" w:rsidRDefault="008D113B" w:rsidP="00B578A7">
          <w:pPr>
            <w:spacing w:line="240" w:lineRule="auto"/>
            <w:jc w:val="right"/>
            <w:rPr>
              <w:sz w:val="14"/>
            </w:rPr>
          </w:pPr>
          <w:r>
            <w:rPr>
              <w:sz w:val="14"/>
            </w:rPr>
            <w:t>V.12-58198</w:t>
          </w:r>
          <w:r w:rsidR="00107E49">
            <w:rPr>
              <w:sz w:val="14"/>
            </w:rPr>
            <w:br/>
            <w:t>GE.12-46688</w:t>
          </w:r>
        </w:p>
      </w:tc>
    </w:tr>
  </w:tbl>
  <w:p w:rsidR="008D113B" w:rsidRPr="00B578A7" w:rsidRDefault="008D113B" w:rsidP="00B578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8D113B" w:rsidTr="00B578A7">
      <w:tblPrEx>
        <w:tblCellMar>
          <w:top w:w="0" w:type="dxa"/>
          <w:bottom w:w="0" w:type="dxa"/>
        </w:tblCellMar>
      </w:tblPrEx>
      <w:tc>
        <w:tcPr>
          <w:tcW w:w="5029" w:type="dxa"/>
          <w:shd w:val="clear" w:color="auto" w:fill="auto"/>
          <w:vAlign w:val="bottom"/>
        </w:tcPr>
        <w:p w:rsidR="008D113B" w:rsidRPr="00B578A7" w:rsidRDefault="008D113B" w:rsidP="00B578A7">
          <w:pPr>
            <w:spacing w:line="240" w:lineRule="auto"/>
            <w:rPr>
              <w:sz w:val="14"/>
            </w:rPr>
          </w:pPr>
          <w:r>
            <w:rPr>
              <w:sz w:val="14"/>
            </w:rPr>
            <w:t>V.12-58198</w:t>
          </w:r>
          <w:r w:rsidR="00107E49">
            <w:rPr>
              <w:sz w:val="14"/>
            </w:rPr>
            <w:br/>
            <w:t>GE.12-46688</w:t>
          </w:r>
        </w:p>
      </w:tc>
      <w:tc>
        <w:tcPr>
          <w:tcW w:w="5029" w:type="dxa"/>
          <w:vAlign w:val="bottom"/>
        </w:tcPr>
        <w:p w:rsidR="008D113B" w:rsidRDefault="008D113B" w:rsidP="00B578A7">
          <w:pPr>
            <w:pStyle w:val="Footer"/>
            <w:jc w:val="right"/>
          </w:pPr>
          <w:r>
            <w:fldChar w:fldCharType="begin"/>
          </w:r>
          <w:r>
            <w:instrText xml:space="preserve"> PAGE  \* MERGEFORMAT </w:instrText>
          </w:r>
          <w:r>
            <w:fldChar w:fldCharType="separate"/>
          </w:r>
          <w:r w:rsidR="00E36357">
            <w:rPr>
              <w:noProof/>
            </w:rPr>
            <w:t>3</w:t>
          </w:r>
          <w:r>
            <w:fldChar w:fldCharType="end"/>
          </w:r>
        </w:p>
      </w:tc>
    </w:tr>
  </w:tbl>
  <w:p w:rsidR="008D113B" w:rsidRPr="00B578A7" w:rsidRDefault="008D113B" w:rsidP="00B578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885" w:type="pct"/>
      <w:tblInd w:w="122" w:type="dxa"/>
      <w:tblBorders>
        <w:top w:val="single" w:sz="4" w:space="0" w:color="auto"/>
        <w:insideH w:val="single" w:sz="4" w:space="0" w:color="auto"/>
        <w:insideV w:val="single" w:sz="4" w:space="0" w:color="auto"/>
      </w:tblBorders>
      <w:tblLook w:val="04A0" w:firstRow="1" w:lastRow="0" w:firstColumn="1" w:lastColumn="0" w:noHBand="0" w:noVBand="1"/>
    </w:tblPr>
    <w:tblGrid>
      <w:gridCol w:w="9827"/>
    </w:tblGrid>
    <w:tr w:rsidR="008D113B" w:rsidTr="00D60233">
      <w:tc>
        <w:tcPr>
          <w:tcW w:w="5000" w:type="pct"/>
          <w:shd w:val="clear" w:color="auto" w:fill="auto"/>
        </w:tcPr>
        <w:p w:rsidR="008D113B" w:rsidRPr="00D60233" w:rsidRDefault="008D113B" w:rsidP="00D60233">
          <w:pPr>
            <w:spacing w:after="120" w:line="200" w:lineRule="exact"/>
            <w:ind w:left="1298" w:right="1089"/>
            <w:rPr>
              <w:sz w:val="17"/>
              <w:szCs w:val="17"/>
            </w:rPr>
          </w:pPr>
          <w:r w:rsidRPr="00D60233">
            <w:rPr>
              <w:sz w:val="17"/>
              <w:szCs w:val="17"/>
            </w:rPr>
            <w:t xml:space="preserve">This record is subject to correction. </w:t>
          </w:r>
        </w:p>
        <w:p w:rsidR="008D113B" w:rsidRPr="00D60233" w:rsidRDefault="008D113B" w:rsidP="00D60233">
          <w:pPr>
            <w:spacing w:after="120" w:line="200" w:lineRule="exact"/>
            <w:ind w:left="1298" w:right="1089"/>
            <w:rPr>
              <w:sz w:val="17"/>
              <w:szCs w:val="17"/>
            </w:rPr>
          </w:pPr>
          <w:r w:rsidRPr="00D60233">
            <w:rPr>
              <w:sz w:val="17"/>
              <w:szCs w:val="17"/>
            </w:rPr>
            <w:t xml:space="preserve">Corrections should be submitted in one of the working languages. They should be set forth in a memorandum and also incorporated in a copy of the record. They should be sent within one week of the date of this document to the Editing Unit, room E.4108, Palais des Nations, </w:t>
          </w:r>
          <w:smartTag w:uri="urn:schemas-microsoft-com:office:smarttags" w:element="City">
            <w:smartTag w:uri="urn:schemas-microsoft-com:office:smarttags" w:element="place">
              <w:r w:rsidRPr="00D60233">
                <w:rPr>
                  <w:sz w:val="17"/>
                  <w:szCs w:val="17"/>
                </w:rPr>
                <w:t>Geneva</w:t>
              </w:r>
            </w:smartTag>
          </w:smartTag>
          <w:r w:rsidRPr="00D60233">
            <w:rPr>
              <w:sz w:val="17"/>
              <w:szCs w:val="17"/>
            </w:rPr>
            <w:t>.</w:t>
          </w:r>
        </w:p>
        <w:p w:rsidR="008D113B" w:rsidRDefault="008D113B" w:rsidP="00D60233">
          <w:pPr>
            <w:spacing w:after="120" w:line="200" w:lineRule="exact"/>
            <w:ind w:left="1298" w:right="1089"/>
          </w:pPr>
          <w:r w:rsidRPr="00D60233">
            <w:rPr>
              <w:sz w:val="17"/>
              <w:szCs w:val="17"/>
            </w:rPr>
            <w:t>Any corrections to the records of the public meetings of the Committee at this session will be consolidated in a single corrigendum, to be issued shortly after the end of the session.</w:t>
          </w:r>
        </w:p>
      </w:tc>
    </w:tr>
  </w:tbl>
  <w:p w:rsidR="008D113B" w:rsidRPr="00D60233" w:rsidRDefault="008D113B" w:rsidP="00D60233">
    <w:pPr>
      <w:rPr>
        <w:vanish/>
      </w:rPr>
    </w:pPr>
  </w:p>
  <w:tbl>
    <w:tblPr>
      <w:tblW w:w="0" w:type="auto"/>
      <w:tblLayout w:type="fixed"/>
      <w:tblLook w:val="0000" w:firstRow="0" w:lastRow="0" w:firstColumn="0" w:lastColumn="0" w:noHBand="0" w:noVBand="0"/>
    </w:tblPr>
    <w:tblGrid>
      <w:gridCol w:w="5029"/>
      <w:gridCol w:w="5029"/>
    </w:tblGrid>
    <w:tr w:rsidR="008D113B">
      <w:tblPrEx>
        <w:tblCellMar>
          <w:top w:w="0" w:type="dxa"/>
          <w:bottom w:w="0" w:type="dxa"/>
        </w:tblCellMar>
      </w:tblPrEx>
      <w:tc>
        <w:tcPr>
          <w:tcW w:w="5029" w:type="dxa"/>
        </w:tcPr>
        <w:p w:rsidR="008D113B" w:rsidRPr="00B578A7" w:rsidRDefault="008D113B" w:rsidP="00B578A7">
          <w:pPr>
            <w:pStyle w:val="Footer"/>
            <w:rPr>
              <w:b w:val="0"/>
              <w:sz w:val="20"/>
            </w:rPr>
          </w:pPr>
        </w:p>
        <w:p w:rsidR="008D113B" w:rsidRPr="00B578A7" w:rsidRDefault="008D113B" w:rsidP="00193D78">
          <w:pPr>
            <w:pStyle w:val="Footer"/>
            <w:rPr>
              <w:b w:val="0"/>
              <w:sz w:val="20"/>
            </w:rPr>
          </w:pPr>
          <w:r w:rsidRPr="00B578A7">
            <w:rPr>
              <w:b w:val="0"/>
              <w:sz w:val="20"/>
            </w:rPr>
            <w:t xml:space="preserve">V.12-58198 (E)    </w:t>
          </w:r>
          <w:r>
            <w:rPr>
              <w:b w:val="0"/>
              <w:sz w:val="20"/>
            </w:rPr>
            <w:t>20</w:t>
          </w:r>
          <w:r w:rsidRPr="00B578A7">
            <w:rPr>
              <w:b w:val="0"/>
              <w:sz w:val="20"/>
            </w:rPr>
            <w:t xml:space="preserve">0213    </w:t>
          </w:r>
          <w:r>
            <w:rPr>
              <w:b w:val="0"/>
              <w:sz w:val="20"/>
            </w:rPr>
            <w:t>21</w:t>
          </w:r>
          <w:r w:rsidRPr="00B578A7">
            <w:rPr>
              <w:b w:val="0"/>
              <w:sz w:val="20"/>
            </w:rPr>
            <w:t>0213</w:t>
          </w:r>
          <w:r w:rsidR="00107E49">
            <w:rPr>
              <w:b w:val="0"/>
              <w:sz w:val="20"/>
            </w:rPr>
            <w:br/>
            <w:t>GE.12-46688</w:t>
          </w:r>
          <w:r w:rsidR="007C2D54">
            <w:rPr>
              <w:b w:val="0"/>
              <w:sz w:val="20"/>
            </w:rPr>
            <w:t xml:space="preserve">    220213</w:t>
          </w:r>
        </w:p>
      </w:tc>
      <w:tc>
        <w:tcPr>
          <w:tcW w:w="5029" w:type="dxa"/>
          <w:vMerge w:val="restart"/>
        </w:tcPr>
        <w:p w:rsidR="008D113B" w:rsidRDefault="008D113B">
          <w:pPr>
            <w:pStyle w:val="Footer"/>
          </w:pPr>
        </w:p>
        <w:p w:rsidR="008D113B" w:rsidRDefault="008D113B">
          <w:pPr>
            <w:pStyle w:val="Footer"/>
          </w:pPr>
        </w:p>
        <w:p w:rsidR="008D113B" w:rsidRDefault="008D113B" w:rsidP="00B578A7">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PleaseRecycle"/>
              </v:shape>
            </w:pict>
          </w:r>
        </w:p>
      </w:tc>
    </w:tr>
    <w:tr w:rsidR="008D113B">
      <w:tblPrEx>
        <w:tblCellMar>
          <w:top w:w="0" w:type="dxa"/>
          <w:bottom w:w="0" w:type="dxa"/>
        </w:tblCellMar>
      </w:tblPrEx>
      <w:tc>
        <w:tcPr>
          <w:tcW w:w="5029" w:type="dxa"/>
        </w:tcPr>
        <w:p w:rsidR="008D113B" w:rsidRPr="001A059F" w:rsidRDefault="008D113B" w:rsidP="00B578A7">
          <w:pPr>
            <w:pStyle w:val="Footer"/>
            <w:spacing w:before="120"/>
            <w:rPr>
              <w:rFonts w:ascii="Barcode 3 of 9 by request" w:hAnsi="Barcode 3 of 9 by request"/>
              <w:i/>
              <w:sz w:val="24"/>
            </w:rPr>
          </w:pPr>
        </w:p>
      </w:tc>
      <w:tc>
        <w:tcPr>
          <w:tcW w:w="5029" w:type="dxa"/>
          <w:vMerge/>
        </w:tcPr>
        <w:p w:rsidR="008D113B" w:rsidRDefault="008D113B">
          <w:pPr>
            <w:pStyle w:val="Footer"/>
          </w:pPr>
        </w:p>
      </w:tc>
    </w:tr>
  </w:tbl>
  <w:p w:rsidR="008D113B" w:rsidRDefault="008D11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473" w:rsidRDefault="005E2473" w:rsidP="00B578A7">
      <w:pPr>
        <w:spacing w:line="240" w:lineRule="auto"/>
      </w:pPr>
      <w:r>
        <w:separator/>
      </w:r>
    </w:p>
  </w:footnote>
  <w:footnote w:type="continuationSeparator" w:id="0">
    <w:p w:rsidR="005E2473" w:rsidRDefault="005E2473" w:rsidP="00B578A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3B" w:rsidRPr="00B578A7" w:rsidRDefault="008D113B" w:rsidP="00B578A7">
    <w:pPr>
      <w:pStyle w:val="Header"/>
    </w:pPr>
    <w:r>
      <w:rPr>
        <w:noProof/>
        <w:lang w:val="en-GB" w:eastAsia="en-GB"/>
      </w:rPr>
      <w:pict>
        <v:shapetype id="_x0000_t202" coordsize="21600,21600" o:spt="202" path="m,l,21600r21600,l21600,xe">
          <v:stroke joinstyle="miter"/>
          <v:path gradientshapeok="t" o:connecttype="rect"/>
        </v:shapetype>
        <v:shape id="_x0000_s2050" type="#_x0000_t202" style="position:absolute;margin-left:0;margin-top:0;width:493.2pt;height:50.45pt;z-index:2;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8D113B" w:rsidTr="00B578A7">
                  <w:tblPrEx>
                    <w:tblCellMar>
                      <w:top w:w="0" w:type="dxa"/>
                      <w:bottom w:w="0" w:type="dxa"/>
                    </w:tblCellMar>
                  </w:tblPrEx>
                  <w:trPr>
                    <w:trHeight w:hRule="exact" w:val="864"/>
                  </w:trPr>
                  <w:tc>
                    <w:tcPr>
                      <w:tcW w:w="4896" w:type="dxa"/>
                      <w:shd w:val="clear" w:color="auto" w:fill="auto"/>
                      <w:vAlign w:val="bottom"/>
                    </w:tcPr>
                    <w:p w:rsidR="008D113B" w:rsidRPr="00B578A7" w:rsidRDefault="008D113B" w:rsidP="00B578A7">
                      <w:pPr>
                        <w:pStyle w:val="Header"/>
                        <w:spacing w:after="80"/>
                        <w:rPr>
                          <w:b/>
                        </w:rPr>
                      </w:pPr>
                      <w:r>
                        <w:rPr>
                          <w:b/>
                        </w:rPr>
                        <w:t>CCPR/C/SR.2930</w:t>
                      </w:r>
                    </w:p>
                  </w:tc>
                  <w:tc>
                    <w:tcPr>
                      <w:tcW w:w="4940" w:type="dxa"/>
                      <w:shd w:val="clear" w:color="auto" w:fill="auto"/>
                      <w:vAlign w:val="bottom"/>
                    </w:tcPr>
                    <w:p w:rsidR="008D113B" w:rsidRDefault="008D113B" w:rsidP="00B578A7">
                      <w:pPr>
                        <w:pStyle w:val="Header"/>
                      </w:pPr>
                    </w:p>
                  </w:tc>
                </w:tr>
              </w:tbl>
              <w:p w:rsidR="008D113B" w:rsidRDefault="008D113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3B" w:rsidRPr="00B578A7" w:rsidRDefault="008D113B" w:rsidP="00B578A7">
    <w:pPr>
      <w:pStyle w:val="Header"/>
    </w:pPr>
    <w:r>
      <w:rPr>
        <w:noProof/>
        <w:lang w:val="en-GB" w:eastAsia="en-GB"/>
      </w:rPr>
      <w:pict>
        <v:shapetype id="_x0000_t202" coordsize="21600,21600" o:spt="202" path="m,l,21600r21600,l21600,xe">
          <v:stroke joinstyle="miter"/>
          <v:path gradientshapeok="t" o:connecttype="rect"/>
        </v:shapetype>
        <v:shape id="_x0000_s2049" type="#_x0000_t202" style="position:absolute;margin-left:0;margin-top:0;width:493.2pt;height:50.45pt;z-index:1;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8D113B" w:rsidTr="00B578A7">
                  <w:tblPrEx>
                    <w:tblCellMar>
                      <w:top w:w="0" w:type="dxa"/>
                      <w:bottom w:w="0" w:type="dxa"/>
                    </w:tblCellMar>
                  </w:tblPrEx>
                  <w:trPr>
                    <w:trHeight w:hRule="exact" w:val="864"/>
                  </w:trPr>
                  <w:tc>
                    <w:tcPr>
                      <w:tcW w:w="4896" w:type="dxa"/>
                      <w:shd w:val="clear" w:color="auto" w:fill="auto"/>
                      <w:vAlign w:val="bottom"/>
                    </w:tcPr>
                    <w:p w:rsidR="008D113B" w:rsidRDefault="008D113B" w:rsidP="00B578A7">
                      <w:pPr>
                        <w:pStyle w:val="Header"/>
                      </w:pPr>
                    </w:p>
                  </w:tc>
                  <w:tc>
                    <w:tcPr>
                      <w:tcW w:w="4940" w:type="dxa"/>
                      <w:shd w:val="clear" w:color="auto" w:fill="auto"/>
                      <w:vAlign w:val="bottom"/>
                    </w:tcPr>
                    <w:p w:rsidR="008D113B" w:rsidRPr="00B578A7" w:rsidRDefault="008D113B" w:rsidP="00B578A7">
                      <w:pPr>
                        <w:pStyle w:val="Header"/>
                        <w:spacing w:after="80"/>
                        <w:jc w:val="right"/>
                        <w:rPr>
                          <w:b/>
                        </w:rPr>
                      </w:pPr>
                      <w:r>
                        <w:rPr>
                          <w:b/>
                        </w:rPr>
                        <w:t>CCPR/C/SR.2930</w:t>
                      </w:r>
                    </w:p>
                  </w:tc>
                </w:tr>
              </w:tbl>
              <w:p w:rsidR="008D113B" w:rsidRDefault="008D113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D113B" w:rsidTr="00B578A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D113B" w:rsidRDefault="008D113B" w:rsidP="00B578A7">
          <w:pPr>
            <w:pStyle w:val="Header"/>
            <w:spacing w:after="120"/>
          </w:pPr>
        </w:p>
      </w:tc>
      <w:tc>
        <w:tcPr>
          <w:tcW w:w="1872" w:type="dxa"/>
          <w:tcBorders>
            <w:bottom w:val="single" w:sz="4" w:space="0" w:color="auto"/>
          </w:tcBorders>
          <w:shd w:val="clear" w:color="auto" w:fill="auto"/>
          <w:vAlign w:val="bottom"/>
        </w:tcPr>
        <w:p w:rsidR="008D113B" w:rsidRPr="00B578A7" w:rsidRDefault="008D113B" w:rsidP="00B578A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D113B" w:rsidRDefault="008D113B" w:rsidP="00B578A7">
          <w:pPr>
            <w:pStyle w:val="Header"/>
            <w:spacing w:after="120"/>
          </w:pPr>
        </w:p>
      </w:tc>
      <w:tc>
        <w:tcPr>
          <w:tcW w:w="6523" w:type="dxa"/>
          <w:gridSpan w:val="3"/>
          <w:tcBorders>
            <w:bottom w:val="single" w:sz="4" w:space="0" w:color="auto"/>
          </w:tcBorders>
          <w:shd w:val="clear" w:color="auto" w:fill="auto"/>
          <w:vAlign w:val="bottom"/>
        </w:tcPr>
        <w:p w:rsidR="008D113B" w:rsidRPr="00B578A7" w:rsidRDefault="008D113B" w:rsidP="00B578A7">
          <w:pPr>
            <w:spacing w:after="80" w:line="240" w:lineRule="auto"/>
            <w:jc w:val="right"/>
            <w:rPr>
              <w:position w:val="-4"/>
            </w:rPr>
          </w:pPr>
          <w:r>
            <w:rPr>
              <w:position w:val="-4"/>
              <w:sz w:val="40"/>
            </w:rPr>
            <w:t>CCPR</w:t>
          </w:r>
          <w:r>
            <w:rPr>
              <w:position w:val="-4"/>
            </w:rPr>
            <w:t>/C/SR.2930</w:t>
          </w:r>
        </w:p>
      </w:tc>
    </w:tr>
    <w:tr w:rsidR="008D113B" w:rsidRPr="00B578A7" w:rsidTr="00B578A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D113B" w:rsidRPr="00B578A7" w:rsidRDefault="008D113B" w:rsidP="00B578A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un logo 800"/>
              </v:shape>
            </w:pict>
          </w:r>
        </w:p>
      </w:tc>
      <w:tc>
        <w:tcPr>
          <w:tcW w:w="5227" w:type="dxa"/>
          <w:gridSpan w:val="3"/>
          <w:tcBorders>
            <w:top w:val="single" w:sz="4" w:space="0" w:color="auto"/>
            <w:bottom w:val="single" w:sz="12" w:space="0" w:color="auto"/>
          </w:tcBorders>
          <w:shd w:val="clear" w:color="auto" w:fill="auto"/>
        </w:tcPr>
        <w:p w:rsidR="008D113B" w:rsidRPr="00B578A7" w:rsidRDefault="008D113B" w:rsidP="00B578A7">
          <w:pPr>
            <w:pStyle w:val="XLarge"/>
            <w:spacing w:before="109"/>
          </w:pPr>
          <w:r>
            <w:t>International Covenant on Civil and Political Rights</w:t>
          </w:r>
        </w:p>
      </w:tc>
      <w:tc>
        <w:tcPr>
          <w:tcW w:w="245" w:type="dxa"/>
          <w:tcBorders>
            <w:top w:val="single" w:sz="4" w:space="0" w:color="auto"/>
            <w:bottom w:val="single" w:sz="12" w:space="0" w:color="auto"/>
          </w:tcBorders>
          <w:shd w:val="clear" w:color="auto" w:fill="auto"/>
        </w:tcPr>
        <w:p w:rsidR="008D113B" w:rsidRPr="00B578A7" w:rsidRDefault="008D113B" w:rsidP="00B578A7">
          <w:pPr>
            <w:pStyle w:val="Header"/>
            <w:spacing w:before="109"/>
          </w:pPr>
        </w:p>
      </w:tc>
      <w:tc>
        <w:tcPr>
          <w:tcW w:w="3180" w:type="dxa"/>
          <w:gridSpan w:val="2"/>
          <w:tcBorders>
            <w:top w:val="single" w:sz="4" w:space="0" w:color="auto"/>
            <w:bottom w:val="single" w:sz="12" w:space="0" w:color="auto"/>
          </w:tcBorders>
          <w:shd w:val="clear" w:color="auto" w:fill="auto"/>
        </w:tcPr>
        <w:p w:rsidR="008D113B" w:rsidRDefault="008D113B" w:rsidP="00B578A7">
          <w:pPr>
            <w:spacing w:before="240"/>
          </w:pPr>
          <w:r>
            <w:t>Distr.: General</w:t>
          </w:r>
        </w:p>
        <w:p w:rsidR="008D113B" w:rsidRDefault="00107E49" w:rsidP="00B578A7">
          <w:r>
            <w:t>22 February</w:t>
          </w:r>
          <w:r w:rsidR="008D113B">
            <w:t xml:space="preserve"> 201</w:t>
          </w:r>
          <w:r>
            <w:t>3</w:t>
          </w:r>
        </w:p>
        <w:p w:rsidR="008D113B" w:rsidRDefault="008D113B" w:rsidP="00B578A7">
          <w:r>
            <w:t>English</w:t>
          </w:r>
        </w:p>
        <w:p w:rsidR="008D113B" w:rsidRPr="00B578A7" w:rsidRDefault="008D113B" w:rsidP="00B578A7">
          <w:r>
            <w:t>Original: French</w:t>
          </w:r>
        </w:p>
      </w:tc>
    </w:tr>
  </w:tbl>
  <w:p w:rsidR="008D113B" w:rsidRPr="00B578A7" w:rsidRDefault="008D113B" w:rsidP="00B578A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9915EE"/>
    <w:multiLevelType w:val="multilevel"/>
    <w:tmpl w:val="988CA4E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2/2013 13:39:58"/>
    <w:docVar w:name="DocCategory" w:val="Doc"/>
    <w:docVar w:name="DocType" w:val="Final"/>
    <w:docVar w:name="JobNo" w:val="1258198"/>
    <w:docVar w:name="OandT" w:val="AM-T"/>
    <w:docVar w:name="Symbol1" w:val="CCPR/C/SR.2930"/>
    <w:docVar w:name="Symbol2" w:val="-"/>
  </w:docVars>
  <w:rsids>
    <w:rsidRoot w:val="00B578A7"/>
    <w:rsid w:val="00092CC8"/>
    <w:rsid w:val="000A293A"/>
    <w:rsid w:val="000B52BB"/>
    <w:rsid w:val="000D3582"/>
    <w:rsid w:val="00107E49"/>
    <w:rsid w:val="00193D78"/>
    <w:rsid w:val="001A059F"/>
    <w:rsid w:val="001F2A8F"/>
    <w:rsid w:val="002545CD"/>
    <w:rsid w:val="00254F23"/>
    <w:rsid w:val="002B1EDD"/>
    <w:rsid w:val="002F6471"/>
    <w:rsid w:val="00307A67"/>
    <w:rsid w:val="00351601"/>
    <w:rsid w:val="00413268"/>
    <w:rsid w:val="00482677"/>
    <w:rsid w:val="004B2321"/>
    <w:rsid w:val="004E683D"/>
    <w:rsid w:val="004E7739"/>
    <w:rsid w:val="004F1DDD"/>
    <w:rsid w:val="00547DAC"/>
    <w:rsid w:val="00581473"/>
    <w:rsid w:val="00581E29"/>
    <w:rsid w:val="005940C3"/>
    <w:rsid w:val="005E2473"/>
    <w:rsid w:val="005F76FC"/>
    <w:rsid w:val="00671929"/>
    <w:rsid w:val="00697F64"/>
    <w:rsid w:val="006F0897"/>
    <w:rsid w:val="007212D8"/>
    <w:rsid w:val="00731F33"/>
    <w:rsid w:val="0074330C"/>
    <w:rsid w:val="00755271"/>
    <w:rsid w:val="007771D9"/>
    <w:rsid w:val="007C2D54"/>
    <w:rsid w:val="00883649"/>
    <w:rsid w:val="008D113B"/>
    <w:rsid w:val="009E1EE6"/>
    <w:rsid w:val="00A13E16"/>
    <w:rsid w:val="00A35322"/>
    <w:rsid w:val="00A7004F"/>
    <w:rsid w:val="00A719FB"/>
    <w:rsid w:val="00A75683"/>
    <w:rsid w:val="00B578A7"/>
    <w:rsid w:val="00B72154"/>
    <w:rsid w:val="00BA473E"/>
    <w:rsid w:val="00C818D6"/>
    <w:rsid w:val="00C9530B"/>
    <w:rsid w:val="00CB588E"/>
    <w:rsid w:val="00CB69A4"/>
    <w:rsid w:val="00D2588C"/>
    <w:rsid w:val="00D60233"/>
    <w:rsid w:val="00E33D40"/>
    <w:rsid w:val="00E36357"/>
    <w:rsid w:val="00E504C8"/>
    <w:rsid w:val="00E525C9"/>
    <w:rsid w:val="00E74548"/>
    <w:rsid w:val="00E80F9D"/>
    <w:rsid w:val="00F512D5"/>
    <w:rsid w:val="00F6444D"/>
    <w:rsid w:val="00FA5DF1"/>
    <w:rsid w:val="00FC0B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szCs w:val="24"/>
      <w:lang w:val="en-US" w:eastAsia="zh-CN"/>
    </w:rPr>
  </w:style>
  <w:style w:type="paragraph" w:styleId="Heading7">
    <w:name w:val="heading 7"/>
    <w:basedOn w:val="Normal"/>
    <w:next w:val="Normal"/>
    <w:link w:val="Heading7Char"/>
    <w:qFormat/>
    <w:rsid w:val="00697F64"/>
    <w:pPr>
      <w:numPr>
        <w:ilvl w:val="6"/>
        <w:numId w:val="1"/>
      </w:numPr>
      <w:spacing w:before="240" w:after="60"/>
      <w:outlineLvl w:val="6"/>
    </w:pPr>
    <w:rPr>
      <w:rFonts w:ascii="Calibri" w:eastAsia="Times New Roman" w:hAnsi="Calibri" w:cs="Arial"/>
      <w:sz w:val="24"/>
    </w:rPr>
  </w:style>
  <w:style w:type="paragraph" w:styleId="Heading8">
    <w:name w:val="heading 8"/>
    <w:basedOn w:val="Normal"/>
    <w:next w:val="Normal"/>
    <w:link w:val="Heading8Char"/>
    <w:qFormat/>
    <w:rsid w:val="00697F64"/>
    <w:pPr>
      <w:numPr>
        <w:ilvl w:val="7"/>
        <w:numId w:val="1"/>
      </w:numPr>
      <w:spacing w:before="240" w:after="60"/>
      <w:outlineLvl w:val="7"/>
    </w:pPr>
    <w:rPr>
      <w:rFonts w:ascii="Calibri" w:eastAsia="Times New Roman" w:hAnsi="Calibri" w:cs="Arial"/>
      <w:i/>
      <w:iCs/>
      <w:sz w:val="24"/>
    </w:rPr>
  </w:style>
  <w:style w:type="paragraph" w:styleId="Heading9">
    <w:name w:val="heading 9"/>
    <w:basedOn w:val="Normal"/>
    <w:next w:val="Normal"/>
    <w:link w:val="Heading9Char"/>
    <w:qFormat/>
    <w:rsid w:val="00697F64"/>
    <w:pPr>
      <w:numPr>
        <w:ilvl w:val="8"/>
        <w:numId w:val="1"/>
      </w:numPr>
      <w:spacing w:before="240" w:after="60"/>
      <w:outlineLvl w:val="8"/>
    </w:pPr>
    <w:rPr>
      <w:rFonts w:ascii="Cambria" w:eastAsia="Times New Roma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B578A7"/>
    <w:pPr>
      <w:tabs>
        <w:tab w:val="center" w:pos="4320"/>
        <w:tab w:val="right" w:pos="8640"/>
      </w:tabs>
    </w:pPr>
    <w:rPr>
      <w:spacing w:val="4"/>
      <w:sz w:val="17"/>
      <w:szCs w:val="24"/>
      <w:lang w:val="en-US" w:eastAsia="zh-CN"/>
    </w:rPr>
  </w:style>
  <w:style w:type="character" w:customStyle="1" w:styleId="HeaderChar">
    <w:name w:val="Header Char"/>
    <w:link w:val="Header"/>
    <w:rsid w:val="00B578A7"/>
    <w:rPr>
      <w:spacing w:val="4"/>
      <w:sz w:val="17"/>
      <w:szCs w:val="24"/>
      <w:lang w:val="en-US" w:eastAsia="zh-CN"/>
    </w:rPr>
  </w:style>
  <w:style w:type="paragraph" w:styleId="Footer">
    <w:name w:val="footer"/>
    <w:link w:val="FooterChar"/>
    <w:rsid w:val="00B578A7"/>
    <w:pPr>
      <w:tabs>
        <w:tab w:val="center" w:pos="4320"/>
        <w:tab w:val="right" w:pos="8640"/>
      </w:tabs>
    </w:pPr>
    <w:rPr>
      <w:b/>
      <w:spacing w:val="4"/>
      <w:sz w:val="17"/>
      <w:szCs w:val="24"/>
      <w:lang w:val="en-US" w:eastAsia="zh-CN"/>
    </w:rPr>
  </w:style>
  <w:style w:type="character" w:customStyle="1" w:styleId="FooterChar">
    <w:name w:val="Footer Char"/>
    <w:link w:val="Footer"/>
    <w:rsid w:val="00B578A7"/>
    <w:rPr>
      <w:b/>
      <w:spacing w:val="4"/>
      <w:sz w:val="17"/>
      <w:szCs w:val="24"/>
      <w:lang w:val="en-US" w:eastAsia="zh-CN"/>
    </w:rPr>
  </w:style>
  <w:style w:type="paragraph" w:customStyle="1" w:styleId="SingleTxt">
    <w:name w:val="__Single Txt"/>
    <w:basedOn w:val="Normal"/>
    <w:link w:val="SingleTxtChar"/>
    <w:rsid w:val="00B578A7"/>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lowKashida"/>
    </w:pPr>
  </w:style>
  <w:style w:type="character" w:customStyle="1" w:styleId="SingleTxtChar">
    <w:name w:val="__Single Txt Char"/>
    <w:link w:val="SingleTxt"/>
    <w:rsid w:val="00B578A7"/>
    <w:rPr>
      <w:spacing w:val="4"/>
      <w:w w:val="103"/>
      <w:kern w:val="14"/>
      <w:sz w:val="17"/>
      <w:szCs w:val="24"/>
      <w:lang w:val="en-US" w:eastAsia="zh-CN"/>
    </w:rPr>
  </w:style>
  <w:style w:type="paragraph" w:customStyle="1" w:styleId="DualTxt">
    <w:name w:val="__Dual Txt"/>
    <w:basedOn w:val="Normal"/>
    <w:link w:val="DualTxtChar"/>
    <w:rsid w:val="00B578A7"/>
    <w:pPr>
      <w:tabs>
        <w:tab w:val="left" w:pos="482"/>
        <w:tab w:val="left" w:pos="958"/>
        <w:tab w:val="left" w:pos="1440"/>
        <w:tab w:val="left" w:pos="1916"/>
        <w:tab w:val="left" w:pos="2404"/>
        <w:tab w:val="left" w:pos="2880"/>
        <w:tab w:val="left" w:pos="3356"/>
      </w:tabs>
      <w:spacing w:after="120"/>
      <w:jc w:val="both"/>
    </w:pPr>
  </w:style>
  <w:style w:type="character" w:customStyle="1" w:styleId="DualTxtChar">
    <w:name w:val="__Dual Txt Char"/>
    <w:link w:val="DualTxt"/>
    <w:rsid w:val="00B578A7"/>
    <w:rPr>
      <w:spacing w:val="4"/>
      <w:w w:val="103"/>
      <w:kern w:val="14"/>
      <w:sz w:val="17"/>
      <w:szCs w:val="24"/>
      <w:lang w:val="en-US" w:eastAsia="zh-CN"/>
    </w:rPr>
  </w:style>
  <w:style w:type="paragraph" w:customStyle="1" w:styleId="H1">
    <w:name w:val="_ H_1"/>
    <w:basedOn w:val="Normal"/>
    <w:next w:val="Normal"/>
    <w:link w:val="H1Char"/>
    <w:rsid w:val="00B578A7"/>
    <w:pPr>
      <w:keepNext/>
      <w:keepLines/>
      <w:spacing w:line="270" w:lineRule="exact"/>
      <w:outlineLvl w:val="0"/>
    </w:pPr>
    <w:rPr>
      <w:b/>
      <w:sz w:val="24"/>
    </w:rPr>
  </w:style>
  <w:style w:type="character" w:customStyle="1" w:styleId="H1Char">
    <w:name w:val="_ H_1 Char"/>
    <w:link w:val="H1"/>
    <w:rsid w:val="00B578A7"/>
    <w:rPr>
      <w:b/>
      <w:spacing w:val="4"/>
      <w:w w:val="103"/>
      <w:kern w:val="14"/>
      <w:sz w:val="24"/>
      <w:szCs w:val="24"/>
      <w:lang w:val="en-US" w:eastAsia="zh-CN"/>
    </w:rPr>
  </w:style>
  <w:style w:type="paragraph" w:customStyle="1" w:styleId="HCh">
    <w:name w:val="_ H _Ch"/>
    <w:basedOn w:val="H1"/>
    <w:next w:val="SingleTxt"/>
    <w:link w:val="HChChar"/>
    <w:rsid w:val="00B578A7"/>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
    <w:name w:val="_ H _Ch Char"/>
    <w:link w:val="HCh"/>
    <w:rsid w:val="00B578A7"/>
    <w:rPr>
      <w:b/>
      <w:spacing w:val="-2"/>
      <w:w w:val="103"/>
      <w:kern w:val="14"/>
      <w:sz w:val="28"/>
      <w:szCs w:val="24"/>
      <w:lang w:val="en-US" w:eastAsia="zh-CN"/>
    </w:rPr>
  </w:style>
  <w:style w:type="paragraph" w:customStyle="1" w:styleId="HM">
    <w:name w:val="_ H __M"/>
    <w:basedOn w:val="HCh"/>
    <w:next w:val="Normal"/>
    <w:link w:val="HMChar"/>
    <w:rsid w:val="00B578A7"/>
    <w:pPr>
      <w:spacing w:line="360" w:lineRule="exact"/>
    </w:pPr>
    <w:rPr>
      <w:spacing w:val="-3"/>
      <w:w w:val="99"/>
      <w:sz w:val="34"/>
    </w:rPr>
  </w:style>
  <w:style w:type="character" w:customStyle="1" w:styleId="HMChar">
    <w:name w:val="_ H __M Char"/>
    <w:link w:val="HM"/>
    <w:rsid w:val="00B578A7"/>
    <w:rPr>
      <w:b/>
      <w:spacing w:val="-3"/>
      <w:w w:val="99"/>
      <w:kern w:val="14"/>
      <w:sz w:val="34"/>
      <w:szCs w:val="24"/>
      <w:lang w:val="en-US" w:eastAsia="zh-CN"/>
    </w:rPr>
  </w:style>
  <w:style w:type="paragraph" w:customStyle="1" w:styleId="H23">
    <w:name w:val="_ H_2/3"/>
    <w:basedOn w:val="H1"/>
    <w:next w:val="SingleTxt"/>
    <w:link w:val="H23Char"/>
    <w:rsid w:val="00B578A7"/>
    <w:pPr>
      <w:spacing w:line="240" w:lineRule="exact"/>
      <w:outlineLvl w:val="1"/>
    </w:pPr>
    <w:rPr>
      <w:spacing w:val="2"/>
      <w:sz w:val="17"/>
    </w:rPr>
  </w:style>
  <w:style w:type="character" w:customStyle="1" w:styleId="H23Char">
    <w:name w:val="_ H_2/3 Char"/>
    <w:link w:val="H23"/>
    <w:rsid w:val="00B578A7"/>
    <w:rPr>
      <w:b/>
      <w:spacing w:val="2"/>
      <w:w w:val="103"/>
      <w:kern w:val="14"/>
      <w:sz w:val="17"/>
      <w:szCs w:val="24"/>
      <w:lang w:val="en-US" w:eastAsia="zh-CN"/>
    </w:rPr>
  </w:style>
  <w:style w:type="paragraph" w:customStyle="1" w:styleId="H4">
    <w:name w:val="_ H_4"/>
    <w:basedOn w:val="Normal"/>
    <w:next w:val="SingleTxt"/>
    <w:link w:val="H4Char"/>
    <w:rsid w:val="00B578A7"/>
    <w:pPr>
      <w:keepNext/>
      <w:keepLines/>
      <w:tabs>
        <w:tab w:val="right" w:pos="357"/>
      </w:tabs>
      <w:outlineLvl w:val="3"/>
    </w:pPr>
    <w:rPr>
      <w:i/>
      <w:spacing w:val="3"/>
      <w:sz w:val="17"/>
    </w:rPr>
  </w:style>
  <w:style w:type="character" w:customStyle="1" w:styleId="H4Char">
    <w:name w:val="_ H_4 Char"/>
    <w:link w:val="H4"/>
    <w:rsid w:val="00B578A7"/>
    <w:rPr>
      <w:i/>
      <w:spacing w:val="3"/>
      <w:w w:val="103"/>
      <w:kern w:val="14"/>
      <w:sz w:val="17"/>
      <w:szCs w:val="24"/>
      <w:lang w:val="en-US" w:eastAsia="zh-CN"/>
    </w:rPr>
  </w:style>
  <w:style w:type="paragraph" w:customStyle="1" w:styleId="H56">
    <w:name w:val="_ H_5/6"/>
    <w:basedOn w:val="Normal"/>
    <w:next w:val="Normal"/>
    <w:link w:val="H56Char"/>
    <w:rsid w:val="00B578A7"/>
    <w:pPr>
      <w:keepNext/>
      <w:keepLines/>
      <w:outlineLvl w:val="4"/>
    </w:pPr>
  </w:style>
  <w:style w:type="character" w:customStyle="1" w:styleId="H56Char">
    <w:name w:val="_ H_5/6 Char"/>
    <w:link w:val="H56"/>
    <w:rsid w:val="00B578A7"/>
    <w:rPr>
      <w:spacing w:val="4"/>
      <w:w w:val="103"/>
      <w:kern w:val="14"/>
      <w:sz w:val="17"/>
      <w:szCs w:val="24"/>
      <w:lang w:val="en-US" w:eastAsia="zh-CN"/>
    </w:rPr>
  </w:style>
  <w:style w:type="character" w:styleId="CommentReference">
    <w:name w:val="annotation reference"/>
    <w:rsid w:val="00B578A7"/>
    <w:rPr>
      <w:sz w:val="6"/>
      <w:szCs w:val="16"/>
    </w:rPr>
  </w:style>
  <w:style w:type="character" w:styleId="FootnoteReference">
    <w:name w:val="footnote reference"/>
    <w:rsid w:val="00B578A7"/>
    <w:rPr>
      <w:spacing w:val="-5"/>
      <w:w w:val="130"/>
      <w:position w:val="-4"/>
      <w:vertAlign w:val="superscript"/>
    </w:rPr>
  </w:style>
  <w:style w:type="character" w:styleId="EndnoteReference">
    <w:name w:val="endnote reference"/>
    <w:rsid w:val="00B578A7"/>
    <w:rPr>
      <w:spacing w:val="-5"/>
      <w:w w:val="130"/>
      <w:position w:val="-4"/>
      <w:vertAlign w:val="superscript"/>
    </w:rPr>
  </w:style>
  <w:style w:type="paragraph" w:styleId="FootnoteText">
    <w:name w:val="footnote text"/>
    <w:basedOn w:val="Normal"/>
    <w:link w:val="FootnoteTextChar"/>
    <w:rsid w:val="00B578A7"/>
    <w:pPr>
      <w:tabs>
        <w:tab w:val="right" w:pos="418"/>
      </w:tabs>
      <w:spacing w:line="210" w:lineRule="exact"/>
      <w:ind w:left="475" w:hanging="475"/>
    </w:pPr>
    <w:rPr>
      <w:spacing w:val="5"/>
      <w:w w:val="104"/>
      <w:sz w:val="17"/>
      <w:szCs w:val="20"/>
    </w:rPr>
  </w:style>
  <w:style w:type="character" w:customStyle="1" w:styleId="FootnoteTextChar">
    <w:name w:val="Footnote Text Char"/>
    <w:link w:val="FootnoteText"/>
    <w:rsid w:val="00B578A7"/>
    <w:rPr>
      <w:spacing w:val="5"/>
      <w:w w:val="104"/>
      <w:kern w:val="14"/>
      <w:sz w:val="17"/>
      <w:lang w:val="en-US" w:eastAsia="zh-CN"/>
    </w:rPr>
  </w:style>
  <w:style w:type="paragraph" w:styleId="EndnoteText">
    <w:name w:val="endnote text"/>
    <w:basedOn w:val="FootnoteText"/>
    <w:link w:val="EndnoteTextChar"/>
    <w:rsid w:val="00B578A7"/>
  </w:style>
  <w:style w:type="character" w:customStyle="1" w:styleId="EndnoteTextChar">
    <w:name w:val="Endnote Text Char"/>
    <w:link w:val="EndnoteText"/>
    <w:rsid w:val="00B578A7"/>
    <w:rPr>
      <w:spacing w:val="5"/>
      <w:w w:val="104"/>
      <w:kern w:val="14"/>
      <w:sz w:val="17"/>
      <w:lang w:val="en-US" w:eastAsia="zh-CN"/>
    </w:rPr>
  </w:style>
  <w:style w:type="character" w:styleId="LineNumber">
    <w:name w:val="line number"/>
    <w:rsid w:val="00B578A7"/>
    <w:rPr>
      <w:sz w:val="14"/>
    </w:rPr>
  </w:style>
  <w:style w:type="paragraph" w:customStyle="1" w:styleId="Small">
    <w:name w:val="Small"/>
    <w:basedOn w:val="Normal"/>
    <w:next w:val="Normal"/>
    <w:link w:val="SmallChar"/>
    <w:rsid w:val="00B578A7"/>
    <w:pPr>
      <w:tabs>
        <w:tab w:val="right" w:pos="9961"/>
      </w:tabs>
      <w:spacing w:line="210" w:lineRule="exact"/>
    </w:pPr>
    <w:rPr>
      <w:spacing w:val="5"/>
      <w:w w:val="104"/>
      <w:sz w:val="17"/>
    </w:rPr>
  </w:style>
  <w:style w:type="character" w:customStyle="1" w:styleId="SmallChar">
    <w:name w:val="Small Char"/>
    <w:link w:val="Small"/>
    <w:rsid w:val="00B578A7"/>
    <w:rPr>
      <w:spacing w:val="5"/>
      <w:w w:val="104"/>
      <w:kern w:val="14"/>
      <w:sz w:val="17"/>
      <w:szCs w:val="24"/>
      <w:lang w:val="en-US" w:eastAsia="zh-CN"/>
    </w:rPr>
  </w:style>
  <w:style w:type="paragraph" w:customStyle="1" w:styleId="SmallX">
    <w:name w:val="SmallX"/>
    <w:basedOn w:val="Small"/>
    <w:next w:val="Normal"/>
    <w:link w:val="SmallXChar"/>
    <w:rsid w:val="00B578A7"/>
    <w:pPr>
      <w:tabs>
        <w:tab w:val="left" w:leader="dot" w:pos="9961"/>
      </w:tabs>
      <w:spacing w:line="180" w:lineRule="exact"/>
      <w:jc w:val="right"/>
    </w:pPr>
    <w:rPr>
      <w:spacing w:val="6"/>
      <w:w w:val="106"/>
      <w:sz w:val="14"/>
    </w:rPr>
  </w:style>
  <w:style w:type="character" w:customStyle="1" w:styleId="SmallXChar">
    <w:name w:val="SmallX Char"/>
    <w:link w:val="SmallX"/>
    <w:rsid w:val="00B578A7"/>
    <w:rPr>
      <w:spacing w:val="6"/>
      <w:w w:val="106"/>
      <w:kern w:val="14"/>
      <w:sz w:val="14"/>
      <w:szCs w:val="24"/>
      <w:lang w:val="en-US" w:eastAsia="zh-CN"/>
    </w:rPr>
  </w:style>
  <w:style w:type="paragraph" w:customStyle="1" w:styleId="XLarge">
    <w:name w:val="XLarge"/>
    <w:basedOn w:val="HM"/>
    <w:link w:val="XLargeChar"/>
    <w:rsid w:val="00B578A7"/>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B578A7"/>
    <w:rPr>
      <w:b/>
      <w:spacing w:val="-4"/>
      <w:w w:val="98"/>
      <w:kern w:val="14"/>
      <w:sz w:val="40"/>
      <w:szCs w:val="24"/>
      <w:lang w:val="en-US" w:eastAsia="zh-CN"/>
    </w:rPr>
  </w:style>
  <w:style w:type="paragraph" w:styleId="CommentText">
    <w:name w:val="annotation text"/>
    <w:basedOn w:val="Normal"/>
    <w:link w:val="CommentTextChar"/>
    <w:rsid w:val="00B578A7"/>
    <w:rPr>
      <w:szCs w:val="20"/>
    </w:rPr>
  </w:style>
  <w:style w:type="character" w:customStyle="1" w:styleId="CommentTextChar">
    <w:name w:val="Comment Text Char"/>
    <w:link w:val="CommentText"/>
    <w:rsid w:val="00B578A7"/>
    <w:rPr>
      <w:spacing w:val="4"/>
      <w:w w:val="103"/>
      <w:kern w:val="14"/>
      <w:lang w:val="en-US" w:eastAsia="zh-CN"/>
    </w:rPr>
  </w:style>
  <w:style w:type="paragraph" w:styleId="CommentSubject">
    <w:name w:val="annotation subject"/>
    <w:basedOn w:val="CommentText"/>
    <w:next w:val="CommentText"/>
    <w:link w:val="CommentSubjectChar"/>
    <w:rsid w:val="00B578A7"/>
    <w:rPr>
      <w:b/>
      <w:bCs/>
    </w:rPr>
  </w:style>
  <w:style w:type="character" w:customStyle="1" w:styleId="CommentSubjectChar">
    <w:name w:val="Comment Subject Char"/>
    <w:link w:val="CommentSubject"/>
    <w:rsid w:val="00B578A7"/>
    <w:rPr>
      <w:b/>
      <w:bCs/>
      <w:spacing w:val="4"/>
      <w:w w:val="103"/>
      <w:kern w:val="14"/>
      <w:lang w:val="en-US" w:eastAsia="zh-CN"/>
    </w:rPr>
  </w:style>
  <w:style w:type="table" w:styleId="TableGrid">
    <w:name w:val="Table Grid"/>
    <w:basedOn w:val="TableNormal"/>
    <w:rsid w:val="00581E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link w:val="Heading7"/>
    <w:semiHidden/>
    <w:rsid w:val="00697F64"/>
    <w:rPr>
      <w:rFonts w:ascii="Calibri" w:eastAsia="Times New Roman" w:hAnsi="Calibri" w:cs="Arial"/>
      <w:spacing w:val="4"/>
      <w:w w:val="103"/>
      <w:kern w:val="14"/>
      <w:sz w:val="24"/>
      <w:szCs w:val="24"/>
      <w:lang w:val="en-US" w:eastAsia="zh-CN"/>
    </w:rPr>
  </w:style>
  <w:style w:type="character" w:customStyle="1" w:styleId="Heading8Char">
    <w:name w:val="Heading 8 Char"/>
    <w:link w:val="Heading8"/>
    <w:semiHidden/>
    <w:rsid w:val="00697F64"/>
    <w:rPr>
      <w:rFonts w:ascii="Calibri" w:eastAsia="Times New Roman" w:hAnsi="Calibri" w:cs="Arial"/>
      <w:i/>
      <w:iCs/>
      <w:spacing w:val="4"/>
      <w:w w:val="103"/>
      <w:kern w:val="14"/>
      <w:sz w:val="24"/>
      <w:szCs w:val="24"/>
      <w:lang w:val="en-US" w:eastAsia="zh-CN"/>
    </w:rPr>
  </w:style>
  <w:style w:type="character" w:customStyle="1" w:styleId="Heading9Char">
    <w:name w:val="Heading 9 Char"/>
    <w:link w:val="Heading9"/>
    <w:semiHidden/>
    <w:rsid w:val="00697F64"/>
    <w:rPr>
      <w:rFonts w:ascii="Cambria" w:eastAsia="Times New Roman" w:hAnsi="Cambria" w:cs="Times New Roman"/>
      <w:spacing w:val="4"/>
      <w:w w:val="103"/>
      <w:kern w:val="14"/>
      <w:sz w:val="22"/>
      <w:szCs w:val="22"/>
      <w:lang w:val="en-US" w:eastAsia="zh-CN"/>
    </w:rPr>
  </w:style>
  <w:style w:type="paragraph" w:styleId="BalloonText">
    <w:name w:val="Balloon Text"/>
    <w:basedOn w:val="Normal"/>
    <w:link w:val="BalloonTextChar"/>
    <w:rsid w:val="00193D78"/>
    <w:pPr>
      <w:spacing w:line="240" w:lineRule="auto"/>
    </w:pPr>
    <w:rPr>
      <w:rFonts w:ascii="Tahoma" w:hAnsi="Tahoma" w:cs="Tahoma"/>
      <w:sz w:val="16"/>
      <w:szCs w:val="16"/>
    </w:rPr>
  </w:style>
  <w:style w:type="character" w:customStyle="1" w:styleId="BalloonTextChar">
    <w:name w:val="Balloon Text Char"/>
    <w:link w:val="BalloonText"/>
    <w:rsid w:val="00193D78"/>
    <w:rPr>
      <w:rFonts w:ascii="Tahoma" w:hAnsi="Tahoma" w:cs="Tahoma"/>
      <w:spacing w:val="4"/>
      <w:w w:val="103"/>
      <w:kern w:val="14"/>
      <w:sz w:val="16"/>
      <w:szCs w:val="16"/>
      <w:lang w:val="en-US" w:eastAsia="zh-CN"/>
    </w:rPr>
  </w:style>
  <w:style w:type="paragraph" w:styleId="Revision">
    <w:name w:val="Revision"/>
    <w:hidden/>
    <w:uiPriority w:val="99"/>
    <w:semiHidden/>
    <w:rsid w:val="001A059F"/>
    <w:rPr>
      <w:spacing w:val="4"/>
      <w:w w:val="103"/>
      <w:kern w:val="1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2729</Words>
  <Characters>15558</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18251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Alexandra Martin-Trondl</dc:creator>
  <cp:keywords/>
  <cp:lastModifiedBy>KAY-ATTIPOE</cp:lastModifiedBy>
  <cp:revision>2</cp:revision>
  <cp:lastPrinted>2013-02-20T09:44:00Z</cp:lastPrinted>
  <dcterms:created xsi:type="dcterms:W3CDTF">2013-02-22T07:55:00Z</dcterms:created>
  <dcterms:modified xsi:type="dcterms:W3CDTF">2013-02-22T07:55:00Z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1258198</vt:lpwstr>
  </property>
  <property fmtid="{D5CDD505-2E9C-101B-9397-08002B2CF9AE}" pid="3" name="Symbol1">
    <vt:lpwstr>CCPR/C/SR.2930</vt:lpwstr>
  </property>
  <property fmtid="{D5CDD505-2E9C-101B-9397-08002B2CF9AE}" pid="4" name="Symbol2">
    <vt:lpwstr/>
  </property>
  <property fmtid="{D5CDD505-2E9C-101B-9397-08002B2CF9AE}" pid="5" name="Translator">
    <vt:lpwstr>-</vt:lpwstr>
  </property>
  <property fmtid="{D5CDD505-2E9C-101B-9397-08002B2CF9AE}" pid="6" name="Oxygen">
    <vt:lpwstr>*</vt:lpwstr>
  </property>
  <property fmtid="{D5CDD505-2E9C-101B-9397-08002B2CF9AE}" pid="7" name="Comment">
    <vt:lpwstr/>
  </property>
  <property fmtid="{D5CDD505-2E9C-101B-9397-08002B2CF9AE}" pid="8" name="DraftPages">
    <vt:lpwstr> </vt:lpwstr>
  </property>
  <property fmtid="{D5CDD505-2E9C-101B-9397-08002B2CF9AE}" pid="9" name="Operator">
    <vt:lpwstr>AM-T</vt:lpwstr>
  </property>
</Properties>
</file>