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C175A6" w14:paraId="431E1575" w14:textId="77777777" w:rsidTr="005B51C4">
        <w:trPr>
          <w:trHeight w:hRule="exact" w:val="851"/>
        </w:trPr>
        <w:tc>
          <w:tcPr>
            <w:tcW w:w="1274" w:type="dxa"/>
            <w:tcBorders>
              <w:bottom w:val="single" w:sz="4" w:space="0" w:color="auto"/>
            </w:tcBorders>
            <w:shd w:val="clear" w:color="auto" w:fill="auto"/>
          </w:tcPr>
          <w:p w14:paraId="2E7ABDB8" w14:textId="77777777" w:rsidR="006B3E27" w:rsidRPr="00C175A6" w:rsidRDefault="006B3E27" w:rsidP="008C1A20">
            <w:pPr>
              <w:kinsoku w:val="0"/>
              <w:overflowPunct w:val="0"/>
              <w:autoSpaceDE w:val="0"/>
              <w:autoSpaceDN w:val="0"/>
              <w:adjustRightInd w:val="0"/>
              <w:snapToGrid w:val="0"/>
              <w:jc w:val="center"/>
              <w:rPr>
                <w:rFonts w:hint="cs"/>
                <w:sz w:val="56"/>
                <w:szCs w:val="56"/>
              </w:rPr>
            </w:pPr>
          </w:p>
        </w:tc>
        <w:tc>
          <w:tcPr>
            <w:tcW w:w="4537" w:type="dxa"/>
            <w:tcBorders>
              <w:bottom w:val="single" w:sz="4" w:space="0" w:color="auto"/>
            </w:tcBorders>
            <w:shd w:val="clear" w:color="auto" w:fill="auto"/>
            <w:vAlign w:val="bottom"/>
          </w:tcPr>
          <w:p w14:paraId="35CD05CD" w14:textId="77777777" w:rsidR="006B3E27" w:rsidRPr="00C175A6" w:rsidRDefault="006B3E27" w:rsidP="00730446">
            <w:pPr>
              <w:spacing w:after="80" w:line="480" w:lineRule="exact"/>
              <w:ind w:left="57"/>
              <w:rPr>
                <w:sz w:val="30"/>
                <w:szCs w:val="30"/>
                <w:rtl/>
              </w:rPr>
            </w:pPr>
            <w:r w:rsidRPr="00C175A6">
              <w:rPr>
                <w:rFonts w:hint="cs"/>
                <w:sz w:val="30"/>
                <w:szCs w:val="30"/>
                <w:rtl/>
              </w:rPr>
              <w:t>الأمم المتحدة</w:t>
            </w:r>
          </w:p>
        </w:tc>
        <w:tc>
          <w:tcPr>
            <w:tcW w:w="3828" w:type="dxa"/>
            <w:tcBorders>
              <w:bottom w:val="single" w:sz="4" w:space="0" w:color="auto"/>
            </w:tcBorders>
            <w:shd w:val="clear" w:color="auto" w:fill="auto"/>
            <w:vAlign w:val="bottom"/>
          </w:tcPr>
          <w:p w14:paraId="156447AB" w14:textId="31503E7A" w:rsidR="006B3E27" w:rsidRPr="004E20A9" w:rsidRDefault="004E20A9" w:rsidP="004E20A9">
            <w:pPr>
              <w:bidi w:val="0"/>
              <w:rPr>
                <w:szCs w:val="20"/>
              </w:rPr>
            </w:pPr>
            <w:r w:rsidRPr="003A166F">
              <w:rPr>
                <w:sz w:val="40"/>
                <w:szCs w:val="20"/>
              </w:rPr>
              <w:t>CCPR</w:t>
            </w:r>
            <w:r w:rsidRPr="003A166F">
              <w:rPr>
                <w:szCs w:val="20"/>
              </w:rPr>
              <w:t>/C/LUX/CO/</w:t>
            </w:r>
            <w:r w:rsidRPr="003A166F">
              <w:t>4</w:t>
            </w:r>
          </w:p>
        </w:tc>
      </w:tr>
      <w:tr w:rsidR="006B3E27" w:rsidRPr="00C175A6" w14:paraId="59371576" w14:textId="77777777" w:rsidTr="005B51C4">
        <w:trPr>
          <w:trHeight w:hRule="exact" w:val="2835"/>
        </w:trPr>
        <w:tc>
          <w:tcPr>
            <w:tcW w:w="1274" w:type="dxa"/>
            <w:tcBorders>
              <w:top w:val="single" w:sz="4" w:space="0" w:color="auto"/>
              <w:bottom w:val="single" w:sz="12" w:space="0" w:color="auto"/>
            </w:tcBorders>
            <w:shd w:val="clear" w:color="auto" w:fill="auto"/>
          </w:tcPr>
          <w:p w14:paraId="7429F507" w14:textId="77777777" w:rsidR="006B3E27" w:rsidRPr="00C175A6" w:rsidRDefault="00E2228E" w:rsidP="009A0CFB">
            <w:pPr>
              <w:spacing w:before="120"/>
              <w:jc w:val="center"/>
              <w:rPr>
                <w:sz w:val="56"/>
                <w:szCs w:val="56"/>
                <w:rtl/>
              </w:rPr>
            </w:pPr>
            <w:r w:rsidRPr="00C175A6">
              <w:rPr>
                <w:noProof/>
                <w:sz w:val="56"/>
                <w:szCs w:val="56"/>
              </w:rPr>
              <w:drawing>
                <wp:inline distT="0" distB="0" distL="0" distR="0" wp14:anchorId="5F8BD249" wp14:editId="120F297E">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08AA1158" w14:textId="77777777" w:rsidR="006B3E27" w:rsidRPr="00C175A6" w:rsidRDefault="00ED7442" w:rsidP="00730446">
            <w:pPr>
              <w:spacing w:before="120" w:after="40" w:line="640" w:lineRule="exact"/>
              <w:ind w:left="57"/>
              <w:rPr>
                <w:b/>
                <w:bCs/>
                <w:sz w:val="46"/>
                <w:szCs w:val="46"/>
              </w:rPr>
            </w:pPr>
            <w:r w:rsidRPr="00C175A6">
              <w:rPr>
                <w:rFonts w:hint="cs"/>
                <w:b/>
                <w:bCs/>
                <w:sz w:val="46"/>
                <w:szCs w:val="4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14:paraId="2373172D" w14:textId="72FE64B6" w:rsidR="006B3E27" w:rsidRDefault="004E20A9" w:rsidP="004B27E0">
            <w:pPr>
              <w:bidi w:val="0"/>
              <w:spacing w:before="240"/>
              <w:rPr>
                <w:szCs w:val="20"/>
              </w:rPr>
            </w:pPr>
            <w:r>
              <w:rPr>
                <w:szCs w:val="20"/>
              </w:rPr>
              <w:t>Dist</w:t>
            </w:r>
            <w:r w:rsidR="003A166F" w:rsidRPr="003A166F">
              <w:rPr>
                <w:szCs w:val="20"/>
              </w:rPr>
              <w:t>r.:</w:t>
            </w:r>
            <w:r>
              <w:rPr>
                <w:szCs w:val="20"/>
              </w:rPr>
              <w:t xml:space="preserve"> General</w:t>
            </w:r>
          </w:p>
          <w:p w14:paraId="4FE96C4F" w14:textId="083DB3BE" w:rsidR="004E20A9" w:rsidRDefault="00DB6863" w:rsidP="004E20A9">
            <w:pPr>
              <w:bidi w:val="0"/>
              <w:spacing w:line="240" w:lineRule="exact"/>
              <w:jc w:val="left"/>
              <w:rPr>
                <w:szCs w:val="20"/>
              </w:rPr>
            </w:pPr>
            <w:r>
              <w:rPr>
                <w:szCs w:val="20"/>
              </w:rPr>
              <w:t>14 September 2022</w:t>
            </w:r>
          </w:p>
          <w:p w14:paraId="4350DB9D" w14:textId="77777777" w:rsidR="004E20A9" w:rsidRDefault="004E20A9" w:rsidP="004E20A9">
            <w:pPr>
              <w:bidi w:val="0"/>
              <w:spacing w:line="240" w:lineRule="exact"/>
              <w:jc w:val="left"/>
              <w:rPr>
                <w:szCs w:val="20"/>
              </w:rPr>
            </w:pPr>
            <w:r>
              <w:rPr>
                <w:szCs w:val="20"/>
              </w:rPr>
              <w:t>Arabic</w:t>
            </w:r>
          </w:p>
          <w:p w14:paraId="7F6823EC" w14:textId="6DD0A910" w:rsidR="004E20A9" w:rsidRPr="004E20A9" w:rsidRDefault="004E20A9" w:rsidP="004E20A9">
            <w:pPr>
              <w:bidi w:val="0"/>
              <w:spacing w:line="240" w:lineRule="exact"/>
              <w:jc w:val="left"/>
              <w:rPr>
                <w:szCs w:val="20"/>
              </w:rPr>
            </w:pPr>
            <w:r>
              <w:rPr>
                <w:szCs w:val="20"/>
              </w:rPr>
              <w:t>Origina</w:t>
            </w:r>
            <w:r w:rsidR="003A166F" w:rsidRPr="003A166F">
              <w:rPr>
                <w:szCs w:val="20"/>
              </w:rPr>
              <w:t xml:space="preserve">l: </w:t>
            </w:r>
            <w:r w:rsidR="00DB6863">
              <w:rPr>
                <w:szCs w:val="20"/>
              </w:rPr>
              <w:t>French</w:t>
            </w:r>
          </w:p>
        </w:tc>
      </w:tr>
    </w:tbl>
    <w:p w14:paraId="071D7681" w14:textId="77777777" w:rsidR="00EE517B" w:rsidRPr="002D0522" w:rsidRDefault="00EE517B" w:rsidP="00EE517B">
      <w:pPr>
        <w:spacing w:before="120" w:line="360" w:lineRule="exact"/>
        <w:textDirection w:val="tbRlV"/>
        <w:rPr>
          <w:b/>
          <w:sz w:val="26"/>
          <w:szCs w:val="26"/>
          <w:lang w:val="ar-SA" w:eastAsia="zh-TW" w:bidi="en-GB"/>
        </w:rPr>
      </w:pPr>
      <w:r w:rsidRPr="002D0522">
        <w:rPr>
          <w:b/>
          <w:bCs/>
          <w:sz w:val="26"/>
          <w:szCs w:val="26"/>
          <w:rtl/>
        </w:rPr>
        <w:t>اللجنة المعنية بحقوق الإنسان</w:t>
      </w:r>
    </w:p>
    <w:p w14:paraId="1057EA8A" w14:textId="77777777" w:rsidR="00EE517B" w:rsidRPr="002D0522" w:rsidRDefault="00EE517B" w:rsidP="00EE517B">
      <w:pPr>
        <w:pStyle w:val="HChGA"/>
        <w:rPr>
          <w:lang w:val="ar-SA" w:eastAsia="zh-TW" w:bidi="en-GB"/>
        </w:rPr>
      </w:pPr>
      <w:r w:rsidRPr="002D0522">
        <w:rPr>
          <w:rtl/>
        </w:rPr>
        <w:tab/>
      </w:r>
      <w:r w:rsidRPr="002D0522">
        <w:rPr>
          <w:rtl/>
        </w:rPr>
        <w:tab/>
      </w:r>
      <w:r w:rsidRPr="008A6289">
        <w:rPr>
          <w:rFonts w:hint="eastAsia"/>
          <w:rtl/>
        </w:rPr>
        <w:t>الملاحظات</w:t>
      </w:r>
      <w:r w:rsidRPr="008A6289">
        <w:rPr>
          <w:rtl/>
        </w:rPr>
        <w:t xml:space="preserve"> </w:t>
      </w:r>
      <w:r w:rsidRPr="008A6289">
        <w:rPr>
          <w:rFonts w:hint="eastAsia"/>
          <w:rtl/>
        </w:rPr>
        <w:t>الختامية</w:t>
      </w:r>
      <w:r w:rsidRPr="008A6289">
        <w:rPr>
          <w:rtl/>
        </w:rPr>
        <w:t xml:space="preserve"> </w:t>
      </w:r>
      <w:r w:rsidRPr="008A6289">
        <w:rPr>
          <w:rFonts w:hint="eastAsia"/>
          <w:rtl/>
        </w:rPr>
        <w:t>بشأن</w:t>
      </w:r>
      <w:r w:rsidRPr="008A6289">
        <w:rPr>
          <w:rtl/>
        </w:rPr>
        <w:t xml:space="preserve"> </w:t>
      </w:r>
      <w:r w:rsidRPr="008A6289">
        <w:rPr>
          <w:rFonts w:hint="eastAsia"/>
          <w:rtl/>
        </w:rPr>
        <w:t>التقرير</w:t>
      </w:r>
      <w:r w:rsidRPr="008A6289">
        <w:rPr>
          <w:rtl/>
        </w:rPr>
        <w:t xml:space="preserve"> </w:t>
      </w:r>
      <w:r w:rsidRPr="008A6289">
        <w:rPr>
          <w:rFonts w:hint="eastAsia"/>
          <w:rtl/>
        </w:rPr>
        <w:t>الدوري</w:t>
      </w:r>
      <w:r w:rsidRPr="008A6289">
        <w:rPr>
          <w:rtl/>
        </w:rPr>
        <w:t xml:space="preserve"> </w:t>
      </w:r>
      <w:r w:rsidRPr="008A6289">
        <w:rPr>
          <w:rFonts w:hint="eastAsia"/>
          <w:rtl/>
        </w:rPr>
        <w:t>الرابع</w:t>
      </w:r>
      <w:r w:rsidRPr="008A6289">
        <w:rPr>
          <w:rtl/>
        </w:rPr>
        <w:t xml:space="preserve"> </w:t>
      </w:r>
      <w:r w:rsidRPr="008A6289">
        <w:rPr>
          <w:rFonts w:hint="eastAsia"/>
          <w:rtl/>
        </w:rPr>
        <w:t>للكسمبرغ</w:t>
      </w:r>
      <w:r w:rsidRPr="006D5C9E">
        <w:rPr>
          <w:rFonts w:ascii="Traditional Arabic"/>
          <w:sz w:val="22"/>
          <w:szCs w:val="22"/>
        </w:rPr>
        <w:footnoteReference w:customMarkFollows="1" w:id="1"/>
        <w:t>*</w:t>
      </w:r>
    </w:p>
    <w:p w14:paraId="17CD620A" w14:textId="103128B3" w:rsidR="00EE517B" w:rsidRPr="00110FB6" w:rsidRDefault="00EE517B" w:rsidP="00EE517B">
      <w:pPr>
        <w:pStyle w:val="SingleTxtGA"/>
        <w:rPr>
          <w:rtl/>
          <w:lang w:val="en-US" w:eastAsia="zh-TW"/>
        </w:rPr>
      </w:pPr>
      <w:r w:rsidRPr="00110FB6">
        <w:rPr>
          <w:rtl/>
        </w:rPr>
        <w:t>1</w:t>
      </w:r>
      <w:r w:rsidRPr="00110FB6">
        <w:rPr>
          <w:rFonts w:ascii="Traditional Arabic"/>
          <w:rtl/>
        </w:rPr>
        <w:t>-</w:t>
      </w:r>
      <w:r w:rsidRPr="00110FB6">
        <w:rPr>
          <w:rtl/>
        </w:rPr>
        <w:tab/>
        <w:t>نظرت اللجنة المعنية بحقوق الإنسان في التقرير الدوري الرابع للكسمبرغ</w:t>
      </w:r>
      <w:r w:rsidR="003A166F">
        <w:rPr>
          <w:rStyle w:val="FootnoteReference"/>
          <w:szCs w:val="22"/>
          <w:rtl/>
        </w:rPr>
        <w:t>(</w:t>
      </w:r>
      <w:r w:rsidR="003A166F" w:rsidRPr="00110FB6">
        <w:rPr>
          <w:rStyle w:val="FootnoteReference"/>
          <w:szCs w:val="22"/>
          <w:rtl/>
        </w:rPr>
        <w:footnoteReference w:id="2"/>
      </w:r>
      <w:r w:rsidR="00C01F08" w:rsidRPr="00110FB6">
        <w:rPr>
          <w:rStyle w:val="FootnoteReference"/>
          <w:szCs w:val="22"/>
          <w:rtl/>
        </w:rPr>
        <w:t>)</w:t>
      </w:r>
      <w:r w:rsidR="00C01F08" w:rsidRPr="00110FB6">
        <w:rPr>
          <w:rFonts w:hint="cs"/>
          <w:rtl/>
        </w:rPr>
        <w:t xml:space="preserve"> </w:t>
      </w:r>
      <w:r w:rsidRPr="00110FB6">
        <w:rPr>
          <w:rtl/>
        </w:rPr>
        <w:t xml:space="preserve">في جلستيها 3880 </w:t>
      </w:r>
      <w:proofErr w:type="spellStart"/>
      <w:r w:rsidRPr="00110FB6">
        <w:rPr>
          <w:rtl/>
        </w:rPr>
        <w:t>و3881</w:t>
      </w:r>
      <w:proofErr w:type="spellEnd"/>
      <w:r w:rsidRPr="00110FB6">
        <w:rPr>
          <w:rtl/>
        </w:rPr>
        <w:t xml:space="preserve"> المعقودتين في 29 </w:t>
      </w:r>
      <w:proofErr w:type="spellStart"/>
      <w:r w:rsidRPr="00110FB6">
        <w:rPr>
          <w:rtl/>
        </w:rPr>
        <w:t>و30</w:t>
      </w:r>
      <w:proofErr w:type="spellEnd"/>
      <w:r w:rsidRPr="00110FB6">
        <w:rPr>
          <w:rtl/>
        </w:rPr>
        <w:t xml:space="preserve"> حزيران/يونيه 2022</w:t>
      </w:r>
      <w:r w:rsidR="003A166F">
        <w:rPr>
          <w:rStyle w:val="FootnoteReference"/>
          <w:szCs w:val="22"/>
          <w:rtl/>
        </w:rPr>
        <w:t>(</w:t>
      </w:r>
      <w:r w:rsidR="003A166F" w:rsidRPr="00110FB6">
        <w:rPr>
          <w:rStyle w:val="FootnoteReference"/>
          <w:szCs w:val="22"/>
          <w:rtl/>
        </w:rPr>
        <w:footnoteReference w:id="3"/>
      </w:r>
      <w:r w:rsidR="003A166F" w:rsidRPr="003A166F">
        <w:rPr>
          <w:rStyle w:val="FootnoteReference"/>
          <w:szCs w:val="22"/>
          <w:rtl/>
        </w:rPr>
        <w:t>)</w:t>
      </w:r>
      <w:r w:rsidR="003A166F" w:rsidRPr="003A166F">
        <w:rPr>
          <w:rFonts w:hint="cs"/>
          <w:rtl/>
        </w:rPr>
        <w:t>.</w:t>
      </w:r>
      <w:r w:rsidR="003A166F" w:rsidRPr="003A166F">
        <w:rPr>
          <w:rtl/>
        </w:rPr>
        <w:t xml:space="preserve"> </w:t>
      </w:r>
      <w:r w:rsidRPr="00110FB6">
        <w:rPr>
          <w:rtl/>
        </w:rPr>
        <w:t>واعتمدت في جلستها 3908 المعقودة في 20 تموز/يوليه 2022 الملاحظات الختامية التالية.</w:t>
      </w:r>
    </w:p>
    <w:p w14:paraId="3D36CC0F" w14:textId="68B62A5C" w:rsidR="00EE517B" w:rsidRPr="002D0522" w:rsidRDefault="00EE517B" w:rsidP="00110FB6">
      <w:pPr>
        <w:pStyle w:val="H1GA"/>
        <w:rPr>
          <w:lang w:val="en-US" w:eastAsia="zh-TW"/>
        </w:rPr>
      </w:pPr>
      <w:r>
        <w:rPr>
          <w:rtl/>
        </w:rPr>
        <w:tab/>
      </w:r>
      <w:r w:rsidRPr="002D0522">
        <w:rPr>
          <w:rtl/>
        </w:rPr>
        <w:t>ألف-</w:t>
      </w:r>
      <w:r w:rsidRPr="002D0522">
        <w:rPr>
          <w:rtl/>
        </w:rPr>
        <w:tab/>
      </w:r>
      <w:r w:rsidRPr="008A6289">
        <w:rPr>
          <w:rFonts w:hint="eastAsia"/>
          <w:rtl/>
        </w:rPr>
        <w:t>مقدمة</w:t>
      </w:r>
    </w:p>
    <w:p w14:paraId="7A3F3EA7" w14:textId="43713B98" w:rsidR="00EE517B" w:rsidRPr="00110FB6" w:rsidRDefault="00EE517B" w:rsidP="00EE517B">
      <w:pPr>
        <w:pStyle w:val="SingleTxtGA"/>
        <w:rPr>
          <w:lang w:val="ar-SA" w:eastAsia="zh-TW" w:bidi="en-GB"/>
        </w:rPr>
      </w:pPr>
      <w:r w:rsidRPr="00110FB6">
        <w:rPr>
          <w:rtl/>
        </w:rPr>
        <w:t>2</w:t>
      </w:r>
      <w:r w:rsidRPr="00110FB6">
        <w:rPr>
          <w:rFonts w:ascii="Traditional Arabic"/>
          <w:rtl/>
        </w:rPr>
        <w:t>-</w:t>
      </w:r>
      <w:r w:rsidRPr="00110FB6">
        <w:rPr>
          <w:rtl/>
        </w:rPr>
        <w:tab/>
        <w:t>ترحب اللجنة بارتياح بالتقرير الدوري الرابع للدولة الطرف وبالمعلومات الواردة فيه، رغم أن تقديمه تأخر كثير</w:t>
      </w:r>
      <w:r w:rsidR="00C906F2">
        <w:rPr>
          <w:rtl/>
        </w:rPr>
        <w:t>اً.</w:t>
      </w:r>
      <w:r w:rsidRPr="00110FB6">
        <w:rPr>
          <w:rtl/>
        </w:rPr>
        <w:t xml:space="preserve"> وتعرب اللجنة عن تقديرها لفرصة استئناف حوار بناء مع وفد الدولة الطرف الرفيع المستوى بشأن التدابير المتخذة خلال الفترة المشمولة بالتقرير بغية تنفيذ أحكام العهد. وتشكر اللجنة الدولة الطرف على ردودها الخطية</w:t>
      </w:r>
      <w:r w:rsidR="003A166F">
        <w:rPr>
          <w:rStyle w:val="FootnoteReference"/>
          <w:szCs w:val="22"/>
          <w:rtl/>
        </w:rPr>
        <w:t>(</w:t>
      </w:r>
      <w:r w:rsidR="003A166F" w:rsidRPr="00110FB6">
        <w:rPr>
          <w:rStyle w:val="FootnoteReference"/>
          <w:szCs w:val="22"/>
          <w:rtl/>
        </w:rPr>
        <w:footnoteReference w:id="4"/>
      </w:r>
      <w:r w:rsidR="00C01F08" w:rsidRPr="00110FB6">
        <w:rPr>
          <w:rStyle w:val="FootnoteReference"/>
          <w:szCs w:val="22"/>
          <w:rtl/>
        </w:rPr>
        <w:t>)</w:t>
      </w:r>
      <w:r w:rsidRPr="00110FB6">
        <w:rPr>
          <w:rtl/>
        </w:rPr>
        <w:t> على قائمة المسائل</w:t>
      </w:r>
      <w:r w:rsidR="003A166F">
        <w:rPr>
          <w:rStyle w:val="FootnoteReference"/>
          <w:szCs w:val="22"/>
          <w:rtl/>
        </w:rPr>
        <w:t>(</w:t>
      </w:r>
      <w:r w:rsidR="003A166F" w:rsidRPr="00110FB6">
        <w:rPr>
          <w:rStyle w:val="FootnoteReference"/>
          <w:szCs w:val="22"/>
          <w:rtl/>
        </w:rPr>
        <w:footnoteReference w:id="5"/>
      </w:r>
      <w:r w:rsidR="003A166F" w:rsidRPr="003A166F">
        <w:rPr>
          <w:rStyle w:val="FootnoteReference"/>
          <w:szCs w:val="22"/>
          <w:rtl/>
        </w:rPr>
        <w:t>)</w:t>
      </w:r>
      <w:r w:rsidR="003A166F" w:rsidRPr="003A166F">
        <w:rPr>
          <w:rtl/>
        </w:rPr>
        <w:t>، </w:t>
      </w:r>
      <w:r w:rsidRPr="00110FB6">
        <w:rPr>
          <w:rtl/>
        </w:rPr>
        <w:t xml:space="preserve">التي </w:t>
      </w:r>
      <w:proofErr w:type="spellStart"/>
      <w:r w:rsidRPr="00110FB6">
        <w:rPr>
          <w:rtl/>
        </w:rPr>
        <w:t>استكملها</w:t>
      </w:r>
      <w:proofErr w:type="spellEnd"/>
      <w:r w:rsidRPr="00110FB6">
        <w:rPr>
          <w:rtl/>
        </w:rPr>
        <w:t xml:space="preserve"> الوفد شفويا</w:t>
      </w:r>
      <w:r w:rsidR="00D63793" w:rsidRPr="00110FB6">
        <w:rPr>
          <w:rFonts w:hint="cs"/>
          <w:rtl/>
        </w:rPr>
        <w:t>ً</w:t>
      </w:r>
      <w:r w:rsidRPr="00110FB6">
        <w:rPr>
          <w:rtl/>
        </w:rPr>
        <w:t>، وكذلك على المعلومات الإضافية التي أحيلت خطيا</w:t>
      </w:r>
      <w:r w:rsidR="00110FB6">
        <w:rPr>
          <w:rFonts w:hint="cs"/>
          <w:rtl/>
        </w:rPr>
        <w:t>ً</w:t>
      </w:r>
      <w:r w:rsidRPr="00110FB6">
        <w:rPr>
          <w:rtl/>
        </w:rPr>
        <w:t xml:space="preserve"> بعد الحوار.</w:t>
      </w:r>
    </w:p>
    <w:p w14:paraId="67537963" w14:textId="1DBCA297" w:rsidR="00EE517B" w:rsidRPr="002D0522" w:rsidRDefault="00EE517B" w:rsidP="00EE517B">
      <w:pPr>
        <w:pStyle w:val="H1GA"/>
        <w:rPr>
          <w:lang w:val="ar-SA" w:eastAsia="zh-TW" w:bidi="en-GB"/>
        </w:rPr>
      </w:pPr>
      <w:r>
        <w:rPr>
          <w:rtl/>
        </w:rPr>
        <w:tab/>
      </w:r>
      <w:r w:rsidRPr="002D0522">
        <w:rPr>
          <w:rtl/>
        </w:rPr>
        <w:t>باء-</w:t>
      </w:r>
      <w:r w:rsidRPr="002D0522">
        <w:rPr>
          <w:rtl/>
        </w:rPr>
        <w:tab/>
      </w:r>
      <w:r w:rsidRPr="008A6289">
        <w:rPr>
          <w:rFonts w:hint="eastAsia"/>
          <w:rtl/>
        </w:rPr>
        <w:t>الجوانب</w:t>
      </w:r>
      <w:r w:rsidRPr="008A6289">
        <w:rPr>
          <w:rtl/>
        </w:rPr>
        <w:t xml:space="preserve"> </w:t>
      </w:r>
      <w:r w:rsidRPr="008A6289">
        <w:rPr>
          <w:rFonts w:hint="eastAsia"/>
          <w:rtl/>
        </w:rPr>
        <w:t>الإيجابية</w:t>
      </w:r>
    </w:p>
    <w:p w14:paraId="0864BA63" w14:textId="77777777" w:rsidR="00EE517B" w:rsidRPr="002D0522" w:rsidRDefault="00EE517B" w:rsidP="00EE517B">
      <w:pPr>
        <w:pStyle w:val="SingleTxtGA"/>
        <w:rPr>
          <w:lang w:val="ar-SA" w:eastAsia="zh-TW" w:bidi="en-GB"/>
        </w:rPr>
      </w:pPr>
      <w:r w:rsidRPr="00EE517B">
        <w:rPr>
          <w:rtl/>
        </w:rPr>
        <w:t>3</w:t>
      </w:r>
      <w:r w:rsidRPr="002D0522">
        <w:rPr>
          <w:rFonts w:ascii="Traditional Arabic"/>
          <w:rtl/>
        </w:rPr>
        <w:t>-</w:t>
      </w:r>
      <w:r w:rsidRPr="002D0522">
        <w:rPr>
          <w:rtl/>
        </w:rPr>
        <w:tab/>
        <w:t>ترحب اللجنة باعتماد الدولة الطرف التدابير التشريعية والمؤسسية والسياساتية التالية</w:t>
      </w:r>
      <w:r w:rsidRPr="002D0522">
        <w:rPr>
          <w:rFonts w:ascii="Traditional Arabic"/>
        </w:rPr>
        <w:t>:</w:t>
      </w:r>
      <w:r w:rsidRPr="002D0522">
        <w:rPr>
          <w:rtl/>
        </w:rPr>
        <w:t xml:space="preserve"> </w:t>
      </w:r>
    </w:p>
    <w:p w14:paraId="1B4F1F44" w14:textId="6093B611" w:rsidR="00EE517B" w:rsidRPr="002D0522" w:rsidRDefault="00EE517B" w:rsidP="00EE517B">
      <w:pPr>
        <w:pStyle w:val="SingleTxtGA"/>
        <w:rPr>
          <w:lang w:val="ar-SA" w:eastAsia="zh-TW" w:bidi="en-GB"/>
        </w:rPr>
      </w:pPr>
      <w:r>
        <w:rPr>
          <w:rtl/>
        </w:rPr>
        <w:tab/>
      </w:r>
      <w:r w:rsidRPr="002D0522">
        <w:rPr>
          <w:rtl/>
        </w:rPr>
        <w:t xml:space="preserve">(أ) </w:t>
      </w:r>
      <w:r w:rsidRPr="002D0522">
        <w:rPr>
          <w:rtl/>
        </w:rPr>
        <w:tab/>
        <w:t>القانون المؤرخ</w:t>
      </w:r>
      <w:r>
        <w:rPr>
          <w:rtl/>
        </w:rPr>
        <w:t xml:space="preserve"> </w:t>
      </w:r>
      <w:r w:rsidRPr="00EE517B">
        <w:rPr>
          <w:rtl/>
        </w:rPr>
        <w:t>1</w:t>
      </w:r>
      <w:r w:rsidRPr="002D0522">
        <w:rPr>
          <w:rtl/>
        </w:rPr>
        <w:t xml:space="preserve"> آب/أغسطس </w:t>
      </w:r>
      <w:r w:rsidRPr="00EE517B">
        <w:rPr>
          <w:rtl/>
        </w:rPr>
        <w:t>2018</w:t>
      </w:r>
      <w:r w:rsidRPr="002D0522">
        <w:rPr>
          <w:rtl/>
        </w:rPr>
        <w:t xml:space="preserve"> بشأن تنظيم اللجنة الوطنية لحماية البيانات والنظام العام لحماية البيانات؛</w:t>
      </w:r>
    </w:p>
    <w:p w14:paraId="456F2921" w14:textId="56DC6822" w:rsidR="00EE517B" w:rsidRPr="002D0522" w:rsidRDefault="00EE517B" w:rsidP="00EE517B">
      <w:pPr>
        <w:pStyle w:val="SingleTxtGA"/>
        <w:rPr>
          <w:lang w:val="ar-SA" w:eastAsia="zh-TW" w:bidi="en-GB"/>
        </w:rPr>
      </w:pPr>
      <w:r>
        <w:rPr>
          <w:rtl/>
        </w:rPr>
        <w:tab/>
      </w:r>
      <w:r w:rsidRPr="002D0522">
        <w:rPr>
          <w:rtl/>
        </w:rPr>
        <w:t xml:space="preserve">(ب) </w:t>
      </w:r>
      <w:r w:rsidRPr="002D0522">
        <w:rPr>
          <w:rtl/>
        </w:rPr>
        <w:tab/>
        <w:t xml:space="preserve">القانون المؤرخ </w:t>
      </w:r>
      <w:r w:rsidRPr="00EE517B">
        <w:rPr>
          <w:rtl/>
        </w:rPr>
        <w:t>28</w:t>
      </w:r>
      <w:r w:rsidRPr="002D0522">
        <w:rPr>
          <w:rtl/>
        </w:rPr>
        <w:t xml:space="preserve"> شباط/فبراير </w:t>
      </w:r>
      <w:r w:rsidRPr="00EE517B">
        <w:rPr>
          <w:rtl/>
        </w:rPr>
        <w:t>2018</w:t>
      </w:r>
      <w:r w:rsidRPr="002D0522">
        <w:rPr>
          <w:rtl/>
        </w:rPr>
        <w:t>، الذي يعزز مكافحة استغلال البغاء واستغلال البشر في البغاء والاتجار بالبشر لأغراض جنسية؛</w:t>
      </w:r>
    </w:p>
    <w:p w14:paraId="54899E05" w14:textId="6CE4ECE6" w:rsidR="00EE517B" w:rsidRPr="00C007EA" w:rsidRDefault="00EE517B" w:rsidP="00EE517B">
      <w:pPr>
        <w:pStyle w:val="SingleTxtGA"/>
        <w:rPr>
          <w:rtl/>
          <w:lang w:val="en-US" w:eastAsia="zh-TW"/>
        </w:rPr>
      </w:pPr>
      <w:r>
        <w:rPr>
          <w:rtl/>
        </w:rPr>
        <w:tab/>
      </w:r>
      <w:r w:rsidRPr="002D0522">
        <w:rPr>
          <w:rtl/>
        </w:rPr>
        <w:t xml:space="preserve">(ج) </w:t>
      </w:r>
      <w:r w:rsidRPr="002D0522">
        <w:rPr>
          <w:rtl/>
        </w:rPr>
        <w:tab/>
        <w:t xml:space="preserve">القانون المؤرخ </w:t>
      </w:r>
      <w:r w:rsidRPr="00EE517B">
        <w:rPr>
          <w:rtl/>
        </w:rPr>
        <w:t>8</w:t>
      </w:r>
      <w:r w:rsidRPr="002D0522">
        <w:rPr>
          <w:rtl/>
        </w:rPr>
        <w:t xml:space="preserve"> آذار/مارس </w:t>
      </w:r>
      <w:r w:rsidRPr="00EE517B">
        <w:rPr>
          <w:rtl/>
        </w:rPr>
        <w:t>2017</w:t>
      </w:r>
      <w:r w:rsidRPr="002D0522">
        <w:rPr>
          <w:rtl/>
        </w:rPr>
        <w:t xml:space="preserve"> بشأن جنسية لكسمبرغ، الذي يسهل اكتساب الجنسية ويتضمن عدة أحكام تهدف إلى منع حالات انعدام الجنسية والحد منها؛</w:t>
      </w:r>
    </w:p>
    <w:p w14:paraId="3E800726" w14:textId="546EBC61" w:rsidR="00EE517B" w:rsidRPr="002D0522" w:rsidRDefault="00EE517B" w:rsidP="00EE517B">
      <w:pPr>
        <w:pStyle w:val="SingleTxtGA"/>
        <w:rPr>
          <w:lang w:val="ar-SA" w:eastAsia="zh-TW" w:bidi="en-GB"/>
        </w:rPr>
      </w:pPr>
      <w:r>
        <w:rPr>
          <w:rtl/>
        </w:rPr>
        <w:lastRenderedPageBreak/>
        <w:tab/>
      </w:r>
      <w:r w:rsidRPr="002D0522">
        <w:rPr>
          <w:rtl/>
        </w:rPr>
        <w:t>(د)</w:t>
      </w:r>
      <w:r w:rsidRPr="002D0522">
        <w:rPr>
          <w:rtl/>
        </w:rPr>
        <w:tab/>
        <w:t xml:space="preserve">القانون المؤرخ </w:t>
      </w:r>
      <w:r w:rsidRPr="00EE517B">
        <w:rPr>
          <w:rtl/>
        </w:rPr>
        <w:t>15</w:t>
      </w:r>
      <w:r w:rsidRPr="002D0522">
        <w:rPr>
          <w:rtl/>
        </w:rPr>
        <w:t xml:space="preserve"> كانون الأول/ديسمبر </w:t>
      </w:r>
      <w:r w:rsidRPr="00EE517B">
        <w:rPr>
          <w:rtl/>
        </w:rPr>
        <w:t>2016</w:t>
      </w:r>
      <w:r w:rsidRPr="002D0522">
        <w:rPr>
          <w:rtl/>
        </w:rPr>
        <w:t xml:space="preserve">، </w:t>
      </w:r>
      <w:r>
        <w:rPr>
          <w:rtl/>
        </w:rPr>
        <w:t>بشأن حظر جميع أشكال التمييز</w:t>
      </w:r>
      <w:r w:rsidRPr="002D0522">
        <w:rPr>
          <w:rtl/>
        </w:rPr>
        <w:t xml:space="preserve"> في الأجور على أساس الجنس؛ </w:t>
      </w:r>
    </w:p>
    <w:p w14:paraId="509F14C5" w14:textId="459DDE87" w:rsidR="00EE517B" w:rsidRPr="002D0522" w:rsidRDefault="00EE517B" w:rsidP="00EE517B">
      <w:pPr>
        <w:pStyle w:val="SingleTxtGA"/>
        <w:rPr>
          <w:lang w:val="ar-SA" w:eastAsia="zh-TW" w:bidi="en-GB"/>
        </w:rPr>
      </w:pPr>
      <w:r>
        <w:rPr>
          <w:rtl/>
        </w:rPr>
        <w:tab/>
      </w:r>
      <w:r w:rsidRPr="002D0522">
        <w:rPr>
          <w:rtl/>
        </w:rPr>
        <w:t xml:space="preserve">(هـ) </w:t>
      </w:r>
      <w:r w:rsidRPr="002D0522">
        <w:rPr>
          <w:rtl/>
        </w:rPr>
        <w:tab/>
        <w:t>إنشاء لجنة مشتركة بين الوزارات معن</w:t>
      </w:r>
      <w:r>
        <w:rPr>
          <w:rtl/>
        </w:rPr>
        <w:t>ي</w:t>
      </w:r>
      <w:r w:rsidRPr="002D0522">
        <w:rPr>
          <w:rtl/>
        </w:rPr>
        <w:t xml:space="preserve">ة بحقوق الإنسان في حزيران/يونيه </w:t>
      </w:r>
      <w:r w:rsidRPr="00EE517B">
        <w:rPr>
          <w:rtl/>
        </w:rPr>
        <w:t>2015</w:t>
      </w:r>
      <w:r w:rsidRPr="002D0522">
        <w:rPr>
          <w:rtl/>
        </w:rPr>
        <w:t>، تتمثل إحدى مهامها في ضمان تنفيذ التوصيات الصادرة عن الآليات الدولية لحقوق الإنسان؛</w:t>
      </w:r>
    </w:p>
    <w:p w14:paraId="01ECACDA" w14:textId="54A7D4DC" w:rsidR="00EE517B" w:rsidRPr="00594625" w:rsidRDefault="00EE517B" w:rsidP="00EE517B">
      <w:pPr>
        <w:pStyle w:val="SingleTxtGA"/>
        <w:rPr>
          <w:spacing w:val="-2"/>
          <w:lang w:val="ar-SA" w:eastAsia="zh-TW" w:bidi="en-GB"/>
        </w:rPr>
      </w:pPr>
      <w:r w:rsidRPr="00594625">
        <w:rPr>
          <w:spacing w:val="-2"/>
          <w:rtl/>
        </w:rPr>
        <w:tab/>
        <w:t xml:space="preserve">(و) </w:t>
      </w:r>
      <w:r w:rsidRPr="00594625">
        <w:rPr>
          <w:spacing w:val="-2"/>
          <w:rtl/>
        </w:rPr>
        <w:tab/>
        <w:t>القانون المؤرخ 28 تشرين الثاني/نوفمبر 2006 الذي ينشئ مركز المساواة في المعاملة.</w:t>
      </w:r>
    </w:p>
    <w:p w14:paraId="6FAFCE28" w14:textId="77777777" w:rsidR="00EE517B" w:rsidRPr="002D0522" w:rsidRDefault="00EE517B" w:rsidP="00EE517B">
      <w:pPr>
        <w:pStyle w:val="SingleTxtGA"/>
        <w:rPr>
          <w:lang w:val="ar-SA" w:eastAsia="zh-TW" w:bidi="en-GB"/>
        </w:rPr>
      </w:pPr>
      <w:r w:rsidRPr="00EE517B">
        <w:rPr>
          <w:rtl/>
        </w:rPr>
        <w:t>4</w:t>
      </w:r>
      <w:r w:rsidRPr="002D0522">
        <w:rPr>
          <w:rFonts w:ascii="Traditional Arabic"/>
          <w:rtl/>
        </w:rPr>
        <w:t>-</w:t>
      </w:r>
      <w:r w:rsidRPr="002D0522">
        <w:rPr>
          <w:rtl/>
        </w:rPr>
        <w:tab/>
        <w:t>تحيط اللجنة علماً بارتياح بتصديق الدولة الطرف على الصكوك الدولية التالية لحقوق الإنسان أو بانضمامها إليها:</w:t>
      </w:r>
    </w:p>
    <w:p w14:paraId="4684BFC2" w14:textId="35713FC2" w:rsidR="00EE517B" w:rsidRPr="00EE517B" w:rsidRDefault="00EE517B" w:rsidP="00EE517B">
      <w:pPr>
        <w:pStyle w:val="SingleTxtGA"/>
        <w:rPr>
          <w:spacing w:val="-4"/>
          <w:lang w:val="ar-SA" w:eastAsia="zh-TW" w:bidi="en-GB"/>
        </w:rPr>
      </w:pPr>
      <w:r w:rsidRPr="00EE517B">
        <w:rPr>
          <w:spacing w:val="-4"/>
          <w:rtl/>
        </w:rPr>
        <w:tab/>
        <w:t>(أ)</w:t>
      </w:r>
      <w:r w:rsidRPr="00EE517B">
        <w:rPr>
          <w:spacing w:val="-4"/>
          <w:rtl/>
        </w:rPr>
        <w:tab/>
        <w:t xml:space="preserve">الاتفاقية الدولية لحماية جميع الأشخاص من الاختفاء القسري، في </w:t>
      </w:r>
      <w:r w:rsidRPr="00EE517B">
        <w:rPr>
          <w:rtl/>
        </w:rPr>
        <w:t>1</w:t>
      </w:r>
      <w:r w:rsidRPr="00EE517B">
        <w:rPr>
          <w:spacing w:val="-4"/>
          <w:rtl/>
        </w:rPr>
        <w:t xml:space="preserve"> نيسان/أبريل </w:t>
      </w:r>
      <w:r w:rsidRPr="00EE517B">
        <w:rPr>
          <w:rtl/>
        </w:rPr>
        <w:t>2022</w:t>
      </w:r>
      <w:r w:rsidRPr="00EE517B">
        <w:rPr>
          <w:spacing w:val="-4"/>
          <w:rtl/>
        </w:rPr>
        <w:t>؛</w:t>
      </w:r>
    </w:p>
    <w:p w14:paraId="6DBD3D2E" w14:textId="14630257" w:rsidR="00EE517B" w:rsidRPr="002D0522" w:rsidRDefault="00EE517B" w:rsidP="00EE517B">
      <w:pPr>
        <w:pStyle w:val="SingleTxtGA"/>
        <w:rPr>
          <w:lang w:val="ar-SA" w:eastAsia="zh-TW" w:bidi="en-GB"/>
        </w:rPr>
      </w:pPr>
      <w:r>
        <w:rPr>
          <w:rtl/>
        </w:rPr>
        <w:tab/>
      </w:r>
      <w:r w:rsidRPr="002D0522">
        <w:rPr>
          <w:rtl/>
        </w:rPr>
        <w:t>(ب)</w:t>
      </w:r>
      <w:r w:rsidRPr="002D0522">
        <w:rPr>
          <w:rtl/>
        </w:rPr>
        <w:tab/>
        <w:t>اتفاقية مجلس أوروبا للوقاية من العنف ضد النساء والعنف العائلي ومكافحتهما (اتفاقية اسطنبول</w:t>
      </w:r>
      <w:r w:rsidR="003A166F" w:rsidRPr="003A166F">
        <w:rPr>
          <w:rtl/>
        </w:rPr>
        <w:t xml:space="preserve">)، </w:t>
      </w:r>
      <w:r w:rsidRPr="002D0522">
        <w:rPr>
          <w:rtl/>
        </w:rPr>
        <w:t xml:space="preserve">في </w:t>
      </w:r>
      <w:r w:rsidRPr="00EE517B">
        <w:rPr>
          <w:rtl/>
        </w:rPr>
        <w:t>7</w:t>
      </w:r>
      <w:r w:rsidRPr="002D0522">
        <w:rPr>
          <w:rtl/>
        </w:rPr>
        <w:t xml:space="preserve"> آب/أغسطس </w:t>
      </w:r>
      <w:r w:rsidRPr="00EE517B">
        <w:rPr>
          <w:rtl/>
        </w:rPr>
        <w:t>2018</w:t>
      </w:r>
      <w:r w:rsidRPr="002D0522">
        <w:rPr>
          <w:rtl/>
        </w:rPr>
        <w:t>؛</w:t>
      </w:r>
    </w:p>
    <w:p w14:paraId="0FE10766" w14:textId="4FFA6F96" w:rsidR="00EE517B" w:rsidRPr="002D0522" w:rsidRDefault="00EE517B" w:rsidP="00EE517B">
      <w:pPr>
        <w:pStyle w:val="SingleTxtGA"/>
        <w:rPr>
          <w:lang w:val="ar-SA" w:eastAsia="zh-TW" w:bidi="en-GB"/>
        </w:rPr>
      </w:pPr>
      <w:r>
        <w:rPr>
          <w:rtl/>
        </w:rPr>
        <w:tab/>
      </w:r>
      <w:r w:rsidRPr="002D0522">
        <w:rPr>
          <w:rtl/>
        </w:rPr>
        <w:t xml:space="preserve">(ج) </w:t>
      </w:r>
      <w:r w:rsidRPr="002D0522">
        <w:rPr>
          <w:rtl/>
        </w:rPr>
        <w:tab/>
        <w:t>الاتفاقية المتعلقة بخفض حالات انعدام الجنسية،</w:t>
      </w:r>
      <w:r>
        <w:rPr>
          <w:rtl/>
        </w:rPr>
        <w:t xml:space="preserve"> في</w:t>
      </w:r>
      <w:r w:rsidRPr="002D0522">
        <w:rPr>
          <w:rtl/>
        </w:rPr>
        <w:t xml:space="preserve"> </w:t>
      </w:r>
      <w:r w:rsidRPr="00EE517B">
        <w:rPr>
          <w:rtl/>
        </w:rPr>
        <w:t>21</w:t>
      </w:r>
      <w:r w:rsidRPr="002D0522">
        <w:rPr>
          <w:rtl/>
        </w:rPr>
        <w:t xml:space="preserve"> أيلول/سبتمبر </w:t>
      </w:r>
      <w:r w:rsidRPr="00EE517B">
        <w:rPr>
          <w:rtl/>
        </w:rPr>
        <w:t>2017</w:t>
      </w:r>
      <w:r w:rsidRPr="002D0522">
        <w:rPr>
          <w:rtl/>
        </w:rPr>
        <w:t>؛</w:t>
      </w:r>
    </w:p>
    <w:p w14:paraId="46E586EE" w14:textId="2C839BBD" w:rsidR="00EE517B" w:rsidRPr="002D0522" w:rsidRDefault="00EE517B" w:rsidP="00EE517B">
      <w:pPr>
        <w:pStyle w:val="SingleTxtGA"/>
        <w:rPr>
          <w:lang w:val="ar-SA" w:eastAsia="zh-TW" w:bidi="en-GB"/>
        </w:rPr>
      </w:pPr>
      <w:r>
        <w:rPr>
          <w:rtl/>
        </w:rPr>
        <w:tab/>
      </w:r>
      <w:r w:rsidRPr="002D0522">
        <w:rPr>
          <w:rtl/>
        </w:rPr>
        <w:t xml:space="preserve">(د) </w:t>
      </w:r>
      <w:r w:rsidRPr="002D0522">
        <w:rPr>
          <w:rtl/>
        </w:rPr>
        <w:tab/>
        <w:t>اتفاقية حقوق الأشخاص ذوي الإعاقة،</w:t>
      </w:r>
      <w:r>
        <w:rPr>
          <w:rtl/>
        </w:rPr>
        <w:t xml:space="preserve"> في</w:t>
      </w:r>
      <w:r w:rsidRPr="002D0522">
        <w:rPr>
          <w:rtl/>
        </w:rPr>
        <w:t xml:space="preserve"> </w:t>
      </w:r>
      <w:r w:rsidRPr="00EE517B">
        <w:rPr>
          <w:rtl/>
        </w:rPr>
        <w:t>26</w:t>
      </w:r>
      <w:r w:rsidRPr="002D0522">
        <w:rPr>
          <w:rtl/>
        </w:rPr>
        <w:t xml:space="preserve"> أيلول/سبتمبر </w:t>
      </w:r>
      <w:r w:rsidRPr="00EE517B">
        <w:rPr>
          <w:rtl/>
        </w:rPr>
        <w:t>2011</w:t>
      </w:r>
      <w:r w:rsidRPr="002D0522">
        <w:rPr>
          <w:rtl/>
        </w:rPr>
        <w:t>؛</w:t>
      </w:r>
    </w:p>
    <w:p w14:paraId="6E763F1C" w14:textId="5B001071" w:rsidR="00EE517B" w:rsidRPr="002D0522" w:rsidRDefault="00EE517B" w:rsidP="00EE517B">
      <w:pPr>
        <w:pStyle w:val="SingleTxtGA"/>
        <w:rPr>
          <w:lang w:val="ar-SA" w:eastAsia="zh-TW" w:bidi="en-GB"/>
        </w:rPr>
      </w:pPr>
      <w:r>
        <w:rPr>
          <w:rtl/>
        </w:rPr>
        <w:tab/>
      </w:r>
      <w:r w:rsidRPr="002D0522">
        <w:rPr>
          <w:rtl/>
        </w:rPr>
        <w:t xml:space="preserve">(هـ) </w:t>
      </w:r>
      <w:r w:rsidRPr="002D0522">
        <w:rPr>
          <w:rtl/>
        </w:rPr>
        <w:tab/>
        <w:t xml:space="preserve">البروتوكول الاختياري الملحق باتفاقية حقوق الطفل بشأن بـيـع الأطفال واستغلال الأطفال في البغاء وفي المواد الإباحية، في </w:t>
      </w:r>
      <w:r w:rsidRPr="00EE517B">
        <w:rPr>
          <w:rtl/>
        </w:rPr>
        <w:t>2</w:t>
      </w:r>
      <w:r w:rsidRPr="002D0522">
        <w:rPr>
          <w:rtl/>
        </w:rPr>
        <w:t xml:space="preserve"> أيلول/سبتمبر </w:t>
      </w:r>
      <w:r w:rsidRPr="00EE517B">
        <w:rPr>
          <w:rtl/>
        </w:rPr>
        <w:t>2011</w:t>
      </w:r>
      <w:r w:rsidRPr="002D0522">
        <w:rPr>
          <w:rtl/>
        </w:rPr>
        <w:t>؛</w:t>
      </w:r>
    </w:p>
    <w:p w14:paraId="49600F88" w14:textId="46558C9C" w:rsidR="00EE517B" w:rsidRPr="002D0522" w:rsidRDefault="00EE517B" w:rsidP="00EE517B">
      <w:pPr>
        <w:pStyle w:val="SingleTxtGA"/>
        <w:rPr>
          <w:lang w:val="ar-SA" w:eastAsia="zh-TW" w:bidi="en-GB"/>
        </w:rPr>
      </w:pPr>
      <w:r>
        <w:rPr>
          <w:rtl/>
        </w:rPr>
        <w:tab/>
      </w:r>
      <w:r w:rsidRPr="002D0522">
        <w:rPr>
          <w:rtl/>
        </w:rPr>
        <w:t xml:space="preserve">(و) </w:t>
      </w:r>
      <w:r w:rsidRPr="002D0522">
        <w:rPr>
          <w:rtl/>
        </w:rPr>
        <w:tab/>
        <w:t xml:space="preserve">البروتوكول الاختياري لاتفاقية مناهضة التعذيب وغيره من ضروب المعاملة أو العقوبة القاسية أو اللاإنسانية أو المهينة، في </w:t>
      </w:r>
      <w:r w:rsidRPr="00EE517B">
        <w:rPr>
          <w:rtl/>
        </w:rPr>
        <w:t>19</w:t>
      </w:r>
      <w:r w:rsidRPr="002D0522">
        <w:rPr>
          <w:rtl/>
        </w:rPr>
        <w:t xml:space="preserve"> أيار/مايو </w:t>
      </w:r>
      <w:r w:rsidRPr="00EE517B">
        <w:rPr>
          <w:rtl/>
        </w:rPr>
        <w:t>2010</w:t>
      </w:r>
      <w:r w:rsidRPr="002D0522">
        <w:rPr>
          <w:rtl/>
        </w:rPr>
        <w:t>؛</w:t>
      </w:r>
    </w:p>
    <w:p w14:paraId="1D60CAA8" w14:textId="07614DC8" w:rsidR="003A166F" w:rsidRPr="003A166F" w:rsidRDefault="00EE517B" w:rsidP="00EE517B">
      <w:pPr>
        <w:pStyle w:val="SingleTxtGA"/>
        <w:rPr>
          <w:lang w:val="en-US" w:eastAsia="zh-TW" w:bidi="en-GB"/>
        </w:rPr>
      </w:pPr>
      <w:r>
        <w:rPr>
          <w:rtl/>
        </w:rPr>
        <w:tab/>
      </w:r>
      <w:r w:rsidRPr="002D0522">
        <w:rPr>
          <w:rtl/>
        </w:rPr>
        <w:t xml:space="preserve">(ز) </w:t>
      </w:r>
      <w:r w:rsidRPr="002D0522">
        <w:rPr>
          <w:rtl/>
        </w:rPr>
        <w:tab/>
        <w:t>البروتوكول الاختياري لاتفاقية حقوق الطفل بشأن اشتراك الأطفال في المنازعات المسلحة،</w:t>
      </w:r>
      <w:r>
        <w:rPr>
          <w:rtl/>
        </w:rPr>
        <w:t xml:space="preserve"> في</w:t>
      </w:r>
      <w:r w:rsidRPr="002D0522">
        <w:rPr>
          <w:rtl/>
        </w:rPr>
        <w:t xml:space="preserve"> </w:t>
      </w:r>
      <w:r w:rsidRPr="00EE517B">
        <w:rPr>
          <w:rtl/>
        </w:rPr>
        <w:t>4</w:t>
      </w:r>
      <w:r w:rsidRPr="002D0522">
        <w:rPr>
          <w:rtl/>
        </w:rPr>
        <w:t xml:space="preserve"> آب/أغسطس </w:t>
      </w:r>
      <w:r w:rsidRPr="00EE517B">
        <w:rPr>
          <w:rtl/>
        </w:rPr>
        <w:t>200</w:t>
      </w:r>
      <w:r w:rsidR="003A166F" w:rsidRPr="003A166F">
        <w:rPr>
          <w:rtl/>
        </w:rPr>
        <w:t>4</w:t>
      </w:r>
      <w:r w:rsidR="003A166F" w:rsidRPr="003A166F">
        <w:rPr>
          <w:rFonts w:ascii="Traditional Arabic"/>
          <w:rtl/>
        </w:rPr>
        <w:t>.</w:t>
      </w:r>
    </w:p>
    <w:p w14:paraId="1B3BD1A6" w14:textId="254B42A9" w:rsidR="00EE517B" w:rsidRPr="002D0522" w:rsidRDefault="00EE517B" w:rsidP="00EE517B">
      <w:pPr>
        <w:pStyle w:val="H1GA"/>
        <w:rPr>
          <w:lang w:val="ar-SA" w:eastAsia="zh-TW" w:bidi="en-GB"/>
        </w:rPr>
      </w:pPr>
      <w:r>
        <w:rPr>
          <w:rtl/>
        </w:rPr>
        <w:tab/>
      </w:r>
      <w:r w:rsidRPr="002D0522">
        <w:rPr>
          <w:rtl/>
        </w:rPr>
        <w:t>جيم-</w:t>
      </w:r>
      <w:r w:rsidRPr="002D0522">
        <w:rPr>
          <w:rtl/>
        </w:rPr>
        <w:tab/>
        <w:t>دواعي القلق الرئيسية والتوصيات</w:t>
      </w:r>
    </w:p>
    <w:p w14:paraId="60E6A08C" w14:textId="77777777" w:rsidR="00EE517B" w:rsidRPr="002D0522" w:rsidRDefault="00EE517B" w:rsidP="00EE517B">
      <w:pPr>
        <w:pStyle w:val="H23GA"/>
        <w:rPr>
          <w:lang w:val="ar-SA" w:eastAsia="zh-TW" w:bidi="en-GB"/>
        </w:rPr>
      </w:pPr>
      <w:r w:rsidRPr="002D0522">
        <w:rPr>
          <w:rtl/>
        </w:rPr>
        <w:tab/>
      </w:r>
      <w:r w:rsidRPr="002D0522">
        <w:rPr>
          <w:rtl/>
        </w:rPr>
        <w:tab/>
        <w:t xml:space="preserve">التحفظات </w:t>
      </w:r>
    </w:p>
    <w:p w14:paraId="0AAA137F" w14:textId="5A1A8FCE" w:rsidR="00EE517B" w:rsidRPr="002D0522" w:rsidRDefault="00EE517B" w:rsidP="00EE517B">
      <w:pPr>
        <w:pStyle w:val="SingleTxtGA"/>
        <w:rPr>
          <w:lang w:val="ar-SA" w:eastAsia="zh-TW" w:bidi="en-GB"/>
        </w:rPr>
      </w:pPr>
      <w:r w:rsidRPr="00EE517B">
        <w:rPr>
          <w:rtl/>
        </w:rPr>
        <w:t>5</w:t>
      </w:r>
      <w:r w:rsidRPr="002D0522">
        <w:rPr>
          <w:rFonts w:ascii="Traditional Arabic"/>
          <w:rtl/>
        </w:rPr>
        <w:t>-</w:t>
      </w:r>
      <w:r w:rsidRPr="002D0522">
        <w:rPr>
          <w:rtl/>
        </w:rPr>
        <w:tab/>
        <w:t xml:space="preserve">لا تزال اللجنة تشعر بالقلق لأن الدولة الطرف </w:t>
      </w:r>
      <w:r>
        <w:rPr>
          <w:rtl/>
        </w:rPr>
        <w:t>متمسكة</w:t>
      </w:r>
      <w:r w:rsidRPr="002D0522">
        <w:rPr>
          <w:rtl/>
        </w:rPr>
        <w:t xml:space="preserve"> بتحفظاتها على الفقرة </w:t>
      </w:r>
      <w:r w:rsidRPr="00EE517B">
        <w:rPr>
          <w:rtl/>
        </w:rPr>
        <w:t>3</w:t>
      </w:r>
      <w:r w:rsidRPr="002D0522">
        <w:rPr>
          <w:rtl/>
        </w:rPr>
        <w:t xml:space="preserve"> من المادة </w:t>
      </w:r>
      <w:r w:rsidRPr="00EE517B">
        <w:rPr>
          <w:rtl/>
        </w:rPr>
        <w:t>10</w:t>
      </w:r>
      <w:r w:rsidRPr="002D0522">
        <w:rPr>
          <w:rtl/>
        </w:rPr>
        <w:t xml:space="preserve"> والفقرة </w:t>
      </w:r>
      <w:r w:rsidRPr="00EE517B">
        <w:rPr>
          <w:rtl/>
        </w:rPr>
        <w:t>5</w:t>
      </w:r>
      <w:r w:rsidRPr="002D0522">
        <w:rPr>
          <w:rtl/>
        </w:rPr>
        <w:t xml:space="preserve"> من المادة </w:t>
      </w:r>
      <w:r w:rsidRPr="00EE517B">
        <w:rPr>
          <w:rtl/>
        </w:rPr>
        <w:t>14</w:t>
      </w:r>
      <w:r w:rsidRPr="002D0522">
        <w:rPr>
          <w:rtl/>
        </w:rPr>
        <w:t xml:space="preserve"> والفقرة </w:t>
      </w:r>
      <w:r w:rsidRPr="00EE517B">
        <w:rPr>
          <w:rtl/>
        </w:rPr>
        <w:t>2</w:t>
      </w:r>
      <w:r w:rsidRPr="002D0522">
        <w:rPr>
          <w:rtl/>
        </w:rPr>
        <w:t xml:space="preserve"> من المادة </w:t>
      </w:r>
      <w:r w:rsidRPr="00EE517B">
        <w:rPr>
          <w:rtl/>
        </w:rPr>
        <w:t>19</w:t>
      </w:r>
      <w:r w:rsidRPr="002D0522">
        <w:rPr>
          <w:rtl/>
        </w:rPr>
        <w:t xml:space="preserve"> والفقرة </w:t>
      </w:r>
      <w:r w:rsidRPr="00EE517B">
        <w:rPr>
          <w:rtl/>
        </w:rPr>
        <w:t>1</w:t>
      </w:r>
      <w:r w:rsidRPr="002D0522">
        <w:rPr>
          <w:rtl/>
        </w:rPr>
        <w:t xml:space="preserve"> من المادة </w:t>
      </w:r>
      <w:r w:rsidRPr="00EE517B">
        <w:rPr>
          <w:rtl/>
        </w:rPr>
        <w:t>20</w:t>
      </w:r>
      <w:r w:rsidRPr="002D0522">
        <w:rPr>
          <w:rtl/>
        </w:rPr>
        <w:t xml:space="preserve"> من العهد (المادة </w:t>
      </w:r>
      <w:r w:rsidR="003A166F" w:rsidRPr="003A166F">
        <w:rPr>
          <w:rtl/>
        </w:rPr>
        <w:t>2</w:t>
      </w:r>
      <w:r w:rsidR="003A166F" w:rsidRPr="003A166F">
        <w:rPr>
          <w:rFonts w:ascii="Traditional Arabic"/>
          <w:rtl/>
        </w:rPr>
        <w:t>)</w:t>
      </w:r>
      <w:r w:rsidR="003A166F" w:rsidRPr="003A166F">
        <w:rPr>
          <w:rtl/>
        </w:rPr>
        <w:t xml:space="preserve">. </w:t>
      </w:r>
    </w:p>
    <w:p w14:paraId="39BAB38C" w14:textId="77777777" w:rsidR="00EE517B" w:rsidRPr="002D0522" w:rsidRDefault="00EE517B" w:rsidP="00EE517B">
      <w:pPr>
        <w:pStyle w:val="SingleTxtGA"/>
        <w:rPr>
          <w:lang w:val="ar-SA" w:eastAsia="zh-TW" w:bidi="en-GB"/>
        </w:rPr>
      </w:pPr>
      <w:r w:rsidRPr="00EE517B">
        <w:rPr>
          <w:rtl/>
        </w:rPr>
        <w:t>6</w:t>
      </w:r>
      <w:r w:rsidRPr="002D0522">
        <w:rPr>
          <w:rFonts w:ascii="Traditional Arabic"/>
          <w:rtl/>
        </w:rPr>
        <w:t>-</w:t>
      </w:r>
      <w:r w:rsidRPr="002D0522">
        <w:rPr>
          <w:rtl/>
        </w:rPr>
        <w:tab/>
      </w:r>
      <w:r w:rsidRPr="0016033C">
        <w:rPr>
          <w:rFonts w:hint="eastAsia"/>
          <w:b/>
          <w:bCs/>
          <w:rtl/>
        </w:rPr>
        <w:t>ينبغي</w:t>
      </w:r>
      <w:r w:rsidRPr="0016033C">
        <w:rPr>
          <w:b/>
          <w:bCs/>
          <w:rtl/>
        </w:rPr>
        <w:t xml:space="preserve"> للدولة الطرف أن تنظر في سحب تحفظاتها على المواد 10 </w:t>
      </w:r>
      <w:proofErr w:type="spellStart"/>
      <w:r w:rsidRPr="0016033C">
        <w:rPr>
          <w:b/>
          <w:bCs/>
          <w:rtl/>
        </w:rPr>
        <w:t>و14</w:t>
      </w:r>
      <w:proofErr w:type="spellEnd"/>
      <w:r w:rsidRPr="0016033C">
        <w:rPr>
          <w:b/>
          <w:bCs/>
          <w:rtl/>
        </w:rPr>
        <w:t xml:space="preserve"> </w:t>
      </w:r>
      <w:proofErr w:type="spellStart"/>
      <w:r w:rsidRPr="0016033C">
        <w:rPr>
          <w:b/>
          <w:bCs/>
          <w:rtl/>
        </w:rPr>
        <w:t>و19</w:t>
      </w:r>
      <w:proofErr w:type="spellEnd"/>
      <w:r w:rsidRPr="0016033C">
        <w:rPr>
          <w:b/>
          <w:bCs/>
          <w:rtl/>
        </w:rPr>
        <w:t xml:space="preserve"> </w:t>
      </w:r>
      <w:proofErr w:type="spellStart"/>
      <w:r w:rsidRPr="0016033C">
        <w:rPr>
          <w:b/>
          <w:bCs/>
          <w:rtl/>
        </w:rPr>
        <w:t>و20</w:t>
      </w:r>
      <w:proofErr w:type="spellEnd"/>
      <w:r w:rsidRPr="0016033C">
        <w:rPr>
          <w:b/>
          <w:bCs/>
          <w:rtl/>
        </w:rPr>
        <w:t xml:space="preserve"> من العهد.</w:t>
      </w:r>
    </w:p>
    <w:p w14:paraId="4A86D57B" w14:textId="77777777" w:rsidR="00EE517B" w:rsidRPr="002D0522" w:rsidRDefault="00EE517B" w:rsidP="00EE517B">
      <w:pPr>
        <w:pStyle w:val="H23GA"/>
        <w:rPr>
          <w:lang w:val="ar-SA" w:eastAsia="zh-TW" w:bidi="en-GB"/>
        </w:rPr>
      </w:pPr>
      <w:r w:rsidRPr="002D0522">
        <w:rPr>
          <w:rtl/>
        </w:rPr>
        <w:tab/>
      </w:r>
      <w:r w:rsidRPr="002D0522">
        <w:rPr>
          <w:rtl/>
        </w:rPr>
        <w:tab/>
        <w:t xml:space="preserve">عدم التمييز </w:t>
      </w:r>
    </w:p>
    <w:p w14:paraId="790BEDF1" w14:textId="7E5FED0E" w:rsidR="003A166F" w:rsidRPr="003A166F" w:rsidRDefault="00EE517B" w:rsidP="00EE517B">
      <w:pPr>
        <w:pStyle w:val="SingleTxtGA"/>
        <w:rPr>
          <w:lang w:val="ar-SA" w:eastAsia="zh-TW" w:bidi="en-GB"/>
        </w:rPr>
      </w:pPr>
      <w:r w:rsidRPr="00EE517B">
        <w:rPr>
          <w:rtl/>
        </w:rPr>
        <w:t>7</w:t>
      </w:r>
      <w:r w:rsidRPr="002D0522">
        <w:rPr>
          <w:rFonts w:ascii="Traditional Arabic"/>
          <w:rtl/>
        </w:rPr>
        <w:t>-</w:t>
      </w:r>
      <w:r w:rsidRPr="002D0522">
        <w:rPr>
          <w:rtl/>
        </w:rPr>
        <w:tab/>
        <w:t xml:space="preserve">ترحب اللجنة بالتدابير التي اتخذتها الدولة الطرف لمكافحة جميع أشكال التمييز، لكنها تعرب عن قلقها إزاء عدم وجود ملاحقات قضائية وإدانات بتهمة التمييز. ويساور اللجنة القلق إزاء العقبات التي تحد من إمكانية لجوء الأشخاص الراغبين في تقديم شكاوى بشأن التمييز إلى العدالة، بما في ذلك الافتقار إلى الوعي بمختلف سبل الانتصاف المتاحة، والافتقار إلى الموارد والخبرات المخصصة لمركز المساواة في المعاملة. وعلاوة على ذلك، تأسف اللجنة لأن الاقتراح رقم </w:t>
      </w:r>
      <w:r w:rsidRPr="00EE517B">
        <w:rPr>
          <w:rtl/>
        </w:rPr>
        <w:t>7755</w:t>
      </w:r>
      <w:r w:rsidRPr="002D0522">
        <w:rPr>
          <w:rtl/>
        </w:rPr>
        <w:t xml:space="preserve"> المتعلق بتنقيح الفصل الثاني من الدستور، والمقدم في نيسان/أبريل </w:t>
      </w:r>
      <w:r w:rsidRPr="00EE517B">
        <w:rPr>
          <w:rtl/>
        </w:rPr>
        <w:t>2021</w:t>
      </w:r>
      <w:r w:rsidRPr="002D0522">
        <w:rPr>
          <w:rtl/>
        </w:rPr>
        <w:t xml:space="preserve">، يحافظ على صياغة تميز </w:t>
      </w:r>
      <w:proofErr w:type="spellStart"/>
      <w:r w:rsidRPr="002D0522">
        <w:rPr>
          <w:rtl/>
        </w:rPr>
        <w:t>اللوكسمبورغيين</w:t>
      </w:r>
      <w:proofErr w:type="spellEnd"/>
      <w:r w:rsidRPr="002D0522">
        <w:rPr>
          <w:rtl/>
        </w:rPr>
        <w:t xml:space="preserve"> عن غير </w:t>
      </w:r>
      <w:proofErr w:type="spellStart"/>
      <w:r w:rsidRPr="002D0522">
        <w:rPr>
          <w:rtl/>
        </w:rPr>
        <w:t>اللوكسمبورغيين</w:t>
      </w:r>
      <w:proofErr w:type="spellEnd"/>
      <w:r w:rsidRPr="002D0522">
        <w:rPr>
          <w:rtl/>
        </w:rPr>
        <w:t xml:space="preserve"> فيما يتعلق بالمساواة بين الجميع أمام القانون، على الرغم من السوابق القضائية للمحكمة الدستورية، التي تعترف بالمساواة في الحقوق بين المواطنين والأجانب (المادتان </w:t>
      </w:r>
      <w:r w:rsidRPr="00EE517B">
        <w:rPr>
          <w:rtl/>
        </w:rPr>
        <w:t>2</w:t>
      </w:r>
      <w:r w:rsidRPr="002D0522">
        <w:rPr>
          <w:rtl/>
        </w:rPr>
        <w:t xml:space="preserve"> </w:t>
      </w:r>
      <w:proofErr w:type="spellStart"/>
      <w:r w:rsidRPr="002D0522">
        <w:rPr>
          <w:rtl/>
        </w:rPr>
        <w:t>و</w:t>
      </w:r>
      <w:r w:rsidRPr="00EE517B">
        <w:rPr>
          <w:rtl/>
        </w:rPr>
        <w:t>2</w:t>
      </w:r>
      <w:r w:rsidR="003A166F" w:rsidRPr="003A166F">
        <w:rPr>
          <w:rtl/>
        </w:rPr>
        <w:t>6</w:t>
      </w:r>
      <w:proofErr w:type="spellEnd"/>
      <w:r w:rsidR="003A166F" w:rsidRPr="003A166F">
        <w:rPr>
          <w:rFonts w:ascii="Traditional Arabic"/>
          <w:rtl/>
        </w:rPr>
        <w:t>)</w:t>
      </w:r>
      <w:r w:rsidR="003A166F" w:rsidRPr="003A166F">
        <w:rPr>
          <w:rtl/>
        </w:rPr>
        <w:t>.</w:t>
      </w:r>
    </w:p>
    <w:p w14:paraId="12A2DE7F" w14:textId="59B426DE" w:rsidR="00EE517B" w:rsidRPr="00F567B1" w:rsidRDefault="00EE517B" w:rsidP="00EE517B">
      <w:pPr>
        <w:pStyle w:val="SingleTxtGA"/>
        <w:rPr>
          <w:b/>
          <w:bCs/>
          <w:lang w:val="ar-SA" w:eastAsia="zh-TW" w:bidi="en-GB"/>
        </w:rPr>
      </w:pPr>
      <w:r w:rsidRPr="00EE517B">
        <w:rPr>
          <w:rtl/>
        </w:rPr>
        <w:lastRenderedPageBreak/>
        <w:t>8</w:t>
      </w:r>
      <w:r w:rsidRPr="002D0522">
        <w:rPr>
          <w:rFonts w:ascii="Traditional Arabic"/>
          <w:rtl/>
        </w:rPr>
        <w:t>-</w:t>
      </w:r>
      <w:r w:rsidRPr="002D0522">
        <w:rPr>
          <w:rtl/>
        </w:rPr>
        <w:tab/>
      </w:r>
      <w:r w:rsidRPr="00F567B1">
        <w:rPr>
          <w:b/>
          <w:bCs/>
          <w:rtl/>
        </w:rPr>
        <w:t>ينبغي للدولة الطرف أن تعزز الموارد المالية والبشرية المخصصة لمركز المساواة في المعاملة وأن تمنحه مزيدا</w:t>
      </w:r>
      <w:r w:rsidR="00EC6CB0">
        <w:rPr>
          <w:rFonts w:hint="cs"/>
          <w:b/>
          <w:bCs/>
          <w:rtl/>
        </w:rPr>
        <w:t>ً</w:t>
      </w:r>
      <w:r w:rsidRPr="00F567B1">
        <w:rPr>
          <w:b/>
          <w:bCs/>
          <w:rtl/>
        </w:rPr>
        <w:t xml:space="preserve"> من الصلاحيات، بما في ذلك عن طريق تمكينه من اتخاذ إجراءات قانونية لصالح ضحايا التمييز، ولكن أيضا</w:t>
      </w:r>
      <w:r w:rsidR="00EC6CB0">
        <w:rPr>
          <w:rFonts w:hint="cs"/>
          <w:b/>
          <w:bCs/>
          <w:rtl/>
        </w:rPr>
        <w:t>ً</w:t>
      </w:r>
      <w:r w:rsidRPr="00F567B1">
        <w:rPr>
          <w:b/>
          <w:bCs/>
          <w:rtl/>
        </w:rPr>
        <w:t xml:space="preserve"> عن طريق تعزيز سلطاته التحقيقية والقوة الملزمة لقراراته. وينبغي للدولة الطرف أيض</w:t>
      </w:r>
      <w:r w:rsidR="00BD0001">
        <w:rPr>
          <w:b/>
          <w:bCs/>
          <w:rtl/>
        </w:rPr>
        <w:t xml:space="preserve">اً </w:t>
      </w:r>
      <w:r w:rsidRPr="00F567B1">
        <w:rPr>
          <w:b/>
          <w:bCs/>
          <w:rtl/>
        </w:rPr>
        <w:t xml:space="preserve">أن تعيد النظر في الصياغة الواردة في اقتراحها الداعي إلى تنقيح الدستور من أجل إزالة التمييز بين </w:t>
      </w:r>
      <w:proofErr w:type="spellStart"/>
      <w:r w:rsidRPr="00F567B1">
        <w:rPr>
          <w:b/>
          <w:bCs/>
          <w:rtl/>
        </w:rPr>
        <w:t>اللكسمبرغيين</w:t>
      </w:r>
      <w:proofErr w:type="spellEnd"/>
      <w:r w:rsidRPr="00F567B1">
        <w:rPr>
          <w:b/>
          <w:bCs/>
          <w:rtl/>
        </w:rPr>
        <w:t xml:space="preserve"> وغير </w:t>
      </w:r>
      <w:proofErr w:type="spellStart"/>
      <w:r w:rsidRPr="00F567B1">
        <w:rPr>
          <w:b/>
          <w:bCs/>
          <w:rtl/>
        </w:rPr>
        <w:t>الكسمبرغ</w:t>
      </w:r>
      <w:proofErr w:type="spellEnd"/>
      <w:r w:rsidRPr="00F567B1">
        <w:rPr>
          <w:b/>
          <w:bCs/>
          <w:rtl/>
        </w:rPr>
        <w:t xml:space="preserve"> فيما يتعلق بالمساواة بين الجميع أمام القانون.</w:t>
      </w:r>
    </w:p>
    <w:p w14:paraId="0D3E5D45" w14:textId="77777777" w:rsidR="00EE517B" w:rsidRPr="008A6289" w:rsidRDefault="00EE517B" w:rsidP="00EE517B">
      <w:pPr>
        <w:pStyle w:val="H23GA"/>
        <w:rPr>
          <w:lang w:val="ar-SA" w:eastAsia="zh-TW" w:bidi="en-GB"/>
        </w:rPr>
      </w:pPr>
      <w:r w:rsidRPr="002D0522">
        <w:rPr>
          <w:rtl/>
        </w:rPr>
        <w:tab/>
      </w:r>
      <w:r w:rsidRPr="002D0522">
        <w:rPr>
          <w:rtl/>
        </w:rPr>
        <w:tab/>
      </w:r>
      <w:r w:rsidRPr="008A6289">
        <w:rPr>
          <w:rFonts w:hint="eastAsia"/>
          <w:rtl/>
        </w:rPr>
        <w:t>التمييز</w:t>
      </w:r>
      <w:r w:rsidRPr="008A6289">
        <w:rPr>
          <w:rtl/>
        </w:rPr>
        <w:t xml:space="preserve"> ضد الأشخاص ذوي الإعاقة </w:t>
      </w:r>
    </w:p>
    <w:p w14:paraId="2C8CDD36" w14:textId="1AE8D7EC" w:rsidR="00EE517B" w:rsidRPr="002D0522" w:rsidRDefault="00EE517B" w:rsidP="00EE517B">
      <w:pPr>
        <w:pStyle w:val="SingleTxtGA"/>
        <w:rPr>
          <w:lang w:val="ar-SA" w:eastAsia="zh-TW" w:bidi="en-GB"/>
        </w:rPr>
      </w:pPr>
      <w:r w:rsidRPr="00EE517B">
        <w:rPr>
          <w:rtl/>
        </w:rPr>
        <w:t>9</w:t>
      </w:r>
      <w:r w:rsidRPr="002D0522">
        <w:rPr>
          <w:rFonts w:ascii="Traditional Arabic"/>
          <w:rtl/>
        </w:rPr>
        <w:t>-</w:t>
      </w:r>
      <w:r w:rsidRPr="002D0522">
        <w:rPr>
          <w:rtl/>
        </w:rPr>
        <w:tab/>
        <w:t xml:space="preserve">ترحب اللجنة بمختلف التدابير التي اتخذتها الدولة الطرف لمكافحة التمييز ضد الأشخاص ذوي الإعاقة، بما في ذلك اعتماد القانون المؤرخ </w:t>
      </w:r>
      <w:r w:rsidRPr="00EE517B">
        <w:rPr>
          <w:rtl/>
        </w:rPr>
        <w:t>7</w:t>
      </w:r>
      <w:r w:rsidRPr="002D0522">
        <w:rPr>
          <w:rtl/>
        </w:rPr>
        <w:t xml:space="preserve"> كانون الثاني/يناير </w:t>
      </w:r>
      <w:r w:rsidRPr="00EE517B">
        <w:rPr>
          <w:rtl/>
        </w:rPr>
        <w:t>2022</w:t>
      </w:r>
      <w:r w:rsidRPr="002D0522">
        <w:rPr>
          <w:rtl/>
        </w:rPr>
        <w:t xml:space="preserve"> بشأن إمكانية الوصول إلى جميع الأماكن المفتوحة للجمهور والطرق العامة ومباني المساكن الجماعية. وتلاحظ أن أحكام هذا القانون تنفذ التوصيات الصادرة في عام </w:t>
      </w:r>
      <w:r w:rsidRPr="00EE517B">
        <w:rPr>
          <w:rtl/>
        </w:rPr>
        <w:t>2017</w:t>
      </w:r>
      <w:r w:rsidRPr="002D0522">
        <w:rPr>
          <w:rtl/>
        </w:rPr>
        <w:t xml:space="preserve"> عن اللجنة المعنية بحقوق الأشخاص ذوي الإعاقة بشأن تعريف "الشخص ذي الإعاقة" و"الترتيبات التيسيرية المعقولة"، معتبرة أن أي رفض للترتيبات التيسيرية المعقولة يشكل تمييز</w:t>
      </w:r>
      <w:r w:rsidR="00BD0001">
        <w:rPr>
          <w:rtl/>
        </w:rPr>
        <w:t xml:space="preserve">اً </w:t>
      </w:r>
      <w:r w:rsidRPr="002D0522">
        <w:rPr>
          <w:rtl/>
        </w:rPr>
        <w:t xml:space="preserve">على أساس الإعاقة ويخضع لأحكام </w:t>
      </w:r>
      <w:r>
        <w:rPr>
          <w:rtl/>
        </w:rPr>
        <w:t xml:space="preserve">القانون </w:t>
      </w:r>
      <w:r w:rsidRPr="002D0522">
        <w:rPr>
          <w:rtl/>
        </w:rPr>
        <w:t>الجنائي</w:t>
      </w:r>
      <w:r w:rsidR="003A166F">
        <w:rPr>
          <w:rStyle w:val="FootnoteReference"/>
          <w:szCs w:val="22"/>
          <w:rtl/>
        </w:rPr>
        <w:t>(</w:t>
      </w:r>
      <w:r w:rsidR="003A166F" w:rsidRPr="00BD0001">
        <w:rPr>
          <w:rStyle w:val="FootnoteReference"/>
          <w:szCs w:val="22"/>
          <w:rtl/>
        </w:rPr>
        <w:footnoteReference w:id="6"/>
      </w:r>
      <w:r w:rsidR="003A166F" w:rsidRPr="003A166F">
        <w:rPr>
          <w:rStyle w:val="FootnoteReference"/>
          <w:szCs w:val="22"/>
          <w:rtl/>
        </w:rPr>
        <w:t>)</w:t>
      </w:r>
      <w:r w:rsidR="003A166F" w:rsidRPr="003A166F">
        <w:rPr>
          <w:rFonts w:hint="cs"/>
          <w:rtl/>
        </w:rPr>
        <w:t>.</w:t>
      </w:r>
      <w:r w:rsidR="003A166F" w:rsidRPr="003A166F">
        <w:rPr>
          <w:rtl/>
        </w:rPr>
        <w:t xml:space="preserve"> </w:t>
      </w:r>
      <w:r w:rsidRPr="002D0522">
        <w:rPr>
          <w:rtl/>
        </w:rPr>
        <w:t>بيد أن اللجنة تأسف لأن معايير الحصول على بعض الخدمات العامة أو التمويل لا تزال تركز على درجة الإعاقة، ولأن الأشخاص ذوي الإعاقة ما زالوا ممثلين تمثيلا</w:t>
      </w:r>
      <w:r w:rsidR="00EC6CB0">
        <w:rPr>
          <w:rFonts w:hint="cs"/>
          <w:rtl/>
        </w:rPr>
        <w:t>ً</w:t>
      </w:r>
      <w:r w:rsidRPr="002D0522">
        <w:rPr>
          <w:rtl/>
        </w:rPr>
        <w:t xml:space="preserve"> ناقصا</w:t>
      </w:r>
      <w:r w:rsidR="00EC6CB0">
        <w:rPr>
          <w:rFonts w:hint="cs"/>
          <w:rtl/>
        </w:rPr>
        <w:t>ً</w:t>
      </w:r>
      <w:r w:rsidRPr="002D0522">
        <w:rPr>
          <w:rtl/>
        </w:rPr>
        <w:t xml:space="preserve"> في سوق العمل (المادتان </w:t>
      </w:r>
      <w:r w:rsidRPr="00EE517B">
        <w:rPr>
          <w:rtl/>
        </w:rPr>
        <w:t>2</w:t>
      </w:r>
      <w:r w:rsidRPr="002D0522">
        <w:rPr>
          <w:rtl/>
        </w:rPr>
        <w:t xml:space="preserve"> </w:t>
      </w:r>
      <w:proofErr w:type="spellStart"/>
      <w:r w:rsidRPr="002D0522">
        <w:rPr>
          <w:rtl/>
        </w:rPr>
        <w:t>و</w:t>
      </w:r>
      <w:r w:rsidRPr="00EE517B">
        <w:rPr>
          <w:rtl/>
        </w:rPr>
        <w:t>2</w:t>
      </w:r>
      <w:r w:rsidR="003A166F" w:rsidRPr="003A166F">
        <w:rPr>
          <w:rtl/>
        </w:rPr>
        <w:t>6</w:t>
      </w:r>
      <w:proofErr w:type="spellEnd"/>
      <w:r w:rsidR="003A166F" w:rsidRPr="003A166F">
        <w:rPr>
          <w:rFonts w:ascii="Traditional Arabic"/>
          <w:rtl/>
        </w:rPr>
        <w:t>)</w:t>
      </w:r>
      <w:r w:rsidR="003A166F" w:rsidRPr="003A166F">
        <w:rPr>
          <w:rtl/>
        </w:rPr>
        <w:t xml:space="preserve">. </w:t>
      </w:r>
    </w:p>
    <w:p w14:paraId="330F1C7C" w14:textId="77777777" w:rsidR="00EE517B" w:rsidRPr="00EC6CB0" w:rsidRDefault="00EE517B" w:rsidP="00EE517B">
      <w:pPr>
        <w:pStyle w:val="SingleTxtGA"/>
        <w:rPr>
          <w:b/>
          <w:bCs/>
          <w:lang w:val="ar-SA" w:eastAsia="zh-TW" w:bidi="en-GB"/>
        </w:rPr>
      </w:pPr>
      <w:r w:rsidRPr="00EE517B">
        <w:rPr>
          <w:rtl/>
        </w:rPr>
        <w:t>10</w:t>
      </w:r>
      <w:r w:rsidRPr="002D0522">
        <w:rPr>
          <w:rFonts w:ascii="Traditional Arabic"/>
          <w:rtl/>
        </w:rPr>
        <w:t>-</w:t>
      </w:r>
      <w:r w:rsidRPr="002D0522">
        <w:rPr>
          <w:rtl/>
        </w:rPr>
        <w:tab/>
      </w:r>
      <w:r w:rsidRPr="00EC6CB0">
        <w:rPr>
          <w:b/>
          <w:bCs/>
          <w:rtl/>
        </w:rPr>
        <w:t>ينبغي للدولة الطرف أن تقوم بما يلي</w:t>
      </w:r>
      <w:r w:rsidRPr="00EC6CB0">
        <w:rPr>
          <w:rFonts w:ascii="Traditional Arabic"/>
          <w:b/>
          <w:bCs/>
        </w:rPr>
        <w:t>:</w:t>
      </w:r>
      <w:r w:rsidRPr="00EC6CB0">
        <w:rPr>
          <w:b/>
          <w:bCs/>
          <w:rtl/>
        </w:rPr>
        <w:t xml:space="preserve"> </w:t>
      </w:r>
    </w:p>
    <w:p w14:paraId="65C49FE7" w14:textId="729CC4CA" w:rsidR="00EE517B" w:rsidRPr="00EC6CB0" w:rsidRDefault="00EE517B" w:rsidP="00EE517B">
      <w:pPr>
        <w:pStyle w:val="SingleTxtGA"/>
        <w:rPr>
          <w:b/>
          <w:bCs/>
          <w:lang w:val="ar-SA" w:eastAsia="zh-TW" w:bidi="en-GB"/>
        </w:rPr>
      </w:pPr>
      <w:r w:rsidRPr="00EC6CB0">
        <w:rPr>
          <w:b/>
          <w:bCs/>
          <w:rtl/>
        </w:rPr>
        <w:tab/>
        <w:t>(أ</w:t>
      </w:r>
      <w:r w:rsidRPr="00EC6CB0">
        <w:rPr>
          <w:rFonts w:ascii="Traditional Arabic"/>
          <w:b/>
          <w:bCs/>
          <w:rtl/>
        </w:rPr>
        <w:t>)</w:t>
      </w:r>
      <w:r w:rsidRPr="00EC6CB0">
        <w:rPr>
          <w:b/>
          <w:bCs/>
          <w:rtl/>
        </w:rPr>
        <w:tab/>
        <w:t xml:space="preserve">ضمان التنفيذ الفعال للقانون المؤرخ 7 كانون الثاني/يناير 2022 بشأن إمكانية الوصول إلى جميع الأماكن المفتوحة للجمهور والطرق العامة والمباني السكنية الجماعية، واتخاذ جميع التدابير المناسبة الأخرى لضمان عدم التمييز ضد الأشخاص ذوي الإعاقة في ممارسة حقوقهم؛ </w:t>
      </w:r>
    </w:p>
    <w:p w14:paraId="43375F79" w14:textId="2B443472" w:rsidR="00EE517B" w:rsidRPr="00EC6CB0" w:rsidRDefault="00EE517B" w:rsidP="00EE517B">
      <w:pPr>
        <w:pStyle w:val="SingleTxtGA"/>
        <w:rPr>
          <w:b/>
          <w:bCs/>
          <w:spacing w:val="-4"/>
          <w:lang w:val="ar-SA" w:eastAsia="zh-TW" w:bidi="en-GB"/>
        </w:rPr>
      </w:pPr>
      <w:r w:rsidRPr="00EC6CB0">
        <w:rPr>
          <w:b/>
          <w:bCs/>
          <w:spacing w:val="-4"/>
          <w:rtl/>
        </w:rPr>
        <w:tab/>
        <w:t>(ب</w:t>
      </w:r>
      <w:r w:rsidRPr="00EC6CB0">
        <w:rPr>
          <w:rFonts w:ascii="Traditional Arabic"/>
          <w:b/>
          <w:bCs/>
          <w:spacing w:val="-4"/>
          <w:rtl/>
        </w:rPr>
        <w:t>)</w:t>
      </w:r>
      <w:r w:rsidRPr="00EC6CB0">
        <w:rPr>
          <w:b/>
          <w:bCs/>
          <w:spacing w:val="-4"/>
          <w:rtl/>
        </w:rPr>
        <w:tab/>
        <w:t>ضمان احترام أصحاب العمل لالتزامهم الإيجابي بضمان وصول الأشخاص ذوي الإعاقة إلى سوق العمل، بما في ذلك عن طريق توفير الترتيبات التيسيرية المعقولة، ولا سيما في القطاع الخاص؛</w:t>
      </w:r>
    </w:p>
    <w:p w14:paraId="3E5676C7" w14:textId="27A976ED" w:rsidR="00EE517B" w:rsidRPr="00EC6CB0" w:rsidRDefault="00EE517B" w:rsidP="00EE517B">
      <w:pPr>
        <w:pStyle w:val="SingleTxtGA"/>
        <w:rPr>
          <w:b/>
          <w:bCs/>
          <w:lang w:val="ar-SA" w:eastAsia="zh-TW" w:bidi="en-GB"/>
        </w:rPr>
      </w:pPr>
      <w:r w:rsidRPr="00EC6CB0">
        <w:rPr>
          <w:b/>
          <w:bCs/>
          <w:rtl/>
        </w:rPr>
        <w:tab/>
        <w:t>(ج</w:t>
      </w:r>
      <w:r w:rsidRPr="00EC6CB0">
        <w:rPr>
          <w:rFonts w:ascii="Traditional Arabic"/>
          <w:b/>
          <w:bCs/>
          <w:rtl/>
        </w:rPr>
        <w:t>)</w:t>
      </w:r>
      <w:r w:rsidRPr="00EC6CB0">
        <w:rPr>
          <w:b/>
          <w:bCs/>
          <w:rtl/>
        </w:rPr>
        <w:t xml:space="preserve"> </w:t>
      </w:r>
      <w:r w:rsidRPr="00EC6CB0">
        <w:rPr>
          <w:b/>
          <w:bCs/>
          <w:rtl/>
        </w:rPr>
        <w:tab/>
        <w:t xml:space="preserve">استعراض شروط الحصول على بعض الخدمات أو التمويل العام المتصلة بدرجة الإعاقة، مثل تلك المنصوص عليها في القانون المؤرخ 12 أيلول/سبتمبر 2003 بشأن الأشخاص ذوي الإعاقة، والتي تحرم الأشخاص ذوي الإعاقة الذين لا يستوفون معيار فقدان 30 في المائة من القدرة على العمل من المزايا التي يمنحها وضع الأجير ذي الإعاقة وما يتصل بذلك من مساعدة على الإدماج. </w:t>
      </w:r>
    </w:p>
    <w:p w14:paraId="1617979F" w14:textId="77777777" w:rsidR="00EE517B" w:rsidRPr="008A6289" w:rsidRDefault="00EE517B" w:rsidP="00EE517B">
      <w:pPr>
        <w:pStyle w:val="H23GA"/>
        <w:rPr>
          <w:lang w:val="en-US" w:eastAsia="zh-TW" w:bidi="en-GB"/>
        </w:rPr>
      </w:pPr>
      <w:r w:rsidRPr="002D0522">
        <w:rPr>
          <w:rtl/>
        </w:rPr>
        <w:tab/>
      </w:r>
      <w:r w:rsidRPr="002D0522">
        <w:rPr>
          <w:rtl/>
        </w:rPr>
        <w:tab/>
      </w:r>
      <w:r w:rsidRPr="008A6289">
        <w:rPr>
          <w:rFonts w:hint="eastAsia"/>
          <w:rtl/>
        </w:rPr>
        <w:t>الميل</w:t>
      </w:r>
      <w:r w:rsidRPr="008A6289">
        <w:rPr>
          <w:rtl/>
        </w:rPr>
        <w:t xml:space="preserve"> الجنسي والهوية الجنسانية وحاملو صفات الجنسين </w:t>
      </w:r>
    </w:p>
    <w:p w14:paraId="3EB5B472" w14:textId="63372617" w:rsidR="003A166F" w:rsidRPr="003A166F" w:rsidRDefault="00EE517B" w:rsidP="00EE517B">
      <w:pPr>
        <w:pStyle w:val="SingleTxtGA"/>
        <w:rPr>
          <w:lang w:val="ar-SA" w:eastAsia="zh-TW" w:bidi="en-GB"/>
        </w:rPr>
      </w:pPr>
      <w:r w:rsidRPr="00EE517B">
        <w:rPr>
          <w:rtl/>
        </w:rPr>
        <w:t>11</w:t>
      </w:r>
      <w:r w:rsidRPr="002D0522">
        <w:rPr>
          <w:rFonts w:ascii="Traditional Arabic"/>
          <w:rtl/>
        </w:rPr>
        <w:t>-</w:t>
      </w:r>
      <w:r w:rsidRPr="002D0522">
        <w:rPr>
          <w:rtl/>
        </w:rPr>
        <w:tab/>
        <w:t xml:space="preserve">ترحب اللجنة باعتماد خطة العمل الوطنية لتعزيز حقوق المثليات والمثليين ومزدوجي الميل الجنسي ومغايري الهوية الجنسانية وحاملي صفات الجنسين في </w:t>
      </w:r>
      <w:r w:rsidRPr="00EE517B">
        <w:rPr>
          <w:rtl/>
        </w:rPr>
        <w:t>13</w:t>
      </w:r>
      <w:r w:rsidRPr="002D0522">
        <w:rPr>
          <w:rtl/>
        </w:rPr>
        <w:t xml:space="preserve"> تموز/يوليه </w:t>
      </w:r>
      <w:r w:rsidRPr="00EE517B">
        <w:rPr>
          <w:rtl/>
        </w:rPr>
        <w:t>2018</w:t>
      </w:r>
      <w:r w:rsidRPr="002D0522">
        <w:rPr>
          <w:rtl/>
        </w:rPr>
        <w:t xml:space="preserve"> </w:t>
      </w:r>
      <w:r>
        <w:rPr>
          <w:rtl/>
        </w:rPr>
        <w:t>وبالعمل الجاري</w:t>
      </w:r>
      <w:r w:rsidRPr="002D0522">
        <w:rPr>
          <w:rtl/>
        </w:rPr>
        <w:t xml:space="preserve"> </w:t>
      </w:r>
      <w:r>
        <w:rPr>
          <w:rtl/>
        </w:rPr>
        <w:t>ل</w:t>
      </w:r>
      <w:r w:rsidRPr="002D0522">
        <w:rPr>
          <w:rtl/>
        </w:rPr>
        <w:t xml:space="preserve">إعداد مشروع قانون بشأن حق الأطفال حاملي صفات الجنسين في </w:t>
      </w:r>
      <w:r>
        <w:rPr>
          <w:rtl/>
        </w:rPr>
        <w:t>تحديد هويتهم الجنسانية</w:t>
      </w:r>
      <w:r w:rsidRPr="002D0522">
        <w:rPr>
          <w:rtl/>
        </w:rPr>
        <w:t>، لكنها تلاحظ مع القلق أن الأطفال الذين يعانون من اختلافات في النمو الجنسي عند الولادة يخضعون أحيان</w:t>
      </w:r>
      <w:r w:rsidR="00BD0001">
        <w:rPr>
          <w:rtl/>
        </w:rPr>
        <w:t xml:space="preserve">اً </w:t>
      </w:r>
      <w:r w:rsidRPr="002D0522">
        <w:rPr>
          <w:rtl/>
        </w:rPr>
        <w:t xml:space="preserve">لإجراءات طبية </w:t>
      </w:r>
      <w:proofErr w:type="spellStart"/>
      <w:r w:rsidRPr="002D0522">
        <w:rPr>
          <w:rtl/>
        </w:rPr>
        <w:t>اقتحامية</w:t>
      </w:r>
      <w:proofErr w:type="spellEnd"/>
      <w:r w:rsidRPr="002D0522">
        <w:rPr>
          <w:rtl/>
        </w:rPr>
        <w:t xml:space="preserve"> هدفها تحديد جنسهم، وأن هذه الإجراءات كثيراً ما تستند إلى رؤية نمطية للأدوار الاجتماعية للجنسين، وأنها تُنفذ قبل أن يكون الأشخاص المعنيون في سن يسمح لهم بإعطاء موافقتهم الحرة والمستنيرة. ويساور اللجنة القلق أيض</w:t>
      </w:r>
      <w:r w:rsidR="00BD0001">
        <w:rPr>
          <w:rtl/>
        </w:rPr>
        <w:t xml:space="preserve">اً </w:t>
      </w:r>
      <w:r w:rsidRPr="002D0522">
        <w:rPr>
          <w:rtl/>
        </w:rPr>
        <w:t xml:space="preserve">إزاء عدم وجود </w:t>
      </w:r>
      <w:r>
        <w:rPr>
          <w:rtl/>
        </w:rPr>
        <w:t>نظام مركزي لجمع ال</w:t>
      </w:r>
      <w:r w:rsidRPr="002D0522">
        <w:rPr>
          <w:rtl/>
        </w:rPr>
        <w:t>إحصاءات عن</w:t>
      </w:r>
      <w:r>
        <w:rPr>
          <w:rtl/>
        </w:rPr>
        <w:t xml:space="preserve"> هذه</w:t>
      </w:r>
      <w:r w:rsidRPr="002D0522">
        <w:rPr>
          <w:rtl/>
        </w:rPr>
        <w:t xml:space="preserve"> التدخلات</w:t>
      </w:r>
      <w:r w:rsidR="00D63793" w:rsidRPr="00D63793">
        <w:rPr>
          <w:rtl/>
        </w:rPr>
        <w:t>،</w:t>
      </w:r>
      <w:r w:rsidRPr="002D0522">
        <w:rPr>
          <w:rtl/>
        </w:rPr>
        <w:t xml:space="preserve"> وعن تدابير إعادة التأهيل والتعويض التي يدعى أنها متاحة للأشخاص الذين خضعوا لهذه التدخلات (المواد </w:t>
      </w:r>
      <w:r w:rsidRPr="00EE517B">
        <w:rPr>
          <w:rtl/>
        </w:rPr>
        <w:t>2</w:t>
      </w:r>
      <w:r w:rsidRPr="002D0522">
        <w:rPr>
          <w:rtl/>
        </w:rPr>
        <w:t xml:space="preserve"> </w:t>
      </w:r>
      <w:proofErr w:type="spellStart"/>
      <w:r w:rsidRPr="002D0522">
        <w:rPr>
          <w:rtl/>
        </w:rPr>
        <w:t>و</w:t>
      </w:r>
      <w:r w:rsidRPr="00EE517B">
        <w:rPr>
          <w:rtl/>
        </w:rPr>
        <w:t>7</w:t>
      </w:r>
      <w:proofErr w:type="spellEnd"/>
      <w:r w:rsidRPr="002D0522">
        <w:rPr>
          <w:rtl/>
        </w:rPr>
        <w:t xml:space="preserve"> </w:t>
      </w:r>
      <w:proofErr w:type="spellStart"/>
      <w:r w:rsidRPr="002D0522">
        <w:rPr>
          <w:rtl/>
        </w:rPr>
        <w:t>و</w:t>
      </w:r>
      <w:r w:rsidRPr="00EE517B">
        <w:rPr>
          <w:rtl/>
        </w:rPr>
        <w:t>24</w:t>
      </w:r>
      <w:proofErr w:type="spellEnd"/>
      <w:r w:rsidRPr="002D0522">
        <w:rPr>
          <w:rtl/>
        </w:rPr>
        <w:t xml:space="preserve"> </w:t>
      </w:r>
      <w:proofErr w:type="spellStart"/>
      <w:r w:rsidRPr="002D0522">
        <w:rPr>
          <w:rtl/>
        </w:rPr>
        <w:t>و</w:t>
      </w:r>
      <w:r w:rsidRPr="00EE517B">
        <w:rPr>
          <w:rtl/>
        </w:rPr>
        <w:t>2</w:t>
      </w:r>
      <w:r w:rsidR="003A166F" w:rsidRPr="003A166F">
        <w:rPr>
          <w:rtl/>
        </w:rPr>
        <w:t>6</w:t>
      </w:r>
      <w:proofErr w:type="spellEnd"/>
      <w:r w:rsidR="003A166F" w:rsidRPr="003A166F">
        <w:rPr>
          <w:rFonts w:ascii="Traditional Arabic"/>
          <w:rtl/>
        </w:rPr>
        <w:t>)</w:t>
      </w:r>
      <w:r w:rsidR="003A166F" w:rsidRPr="003A166F">
        <w:rPr>
          <w:rtl/>
        </w:rPr>
        <w:t>.</w:t>
      </w:r>
    </w:p>
    <w:p w14:paraId="522B8FE3" w14:textId="5BD854FA" w:rsidR="00EE517B" w:rsidRPr="00F60B3D" w:rsidRDefault="00EE517B" w:rsidP="00EE517B">
      <w:pPr>
        <w:pStyle w:val="SingleTxtGA"/>
        <w:rPr>
          <w:rFonts w:ascii="Times New Roman Bold" w:hAnsi="Times New Roman Bold" w:hint="eastAsia"/>
          <w:b/>
          <w:bCs/>
          <w:spacing w:val="-2"/>
          <w:lang w:val="ar-SA" w:eastAsia="zh-TW" w:bidi="en-GB"/>
        </w:rPr>
      </w:pPr>
      <w:r w:rsidRPr="00EE517B">
        <w:rPr>
          <w:rtl/>
        </w:rPr>
        <w:lastRenderedPageBreak/>
        <w:t>12</w:t>
      </w:r>
      <w:r w:rsidRPr="002D0522">
        <w:rPr>
          <w:rFonts w:ascii="Traditional Arabic"/>
          <w:rtl/>
        </w:rPr>
        <w:t>-</w:t>
      </w:r>
      <w:r w:rsidRPr="002D0522">
        <w:rPr>
          <w:rtl/>
        </w:rPr>
        <w:tab/>
      </w:r>
      <w:r w:rsidRPr="00E546C3">
        <w:rPr>
          <w:b/>
          <w:bCs/>
          <w:rtl/>
        </w:rPr>
        <w:t>ينبغي للدولة الطرف أن تعزز التدابير الرامية إلى وضع حد للإجراءات الطبية التي لا رجعة فيها، ولا سيما العمليات الجراحية التي تجرى على الأطفال حاملي صفات الجنسين الذين ليسوا مؤهلين بعدُ لإعطاء موافقتهم الحرة والمستنيرة، إلا إذا كانت هذه التدخلات ضرورية للغاية من وجهة نظر طبية. وفي هذا الصدد، ينبغي للدولة الطرف أن تعجل باعتماد تشريع لهذا الغرض، على النحو المنصوص عليه في خطة العمل المذكورة أعلاه. وينبغي للدولة الطرف أيض</w:t>
      </w:r>
      <w:r w:rsidR="00A317D1">
        <w:rPr>
          <w:b/>
          <w:bCs/>
          <w:rtl/>
        </w:rPr>
        <w:t xml:space="preserve">اً </w:t>
      </w:r>
      <w:r w:rsidRPr="00E546C3">
        <w:rPr>
          <w:b/>
          <w:bCs/>
          <w:rtl/>
        </w:rPr>
        <w:t xml:space="preserve">أن تعجل بإنشاء نظام </w:t>
      </w:r>
      <w:r w:rsidRPr="00F60B3D">
        <w:rPr>
          <w:rFonts w:ascii="Times New Roman Bold" w:hAnsi="Times New Roman Bold"/>
          <w:b/>
          <w:bCs/>
          <w:spacing w:val="-2"/>
          <w:rtl/>
        </w:rPr>
        <w:t>مركزي لجمع الإحصاءات ذات الصلة، بما في ذلك الإحصاءات المتعلقة بتدابير إعادة التأهيل والتعويض.</w:t>
      </w:r>
      <w:r w:rsidR="00BD0001">
        <w:rPr>
          <w:rFonts w:ascii="Times New Roman Bold" w:hAnsi="Times New Roman Bold"/>
          <w:b/>
          <w:bCs/>
          <w:spacing w:val="-2"/>
          <w:rtl/>
        </w:rPr>
        <w:t xml:space="preserve"> </w:t>
      </w:r>
    </w:p>
    <w:p w14:paraId="6C3BE2C3" w14:textId="344DCC75" w:rsidR="00EE517B" w:rsidRPr="008A6289" w:rsidRDefault="00EE517B" w:rsidP="00EE517B">
      <w:pPr>
        <w:pStyle w:val="H23GA"/>
        <w:rPr>
          <w:lang w:val="ar-SA" w:eastAsia="zh-TW" w:bidi="en-GB"/>
        </w:rPr>
      </w:pPr>
      <w:r w:rsidRPr="002D0522">
        <w:rPr>
          <w:rtl/>
        </w:rPr>
        <w:tab/>
      </w:r>
      <w:r w:rsidRPr="002D0522">
        <w:rPr>
          <w:rtl/>
        </w:rPr>
        <w:tab/>
      </w:r>
      <w:r w:rsidRPr="008A6289">
        <w:rPr>
          <w:rFonts w:hint="eastAsia"/>
          <w:rtl/>
        </w:rPr>
        <w:t>الحق</w:t>
      </w:r>
      <w:r w:rsidRPr="008A6289">
        <w:rPr>
          <w:rtl/>
        </w:rPr>
        <w:t xml:space="preserve"> في الحياة وحظر التعذيب وغيره من ضروب </w:t>
      </w:r>
      <w:r w:rsidRPr="008A6289">
        <w:rPr>
          <w:rFonts w:hint="eastAsia"/>
          <w:rtl/>
        </w:rPr>
        <w:t>المعاملة</w:t>
      </w:r>
      <w:r w:rsidRPr="008A6289">
        <w:rPr>
          <w:rtl/>
        </w:rPr>
        <w:t xml:space="preserve"> أو العقوبة القاسية أو اللاإنسانية أو المهينة </w:t>
      </w:r>
    </w:p>
    <w:p w14:paraId="0599FD00" w14:textId="4C3AA067" w:rsidR="003A166F" w:rsidRPr="003A166F" w:rsidRDefault="00EE517B" w:rsidP="00EE517B">
      <w:pPr>
        <w:pStyle w:val="SingleTxtGA"/>
        <w:rPr>
          <w:lang w:val="ar-SA" w:eastAsia="zh-TW" w:bidi="en-GB"/>
        </w:rPr>
      </w:pPr>
      <w:r w:rsidRPr="00EE517B">
        <w:rPr>
          <w:rtl/>
        </w:rPr>
        <w:t>13</w:t>
      </w:r>
      <w:r w:rsidRPr="002D0522">
        <w:rPr>
          <w:rFonts w:ascii="Traditional Arabic"/>
          <w:rtl/>
        </w:rPr>
        <w:t>-</w:t>
      </w:r>
      <w:r w:rsidRPr="002D0522">
        <w:rPr>
          <w:rtl/>
        </w:rPr>
        <w:tab/>
        <w:t xml:space="preserve">ترحب اللجنة بإدراج ضمانات السلامة البدنية والعقلية في الاقتراح رقم </w:t>
      </w:r>
      <w:r w:rsidRPr="00EE517B">
        <w:rPr>
          <w:rtl/>
        </w:rPr>
        <w:t>7755</w:t>
      </w:r>
      <w:r w:rsidRPr="002D0522">
        <w:rPr>
          <w:rtl/>
        </w:rPr>
        <w:t xml:space="preserve"> الداعي إلى تنقيح الفصل الثاني من الدستور، فضل</w:t>
      </w:r>
      <w:r w:rsidR="00A317D1">
        <w:rPr>
          <w:rtl/>
        </w:rPr>
        <w:t xml:space="preserve">اً </w:t>
      </w:r>
      <w:r w:rsidRPr="002D0522">
        <w:rPr>
          <w:rtl/>
        </w:rPr>
        <w:t xml:space="preserve">عن حظر عقوبة الإعدام والتعذيب والمعاملة اللاإنسانية أو المهينة، لكنها تلاحظ مع القلق أن المعايير والعتبات المنطبقة على استخدام القوة من جانب </w:t>
      </w:r>
      <w:r>
        <w:rPr>
          <w:rtl/>
        </w:rPr>
        <w:t>م</w:t>
      </w:r>
      <w:r w:rsidRPr="002D0522">
        <w:rPr>
          <w:rtl/>
        </w:rPr>
        <w:t xml:space="preserve">وظفي </w:t>
      </w:r>
      <w:r>
        <w:rPr>
          <w:rtl/>
        </w:rPr>
        <w:t>إنفاذ القانون</w:t>
      </w:r>
      <w:r w:rsidRPr="002D0522">
        <w:rPr>
          <w:rtl/>
        </w:rPr>
        <w:t>،</w:t>
      </w:r>
      <w:r w:rsidR="00BD0001">
        <w:rPr>
          <w:rtl/>
        </w:rPr>
        <w:t xml:space="preserve"> </w:t>
      </w:r>
      <w:r w:rsidRPr="002D0522">
        <w:rPr>
          <w:rtl/>
        </w:rPr>
        <w:t xml:space="preserve">التي ورد تحديدها في القانون المؤرخ </w:t>
      </w:r>
      <w:r w:rsidRPr="00EE517B">
        <w:rPr>
          <w:rtl/>
        </w:rPr>
        <w:t>28</w:t>
      </w:r>
      <w:r w:rsidRPr="002D0522">
        <w:rPr>
          <w:rtl/>
        </w:rPr>
        <w:t xml:space="preserve"> تموز/يوليه </w:t>
      </w:r>
      <w:r w:rsidRPr="00EE517B">
        <w:rPr>
          <w:rtl/>
        </w:rPr>
        <w:t>1973</w:t>
      </w:r>
      <w:r w:rsidRPr="002D0522">
        <w:rPr>
          <w:rFonts w:ascii="Traditional Arabic"/>
          <w:rtl/>
        </w:rPr>
        <w:t xml:space="preserve"> (</w:t>
      </w:r>
      <w:r w:rsidRPr="002D0522">
        <w:rPr>
          <w:rtl/>
        </w:rPr>
        <w:t xml:space="preserve">بصيغته المعدلة في </w:t>
      </w:r>
      <w:r w:rsidRPr="00EE517B">
        <w:rPr>
          <w:rtl/>
        </w:rPr>
        <w:t>21</w:t>
      </w:r>
      <w:r w:rsidRPr="002D0522">
        <w:rPr>
          <w:rtl/>
        </w:rPr>
        <w:t xml:space="preserve"> كانون الأول/</w:t>
      </w:r>
      <w:r w:rsidR="0079675C">
        <w:rPr>
          <w:rFonts w:hint="cs"/>
          <w:rtl/>
        </w:rPr>
        <w:t xml:space="preserve"> </w:t>
      </w:r>
      <w:r w:rsidRPr="002D0522">
        <w:rPr>
          <w:rtl/>
        </w:rPr>
        <w:t>ديسمبر</w:t>
      </w:r>
      <w:r w:rsidR="0079675C">
        <w:rPr>
          <w:rFonts w:hint="cs"/>
          <w:rtl/>
        </w:rPr>
        <w:t> </w:t>
      </w:r>
      <w:r w:rsidRPr="00EE517B">
        <w:rPr>
          <w:rtl/>
        </w:rPr>
        <w:t>2007</w:t>
      </w:r>
      <w:r w:rsidR="003A166F" w:rsidRPr="003A166F">
        <w:rPr>
          <w:rFonts w:ascii="Traditional Arabic"/>
          <w:rtl/>
        </w:rPr>
        <w:t>)</w:t>
      </w:r>
      <w:r w:rsidR="003A166F" w:rsidRPr="003A166F">
        <w:rPr>
          <w:rtl/>
        </w:rPr>
        <w:t xml:space="preserve">، </w:t>
      </w:r>
      <w:r w:rsidRPr="002D0522">
        <w:rPr>
          <w:rtl/>
        </w:rPr>
        <w:t xml:space="preserve">لا تمتثل لمعايير الضرورة والتناسب المنصوص عليها في المعايير الدولية ولا للمتطلبات المتعلقة بالظروف التي يجوز فيها استخدام الأسلحة النارية (المادتان </w:t>
      </w:r>
      <w:r w:rsidRPr="00EE517B">
        <w:rPr>
          <w:rtl/>
        </w:rPr>
        <w:t>6</w:t>
      </w:r>
      <w:r w:rsidRPr="002D0522">
        <w:rPr>
          <w:rtl/>
        </w:rPr>
        <w:t xml:space="preserve"> </w:t>
      </w:r>
      <w:proofErr w:type="spellStart"/>
      <w:r w:rsidRPr="002D0522">
        <w:rPr>
          <w:rtl/>
        </w:rPr>
        <w:t>و</w:t>
      </w:r>
      <w:r w:rsidR="003A166F" w:rsidRPr="003A166F">
        <w:rPr>
          <w:rtl/>
        </w:rPr>
        <w:t>7</w:t>
      </w:r>
      <w:proofErr w:type="spellEnd"/>
      <w:r w:rsidR="003A166F" w:rsidRPr="003A166F">
        <w:rPr>
          <w:rFonts w:ascii="Traditional Arabic"/>
          <w:rtl/>
        </w:rPr>
        <w:t>)</w:t>
      </w:r>
      <w:r w:rsidR="003A166F" w:rsidRPr="003A166F">
        <w:rPr>
          <w:rtl/>
        </w:rPr>
        <w:t>.</w:t>
      </w:r>
    </w:p>
    <w:p w14:paraId="079AD9B8" w14:textId="7F8BADA1" w:rsidR="00EE517B" w:rsidRPr="0079675C" w:rsidRDefault="00EE517B" w:rsidP="00EE517B">
      <w:pPr>
        <w:pStyle w:val="SingleTxtGA"/>
        <w:rPr>
          <w:b/>
          <w:bCs/>
          <w:lang w:val="ar-SA" w:eastAsia="zh-TW" w:bidi="en-GB"/>
        </w:rPr>
      </w:pPr>
      <w:r w:rsidRPr="00EE517B">
        <w:rPr>
          <w:rtl/>
        </w:rPr>
        <w:t>14</w:t>
      </w:r>
      <w:r w:rsidRPr="002D0522">
        <w:rPr>
          <w:rFonts w:ascii="Traditional Arabic"/>
          <w:rtl/>
        </w:rPr>
        <w:t>-</w:t>
      </w:r>
      <w:r w:rsidRPr="002D0522">
        <w:rPr>
          <w:rtl/>
        </w:rPr>
        <w:tab/>
      </w:r>
      <w:r w:rsidRPr="0079675C">
        <w:rPr>
          <w:b/>
          <w:bCs/>
          <w:rtl/>
        </w:rPr>
        <w:t>ينبغي للدولة الطرف أن توائم تشريعاتها المتعلقة باستخدام القوة والأسلحة النارية من جانب موظفي إنفاذ القانون مع مدونة قواعد سلوك موظفي إنفاذ القانون</w:t>
      </w:r>
      <w:r w:rsidR="00D63793" w:rsidRPr="0079675C">
        <w:rPr>
          <w:b/>
          <w:bCs/>
          <w:rtl/>
        </w:rPr>
        <w:t>،</w:t>
      </w:r>
      <w:r w:rsidRPr="0079675C">
        <w:rPr>
          <w:b/>
          <w:bCs/>
          <w:rtl/>
        </w:rPr>
        <w:t xml:space="preserve"> والمبادئ الأساسية المتعلقة باستخدام القوة والأسلحة النارية من جانب موظفي إنفاذ القانون، وغير ذلك من المعايير ذات الصلة.</w:t>
      </w:r>
    </w:p>
    <w:p w14:paraId="5A9F213D" w14:textId="77777777" w:rsidR="00EE517B" w:rsidRPr="008A6289" w:rsidRDefault="00EE517B" w:rsidP="00EE517B">
      <w:pPr>
        <w:pStyle w:val="H23GA"/>
        <w:rPr>
          <w:lang w:val="ar-SA" w:eastAsia="zh-TW" w:bidi="en-GB"/>
        </w:rPr>
      </w:pPr>
      <w:r w:rsidRPr="002D0522">
        <w:rPr>
          <w:rtl/>
        </w:rPr>
        <w:tab/>
      </w:r>
      <w:r w:rsidRPr="002D0522">
        <w:rPr>
          <w:rtl/>
        </w:rPr>
        <w:tab/>
      </w:r>
      <w:r w:rsidRPr="008A6289">
        <w:rPr>
          <w:rFonts w:hint="eastAsia"/>
          <w:rtl/>
        </w:rPr>
        <w:t>تشويه</w:t>
      </w:r>
      <w:r w:rsidRPr="008A6289">
        <w:rPr>
          <w:rtl/>
        </w:rPr>
        <w:t xml:space="preserve"> الأعضاء التناسلية الأنثوية </w:t>
      </w:r>
      <w:bookmarkStart w:id="0" w:name="_Hlk109233041"/>
      <w:bookmarkEnd w:id="0"/>
    </w:p>
    <w:p w14:paraId="332B2AE7" w14:textId="7C15E433" w:rsidR="003A166F" w:rsidRPr="003A166F" w:rsidRDefault="00EE517B" w:rsidP="00EE517B">
      <w:pPr>
        <w:pStyle w:val="SingleTxtGA"/>
        <w:rPr>
          <w:lang w:val="ar-SA" w:eastAsia="zh-TW" w:bidi="en-GB"/>
        </w:rPr>
      </w:pPr>
      <w:r w:rsidRPr="00EE517B">
        <w:rPr>
          <w:rtl/>
        </w:rPr>
        <w:t>15</w:t>
      </w:r>
      <w:r w:rsidRPr="002D0522">
        <w:rPr>
          <w:rFonts w:ascii="Traditional Arabic"/>
          <w:rtl/>
        </w:rPr>
        <w:t>-</w:t>
      </w:r>
      <w:r w:rsidRPr="002D0522">
        <w:rPr>
          <w:rtl/>
        </w:rPr>
        <w:tab/>
        <w:t xml:space="preserve">ترحب اللجنة بمختلف التدابير التي اتخذتها الدولة الطرف لمكافحة تشويه الأعضاء التناسلية الأنثوية، بما في ذلك إدراج المادة </w:t>
      </w:r>
      <w:r w:rsidRPr="00EE517B">
        <w:rPr>
          <w:rtl/>
        </w:rPr>
        <w:t>409</w:t>
      </w:r>
      <w:r w:rsidRPr="002D0522">
        <w:rPr>
          <w:rtl/>
        </w:rPr>
        <w:t xml:space="preserve"> مكرر</w:t>
      </w:r>
      <w:r w:rsidR="00A317D1">
        <w:rPr>
          <w:rtl/>
        </w:rPr>
        <w:t xml:space="preserve">اً </w:t>
      </w:r>
      <w:r w:rsidRPr="002D0522">
        <w:rPr>
          <w:rtl/>
        </w:rPr>
        <w:t xml:space="preserve">(بموجب القانون المؤرخ </w:t>
      </w:r>
      <w:r w:rsidRPr="00EE517B">
        <w:rPr>
          <w:rtl/>
        </w:rPr>
        <w:t>20</w:t>
      </w:r>
      <w:r w:rsidRPr="002D0522">
        <w:rPr>
          <w:rtl/>
        </w:rPr>
        <w:t xml:space="preserve"> تموز/يوليه </w:t>
      </w:r>
      <w:r w:rsidRPr="00EE517B">
        <w:rPr>
          <w:rtl/>
        </w:rPr>
        <w:t>201</w:t>
      </w:r>
      <w:r w:rsidR="003A166F" w:rsidRPr="003A166F">
        <w:rPr>
          <w:rtl/>
        </w:rPr>
        <w:t>8</w:t>
      </w:r>
      <w:r w:rsidR="003A166F" w:rsidRPr="003A166F">
        <w:rPr>
          <w:rFonts w:ascii="Traditional Arabic"/>
          <w:rtl/>
        </w:rPr>
        <w:t>)</w:t>
      </w:r>
      <w:r w:rsidR="003A166F" w:rsidRPr="003A166F">
        <w:rPr>
          <w:rtl/>
        </w:rPr>
        <w:t xml:space="preserve"> </w:t>
      </w:r>
      <w:r w:rsidRPr="002D0522">
        <w:rPr>
          <w:rtl/>
        </w:rPr>
        <w:t xml:space="preserve">في قانون العقوبات وإمكانية تطبيقها خارج الحدود الإقليمية من خلال تعديل المادة </w:t>
      </w:r>
      <w:r w:rsidRPr="00EE517B">
        <w:rPr>
          <w:rtl/>
        </w:rPr>
        <w:t>5</w:t>
      </w:r>
      <w:r w:rsidRPr="002D0522">
        <w:rPr>
          <w:rFonts w:ascii="Traditional Arabic"/>
          <w:rtl/>
        </w:rPr>
        <w:t>-</w:t>
      </w:r>
      <w:r w:rsidRPr="00EE517B">
        <w:rPr>
          <w:rtl/>
        </w:rPr>
        <w:t>1</w:t>
      </w:r>
      <w:r w:rsidRPr="002D0522">
        <w:rPr>
          <w:rtl/>
        </w:rPr>
        <w:t xml:space="preserve"> من قانون الإجراءات الجنائية. وترحب أيض</w:t>
      </w:r>
      <w:r w:rsidR="00A317D1">
        <w:rPr>
          <w:rtl/>
        </w:rPr>
        <w:t xml:space="preserve">اً </w:t>
      </w:r>
      <w:r w:rsidRPr="002D0522">
        <w:rPr>
          <w:rtl/>
        </w:rPr>
        <w:t xml:space="preserve">بالتدابير المتخذة، بما في ذلك في مجالي الوقاية والتدريب، ولا سيما للموظفين المسؤولين عن استقبال المهاجرين، والعمل الجاري لوضع استراتيجية وطنية بشأن هذا الموضوع. غير أن اللجنة يساورها القلق إزاء عدم وجود إدانات، وعدم وجود إحصاءات عن نطاق هذه الظاهرة، </w:t>
      </w:r>
      <w:r>
        <w:rPr>
          <w:rtl/>
        </w:rPr>
        <w:t>أ</w:t>
      </w:r>
      <w:r w:rsidRPr="002D0522">
        <w:rPr>
          <w:rtl/>
        </w:rPr>
        <w:t>و</w:t>
      </w:r>
      <w:r>
        <w:rPr>
          <w:rtl/>
        </w:rPr>
        <w:t xml:space="preserve"> بيانات عن </w:t>
      </w:r>
      <w:r w:rsidRPr="002D0522">
        <w:rPr>
          <w:rtl/>
        </w:rPr>
        <w:t xml:space="preserve">نتائج الدراسة التي أجراها المعهد الأوروبي للمساواة بين الجنسين، والمنشورة في عام </w:t>
      </w:r>
      <w:r w:rsidRPr="00EE517B">
        <w:rPr>
          <w:rtl/>
        </w:rPr>
        <w:t>2021</w:t>
      </w:r>
      <w:r w:rsidRPr="002D0522">
        <w:rPr>
          <w:rtl/>
        </w:rPr>
        <w:t xml:space="preserve">، والتي تشير إلى وجود عدد كبير من الفتيات والنساء المعرضات لخطر تشويه الأعضاء التناسلية الأنثوية في لكسمبرغ، في سياق تنامي الهجرة من البلدان التي لا تزال هذه الممارسة منتشرة فيها على نطاق واسع (المواد </w:t>
      </w:r>
      <w:r w:rsidRPr="00EE517B">
        <w:rPr>
          <w:rtl/>
        </w:rPr>
        <w:t>3</w:t>
      </w:r>
      <w:r w:rsidRPr="002D0522">
        <w:rPr>
          <w:rtl/>
        </w:rPr>
        <w:t xml:space="preserve"> </w:t>
      </w:r>
      <w:proofErr w:type="spellStart"/>
      <w:r w:rsidRPr="002D0522">
        <w:rPr>
          <w:rtl/>
        </w:rPr>
        <w:t>و</w:t>
      </w:r>
      <w:r w:rsidRPr="00EE517B">
        <w:rPr>
          <w:rtl/>
        </w:rPr>
        <w:t>7</w:t>
      </w:r>
      <w:proofErr w:type="spellEnd"/>
      <w:r w:rsidRPr="002D0522">
        <w:rPr>
          <w:rtl/>
        </w:rPr>
        <w:t xml:space="preserve"> </w:t>
      </w:r>
      <w:proofErr w:type="spellStart"/>
      <w:r w:rsidRPr="002D0522">
        <w:rPr>
          <w:rtl/>
        </w:rPr>
        <w:t>و</w:t>
      </w:r>
      <w:r w:rsidRPr="00EE517B">
        <w:rPr>
          <w:rtl/>
        </w:rPr>
        <w:t>2</w:t>
      </w:r>
      <w:r w:rsidR="003A166F" w:rsidRPr="003A166F">
        <w:rPr>
          <w:rtl/>
        </w:rPr>
        <w:t>6</w:t>
      </w:r>
      <w:proofErr w:type="spellEnd"/>
      <w:r w:rsidR="003A166F" w:rsidRPr="003A166F">
        <w:rPr>
          <w:rFonts w:ascii="Traditional Arabic"/>
          <w:rtl/>
        </w:rPr>
        <w:t>)</w:t>
      </w:r>
      <w:r w:rsidR="003A166F" w:rsidRPr="003A166F">
        <w:rPr>
          <w:rtl/>
        </w:rPr>
        <w:t>.</w:t>
      </w:r>
    </w:p>
    <w:p w14:paraId="77D5379E" w14:textId="1A199BB7" w:rsidR="00EE517B" w:rsidRPr="0079675C" w:rsidRDefault="00EE517B" w:rsidP="00EE517B">
      <w:pPr>
        <w:pStyle w:val="SingleTxtGA"/>
        <w:rPr>
          <w:b/>
          <w:bCs/>
          <w:lang w:val="ar-SA" w:eastAsia="zh-TW" w:bidi="en-GB"/>
        </w:rPr>
      </w:pPr>
      <w:r w:rsidRPr="00EE517B">
        <w:rPr>
          <w:rtl/>
        </w:rPr>
        <w:t>16</w:t>
      </w:r>
      <w:r w:rsidRPr="002D0522">
        <w:rPr>
          <w:rFonts w:ascii="Traditional Arabic"/>
          <w:rtl/>
        </w:rPr>
        <w:t>-</w:t>
      </w:r>
      <w:r w:rsidRPr="002D0522">
        <w:rPr>
          <w:rtl/>
        </w:rPr>
        <w:tab/>
      </w:r>
      <w:r w:rsidRPr="0079675C">
        <w:rPr>
          <w:b/>
          <w:bCs/>
          <w:rtl/>
        </w:rPr>
        <w:t>ينبغي للدولة الطرف أن تقوم بما يلي:</w:t>
      </w:r>
    </w:p>
    <w:p w14:paraId="49C39438" w14:textId="71FD02C4" w:rsidR="00EE517B" w:rsidRPr="0079675C" w:rsidRDefault="00EE517B" w:rsidP="00EE517B">
      <w:pPr>
        <w:pStyle w:val="SingleTxtGA"/>
        <w:rPr>
          <w:b/>
          <w:bCs/>
          <w:lang w:val="ar-SA" w:eastAsia="zh-TW" w:bidi="en-GB"/>
        </w:rPr>
      </w:pPr>
      <w:r w:rsidRPr="0079675C">
        <w:rPr>
          <w:b/>
          <w:bCs/>
          <w:rtl/>
        </w:rPr>
        <w:tab/>
        <w:t>(أ</w:t>
      </w:r>
      <w:r w:rsidRPr="0079675C">
        <w:rPr>
          <w:rFonts w:ascii="Traditional Arabic"/>
          <w:b/>
          <w:bCs/>
          <w:rtl/>
        </w:rPr>
        <w:t>)</w:t>
      </w:r>
      <w:r w:rsidRPr="0079675C">
        <w:rPr>
          <w:b/>
          <w:bCs/>
          <w:rtl/>
        </w:rPr>
        <w:tab/>
        <w:t>التعجيل باعتماد استراتيجية وطنية بشأن تشويه الأعضاء التناسلية الأنثوية؛</w:t>
      </w:r>
    </w:p>
    <w:p w14:paraId="6F1A10DE" w14:textId="5FAFAFED" w:rsidR="00EE517B" w:rsidRPr="0079675C" w:rsidRDefault="00EE517B" w:rsidP="00EE517B">
      <w:pPr>
        <w:pStyle w:val="SingleTxtGA"/>
        <w:rPr>
          <w:rFonts w:ascii="Times New Roman Bold" w:hAnsi="Times New Roman Bold" w:hint="eastAsia"/>
          <w:b/>
          <w:bCs/>
          <w:spacing w:val="-2"/>
          <w:lang w:val="ar-SA" w:eastAsia="zh-TW" w:bidi="en-GB"/>
        </w:rPr>
      </w:pPr>
      <w:r w:rsidRPr="0079675C">
        <w:rPr>
          <w:b/>
          <w:bCs/>
          <w:rtl/>
        </w:rPr>
        <w:tab/>
        <w:t>(ب</w:t>
      </w:r>
      <w:r w:rsidRPr="0079675C">
        <w:rPr>
          <w:rFonts w:ascii="Traditional Arabic"/>
          <w:b/>
          <w:bCs/>
          <w:rtl/>
        </w:rPr>
        <w:t>)</w:t>
      </w:r>
      <w:r w:rsidRPr="0079675C">
        <w:rPr>
          <w:b/>
          <w:bCs/>
          <w:rtl/>
        </w:rPr>
        <w:tab/>
        <w:t xml:space="preserve">مواصلة جهودها الرامية إلى زيادة الوعي بين المجتمعات المحلية المعرضة للخطر، </w:t>
      </w:r>
      <w:r w:rsidRPr="0079675C">
        <w:rPr>
          <w:rFonts w:ascii="Times New Roman Bold" w:hAnsi="Times New Roman Bold"/>
          <w:b/>
          <w:bCs/>
          <w:spacing w:val="-2"/>
          <w:rtl/>
        </w:rPr>
        <w:t>بما في ذلك بشأن إمكانيات تقديم المساعدة وسبل الانتصاف لضحايا تشويه الأعضاء التناسلية الأنثوية؛</w:t>
      </w:r>
    </w:p>
    <w:p w14:paraId="5605FD66" w14:textId="1CDB7FF1" w:rsidR="00EE517B" w:rsidRPr="0079675C" w:rsidRDefault="00EE517B" w:rsidP="00EE517B">
      <w:pPr>
        <w:pStyle w:val="SingleTxtGA"/>
        <w:rPr>
          <w:b/>
          <w:bCs/>
          <w:lang w:val="ar-SA" w:eastAsia="zh-TW" w:bidi="en-GB"/>
        </w:rPr>
      </w:pPr>
      <w:r w:rsidRPr="0079675C">
        <w:rPr>
          <w:b/>
          <w:bCs/>
          <w:rtl/>
        </w:rPr>
        <w:tab/>
        <w:t>(ج</w:t>
      </w:r>
      <w:r w:rsidRPr="0079675C">
        <w:rPr>
          <w:rFonts w:ascii="Traditional Arabic"/>
          <w:b/>
          <w:bCs/>
          <w:rtl/>
        </w:rPr>
        <w:t>)</w:t>
      </w:r>
      <w:r w:rsidRPr="0079675C">
        <w:rPr>
          <w:b/>
          <w:bCs/>
          <w:rtl/>
        </w:rPr>
        <w:tab/>
        <w:t>تحسين نظام جمع البيانات بغية تقييم نطاق الظاهرة، بأن تدرج فيه، إلى جانب عدد الحالات التي تم تحديدها، عددَ الشكاوى والتحقيقات المفتوحة، والملاحقات القضائية والإدانات، فضل</w:t>
      </w:r>
      <w:r w:rsidR="00A317D1">
        <w:rPr>
          <w:b/>
          <w:bCs/>
          <w:rtl/>
        </w:rPr>
        <w:t xml:space="preserve">اً </w:t>
      </w:r>
      <w:r w:rsidRPr="0079675C">
        <w:rPr>
          <w:b/>
          <w:bCs/>
          <w:rtl/>
        </w:rPr>
        <w:t>عن المعلومات المتعلقة بالمساعدة والتعويض وتدابير إعادة التأهيل المقدمة للضحايا.</w:t>
      </w:r>
    </w:p>
    <w:p w14:paraId="3ED7097F" w14:textId="1AA077A5" w:rsidR="00EE517B" w:rsidRPr="008A6289" w:rsidRDefault="00EE517B" w:rsidP="00EE517B">
      <w:pPr>
        <w:pStyle w:val="H23GA"/>
        <w:rPr>
          <w:lang w:val="ar-SA" w:eastAsia="zh-TW" w:bidi="en-GB"/>
        </w:rPr>
      </w:pPr>
      <w:r w:rsidRPr="002D0522">
        <w:rPr>
          <w:rtl/>
        </w:rPr>
        <w:lastRenderedPageBreak/>
        <w:tab/>
      </w:r>
      <w:r w:rsidRPr="002D0522">
        <w:rPr>
          <w:rtl/>
        </w:rPr>
        <w:tab/>
      </w:r>
      <w:r w:rsidRPr="008A6289">
        <w:rPr>
          <w:rFonts w:hint="eastAsia"/>
          <w:rtl/>
        </w:rPr>
        <w:t>اللاجئون</w:t>
      </w:r>
      <w:r w:rsidRPr="008A6289">
        <w:rPr>
          <w:rtl/>
        </w:rPr>
        <w:t xml:space="preserve"> وملتمسو اللجوء </w:t>
      </w:r>
    </w:p>
    <w:p w14:paraId="5A942600" w14:textId="6BE36F3E" w:rsidR="00EE517B" w:rsidRPr="002D0522" w:rsidRDefault="00EE517B" w:rsidP="00EE517B">
      <w:pPr>
        <w:pStyle w:val="SingleTxtGA"/>
        <w:rPr>
          <w:lang w:val="ar-SA" w:eastAsia="zh-TW" w:bidi="en-GB"/>
        </w:rPr>
      </w:pPr>
      <w:r w:rsidRPr="00EE517B">
        <w:rPr>
          <w:rtl/>
        </w:rPr>
        <w:t>17</w:t>
      </w:r>
      <w:r w:rsidRPr="002D0522">
        <w:rPr>
          <w:rFonts w:ascii="Traditional Arabic"/>
          <w:rtl/>
        </w:rPr>
        <w:t>-</w:t>
      </w:r>
      <w:r w:rsidRPr="002D0522">
        <w:rPr>
          <w:rtl/>
        </w:rPr>
        <w:tab/>
        <w:t>ترحب اللجنة بمختلف التدابير التي اتخذتها الدولة الطرف أو تعتزم اتخاذها لجعل نظام اللجوء أكثر كفاءة وشفافية وأكثر تركيز</w:t>
      </w:r>
      <w:r w:rsidR="00A317D1">
        <w:rPr>
          <w:rtl/>
        </w:rPr>
        <w:t xml:space="preserve">اً </w:t>
      </w:r>
      <w:r w:rsidRPr="002D0522">
        <w:rPr>
          <w:rtl/>
        </w:rPr>
        <w:t>على حماية اللاجئين وملتمسي اللجوء، لكنها تعرب عن قلقها إزاء احتجاز الأطفال الذي لا يزال مسموح</w:t>
      </w:r>
      <w:r w:rsidR="00A317D1">
        <w:rPr>
          <w:rtl/>
        </w:rPr>
        <w:t xml:space="preserve">اً </w:t>
      </w:r>
      <w:r w:rsidRPr="002D0522">
        <w:rPr>
          <w:rtl/>
        </w:rPr>
        <w:t>به في الدولة الطرف. وترى اللجنة أن الأحكام التي تنظم طلبات لم شمل الأسرة صارمة للغاية من بعض الجوانب، ولا سيما فيما يتعلق بالمواعيد القصوى لتقديم الطلبات المعفاة من شروط توافر الموارد والتأمين والسكن، والمفهوم الضيق جد</w:t>
      </w:r>
      <w:r w:rsidR="00A317D1">
        <w:rPr>
          <w:rtl/>
        </w:rPr>
        <w:t xml:space="preserve">اً </w:t>
      </w:r>
      <w:r w:rsidRPr="002D0522">
        <w:rPr>
          <w:rtl/>
        </w:rPr>
        <w:t>لوحدة الأسرة. ويساور اللجنة القلق أيض</w:t>
      </w:r>
      <w:r w:rsidR="00A317D1">
        <w:rPr>
          <w:rtl/>
        </w:rPr>
        <w:t xml:space="preserve">اً </w:t>
      </w:r>
      <w:r w:rsidRPr="002D0522">
        <w:rPr>
          <w:rtl/>
        </w:rPr>
        <w:t>إزاء وجود تأخيرات طويلة جد</w:t>
      </w:r>
      <w:r w:rsidR="00A317D1">
        <w:rPr>
          <w:rtl/>
        </w:rPr>
        <w:t xml:space="preserve">اً </w:t>
      </w:r>
      <w:r w:rsidRPr="002D0522">
        <w:rPr>
          <w:rtl/>
        </w:rPr>
        <w:t xml:space="preserve">في بعض الأحيان في إصدار القرارات المتعلقة بطلبات لم شمل الأسرة، مما قد يشكل عقبة رئيسية أمام إدماج ملتمس اللجوء (المواد </w:t>
      </w:r>
      <w:r w:rsidRPr="00EE517B">
        <w:rPr>
          <w:rtl/>
        </w:rPr>
        <w:t>7</w:t>
      </w:r>
      <w:r w:rsidRPr="002D0522">
        <w:rPr>
          <w:rtl/>
        </w:rPr>
        <w:t xml:space="preserve"> </w:t>
      </w:r>
      <w:proofErr w:type="spellStart"/>
      <w:r w:rsidRPr="002D0522">
        <w:rPr>
          <w:rtl/>
        </w:rPr>
        <w:t>و</w:t>
      </w:r>
      <w:r w:rsidRPr="00EE517B">
        <w:rPr>
          <w:rtl/>
        </w:rPr>
        <w:t>9</w:t>
      </w:r>
      <w:proofErr w:type="spellEnd"/>
      <w:r w:rsidRPr="002D0522">
        <w:rPr>
          <w:rtl/>
        </w:rPr>
        <w:t xml:space="preserve"> </w:t>
      </w:r>
      <w:proofErr w:type="spellStart"/>
      <w:r w:rsidRPr="002D0522">
        <w:rPr>
          <w:rtl/>
        </w:rPr>
        <w:t>و</w:t>
      </w:r>
      <w:r w:rsidRPr="00EE517B">
        <w:rPr>
          <w:rtl/>
        </w:rPr>
        <w:t>10</w:t>
      </w:r>
      <w:proofErr w:type="spellEnd"/>
      <w:r w:rsidRPr="002D0522">
        <w:rPr>
          <w:rtl/>
        </w:rPr>
        <w:t xml:space="preserve"> </w:t>
      </w:r>
      <w:proofErr w:type="spellStart"/>
      <w:r w:rsidRPr="002D0522">
        <w:rPr>
          <w:rtl/>
        </w:rPr>
        <w:t>و</w:t>
      </w:r>
      <w:r w:rsidRPr="00EE517B">
        <w:rPr>
          <w:rtl/>
        </w:rPr>
        <w:t>12</w:t>
      </w:r>
      <w:proofErr w:type="spellEnd"/>
      <w:r w:rsidRPr="002D0522">
        <w:rPr>
          <w:rFonts w:ascii="Traditional Arabic"/>
          <w:rtl/>
        </w:rPr>
        <w:t>-</w:t>
      </w:r>
      <w:r w:rsidRPr="00EE517B">
        <w:rPr>
          <w:rtl/>
        </w:rPr>
        <w:t>14</w:t>
      </w:r>
      <w:r w:rsidRPr="002D0522">
        <w:rPr>
          <w:rtl/>
        </w:rPr>
        <w:t xml:space="preserve"> </w:t>
      </w:r>
      <w:proofErr w:type="spellStart"/>
      <w:r w:rsidRPr="002D0522">
        <w:rPr>
          <w:rtl/>
        </w:rPr>
        <w:t>و</w:t>
      </w:r>
      <w:r w:rsidRPr="00EE517B">
        <w:rPr>
          <w:rtl/>
        </w:rPr>
        <w:t>2</w:t>
      </w:r>
      <w:r w:rsidR="003A166F" w:rsidRPr="003A166F">
        <w:rPr>
          <w:rtl/>
        </w:rPr>
        <w:t>4</w:t>
      </w:r>
      <w:proofErr w:type="spellEnd"/>
      <w:r w:rsidR="003A166F" w:rsidRPr="003A166F">
        <w:rPr>
          <w:rFonts w:ascii="Traditional Arabic"/>
          <w:rtl/>
        </w:rPr>
        <w:t>)</w:t>
      </w:r>
      <w:r w:rsidR="003A166F" w:rsidRPr="003A166F">
        <w:rPr>
          <w:rtl/>
        </w:rPr>
        <w:t xml:space="preserve">. </w:t>
      </w:r>
    </w:p>
    <w:p w14:paraId="0082B82D" w14:textId="77777777" w:rsidR="00EE517B" w:rsidRPr="003D0849" w:rsidRDefault="00EE517B" w:rsidP="00EE517B">
      <w:pPr>
        <w:pStyle w:val="SingleTxtGA"/>
        <w:rPr>
          <w:b/>
          <w:bCs/>
          <w:lang w:val="ar-SA" w:eastAsia="zh-TW" w:bidi="en-GB"/>
        </w:rPr>
      </w:pPr>
      <w:r w:rsidRPr="00EE517B">
        <w:rPr>
          <w:rtl/>
        </w:rPr>
        <w:t>18</w:t>
      </w:r>
      <w:r w:rsidRPr="002D0522">
        <w:rPr>
          <w:rFonts w:ascii="Traditional Arabic"/>
          <w:rtl/>
        </w:rPr>
        <w:t>-</w:t>
      </w:r>
      <w:r w:rsidRPr="002D0522">
        <w:rPr>
          <w:rtl/>
        </w:rPr>
        <w:tab/>
      </w:r>
      <w:r w:rsidRPr="003D0849">
        <w:rPr>
          <w:b/>
          <w:bCs/>
          <w:rtl/>
        </w:rPr>
        <w:t>ينبغي للدولة الطرف أن تقوم بما يلي:</w:t>
      </w:r>
    </w:p>
    <w:p w14:paraId="31E05896" w14:textId="63E8B1D0" w:rsidR="00EE517B" w:rsidRPr="003D0849" w:rsidRDefault="00EE517B" w:rsidP="00EE517B">
      <w:pPr>
        <w:pStyle w:val="SingleTxtGA"/>
        <w:rPr>
          <w:b/>
          <w:bCs/>
          <w:lang w:val="ar-SA" w:eastAsia="zh-TW" w:bidi="en-GB"/>
        </w:rPr>
      </w:pPr>
      <w:r w:rsidRPr="003D0849">
        <w:rPr>
          <w:rFonts w:ascii="Traditional Arabic"/>
          <w:b/>
          <w:bCs/>
          <w:rtl/>
        </w:rPr>
        <w:tab/>
        <w:t>(</w:t>
      </w:r>
      <w:r w:rsidRPr="003D0849">
        <w:rPr>
          <w:b/>
          <w:bCs/>
          <w:rtl/>
        </w:rPr>
        <w:t>أ</w:t>
      </w:r>
      <w:r w:rsidRPr="003D0849">
        <w:rPr>
          <w:rFonts w:ascii="Traditional Arabic"/>
          <w:b/>
          <w:bCs/>
          <w:rtl/>
        </w:rPr>
        <w:t>)</w:t>
      </w:r>
      <w:r w:rsidRPr="003D0849">
        <w:rPr>
          <w:b/>
          <w:bCs/>
          <w:rtl/>
        </w:rPr>
        <w:t xml:space="preserve"> </w:t>
      </w:r>
      <w:r w:rsidRPr="003D0849">
        <w:rPr>
          <w:b/>
          <w:bCs/>
          <w:rtl/>
        </w:rPr>
        <w:tab/>
        <w:t>تعديل المادة 22</w:t>
      </w:r>
      <w:r w:rsidRPr="003D0849">
        <w:rPr>
          <w:rFonts w:ascii="Traditional Arabic"/>
          <w:b/>
          <w:bCs/>
          <w:rtl/>
        </w:rPr>
        <w:t xml:space="preserve"> (</w:t>
      </w:r>
      <w:r w:rsidRPr="003D0849">
        <w:rPr>
          <w:b/>
          <w:bCs/>
          <w:rtl/>
        </w:rPr>
        <w:t xml:space="preserve"> الفقرة </w:t>
      </w:r>
      <w:r w:rsidR="003A166F" w:rsidRPr="003A166F">
        <w:rPr>
          <w:b/>
          <w:bCs/>
          <w:rtl/>
        </w:rPr>
        <w:t>1</w:t>
      </w:r>
      <w:r w:rsidR="003A166F" w:rsidRPr="003A166F">
        <w:rPr>
          <w:rFonts w:ascii="Traditional Arabic"/>
          <w:b/>
          <w:bCs/>
          <w:rtl/>
        </w:rPr>
        <w:t>)</w:t>
      </w:r>
      <w:r w:rsidR="003A166F" w:rsidRPr="003A166F">
        <w:rPr>
          <w:b/>
          <w:bCs/>
          <w:rtl/>
        </w:rPr>
        <w:t xml:space="preserve"> </w:t>
      </w:r>
      <w:r w:rsidRPr="003D0849">
        <w:rPr>
          <w:b/>
          <w:bCs/>
          <w:rtl/>
        </w:rPr>
        <w:t>من القانون المؤرخ 18 كانون الأول/ديسمبر 2015 بشأن الحماية الدولية والحماية المؤقتة، والمادة 120</w:t>
      </w:r>
      <w:r w:rsidRPr="003D0849">
        <w:rPr>
          <w:rFonts w:ascii="Traditional Arabic"/>
          <w:b/>
          <w:bCs/>
          <w:rtl/>
        </w:rPr>
        <w:t xml:space="preserve"> (</w:t>
      </w:r>
      <w:r w:rsidRPr="003D0849">
        <w:rPr>
          <w:b/>
          <w:bCs/>
          <w:rtl/>
        </w:rPr>
        <w:t xml:space="preserve">الفقرة </w:t>
      </w:r>
      <w:r w:rsidR="003A166F" w:rsidRPr="003A166F">
        <w:rPr>
          <w:b/>
          <w:bCs/>
          <w:rtl/>
        </w:rPr>
        <w:t>1</w:t>
      </w:r>
      <w:r w:rsidR="003A166F" w:rsidRPr="003A166F">
        <w:rPr>
          <w:rFonts w:ascii="Traditional Arabic"/>
          <w:b/>
          <w:bCs/>
          <w:rtl/>
        </w:rPr>
        <w:t>)</w:t>
      </w:r>
      <w:r w:rsidR="003A166F" w:rsidRPr="003A166F">
        <w:rPr>
          <w:b/>
          <w:bCs/>
          <w:rtl/>
        </w:rPr>
        <w:t xml:space="preserve"> </w:t>
      </w:r>
      <w:r w:rsidRPr="003D0849">
        <w:rPr>
          <w:b/>
          <w:bCs/>
          <w:rtl/>
        </w:rPr>
        <w:t>من القانون المعدل المؤرخ 29 آب/أغسطس 2008 بشأن حرية تنقل الأشخاص والهجرة، والمادة 6</w:t>
      </w:r>
      <w:r w:rsidRPr="003D0849">
        <w:rPr>
          <w:rFonts w:ascii="Traditional Arabic"/>
          <w:b/>
          <w:bCs/>
          <w:rtl/>
        </w:rPr>
        <w:t xml:space="preserve"> (</w:t>
      </w:r>
      <w:r w:rsidRPr="003D0849">
        <w:rPr>
          <w:b/>
          <w:bCs/>
          <w:rtl/>
        </w:rPr>
        <w:t xml:space="preserve">الفقرة </w:t>
      </w:r>
      <w:r w:rsidR="003A166F" w:rsidRPr="003A166F">
        <w:rPr>
          <w:b/>
          <w:bCs/>
          <w:rtl/>
        </w:rPr>
        <w:t>3</w:t>
      </w:r>
      <w:r w:rsidR="003A166F" w:rsidRPr="003A166F">
        <w:rPr>
          <w:rFonts w:ascii="Traditional Arabic"/>
          <w:b/>
          <w:bCs/>
          <w:rtl/>
        </w:rPr>
        <w:t>)</w:t>
      </w:r>
      <w:r w:rsidR="003A166F" w:rsidRPr="003A166F">
        <w:rPr>
          <w:b/>
          <w:bCs/>
          <w:rtl/>
        </w:rPr>
        <w:t xml:space="preserve"> </w:t>
      </w:r>
      <w:r w:rsidRPr="003D0849">
        <w:rPr>
          <w:b/>
          <w:bCs/>
          <w:rtl/>
        </w:rPr>
        <w:t>من القانون المؤرخ 28 أيار/مايو 2009 بشأن إنشاء مركز الاحتجاز وتنظيمه، بغية حظر احتجاز الأطفال، بغض النظر عن وضعهم كمهاجرين؛</w:t>
      </w:r>
    </w:p>
    <w:p w14:paraId="06B33BDA" w14:textId="6F64DADD" w:rsidR="00EE517B" w:rsidRPr="003D0849" w:rsidRDefault="00EE517B" w:rsidP="00EE517B">
      <w:pPr>
        <w:pStyle w:val="SingleTxtGA"/>
        <w:rPr>
          <w:b/>
          <w:bCs/>
          <w:lang w:val="ar-SA" w:eastAsia="zh-TW" w:bidi="en-GB"/>
        </w:rPr>
      </w:pPr>
      <w:r w:rsidRPr="003D0849">
        <w:rPr>
          <w:b/>
          <w:bCs/>
          <w:rtl/>
        </w:rPr>
        <w:tab/>
        <w:t>(ب</w:t>
      </w:r>
      <w:r w:rsidRPr="003D0849">
        <w:rPr>
          <w:rFonts w:ascii="Traditional Arabic"/>
          <w:b/>
          <w:bCs/>
          <w:rtl/>
        </w:rPr>
        <w:t>)</w:t>
      </w:r>
      <w:r w:rsidRPr="003D0849">
        <w:rPr>
          <w:b/>
          <w:bCs/>
          <w:rtl/>
        </w:rPr>
        <w:tab/>
        <w:t>التحقق من أن التدابير البديلة للاحتجاز مكرسة في القانون وتنفَّذ عمليا</w:t>
      </w:r>
      <w:r w:rsidR="00D71F56" w:rsidRPr="003D0849">
        <w:rPr>
          <w:rFonts w:hint="cs"/>
          <w:b/>
          <w:bCs/>
          <w:rtl/>
        </w:rPr>
        <w:t>ً</w:t>
      </w:r>
      <w:r w:rsidRPr="003D0849">
        <w:rPr>
          <w:b/>
          <w:bCs/>
          <w:rtl/>
        </w:rPr>
        <w:t>؛</w:t>
      </w:r>
    </w:p>
    <w:p w14:paraId="250BD282" w14:textId="38676439" w:rsidR="00EE517B" w:rsidRPr="003D0849" w:rsidRDefault="00EE517B" w:rsidP="00EE517B">
      <w:pPr>
        <w:pStyle w:val="SingleTxtGA"/>
        <w:rPr>
          <w:b/>
          <w:bCs/>
          <w:lang w:val="ar-SA" w:eastAsia="zh-TW" w:bidi="en-GB"/>
        </w:rPr>
      </w:pPr>
      <w:r w:rsidRPr="003D0849">
        <w:rPr>
          <w:b/>
          <w:bCs/>
          <w:rtl/>
        </w:rPr>
        <w:tab/>
        <w:t>(ج</w:t>
      </w:r>
      <w:r w:rsidRPr="003D0849">
        <w:rPr>
          <w:rFonts w:ascii="Traditional Arabic"/>
          <w:b/>
          <w:bCs/>
          <w:rtl/>
        </w:rPr>
        <w:t>)</w:t>
      </w:r>
      <w:r w:rsidRPr="003D0849">
        <w:rPr>
          <w:b/>
          <w:bCs/>
          <w:rtl/>
        </w:rPr>
        <w:tab/>
        <w:t xml:space="preserve">تيسير لم شمل أسر المستفيدين من الحماية الدولية، بالتوقف عن فرض مواعيد نهائية (صارمة) لتقديم طلبات لم شمل الأسر في ظل "الظروف الأكثر </w:t>
      </w:r>
      <w:proofErr w:type="spellStart"/>
      <w:r w:rsidRPr="003D0849">
        <w:rPr>
          <w:b/>
          <w:bCs/>
          <w:rtl/>
        </w:rPr>
        <w:t>مواتاة</w:t>
      </w:r>
      <w:proofErr w:type="spellEnd"/>
      <w:r w:rsidRPr="003D0849">
        <w:rPr>
          <w:b/>
          <w:bCs/>
          <w:rtl/>
        </w:rPr>
        <w:t>" المنصوص عليها في المادة 69</w:t>
      </w:r>
      <w:r w:rsidRPr="003D0849">
        <w:rPr>
          <w:rFonts w:ascii="Traditional Arabic"/>
          <w:b/>
          <w:bCs/>
          <w:rtl/>
        </w:rPr>
        <w:t xml:space="preserve"> (</w:t>
      </w:r>
      <w:r w:rsidRPr="003D0849">
        <w:rPr>
          <w:b/>
          <w:bCs/>
          <w:rtl/>
        </w:rPr>
        <w:t xml:space="preserve">الفقرة </w:t>
      </w:r>
      <w:r w:rsidR="003A166F" w:rsidRPr="003A166F">
        <w:rPr>
          <w:b/>
          <w:bCs/>
          <w:rtl/>
        </w:rPr>
        <w:t>2</w:t>
      </w:r>
      <w:r w:rsidR="003A166F" w:rsidRPr="003A166F">
        <w:rPr>
          <w:rFonts w:ascii="Traditional Arabic"/>
          <w:b/>
          <w:bCs/>
          <w:rtl/>
        </w:rPr>
        <w:t>)</w:t>
      </w:r>
      <w:r w:rsidR="003A166F" w:rsidRPr="003A166F">
        <w:rPr>
          <w:b/>
          <w:bCs/>
          <w:rtl/>
        </w:rPr>
        <w:t xml:space="preserve"> </w:t>
      </w:r>
      <w:r w:rsidRPr="003D0849">
        <w:rPr>
          <w:b/>
          <w:bCs/>
          <w:rtl/>
        </w:rPr>
        <w:t>من قانون الهجرة المؤرخ 29 آب/أغسطس 2008، وقبول استكمال طلب لم شمل الأسرة بعد انقضاء الموعد النهائي؛</w:t>
      </w:r>
    </w:p>
    <w:p w14:paraId="519778D0" w14:textId="62FA1D5C" w:rsidR="00EE517B" w:rsidRPr="003D0849" w:rsidRDefault="00EE517B" w:rsidP="00EE517B">
      <w:pPr>
        <w:pStyle w:val="SingleTxtGA"/>
        <w:rPr>
          <w:b/>
          <w:bCs/>
          <w:lang w:val="ar-SA" w:eastAsia="zh-TW" w:bidi="en-GB"/>
        </w:rPr>
      </w:pPr>
      <w:r w:rsidRPr="003D0849">
        <w:rPr>
          <w:b/>
          <w:bCs/>
          <w:rtl/>
        </w:rPr>
        <w:tab/>
        <w:t>(د</w:t>
      </w:r>
      <w:r w:rsidRPr="003D0849">
        <w:rPr>
          <w:rFonts w:ascii="Traditional Arabic"/>
          <w:b/>
          <w:bCs/>
          <w:rtl/>
        </w:rPr>
        <w:t>)</w:t>
      </w:r>
      <w:r w:rsidRPr="003D0849">
        <w:rPr>
          <w:b/>
          <w:bCs/>
          <w:rtl/>
        </w:rPr>
        <w:tab/>
        <w:t xml:space="preserve">مراعاة التكوين الفعلي لوحدة الأسرة وعلاقات الإعالة في طلبات لم شمل الأسرة، بما في ذلك ما يتعلق بأفراد الأسرة الموسعة المعالين؛ </w:t>
      </w:r>
    </w:p>
    <w:p w14:paraId="3B02B2DE" w14:textId="32543175" w:rsidR="00EE517B" w:rsidRPr="003D0849" w:rsidRDefault="00EE517B" w:rsidP="00EE517B">
      <w:pPr>
        <w:pStyle w:val="SingleTxtGA"/>
        <w:rPr>
          <w:b/>
          <w:bCs/>
          <w:lang w:val="ar-SA" w:eastAsia="zh-TW" w:bidi="en-GB"/>
        </w:rPr>
      </w:pPr>
      <w:r w:rsidRPr="003D0849">
        <w:rPr>
          <w:b/>
          <w:bCs/>
          <w:rtl/>
        </w:rPr>
        <w:tab/>
        <w:t>(هـ)</w:t>
      </w:r>
      <w:r w:rsidRPr="003D0849">
        <w:rPr>
          <w:b/>
          <w:bCs/>
          <w:rtl/>
        </w:rPr>
        <w:tab/>
        <w:t>التحقق من أن عملية لم شمل أسر المستفيدين من الحماية الدولية تجري دون تأخير لا مبرر له، بما في ذلك اتخاذ القرارات.</w:t>
      </w:r>
    </w:p>
    <w:p w14:paraId="7194D4FF" w14:textId="7951ECC0" w:rsidR="00EE517B" w:rsidRPr="008A6289" w:rsidRDefault="00EE517B" w:rsidP="00EE517B">
      <w:pPr>
        <w:pStyle w:val="H23GA"/>
        <w:rPr>
          <w:lang w:val="ar-SA" w:eastAsia="zh-TW" w:bidi="en-GB"/>
        </w:rPr>
      </w:pPr>
      <w:r w:rsidRPr="002D0522">
        <w:rPr>
          <w:rtl/>
        </w:rPr>
        <w:tab/>
      </w:r>
      <w:r w:rsidRPr="002D0522">
        <w:rPr>
          <w:rtl/>
        </w:rPr>
        <w:tab/>
      </w:r>
      <w:r w:rsidRPr="008A6289">
        <w:rPr>
          <w:rFonts w:hint="eastAsia"/>
          <w:rtl/>
        </w:rPr>
        <w:t>انعدام</w:t>
      </w:r>
      <w:r w:rsidRPr="008A6289">
        <w:rPr>
          <w:rtl/>
        </w:rPr>
        <w:t xml:space="preserve"> </w:t>
      </w:r>
      <w:r w:rsidR="00C03E34" w:rsidRPr="008A6289">
        <w:rPr>
          <w:rFonts w:hint="cs"/>
          <w:rtl/>
        </w:rPr>
        <w:t>الجنسية</w:t>
      </w:r>
      <w:r w:rsidRPr="008A6289">
        <w:rPr>
          <w:rtl/>
        </w:rPr>
        <w:t xml:space="preserve"> </w:t>
      </w:r>
    </w:p>
    <w:p w14:paraId="75BC3F7B" w14:textId="53401089" w:rsidR="00EE517B" w:rsidRPr="002D0522" w:rsidRDefault="00EE517B" w:rsidP="00EE517B">
      <w:pPr>
        <w:pStyle w:val="SingleTxtGA"/>
        <w:rPr>
          <w:lang w:val="ar-SA" w:eastAsia="zh-TW" w:bidi="en-GB"/>
        </w:rPr>
      </w:pPr>
      <w:r w:rsidRPr="00EE517B">
        <w:rPr>
          <w:rtl/>
        </w:rPr>
        <w:t>19</w:t>
      </w:r>
      <w:r w:rsidRPr="002D0522">
        <w:rPr>
          <w:rFonts w:ascii="Traditional Arabic"/>
          <w:rtl/>
        </w:rPr>
        <w:t>-</w:t>
      </w:r>
      <w:r w:rsidRPr="002D0522">
        <w:rPr>
          <w:rtl/>
        </w:rPr>
        <w:tab/>
        <w:t xml:space="preserve">تلاحظ اللجنة </w:t>
      </w:r>
      <w:r>
        <w:rPr>
          <w:rtl/>
        </w:rPr>
        <w:t>بدء العمل</w:t>
      </w:r>
      <w:r w:rsidRPr="002D0522">
        <w:rPr>
          <w:rtl/>
        </w:rPr>
        <w:t xml:space="preserve"> </w:t>
      </w:r>
      <w:r>
        <w:rPr>
          <w:rtl/>
        </w:rPr>
        <w:t>ب</w:t>
      </w:r>
      <w:r w:rsidRPr="002D0522">
        <w:rPr>
          <w:rtl/>
        </w:rPr>
        <w:t>إجراء إداري فيما يتعلق بانعدام الجنسية في تشرين الثاني/</w:t>
      </w:r>
      <w:r w:rsidR="00AB634D">
        <w:rPr>
          <w:rFonts w:hint="cs"/>
          <w:rtl/>
        </w:rPr>
        <w:t xml:space="preserve"> </w:t>
      </w:r>
      <w:r w:rsidRPr="002D0522">
        <w:rPr>
          <w:rtl/>
        </w:rPr>
        <w:t>نوفمبر</w:t>
      </w:r>
      <w:r w:rsidR="00AB634D">
        <w:rPr>
          <w:rFonts w:hint="cs"/>
          <w:rtl/>
        </w:rPr>
        <w:t> </w:t>
      </w:r>
      <w:r w:rsidRPr="00EE517B">
        <w:rPr>
          <w:rtl/>
        </w:rPr>
        <w:t>2016</w:t>
      </w:r>
      <w:r w:rsidRPr="002D0522">
        <w:rPr>
          <w:rtl/>
        </w:rPr>
        <w:t xml:space="preserve">، والعدد المحدود من الطلبات التي أبلغت عنها الدولة الطرف، لكنها تأسف لأن الدولة الطرف لم </w:t>
      </w:r>
      <w:r>
        <w:rPr>
          <w:rtl/>
        </w:rPr>
        <w:t>تُبد رغبة في</w:t>
      </w:r>
      <w:r w:rsidRPr="002D0522">
        <w:rPr>
          <w:rtl/>
        </w:rPr>
        <w:t xml:space="preserve"> وضع إطار تشريعي أقدر على ضمان الحقوق المكرسة في الاتفاقية المتعلقة بوضع الأشخاص عديمي الجنسية، لعام </w:t>
      </w:r>
      <w:r w:rsidRPr="00EE517B">
        <w:rPr>
          <w:rtl/>
        </w:rPr>
        <w:t>1954</w:t>
      </w:r>
      <w:r w:rsidRPr="002D0522">
        <w:rPr>
          <w:rtl/>
        </w:rPr>
        <w:t xml:space="preserve">، واتفاقية خفض حالات انعدام الجنسية لعام </w:t>
      </w:r>
      <w:r w:rsidRPr="00EE517B">
        <w:rPr>
          <w:rtl/>
        </w:rPr>
        <w:t>1961</w:t>
      </w:r>
      <w:r w:rsidRPr="002D0522">
        <w:rPr>
          <w:rtl/>
        </w:rPr>
        <w:t>، التي تعد لكسمبرغ طرف</w:t>
      </w:r>
      <w:r w:rsidR="00A317D1">
        <w:rPr>
          <w:rtl/>
        </w:rPr>
        <w:t xml:space="preserve">اً </w:t>
      </w:r>
      <w:r w:rsidRPr="002D0522">
        <w:rPr>
          <w:rtl/>
        </w:rPr>
        <w:t>فيها. ويساور اللجنة القلق بوجه خاص لأن مقدمي طلبات الحصول على وضع عديمي الجنسية لا يتمتعون في الوقت الحاضر بضمانات قانونية فيما يتعلق بالحق في الإقامة في أراضي لكسمبرغ، ولا يمنحون هذا الحق تلقائي</w:t>
      </w:r>
      <w:r w:rsidR="00A317D1">
        <w:rPr>
          <w:rtl/>
        </w:rPr>
        <w:t xml:space="preserve">اً </w:t>
      </w:r>
      <w:r w:rsidRPr="002D0522">
        <w:rPr>
          <w:rtl/>
        </w:rPr>
        <w:t xml:space="preserve">بعد حصولهم على وضع عديمي الجنسية، وهو ما لا يتماشى مع التزامات الدولة الطرف </w:t>
      </w:r>
      <w:r>
        <w:rPr>
          <w:rtl/>
        </w:rPr>
        <w:t xml:space="preserve">الناشئة عن </w:t>
      </w:r>
      <w:r w:rsidRPr="002D0522">
        <w:rPr>
          <w:rtl/>
        </w:rPr>
        <w:t xml:space="preserve">تصديقها على اتفاقية عام </w:t>
      </w:r>
      <w:r w:rsidRPr="00EE517B">
        <w:rPr>
          <w:rtl/>
        </w:rPr>
        <w:t>1954</w:t>
      </w:r>
      <w:r w:rsidRPr="002D0522">
        <w:rPr>
          <w:rFonts w:ascii="Traditional Arabic"/>
          <w:rtl/>
        </w:rPr>
        <w:t xml:space="preserve"> (</w:t>
      </w:r>
      <w:r w:rsidRPr="002D0522">
        <w:rPr>
          <w:rtl/>
        </w:rPr>
        <w:t xml:space="preserve">المواد </w:t>
      </w:r>
      <w:r w:rsidRPr="00EE517B">
        <w:rPr>
          <w:rtl/>
        </w:rPr>
        <w:t>16</w:t>
      </w:r>
      <w:r w:rsidR="00D63793" w:rsidRPr="002D0522">
        <w:rPr>
          <w:rtl/>
        </w:rPr>
        <w:t xml:space="preserve"> </w:t>
      </w:r>
      <w:proofErr w:type="spellStart"/>
      <w:r w:rsidR="00D63793" w:rsidRPr="002D0522">
        <w:rPr>
          <w:rtl/>
        </w:rPr>
        <w:t>و</w:t>
      </w:r>
      <w:r w:rsidRPr="00EE517B">
        <w:rPr>
          <w:rtl/>
        </w:rPr>
        <w:t>24</w:t>
      </w:r>
      <w:proofErr w:type="spellEnd"/>
      <w:r w:rsidR="00D63793" w:rsidRPr="002D0522">
        <w:rPr>
          <w:rtl/>
        </w:rPr>
        <w:t xml:space="preserve"> </w:t>
      </w:r>
      <w:proofErr w:type="spellStart"/>
      <w:r w:rsidR="00D63793" w:rsidRPr="002D0522">
        <w:rPr>
          <w:rtl/>
        </w:rPr>
        <w:t>و</w:t>
      </w:r>
      <w:r w:rsidRPr="00EE517B">
        <w:rPr>
          <w:rtl/>
        </w:rPr>
        <w:t>2</w:t>
      </w:r>
      <w:r w:rsidR="003A166F" w:rsidRPr="003A166F">
        <w:rPr>
          <w:rtl/>
        </w:rPr>
        <w:t>6</w:t>
      </w:r>
      <w:proofErr w:type="spellEnd"/>
      <w:r w:rsidR="003A166F" w:rsidRPr="003A166F">
        <w:rPr>
          <w:rFonts w:ascii="Traditional Arabic"/>
          <w:rtl/>
        </w:rPr>
        <w:t>).</w:t>
      </w:r>
      <w:r w:rsidR="003A166F" w:rsidRPr="003A166F">
        <w:rPr>
          <w:rtl/>
        </w:rPr>
        <w:t xml:space="preserve"> </w:t>
      </w:r>
    </w:p>
    <w:p w14:paraId="51DC53D5" w14:textId="20E8A401" w:rsidR="00EE517B" w:rsidRPr="00AB634D" w:rsidRDefault="00EE517B" w:rsidP="00EE517B">
      <w:pPr>
        <w:pStyle w:val="SingleTxtGA"/>
        <w:rPr>
          <w:b/>
          <w:bCs/>
          <w:lang w:val="ar-SA" w:eastAsia="zh-TW" w:bidi="en-GB"/>
        </w:rPr>
      </w:pPr>
      <w:r w:rsidRPr="00EE517B">
        <w:rPr>
          <w:rtl/>
        </w:rPr>
        <w:t>20</w:t>
      </w:r>
      <w:r w:rsidRPr="002D0522">
        <w:rPr>
          <w:rFonts w:ascii="Traditional Arabic"/>
          <w:rtl/>
        </w:rPr>
        <w:t>-</w:t>
      </w:r>
      <w:r w:rsidRPr="002D0522">
        <w:rPr>
          <w:rtl/>
        </w:rPr>
        <w:tab/>
      </w:r>
      <w:r w:rsidRPr="00AB634D">
        <w:rPr>
          <w:b/>
          <w:bCs/>
          <w:rtl/>
        </w:rPr>
        <w:t>ينبغي للدولة الطرف أن تعتمد تشريع</w:t>
      </w:r>
      <w:r w:rsidR="00A317D1">
        <w:rPr>
          <w:b/>
          <w:bCs/>
          <w:rtl/>
        </w:rPr>
        <w:t xml:space="preserve">اً </w:t>
      </w:r>
      <w:r w:rsidRPr="00AB634D">
        <w:rPr>
          <w:b/>
          <w:bCs/>
          <w:rtl/>
        </w:rPr>
        <w:t>ينظم إجراءات تحديد صفة عديمي الجنسية وإصدار تصريح إقامة للأشخاص المعترف بهم بوصفهم عديمي الجنسية، بغية منحهم الحقوق التي تكفلها اتفاقية عام 1954 المتعلقة بوضع الأشخاص عديمي الجنسية.</w:t>
      </w:r>
      <w:bookmarkStart w:id="1" w:name="_Hlk108171480"/>
      <w:bookmarkEnd w:id="1"/>
    </w:p>
    <w:p w14:paraId="0C88FFDA" w14:textId="77777777" w:rsidR="00EE517B" w:rsidRPr="008A6289" w:rsidRDefault="00EE517B" w:rsidP="00EE517B">
      <w:pPr>
        <w:pStyle w:val="H23GA"/>
        <w:rPr>
          <w:lang w:val="ar-SA" w:eastAsia="zh-TW" w:bidi="en-GB"/>
        </w:rPr>
      </w:pPr>
      <w:r w:rsidRPr="002D0522">
        <w:rPr>
          <w:rtl/>
        </w:rPr>
        <w:lastRenderedPageBreak/>
        <w:tab/>
      </w:r>
      <w:r w:rsidRPr="002D0522">
        <w:rPr>
          <w:rtl/>
        </w:rPr>
        <w:tab/>
      </w:r>
      <w:r w:rsidRPr="008A6289">
        <w:rPr>
          <w:rFonts w:hint="eastAsia"/>
          <w:rtl/>
        </w:rPr>
        <w:t>حرية</w:t>
      </w:r>
      <w:r w:rsidRPr="008A6289">
        <w:rPr>
          <w:rtl/>
        </w:rPr>
        <w:t xml:space="preserve"> الضمير والمعتقد والدين </w:t>
      </w:r>
    </w:p>
    <w:p w14:paraId="1B050FC8" w14:textId="27356DA9" w:rsidR="003A166F" w:rsidRPr="003A166F" w:rsidRDefault="00EE517B" w:rsidP="00EE517B">
      <w:pPr>
        <w:pStyle w:val="SingleTxtGA"/>
        <w:rPr>
          <w:lang w:val="ar-SA" w:eastAsia="zh-TW" w:bidi="en-GB"/>
        </w:rPr>
      </w:pPr>
      <w:r w:rsidRPr="00EE517B">
        <w:rPr>
          <w:rtl/>
        </w:rPr>
        <w:t>21</w:t>
      </w:r>
      <w:r w:rsidRPr="002D0522">
        <w:rPr>
          <w:rFonts w:ascii="Traditional Arabic"/>
          <w:rtl/>
        </w:rPr>
        <w:t>-</w:t>
      </w:r>
      <w:r w:rsidRPr="002D0522">
        <w:rPr>
          <w:rtl/>
        </w:rPr>
        <w:tab/>
        <w:t xml:space="preserve">ترحب اللجنة بمختلف التدابير التي اتخذتها الدولة الطرف لتعزيز الحق في حرية الفكر والوجدان والدين، وبصورة أعم، بالمبادرات الرامية إلى تعزيز التسامح والتعايش. وترحب على وجه الخصوص باستحداث دورة بعنوان "الحياة والمجتمع" في التعليم الأساسي والثانوي في </w:t>
      </w:r>
      <w:r w:rsidRPr="00EE517B">
        <w:rPr>
          <w:rtl/>
        </w:rPr>
        <w:t>2016</w:t>
      </w:r>
      <w:r w:rsidRPr="002D0522">
        <w:rPr>
          <w:rFonts w:ascii="Traditional Arabic"/>
          <w:rtl/>
        </w:rPr>
        <w:t>/</w:t>
      </w:r>
      <w:r w:rsidRPr="00EE517B">
        <w:rPr>
          <w:rtl/>
        </w:rPr>
        <w:t>2017</w:t>
      </w:r>
      <w:r w:rsidRPr="002D0522">
        <w:rPr>
          <w:rtl/>
        </w:rPr>
        <w:t>، حلت محل دورات التعليم الديني وتركز على التسامح القائم على المعرفة والتعلم من خلال الممارسة المتأمِّلة والنقدية. وترحب اللجنة أيض</w:t>
      </w:r>
      <w:r w:rsidR="00A317D1">
        <w:rPr>
          <w:rtl/>
        </w:rPr>
        <w:t xml:space="preserve">اً </w:t>
      </w:r>
      <w:r w:rsidRPr="002D0522">
        <w:rPr>
          <w:rtl/>
        </w:rPr>
        <w:t xml:space="preserve">بمختلف التدابير التي اتخذتها الدولة الطرف أو دعمتها بغية مكافحة التطرف ونزعات التعصب العنيف. غير أن اللجنة تعرب عن قلقها إزاء المعلومات الواردة التي تفيد بتزايد عدد الحوادث المعادية للسامية ووجود أعمال معادية للإسلام على أراضي لكسمبرغ (المواد </w:t>
      </w:r>
      <w:r w:rsidRPr="00EE517B">
        <w:rPr>
          <w:rtl/>
        </w:rPr>
        <w:t>2</w:t>
      </w:r>
      <w:r w:rsidRPr="002D0522">
        <w:rPr>
          <w:rtl/>
        </w:rPr>
        <w:t xml:space="preserve"> </w:t>
      </w:r>
      <w:proofErr w:type="spellStart"/>
      <w:r w:rsidRPr="002D0522">
        <w:rPr>
          <w:rtl/>
        </w:rPr>
        <w:t>و</w:t>
      </w:r>
      <w:r w:rsidRPr="00EE517B">
        <w:rPr>
          <w:rtl/>
        </w:rPr>
        <w:t>18</w:t>
      </w:r>
      <w:proofErr w:type="spellEnd"/>
      <w:r w:rsidRPr="002D0522">
        <w:rPr>
          <w:rtl/>
        </w:rPr>
        <w:t xml:space="preserve"> </w:t>
      </w:r>
      <w:proofErr w:type="spellStart"/>
      <w:r w:rsidRPr="002D0522">
        <w:rPr>
          <w:rtl/>
        </w:rPr>
        <w:t>و</w:t>
      </w:r>
      <w:r w:rsidRPr="00EE517B">
        <w:rPr>
          <w:rtl/>
        </w:rPr>
        <w:t>2</w:t>
      </w:r>
      <w:r w:rsidR="003A166F" w:rsidRPr="003A166F">
        <w:rPr>
          <w:rtl/>
        </w:rPr>
        <w:t>6</w:t>
      </w:r>
      <w:proofErr w:type="spellEnd"/>
      <w:r w:rsidR="003A166F" w:rsidRPr="003A166F">
        <w:rPr>
          <w:rFonts w:ascii="Traditional Arabic"/>
          <w:rtl/>
        </w:rPr>
        <w:t>)</w:t>
      </w:r>
      <w:r w:rsidR="003A166F" w:rsidRPr="003A166F">
        <w:rPr>
          <w:rtl/>
        </w:rPr>
        <w:t>.</w:t>
      </w:r>
    </w:p>
    <w:p w14:paraId="7593BC32" w14:textId="2C3B2162" w:rsidR="00EE517B" w:rsidRPr="00F12763" w:rsidRDefault="00EE517B" w:rsidP="00EE517B">
      <w:pPr>
        <w:pStyle w:val="SingleTxtGA"/>
        <w:rPr>
          <w:b/>
          <w:bCs/>
          <w:lang w:val="ar-SA" w:eastAsia="zh-TW" w:bidi="en-GB"/>
        </w:rPr>
      </w:pPr>
      <w:r w:rsidRPr="00EE517B">
        <w:rPr>
          <w:rtl/>
        </w:rPr>
        <w:t>22</w:t>
      </w:r>
      <w:r w:rsidRPr="002D0522">
        <w:rPr>
          <w:rFonts w:ascii="Traditional Arabic"/>
          <w:rtl/>
        </w:rPr>
        <w:t>-</w:t>
      </w:r>
      <w:r w:rsidRPr="002D0522">
        <w:rPr>
          <w:rtl/>
        </w:rPr>
        <w:tab/>
      </w:r>
      <w:r w:rsidRPr="00F12763">
        <w:rPr>
          <w:b/>
          <w:bCs/>
          <w:rtl/>
        </w:rPr>
        <w:t>ينبغي للدولة الطرف أن تواصل اتخاذ تدابير لمكافحة التمييز وخطاب الكراهية، فضل</w:t>
      </w:r>
      <w:r w:rsidR="00A317D1">
        <w:rPr>
          <w:b/>
          <w:bCs/>
          <w:rtl/>
        </w:rPr>
        <w:t xml:space="preserve">اً </w:t>
      </w:r>
      <w:r w:rsidRPr="00F12763">
        <w:rPr>
          <w:b/>
          <w:bCs/>
          <w:rtl/>
        </w:rPr>
        <w:t xml:space="preserve">عن مكافحة التحريض على الكراهية والعنف ضد الطوائف الدينية بجميع أنواعها. وفي هذا الصدد، ينبغي للدولة الطرف أن تضع اللمسات الأخيرة على استراتيجية مكافحة معاداة السامية التي يجري وضعها، وأن تنظر في مدى استصواب وضع استراتيجية وطنية لمكافحة كراهية الإسلام. </w:t>
      </w:r>
    </w:p>
    <w:p w14:paraId="3FA7ADE5" w14:textId="7D24AF3F" w:rsidR="00EE517B" w:rsidRPr="008A6289" w:rsidRDefault="00EE517B" w:rsidP="00EE517B">
      <w:pPr>
        <w:pStyle w:val="H23GA"/>
        <w:rPr>
          <w:lang w:val="ar-SA" w:eastAsia="zh-TW" w:bidi="en-GB"/>
        </w:rPr>
      </w:pPr>
      <w:r>
        <w:rPr>
          <w:rtl/>
        </w:rPr>
        <w:tab/>
      </w:r>
      <w:r>
        <w:rPr>
          <w:rtl/>
        </w:rPr>
        <w:tab/>
      </w:r>
      <w:r w:rsidRPr="008A6289">
        <w:rPr>
          <w:rFonts w:hint="eastAsia"/>
          <w:rtl/>
        </w:rPr>
        <w:t>حرية</w:t>
      </w:r>
      <w:r w:rsidRPr="008A6289">
        <w:rPr>
          <w:rtl/>
        </w:rPr>
        <w:t xml:space="preserve"> التعبير </w:t>
      </w:r>
    </w:p>
    <w:p w14:paraId="35007E02" w14:textId="31FA0316" w:rsidR="003A166F" w:rsidRPr="003A166F" w:rsidRDefault="00EE517B" w:rsidP="00F12763">
      <w:pPr>
        <w:pStyle w:val="SingleTxtGA"/>
        <w:rPr>
          <w:lang w:val="ar-SA" w:eastAsia="zh-TW" w:bidi="en-GB"/>
        </w:rPr>
      </w:pPr>
      <w:r w:rsidRPr="00F12763">
        <w:rPr>
          <w:rtl/>
        </w:rPr>
        <w:t>23</w:t>
      </w:r>
      <w:r w:rsidRPr="00F12763">
        <w:rPr>
          <w:rFonts w:ascii="Traditional Arabic"/>
          <w:rtl/>
        </w:rPr>
        <w:t>-</w:t>
      </w:r>
      <w:r w:rsidRPr="00F12763">
        <w:rPr>
          <w:rtl/>
        </w:rPr>
        <w:tab/>
        <w:t>تحيط اللجنة علم</w:t>
      </w:r>
      <w:r w:rsidR="00A317D1">
        <w:rPr>
          <w:rtl/>
        </w:rPr>
        <w:t xml:space="preserve">اً </w:t>
      </w:r>
      <w:r w:rsidRPr="00F12763">
        <w:rPr>
          <w:rtl/>
        </w:rPr>
        <w:t>بطرح مشروع القانون رقم 7945 بشأن حماية الأشخاص الذين يبلغون عن انتهاكات قانون الاتحاد الأوروبي ("المبلغون عن المخالفات"</w:t>
      </w:r>
      <w:r w:rsidR="003A166F" w:rsidRPr="003A166F">
        <w:rPr>
          <w:rtl/>
        </w:rPr>
        <w:t xml:space="preserve">)، </w:t>
      </w:r>
      <w:r w:rsidRPr="00F12763">
        <w:rPr>
          <w:rtl/>
        </w:rPr>
        <w:t>في كانون الثاني/يناير 2022، والذي سينقل توجيه الاتحاد الأوروبي ذي الصلة إلى القانون المحلي</w:t>
      </w:r>
      <w:r w:rsidR="003A166F">
        <w:rPr>
          <w:rStyle w:val="FootnoteReference"/>
          <w:szCs w:val="22"/>
          <w:rtl/>
        </w:rPr>
        <w:t>(</w:t>
      </w:r>
      <w:r w:rsidR="003A166F" w:rsidRPr="00F12763">
        <w:rPr>
          <w:rStyle w:val="FootnoteReference"/>
          <w:szCs w:val="22"/>
          <w:rtl/>
        </w:rPr>
        <w:footnoteReference w:id="7"/>
      </w:r>
      <w:r w:rsidR="003A166F" w:rsidRPr="003A166F">
        <w:rPr>
          <w:rStyle w:val="FootnoteReference"/>
          <w:szCs w:val="22"/>
          <w:rtl/>
        </w:rPr>
        <w:t>)</w:t>
      </w:r>
      <w:r w:rsidR="003A166F" w:rsidRPr="003A166F">
        <w:rPr>
          <w:rFonts w:hint="cs"/>
          <w:rtl/>
        </w:rPr>
        <w:t>.</w:t>
      </w:r>
      <w:r w:rsidR="003A166F" w:rsidRPr="003A166F">
        <w:rPr>
          <w:rtl/>
        </w:rPr>
        <w:t xml:space="preserve"> </w:t>
      </w:r>
      <w:r w:rsidRPr="00F12763">
        <w:rPr>
          <w:rtl/>
        </w:rPr>
        <w:t xml:space="preserve">وتلاحظ اللجنة أن الدولة الطرف اختارت توسيع نطاق التطبيق على جميع القوانين الوطنية وعدم اقتصارها على قطاعات معينة. وتعرب اللجنة عن قلقها إزاء المادتين 144 </w:t>
      </w:r>
      <w:proofErr w:type="spellStart"/>
      <w:r w:rsidRPr="00F12763">
        <w:rPr>
          <w:rtl/>
        </w:rPr>
        <w:t>و145</w:t>
      </w:r>
      <w:proofErr w:type="spellEnd"/>
      <w:r w:rsidRPr="00F12763">
        <w:rPr>
          <w:rtl/>
        </w:rPr>
        <w:t xml:space="preserve"> من قانون العقوبات، اللتين تجرمان الكتابات أو الرسومات التي تهين أشياء متعلقة بدين أو رجل دين، وكذلك المادتين 443 </w:t>
      </w:r>
      <w:proofErr w:type="spellStart"/>
      <w:r w:rsidRPr="00F12763">
        <w:rPr>
          <w:rtl/>
        </w:rPr>
        <w:t>و444</w:t>
      </w:r>
      <w:proofErr w:type="spellEnd"/>
      <w:r w:rsidRPr="00F12763">
        <w:rPr>
          <w:rtl/>
        </w:rPr>
        <w:t xml:space="preserve"> المتعلقتين بالتشهير. وتحيط اللجنة علم</w:t>
      </w:r>
      <w:r w:rsidR="00A317D1">
        <w:rPr>
          <w:rtl/>
        </w:rPr>
        <w:t xml:space="preserve">اً </w:t>
      </w:r>
      <w:r w:rsidRPr="00F12763">
        <w:rPr>
          <w:rtl/>
        </w:rPr>
        <w:t>بالمعلومات التي قدمتها الدولة الطرف ومفادها أنه يجري إعداد مشروع قانون أولي لتكييف العقوبات مع الوقائع، وأن المواد المذكورة تتأثر بهذا التكييف. غير أن اللجنة تشير إلى تعليقها العام رقم</w:t>
      </w:r>
      <w:r w:rsidR="00103E9F">
        <w:rPr>
          <w:rFonts w:hint="cs"/>
          <w:rtl/>
        </w:rPr>
        <w:t> </w:t>
      </w:r>
      <w:r w:rsidRPr="00F12763">
        <w:rPr>
          <w:rtl/>
        </w:rPr>
        <w:t>34</w:t>
      </w:r>
      <w:r w:rsidRPr="00F12763">
        <w:rPr>
          <w:rFonts w:ascii="Traditional Arabic"/>
          <w:rtl/>
        </w:rPr>
        <w:t>(</w:t>
      </w:r>
      <w:r w:rsidRPr="00F12763">
        <w:rPr>
          <w:rtl/>
        </w:rPr>
        <w:t>201</w:t>
      </w:r>
      <w:r w:rsidR="003A166F" w:rsidRPr="003A166F">
        <w:rPr>
          <w:rtl/>
        </w:rPr>
        <w:t>1</w:t>
      </w:r>
      <w:r w:rsidR="003A166F" w:rsidRPr="003A166F">
        <w:rPr>
          <w:rFonts w:ascii="Traditional Arabic"/>
          <w:rtl/>
        </w:rPr>
        <w:t>)</w:t>
      </w:r>
      <w:r w:rsidR="003A166F" w:rsidRPr="003A166F">
        <w:rPr>
          <w:rtl/>
        </w:rPr>
        <w:t xml:space="preserve"> </w:t>
      </w:r>
      <w:r w:rsidRPr="00F12763">
        <w:rPr>
          <w:rtl/>
        </w:rPr>
        <w:t>الذي ينص في الفقرة 47 منه على أنه ينبغي للدول الأطراف أن تنظر في إلغاء تجريم التشهير وأنه ينبغي، في جميع الحالات، أن يقتصر تطبيق قانون العقوبات على أخطر الحالات وأن السجن ليس عقوبة مناسبة أبد</w:t>
      </w:r>
      <w:r w:rsidR="00A317D1">
        <w:rPr>
          <w:rtl/>
        </w:rPr>
        <w:t xml:space="preserve">اً </w:t>
      </w:r>
      <w:r w:rsidRPr="00F12763">
        <w:rPr>
          <w:rtl/>
        </w:rPr>
        <w:t xml:space="preserve">(المادتان 19 </w:t>
      </w:r>
      <w:proofErr w:type="spellStart"/>
      <w:r w:rsidRPr="00F12763">
        <w:rPr>
          <w:rtl/>
        </w:rPr>
        <w:t>و2</w:t>
      </w:r>
      <w:r w:rsidR="003A166F" w:rsidRPr="003A166F">
        <w:rPr>
          <w:rtl/>
        </w:rPr>
        <w:t>0</w:t>
      </w:r>
      <w:proofErr w:type="spellEnd"/>
      <w:r w:rsidR="003A166F" w:rsidRPr="003A166F">
        <w:rPr>
          <w:rFonts w:ascii="Traditional Arabic"/>
          <w:rtl/>
        </w:rPr>
        <w:t>)</w:t>
      </w:r>
      <w:r w:rsidR="003A166F" w:rsidRPr="003A166F">
        <w:rPr>
          <w:rtl/>
        </w:rPr>
        <w:t>.</w:t>
      </w:r>
    </w:p>
    <w:p w14:paraId="52998819" w14:textId="10EB5397" w:rsidR="00EE517B" w:rsidRPr="00C03E34" w:rsidRDefault="00EE517B" w:rsidP="00EE517B">
      <w:pPr>
        <w:pStyle w:val="SingleTxtGA"/>
        <w:rPr>
          <w:b/>
          <w:bCs/>
          <w:lang w:val="ar-SA" w:eastAsia="zh-TW" w:bidi="en-GB"/>
        </w:rPr>
      </w:pPr>
      <w:r w:rsidRPr="00EE517B">
        <w:rPr>
          <w:rtl/>
        </w:rPr>
        <w:t>24</w:t>
      </w:r>
      <w:r w:rsidRPr="002D0522">
        <w:rPr>
          <w:rFonts w:ascii="Traditional Arabic"/>
          <w:rtl/>
        </w:rPr>
        <w:t>-</w:t>
      </w:r>
      <w:r w:rsidRPr="002D0522">
        <w:rPr>
          <w:rtl/>
        </w:rPr>
        <w:tab/>
      </w:r>
      <w:r w:rsidRPr="00C03E34">
        <w:rPr>
          <w:b/>
          <w:bCs/>
          <w:rtl/>
        </w:rPr>
        <w:t>ينبغي للدولة الطرف أن تنظر في إلغاء تجريم التشهير، وأن تقصر، على أي حال، تطبيق قانون العقوبات على أخطر الحالات، على أن يكون مفهوم</w:t>
      </w:r>
      <w:r w:rsidR="00A317D1">
        <w:rPr>
          <w:b/>
          <w:bCs/>
          <w:rtl/>
        </w:rPr>
        <w:t xml:space="preserve">اً </w:t>
      </w:r>
      <w:r w:rsidRPr="00C03E34">
        <w:rPr>
          <w:b/>
          <w:bCs/>
          <w:rtl/>
        </w:rPr>
        <w:t>أن السجن ليس أبد</w:t>
      </w:r>
      <w:r w:rsidR="00A317D1">
        <w:rPr>
          <w:b/>
          <w:bCs/>
          <w:rtl/>
        </w:rPr>
        <w:t xml:space="preserve">اً </w:t>
      </w:r>
      <w:r w:rsidRPr="00C03E34">
        <w:rPr>
          <w:b/>
          <w:bCs/>
          <w:rtl/>
        </w:rPr>
        <w:t>عقوبة مناسبة لجريمة التشهير، على النحو المبين في تعليق اللجنة العام رقم 34</w:t>
      </w:r>
      <w:r w:rsidRPr="00C03E34">
        <w:rPr>
          <w:rFonts w:ascii="Traditional Arabic"/>
          <w:b/>
          <w:bCs/>
          <w:rtl/>
        </w:rPr>
        <w:t>(</w:t>
      </w:r>
      <w:r w:rsidRPr="00C03E34">
        <w:rPr>
          <w:b/>
          <w:bCs/>
          <w:rtl/>
        </w:rPr>
        <w:t>201</w:t>
      </w:r>
      <w:r w:rsidR="003A166F" w:rsidRPr="003A166F">
        <w:rPr>
          <w:b/>
          <w:bCs/>
          <w:rtl/>
        </w:rPr>
        <w:t>1</w:t>
      </w:r>
      <w:r w:rsidR="003A166F" w:rsidRPr="003A166F">
        <w:rPr>
          <w:rFonts w:ascii="Traditional Arabic"/>
          <w:b/>
          <w:bCs/>
          <w:rtl/>
        </w:rPr>
        <w:t>)</w:t>
      </w:r>
      <w:r w:rsidR="003A166F" w:rsidRPr="003A166F">
        <w:rPr>
          <w:b/>
          <w:bCs/>
          <w:rtl/>
        </w:rPr>
        <w:t xml:space="preserve"> </w:t>
      </w:r>
      <w:r w:rsidRPr="00C03E34">
        <w:rPr>
          <w:b/>
          <w:bCs/>
          <w:rtl/>
        </w:rPr>
        <w:t>بشأن حرية الرأي والتعبير.</w:t>
      </w:r>
    </w:p>
    <w:p w14:paraId="6706FC46" w14:textId="77777777" w:rsidR="00EE517B" w:rsidRPr="008A6289" w:rsidRDefault="00EE517B" w:rsidP="00EE517B">
      <w:pPr>
        <w:pStyle w:val="H23GA"/>
        <w:rPr>
          <w:lang w:val="ar-SA" w:eastAsia="zh-TW" w:bidi="en-GB"/>
        </w:rPr>
      </w:pPr>
      <w:r w:rsidRPr="002D0522">
        <w:rPr>
          <w:rtl/>
        </w:rPr>
        <w:tab/>
      </w:r>
      <w:r w:rsidRPr="002D0522">
        <w:rPr>
          <w:rtl/>
        </w:rPr>
        <w:tab/>
      </w:r>
      <w:r w:rsidRPr="008A6289">
        <w:rPr>
          <w:rFonts w:hint="eastAsia"/>
          <w:rtl/>
        </w:rPr>
        <w:t>الحق</w:t>
      </w:r>
      <w:r w:rsidRPr="008A6289">
        <w:rPr>
          <w:rtl/>
        </w:rPr>
        <w:t xml:space="preserve"> في التجمع السلمي </w:t>
      </w:r>
    </w:p>
    <w:p w14:paraId="1208F76D" w14:textId="273A03DA" w:rsidR="00EE517B" w:rsidRPr="002D0522" w:rsidRDefault="00EE517B" w:rsidP="00103E9F">
      <w:pPr>
        <w:pStyle w:val="SingleTxtGA"/>
        <w:rPr>
          <w:lang w:val="ar-SA" w:eastAsia="zh-TW" w:bidi="en-GB"/>
        </w:rPr>
      </w:pPr>
      <w:r w:rsidRPr="00EE517B">
        <w:rPr>
          <w:rtl/>
        </w:rPr>
        <w:t>25</w:t>
      </w:r>
      <w:r w:rsidRPr="002D0522">
        <w:rPr>
          <w:rFonts w:ascii="Traditional Arabic"/>
          <w:rtl/>
        </w:rPr>
        <w:t>-</w:t>
      </w:r>
      <w:r w:rsidRPr="002D0522">
        <w:rPr>
          <w:rtl/>
        </w:rPr>
        <w:tab/>
      </w:r>
      <w:r w:rsidRPr="00C03E34">
        <w:rPr>
          <w:rtl/>
        </w:rPr>
        <w:t>يساور اللجنة القلق لأن أحكام المادة 25 من دستور الدولة الطرف تجعل التجمعات في الهواء الطلق أو التجمعات السياسية أو الدينية أو غيرها من التجمعات خاضعة لإذن مسبق. وتحيط علم</w:t>
      </w:r>
      <w:r w:rsidR="00A317D1">
        <w:rPr>
          <w:rtl/>
        </w:rPr>
        <w:t xml:space="preserve">اً </w:t>
      </w:r>
      <w:r w:rsidRPr="00C03E34">
        <w:rPr>
          <w:rtl/>
        </w:rPr>
        <w:t>بالمعلومات التي قدمها الوفد بشأن تنفيذ السلطات المحلية لهذا الشرط مشدد</w:t>
      </w:r>
      <w:r w:rsidR="00A317D1">
        <w:rPr>
          <w:rtl/>
        </w:rPr>
        <w:t xml:space="preserve">اً </w:t>
      </w:r>
      <w:r w:rsidRPr="00C03E34">
        <w:rPr>
          <w:rtl/>
        </w:rPr>
        <w:t xml:space="preserve">على الغرض منه، وهو </w:t>
      </w:r>
      <w:r w:rsidRPr="00C03E34">
        <w:rPr>
          <w:rtl/>
        </w:rPr>
        <w:lastRenderedPageBreak/>
        <w:t>ضمان أمن التجمعات. ويساور اللجنة القلق أيض</w:t>
      </w:r>
      <w:r w:rsidR="00A317D1">
        <w:rPr>
          <w:rtl/>
        </w:rPr>
        <w:t xml:space="preserve">اً </w:t>
      </w:r>
      <w:r w:rsidRPr="00C03E34">
        <w:rPr>
          <w:rtl/>
        </w:rPr>
        <w:t>إزاء إمكانية الإبقاء على هذا القيد في اقتراح التنقيح رقم</w:t>
      </w:r>
      <w:r w:rsidR="00E75706">
        <w:rPr>
          <w:rFonts w:hint="cs"/>
          <w:rtl/>
        </w:rPr>
        <w:t> </w:t>
      </w:r>
      <w:r w:rsidRPr="00C03E34">
        <w:rPr>
          <w:rtl/>
        </w:rPr>
        <w:t>7755 للفصل الثاني من الدستور، الذي هو قيد الاعتماد (المادة 2</w:t>
      </w:r>
      <w:r w:rsidR="003A166F" w:rsidRPr="003A166F">
        <w:rPr>
          <w:rtl/>
        </w:rPr>
        <w:t>1</w:t>
      </w:r>
      <w:r w:rsidR="003A166F" w:rsidRPr="003A166F">
        <w:rPr>
          <w:rFonts w:ascii="Traditional Arabic"/>
          <w:rtl/>
        </w:rPr>
        <w:t>)</w:t>
      </w:r>
      <w:r w:rsidR="003A166F" w:rsidRPr="003A166F">
        <w:rPr>
          <w:rtl/>
        </w:rPr>
        <w:t xml:space="preserve">. </w:t>
      </w:r>
    </w:p>
    <w:p w14:paraId="7D08DCF2" w14:textId="3B812FE3" w:rsidR="00EE517B" w:rsidRPr="002D0522" w:rsidRDefault="00EE517B" w:rsidP="00EE517B">
      <w:pPr>
        <w:pStyle w:val="SingleTxtGA"/>
        <w:rPr>
          <w:b/>
          <w:lang w:val="ar-SA" w:eastAsia="zh-TW" w:bidi="en-GB"/>
        </w:rPr>
      </w:pPr>
      <w:r w:rsidRPr="00EE517B">
        <w:rPr>
          <w:rtl/>
        </w:rPr>
        <w:t>26</w:t>
      </w:r>
      <w:r w:rsidRPr="002D0522">
        <w:rPr>
          <w:rFonts w:ascii="Traditional Arabic"/>
          <w:rtl/>
        </w:rPr>
        <w:t>-</w:t>
      </w:r>
      <w:r w:rsidRPr="002D0522">
        <w:rPr>
          <w:rtl/>
        </w:rPr>
        <w:tab/>
      </w:r>
      <w:r w:rsidRPr="00C03E34">
        <w:rPr>
          <w:b/>
          <w:bCs/>
          <w:rtl/>
        </w:rPr>
        <w:t>ينبغي للدولة الطرف أن تتخذ التدابير التشريعية اللازمة لرفع الحظر المفروض على المظاهرات التي لم يتم الإخطار بها مسبقا</w:t>
      </w:r>
      <w:r w:rsidR="00BD0001">
        <w:rPr>
          <w:rFonts w:hint="cs"/>
          <w:b/>
          <w:bCs/>
          <w:rtl/>
        </w:rPr>
        <w:t>ً</w:t>
      </w:r>
      <w:r w:rsidRPr="00C03E34">
        <w:rPr>
          <w:b/>
          <w:bCs/>
          <w:rtl/>
        </w:rPr>
        <w:t>، بالرجوع إلى تعليق اللجنة العام رقم 37</w:t>
      </w:r>
      <w:r w:rsidRPr="00C03E34">
        <w:rPr>
          <w:rFonts w:ascii="Traditional Arabic"/>
          <w:b/>
          <w:bCs/>
          <w:rtl/>
        </w:rPr>
        <w:t>(</w:t>
      </w:r>
      <w:r w:rsidRPr="00C03E34">
        <w:rPr>
          <w:b/>
          <w:bCs/>
          <w:rtl/>
        </w:rPr>
        <w:t>202</w:t>
      </w:r>
      <w:r w:rsidR="003A166F" w:rsidRPr="003A166F">
        <w:rPr>
          <w:b/>
          <w:bCs/>
          <w:rtl/>
        </w:rPr>
        <w:t>0</w:t>
      </w:r>
      <w:r w:rsidR="003A166F" w:rsidRPr="003A166F">
        <w:rPr>
          <w:rFonts w:ascii="Traditional Arabic"/>
          <w:b/>
          <w:bCs/>
          <w:rtl/>
        </w:rPr>
        <w:t>)</w:t>
      </w:r>
      <w:r w:rsidR="003A166F" w:rsidRPr="003A166F">
        <w:rPr>
          <w:b/>
          <w:bCs/>
          <w:rtl/>
        </w:rPr>
        <w:t xml:space="preserve"> </w:t>
      </w:r>
      <w:r w:rsidRPr="00C03E34">
        <w:rPr>
          <w:b/>
          <w:bCs/>
          <w:rtl/>
        </w:rPr>
        <w:t xml:space="preserve">بشأن الحق في التجمع السلمي (الفقرتان 70 </w:t>
      </w:r>
      <w:proofErr w:type="spellStart"/>
      <w:r w:rsidRPr="00C03E34">
        <w:rPr>
          <w:b/>
          <w:bCs/>
          <w:rtl/>
        </w:rPr>
        <w:t>و7</w:t>
      </w:r>
      <w:r w:rsidR="003A166F" w:rsidRPr="003A166F">
        <w:rPr>
          <w:b/>
          <w:bCs/>
          <w:rtl/>
        </w:rPr>
        <w:t>1</w:t>
      </w:r>
      <w:proofErr w:type="spellEnd"/>
      <w:r w:rsidR="003A166F" w:rsidRPr="003A166F">
        <w:rPr>
          <w:rFonts w:ascii="Traditional Arabic"/>
          <w:b/>
          <w:bCs/>
          <w:rtl/>
        </w:rPr>
        <w:t>)</w:t>
      </w:r>
      <w:r w:rsidR="003A166F" w:rsidRPr="003A166F">
        <w:rPr>
          <w:b/>
          <w:bCs/>
          <w:rtl/>
        </w:rPr>
        <w:t xml:space="preserve">. </w:t>
      </w:r>
      <w:r w:rsidRPr="00C03E34">
        <w:rPr>
          <w:b/>
          <w:bCs/>
          <w:rtl/>
        </w:rPr>
        <w:t>وينبغي لها أيض</w:t>
      </w:r>
      <w:r w:rsidR="00BD0001">
        <w:rPr>
          <w:b/>
          <w:bCs/>
          <w:rtl/>
        </w:rPr>
        <w:t xml:space="preserve">اً </w:t>
      </w:r>
      <w:r w:rsidRPr="00C03E34">
        <w:rPr>
          <w:b/>
          <w:bCs/>
          <w:rtl/>
        </w:rPr>
        <w:t>أن تزود السلطات المحلية وموظفي الشرطة بتوجيهات واضحة بشأن التزامات الدولة الطرف بموجب المادة 21 من العهد.</w:t>
      </w:r>
      <w:r w:rsidRPr="002D0522">
        <w:rPr>
          <w:rtl/>
        </w:rPr>
        <w:t xml:space="preserve"> </w:t>
      </w:r>
    </w:p>
    <w:p w14:paraId="581133A3" w14:textId="237BD541" w:rsidR="00EE517B" w:rsidRPr="002D0522" w:rsidRDefault="00EE517B" w:rsidP="00EE517B">
      <w:pPr>
        <w:pStyle w:val="H1GA"/>
        <w:rPr>
          <w:rFonts w:eastAsiaTheme="minorEastAsia"/>
          <w:lang w:val="ar-SA" w:eastAsia="zh-TW" w:bidi="en-GB"/>
        </w:rPr>
      </w:pPr>
      <w:r>
        <w:rPr>
          <w:rtl/>
        </w:rPr>
        <w:tab/>
      </w:r>
      <w:r w:rsidRPr="002D0522">
        <w:rPr>
          <w:rtl/>
        </w:rPr>
        <w:t>دال-</w:t>
      </w:r>
      <w:r w:rsidRPr="002D0522">
        <w:rPr>
          <w:rtl/>
        </w:rPr>
        <w:tab/>
      </w:r>
      <w:r w:rsidRPr="008A6289">
        <w:rPr>
          <w:rFonts w:hint="eastAsia"/>
          <w:rtl/>
        </w:rPr>
        <w:t>النشر</w:t>
      </w:r>
      <w:r w:rsidRPr="008A6289">
        <w:rPr>
          <w:rtl/>
        </w:rPr>
        <w:t xml:space="preserve"> </w:t>
      </w:r>
      <w:r w:rsidRPr="008A6289">
        <w:rPr>
          <w:rFonts w:hint="eastAsia"/>
          <w:rtl/>
        </w:rPr>
        <w:t>والمتابعة</w:t>
      </w:r>
      <w:r w:rsidRPr="002D0522">
        <w:rPr>
          <w:rtl/>
        </w:rPr>
        <w:t xml:space="preserve"> </w:t>
      </w:r>
    </w:p>
    <w:p w14:paraId="26F6DAA5" w14:textId="77777777" w:rsidR="00EE517B" w:rsidRPr="00EE517B" w:rsidRDefault="00EE517B" w:rsidP="00EE517B">
      <w:pPr>
        <w:pStyle w:val="SingleTxtGA"/>
        <w:rPr>
          <w:rFonts w:eastAsia="SimSun"/>
          <w:b/>
          <w:bCs/>
          <w:lang w:val="ar-SA" w:eastAsia="zh-TW" w:bidi="en-GB"/>
        </w:rPr>
      </w:pPr>
      <w:r w:rsidRPr="00EE517B">
        <w:rPr>
          <w:rtl/>
        </w:rPr>
        <w:t>27</w:t>
      </w:r>
      <w:r w:rsidRPr="002D0522">
        <w:rPr>
          <w:rFonts w:ascii="Traditional Arabic"/>
          <w:rtl/>
        </w:rPr>
        <w:t>-</w:t>
      </w:r>
      <w:r w:rsidRPr="002D0522">
        <w:rPr>
          <w:rtl/>
        </w:rPr>
        <w:tab/>
      </w:r>
      <w:r w:rsidRPr="00EE517B">
        <w:rPr>
          <w:b/>
          <w:bCs/>
          <w:rtl/>
        </w:rPr>
        <w:t>ينبغي للدولة الطرف أن تنشر على نطاق واسع نص العهد وبروتوكوليه الاختياريين وتقريرها الدوري الرابع وهذه الملاحظات الختامية بين السلطات القضائية والتشريعية والإدارية والمجتمع المدني والمنظمات غير الحكومية الموجودة في البلد، وكذلك في صفوف عامة الجمهور من أجل زيادة الوعي بالحقوق المكرسة في العهد. وينبغي للدولة الطرف أن تعمل على ترجمة التقرير الدوري وهذه الملاحظات الختامية إلى لغاتها الرسمية.</w:t>
      </w:r>
    </w:p>
    <w:p w14:paraId="672EAB07" w14:textId="7E3BB200" w:rsidR="00EE517B" w:rsidRPr="002D0522" w:rsidRDefault="00EE517B" w:rsidP="00EE517B">
      <w:pPr>
        <w:pStyle w:val="SingleTxtGA"/>
        <w:rPr>
          <w:b/>
          <w:lang w:val="ar-SA" w:eastAsia="zh-TW" w:bidi="en-GB"/>
        </w:rPr>
      </w:pPr>
      <w:r w:rsidRPr="00EE517B">
        <w:rPr>
          <w:rtl/>
        </w:rPr>
        <w:t>28</w:t>
      </w:r>
      <w:r w:rsidRPr="002D0522">
        <w:rPr>
          <w:rFonts w:ascii="Traditional Arabic"/>
          <w:rtl/>
        </w:rPr>
        <w:t>-</w:t>
      </w:r>
      <w:r w:rsidRPr="002D0522">
        <w:rPr>
          <w:rtl/>
        </w:rPr>
        <w:tab/>
      </w:r>
      <w:r w:rsidRPr="00EE517B">
        <w:rPr>
          <w:b/>
          <w:bCs/>
          <w:rtl/>
        </w:rPr>
        <w:t>ووفق</w:t>
      </w:r>
      <w:r w:rsidR="00BD0001">
        <w:rPr>
          <w:b/>
          <w:bCs/>
          <w:rtl/>
        </w:rPr>
        <w:t xml:space="preserve">اً </w:t>
      </w:r>
      <w:r w:rsidRPr="00EE517B">
        <w:rPr>
          <w:b/>
          <w:bCs/>
          <w:rtl/>
        </w:rPr>
        <w:t>للفقرة 1 من المادة 75 من النظام الداخلي للجنة، فإن الدولة الطرف مدعوة إلى أن تقدم، بحلول 28 تموز/يوليه 2025، معلومات عن متابعتها لتوصيات اللجنة الواردة في الفقرات 12</w:t>
      </w:r>
      <w:r w:rsidRPr="00EE517B">
        <w:rPr>
          <w:rFonts w:ascii="Traditional Arabic"/>
          <w:b/>
          <w:bCs/>
          <w:rtl/>
        </w:rPr>
        <w:t xml:space="preserve"> (</w:t>
      </w:r>
      <w:r w:rsidRPr="00EE517B">
        <w:rPr>
          <w:b/>
          <w:bCs/>
          <w:rtl/>
        </w:rPr>
        <w:t>الميل الجنسي والهوية الجنسانية وحاملي صفات الجنسين</w:t>
      </w:r>
      <w:r w:rsidRPr="00EE517B">
        <w:rPr>
          <w:rFonts w:ascii="Traditional Arabic"/>
          <w:b/>
          <w:bCs/>
          <w:rtl/>
        </w:rPr>
        <w:t>)</w:t>
      </w:r>
      <w:r w:rsidRPr="00EE517B">
        <w:rPr>
          <w:b/>
          <w:bCs/>
          <w:rtl/>
        </w:rPr>
        <w:t xml:space="preserve"> و16</w:t>
      </w:r>
      <w:r w:rsidRPr="00EE517B">
        <w:rPr>
          <w:rFonts w:ascii="Traditional Arabic"/>
          <w:b/>
          <w:bCs/>
          <w:rtl/>
        </w:rPr>
        <w:t xml:space="preserve"> (</w:t>
      </w:r>
      <w:r w:rsidRPr="00EE517B">
        <w:rPr>
          <w:b/>
          <w:bCs/>
          <w:rtl/>
        </w:rPr>
        <w:t xml:space="preserve">تشويه الأعضاء التناسلية </w:t>
      </w:r>
      <w:r w:rsidR="00A9386C" w:rsidRPr="00EE517B">
        <w:rPr>
          <w:rFonts w:hint="cs"/>
          <w:b/>
          <w:bCs/>
          <w:rtl/>
        </w:rPr>
        <w:t>الأنثوية</w:t>
      </w:r>
      <w:r w:rsidRPr="00EE517B">
        <w:rPr>
          <w:rFonts w:ascii="Traditional Arabic"/>
          <w:b/>
          <w:bCs/>
          <w:rtl/>
        </w:rPr>
        <w:t>)</w:t>
      </w:r>
      <w:r w:rsidRPr="00EE517B">
        <w:rPr>
          <w:b/>
          <w:bCs/>
          <w:rtl/>
        </w:rPr>
        <w:t xml:space="preserve"> و26</w:t>
      </w:r>
      <w:r w:rsidRPr="00EE517B">
        <w:rPr>
          <w:rFonts w:ascii="Traditional Arabic"/>
          <w:b/>
          <w:bCs/>
          <w:rtl/>
        </w:rPr>
        <w:t xml:space="preserve"> (</w:t>
      </w:r>
      <w:r w:rsidRPr="00EE517B">
        <w:rPr>
          <w:b/>
          <w:bCs/>
          <w:rtl/>
        </w:rPr>
        <w:t>الحق في التجمع السلمي</w:t>
      </w:r>
      <w:r w:rsidRPr="00EE517B">
        <w:rPr>
          <w:rFonts w:ascii="Traditional Arabic"/>
          <w:b/>
          <w:bCs/>
          <w:rtl/>
        </w:rPr>
        <w:t>)</w:t>
      </w:r>
      <w:r w:rsidRPr="00EE517B">
        <w:rPr>
          <w:b/>
          <w:bCs/>
          <w:rtl/>
        </w:rPr>
        <w:t xml:space="preserve"> أعلاه.</w:t>
      </w:r>
    </w:p>
    <w:p w14:paraId="04642980" w14:textId="760447AA" w:rsidR="00EE517B" w:rsidRPr="002D0522" w:rsidRDefault="00EE517B" w:rsidP="00EE517B">
      <w:pPr>
        <w:pStyle w:val="SingleTxtGA"/>
        <w:rPr>
          <w:rFonts w:eastAsia="SimSun"/>
          <w:b/>
          <w:lang w:val="ar-SA" w:eastAsia="zh-TW" w:bidi="en-GB"/>
        </w:rPr>
      </w:pPr>
      <w:r w:rsidRPr="00EE517B">
        <w:rPr>
          <w:rtl/>
        </w:rPr>
        <w:t>29</w:t>
      </w:r>
      <w:r w:rsidRPr="002D0522">
        <w:rPr>
          <w:rFonts w:ascii="Traditional Arabic"/>
          <w:rtl/>
        </w:rPr>
        <w:t>-</w:t>
      </w:r>
      <w:r w:rsidRPr="002D0522">
        <w:rPr>
          <w:rtl/>
        </w:rPr>
        <w:tab/>
      </w:r>
      <w:r w:rsidRPr="00EE517B">
        <w:rPr>
          <w:b/>
          <w:bCs/>
          <w:rtl/>
        </w:rPr>
        <w:t>وفي إطار جولة الاستعراض المتوقعة للجنة، ستتلقى الدولة الطرف في عام 2028 قائمة المسائل التي أعدتها اللجنة قبل تقديم التقرير، وسيطلب منها تقديم ردودها إلى اللجنة، التي ستشكل تقريرها الدوري الخامس، في غضون سنة واحدة. وتطلب اللجنة أيض</w:t>
      </w:r>
      <w:r w:rsidR="00BD0001">
        <w:rPr>
          <w:b/>
          <w:bCs/>
          <w:rtl/>
        </w:rPr>
        <w:t xml:space="preserve">اً </w:t>
      </w:r>
      <w:r w:rsidRPr="00EE517B">
        <w:rPr>
          <w:b/>
          <w:bCs/>
          <w:rtl/>
        </w:rPr>
        <w:t>إلى الدولة الطرف أن تتشاور على نطاق واسع مع المجتمع المدني والمنظمات غير الحكومية في البلد لدى إعداد هذا التقرير. ووفق</w:t>
      </w:r>
      <w:r w:rsidR="00BD0001">
        <w:rPr>
          <w:b/>
          <w:bCs/>
          <w:rtl/>
        </w:rPr>
        <w:t xml:space="preserve">اً </w:t>
      </w:r>
      <w:r w:rsidRPr="00EE517B">
        <w:rPr>
          <w:b/>
          <w:bCs/>
          <w:rtl/>
        </w:rPr>
        <w:t>لقرار الجمعية العامة 68</w:t>
      </w:r>
      <w:r w:rsidRPr="00EE517B">
        <w:rPr>
          <w:rFonts w:ascii="Traditional Arabic"/>
          <w:b/>
          <w:bCs/>
          <w:rtl/>
        </w:rPr>
        <w:t>/</w:t>
      </w:r>
      <w:r w:rsidRPr="00EE517B">
        <w:rPr>
          <w:b/>
          <w:bCs/>
          <w:rtl/>
        </w:rPr>
        <w:t xml:space="preserve">268، ينبغي ألا يتجاوز التقرير </w:t>
      </w:r>
      <w:r w:rsidR="00F711F8">
        <w:rPr>
          <w:rFonts w:hint="cs"/>
          <w:b/>
          <w:bCs/>
          <w:rtl/>
        </w:rPr>
        <w:t>200 21</w:t>
      </w:r>
      <w:r w:rsidRPr="00EE517B">
        <w:rPr>
          <w:b/>
          <w:bCs/>
          <w:rtl/>
        </w:rPr>
        <w:t xml:space="preserve"> كلمة. وسيعقد الحوار البناء المقبل مع الدولة الطرف في عام 2030 في جنيف.</w:t>
      </w:r>
    </w:p>
    <w:p w14:paraId="1198D3F1" w14:textId="77777777" w:rsidR="00EE517B" w:rsidRPr="00EE517B" w:rsidRDefault="00EE517B" w:rsidP="00EE517B">
      <w:pPr>
        <w:pStyle w:val="SingleTxtG"/>
        <w:spacing w:before="240" w:after="0"/>
        <w:jc w:val="center"/>
        <w:rPr>
          <w:sz w:val="26"/>
          <w:szCs w:val="26"/>
          <w:u w:val="single"/>
          <w:lang w:val="en-US"/>
        </w:rPr>
      </w:pPr>
      <w:r w:rsidRPr="002D0522">
        <w:rPr>
          <w:sz w:val="26"/>
          <w:szCs w:val="26"/>
          <w:u w:val="single"/>
          <w:lang w:val="fr-FR"/>
        </w:rPr>
        <w:tab/>
      </w:r>
      <w:r w:rsidRPr="002D0522">
        <w:rPr>
          <w:sz w:val="26"/>
          <w:szCs w:val="26"/>
          <w:u w:val="single"/>
          <w:lang w:val="fr-FR"/>
        </w:rPr>
        <w:tab/>
      </w:r>
      <w:r w:rsidRPr="002D0522">
        <w:rPr>
          <w:sz w:val="26"/>
          <w:szCs w:val="26"/>
          <w:u w:val="single"/>
          <w:lang w:val="fr-FR"/>
        </w:rPr>
        <w:tab/>
      </w:r>
      <w:r w:rsidRPr="002D0522">
        <w:rPr>
          <w:sz w:val="26"/>
          <w:szCs w:val="26"/>
          <w:u w:val="single"/>
          <w:lang w:val="fr-FR"/>
        </w:rPr>
        <w:tab/>
      </w:r>
    </w:p>
    <w:sectPr w:rsidR="00EE517B" w:rsidRPr="00EE517B" w:rsidSect="004E20A9">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7311CC" w14:textId="77777777" w:rsidR="00590BC5" w:rsidRPr="002901D9" w:rsidRDefault="00590BC5" w:rsidP="00DC4D4B">
      <w:pPr>
        <w:spacing w:after="60" w:line="240" w:lineRule="auto"/>
        <w:ind w:left="57"/>
        <w:rPr>
          <w:i/>
          <w:iCs/>
        </w:rPr>
      </w:pPr>
      <w:r>
        <w:rPr>
          <w:rFonts w:hint="cs"/>
          <w:i/>
          <w:iCs/>
          <w:rtl/>
        </w:rPr>
        <w:t>الحواشي</w:t>
      </w:r>
    </w:p>
  </w:endnote>
  <w:endnote w:type="continuationSeparator" w:id="0">
    <w:p w14:paraId="15B9B945" w14:textId="77777777" w:rsidR="00590BC5" w:rsidRDefault="00590BC5"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C1A767" w14:textId="6A34BFD3" w:rsidR="008C1A20" w:rsidRPr="008C1A20" w:rsidRDefault="008C1A20" w:rsidP="008C1A20">
    <w:pPr>
      <w:pStyle w:val="Footer"/>
      <w:tabs>
        <w:tab w:val="right" w:pos="9638"/>
      </w:tabs>
      <w:rPr>
        <w:b/>
        <w:sz w:val="18"/>
        <w:lang w:val="en-US"/>
      </w:rPr>
    </w:pPr>
    <w:r>
      <w:rPr>
        <w:lang w:val="en-US"/>
      </w:rPr>
      <w:t>GE.22-14492</w:t>
    </w:r>
    <w:r>
      <w:rPr>
        <w:lang w:val="en-US"/>
      </w:rPr>
      <w:tab/>
    </w:r>
    <w:r w:rsidRPr="008C1A20">
      <w:rPr>
        <w:b/>
        <w:sz w:val="18"/>
        <w:lang w:val="en-US"/>
      </w:rPr>
      <w:fldChar w:fldCharType="begin"/>
    </w:r>
    <w:r w:rsidRPr="008C1A20">
      <w:rPr>
        <w:b/>
        <w:sz w:val="18"/>
        <w:lang w:val="en-US"/>
      </w:rPr>
      <w:instrText xml:space="preserve"> PAGE  \* MERGEFORMAT </w:instrText>
    </w:r>
    <w:r w:rsidRPr="008C1A20">
      <w:rPr>
        <w:b/>
        <w:sz w:val="18"/>
        <w:lang w:val="en-US"/>
      </w:rPr>
      <w:fldChar w:fldCharType="separate"/>
    </w:r>
    <w:r w:rsidRPr="008C1A20">
      <w:rPr>
        <w:b/>
        <w:noProof/>
        <w:sz w:val="18"/>
        <w:lang w:val="en-US"/>
      </w:rPr>
      <w:t>2</w:t>
    </w:r>
    <w:r w:rsidRPr="008C1A20">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A523AB" w14:textId="0DF6C138" w:rsidR="006959B0" w:rsidRPr="008C1A20" w:rsidRDefault="008C1A20" w:rsidP="008C1A20">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GE.22-14492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EFEC1E" w14:textId="5D671842" w:rsidR="00DE50B1" w:rsidRPr="008C1A20" w:rsidRDefault="008C1A20" w:rsidP="008C1A20">
    <w:pPr>
      <w:pStyle w:val="Footer"/>
      <w:spacing w:before="600"/>
      <w:ind w:left="567"/>
      <w:jc w:val="right"/>
      <w:rPr>
        <w:sz w:val="20"/>
        <w:lang w:val="en-US"/>
      </w:rPr>
    </w:pPr>
    <w:r>
      <w:rPr>
        <w:sz w:val="20"/>
        <w:lang w:val="en-US"/>
      </w:rPr>
      <w:t>GE.</w:t>
    </w:r>
    <w:r w:rsidR="00652221">
      <w:rPr>
        <w:noProof/>
      </w:rPr>
      <w:drawing>
        <wp:anchor distT="0" distB="0" distL="114300" distR="114300" simplePos="0" relativeHeight="251658240" behindDoc="1" locked="1" layoutInCell="0" allowOverlap="1" wp14:anchorId="4DAFD99D" wp14:editId="2C86B877">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22-14492 (A)</w:t>
    </w:r>
    <w:r>
      <w:rPr>
        <w:noProof/>
        <w:sz w:val="20"/>
        <w:lang w:val="en-US"/>
      </w:rPr>
      <w:drawing>
        <wp:anchor distT="0" distB="0" distL="114300" distR="114300" simplePos="0" relativeHeight="251659264" behindDoc="0" locked="0" layoutInCell="1" allowOverlap="1" wp14:anchorId="6AC70AB3" wp14:editId="77A9B405">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B77A9F" w14:textId="77777777" w:rsidR="00590BC5" w:rsidRPr="000437B8" w:rsidRDefault="00590BC5" w:rsidP="00F10DAB">
      <w:pPr>
        <w:pStyle w:val="Footer"/>
        <w:bidi/>
        <w:spacing w:after="80" w:line="200" w:lineRule="exact"/>
        <w:ind w:left="680"/>
      </w:pPr>
      <w:r>
        <w:rPr>
          <w:rtl/>
        </w:rPr>
        <w:t>__________</w:t>
      </w:r>
    </w:p>
  </w:footnote>
  <w:footnote w:type="continuationSeparator" w:id="0">
    <w:p w14:paraId="3244DA94" w14:textId="77777777" w:rsidR="00590BC5" w:rsidRDefault="00590BC5" w:rsidP="00656392">
      <w:pPr>
        <w:spacing w:line="240" w:lineRule="auto"/>
      </w:pPr>
      <w:r>
        <w:continuationSeparator/>
      </w:r>
    </w:p>
  </w:footnote>
  <w:footnote w:id="1">
    <w:p w14:paraId="2F07801F" w14:textId="60C9642A" w:rsidR="00EE517B" w:rsidRPr="00F721EF" w:rsidRDefault="00EE517B" w:rsidP="00A514FE">
      <w:pPr>
        <w:pStyle w:val="FootnoteText"/>
        <w:tabs>
          <w:tab w:val="clear" w:pos="1021"/>
        </w:tabs>
        <w:bidi/>
        <w:spacing w:after="60" w:line="280" w:lineRule="exact"/>
        <w:ind w:left="1247" w:right="1247" w:hanging="567"/>
        <w:jc w:val="lowKashida"/>
        <w:textDirection w:val="tbRlV"/>
      </w:pPr>
      <w:r w:rsidRPr="00F721EF">
        <w:rPr>
          <w:rtl/>
        </w:rPr>
        <w:t>*</w:t>
      </w:r>
      <w:r w:rsidRPr="00F721EF">
        <w:rPr>
          <w:rtl/>
        </w:rPr>
        <w:tab/>
        <w:t>اعتمدتها اللجنة في دورتها 135 (27 حزيران/يونيه - 27 تموز/يوليه 2022</w:t>
      </w:r>
      <w:r w:rsidR="003A166F" w:rsidRPr="003A166F">
        <w:rPr>
          <w:rtl/>
        </w:rPr>
        <w:t>).</w:t>
      </w:r>
      <w:r w:rsidR="003A166F" w:rsidRPr="003A166F">
        <w:rPr>
          <w:rFonts w:hint="cs"/>
          <w:rtl/>
        </w:rPr>
        <w:t xml:space="preserve"> </w:t>
      </w:r>
    </w:p>
  </w:footnote>
  <w:footnote w:id="2">
    <w:p w14:paraId="17B7BF24" w14:textId="77777777" w:rsidR="003A166F" w:rsidRPr="00F721EF" w:rsidRDefault="003A166F" w:rsidP="003A166F">
      <w:pPr>
        <w:pStyle w:val="FootnoteText"/>
        <w:tabs>
          <w:tab w:val="clear" w:pos="1021"/>
        </w:tabs>
        <w:bidi/>
        <w:spacing w:after="60" w:line="280" w:lineRule="exact"/>
        <w:ind w:left="1247" w:right="1247" w:hanging="567"/>
        <w:jc w:val="lowKashida"/>
        <w:textDirection w:val="tbRlV"/>
      </w:pPr>
      <w:r w:rsidRPr="00F721EF">
        <w:rPr>
          <w:rtl/>
        </w:rPr>
        <w:t>(</w:t>
      </w:r>
      <w:r w:rsidRPr="00F721EF">
        <w:rPr>
          <w:rtl/>
        </w:rPr>
        <w:footnoteRef/>
      </w:r>
      <w:r w:rsidRPr="00F721EF">
        <w:rPr>
          <w:rtl/>
        </w:rPr>
        <w:t>)</w:t>
      </w:r>
      <w:r w:rsidRPr="00F721EF">
        <w:rPr>
          <w:rtl/>
        </w:rPr>
        <w:tab/>
      </w:r>
      <w:hyperlink r:id="rId1" w:history="1">
        <w:r w:rsidRPr="003A166F">
          <w:rPr>
            <w:rStyle w:val="Hyperlink"/>
          </w:rPr>
          <w:t>CCPR/C/LUX/4</w:t>
        </w:r>
      </w:hyperlink>
      <w:r w:rsidRPr="003A166F">
        <w:rPr>
          <w:rtl/>
        </w:rPr>
        <w:t xml:space="preserve">. </w:t>
      </w:r>
    </w:p>
  </w:footnote>
  <w:footnote w:id="3">
    <w:p w14:paraId="48F3067C" w14:textId="77777777" w:rsidR="003A166F" w:rsidRPr="00F721EF" w:rsidRDefault="003A166F" w:rsidP="003A166F">
      <w:pPr>
        <w:pStyle w:val="FootnoteText"/>
        <w:tabs>
          <w:tab w:val="clear" w:pos="1021"/>
        </w:tabs>
        <w:bidi/>
        <w:spacing w:after="60" w:line="280" w:lineRule="exact"/>
        <w:ind w:left="1247" w:right="1247" w:hanging="567"/>
        <w:jc w:val="lowKashida"/>
        <w:textDirection w:val="tbRlV"/>
        <w:rPr>
          <w:rtl/>
        </w:rPr>
      </w:pPr>
      <w:r w:rsidRPr="00F721EF">
        <w:rPr>
          <w:rtl/>
        </w:rPr>
        <w:t>(</w:t>
      </w:r>
      <w:r w:rsidRPr="00F721EF">
        <w:rPr>
          <w:rtl/>
        </w:rPr>
        <w:footnoteRef/>
      </w:r>
      <w:r w:rsidRPr="00F721EF">
        <w:rPr>
          <w:rtl/>
        </w:rPr>
        <w:t>)</w:t>
      </w:r>
      <w:r w:rsidRPr="00F721EF">
        <w:rPr>
          <w:rtl/>
        </w:rPr>
        <w:tab/>
      </w:r>
      <w:hyperlink r:id="rId2" w:history="1">
        <w:r w:rsidRPr="003A166F">
          <w:rPr>
            <w:rStyle w:val="Hyperlink"/>
          </w:rPr>
          <w:t>CCPR/C/</w:t>
        </w:r>
        <w:proofErr w:type="spellStart"/>
        <w:r w:rsidRPr="003A166F">
          <w:rPr>
            <w:rStyle w:val="Hyperlink"/>
          </w:rPr>
          <w:t>SR.3880</w:t>
        </w:r>
        <w:proofErr w:type="spellEnd"/>
      </w:hyperlink>
      <w:r w:rsidRPr="00F721EF">
        <w:rPr>
          <w:rtl/>
        </w:rPr>
        <w:t xml:space="preserve"> و</w:t>
      </w:r>
      <w:hyperlink r:id="rId3" w:history="1">
        <w:r w:rsidRPr="003A166F">
          <w:rPr>
            <w:rStyle w:val="Hyperlink"/>
          </w:rPr>
          <w:t>CCPR/C/</w:t>
        </w:r>
        <w:proofErr w:type="spellStart"/>
        <w:r w:rsidRPr="003A166F">
          <w:rPr>
            <w:rStyle w:val="Hyperlink"/>
          </w:rPr>
          <w:t>SR.3881</w:t>
        </w:r>
        <w:proofErr w:type="spellEnd"/>
      </w:hyperlink>
      <w:r w:rsidRPr="003A166F">
        <w:rPr>
          <w:rtl/>
        </w:rPr>
        <w:t xml:space="preserve">. </w:t>
      </w:r>
    </w:p>
  </w:footnote>
  <w:footnote w:id="4">
    <w:p w14:paraId="614CE637" w14:textId="77777777" w:rsidR="003A166F" w:rsidRPr="00F721EF" w:rsidRDefault="003A166F" w:rsidP="003A166F">
      <w:pPr>
        <w:pStyle w:val="FootnoteText"/>
        <w:tabs>
          <w:tab w:val="clear" w:pos="1021"/>
        </w:tabs>
        <w:bidi/>
        <w:spacing w:after="60" w:line="280" w:lineRule="exact"/>
        <w:ind w:left="1247" w:right="1247" w:hanging="567"/>
        <w:jc w:val="lowKashida"/>
        <w:textDirection w:val="tbRlV"/>
        <w:rPr>
          <w:rtl/>
        </w:rPr>
      </w:pPr>
      <w:r w:rsidRPr="00F721EF">
        <w:rPr>
          <w:rtl/>
        </w:rPr>
        <w:t>(</w:t>
      </w:r>
      <w:r w:rsidRPr="00F721EF">
        <w:rPr>
          <w:rtl/>
        </w:rPr>
        <w:footnoteRef/>
      </w:r>
      <w:r w:rsidRPr="00F721EF">
        <w:rPr>
          <w:rtl/>
        </w:rPr>
        <w:t>)</w:t>
      </w:r>
      <w:r w:rsidRPr="00F721EF">
        <w:rPr>
          <w:rtl/>
        </w:rPr>
        <w:tab/>
      </w:r>
      <w:hyperlink r:id="rId4" w:history="1">
        <w:r w:rsidRPr="003A166F">
          <w:rPr>
            <w:rStyle w:val="Hyperlink"/>
          </w:rPr>
          <w:t>CCPR/C/LUX/</w:t>
        </w:r>
        <w:proofErr w:type="spellStart"/>
        <w:r w:rsidRPr="003A166F">
          <w:rPr>
            <w:rStyle w:val="Hyperlink"/>
          </w:rPr>
          <w:t>RQ</w:t>
        </w:r>
        <w:proofErr w:type="spellEnd"/>
        <w:r w:rsidRPr="003A166F">
          <w:rPr>
            <w:rStyle w:val="Hyperlink"/>
          </w:rPr>
          <w:t>/4</w:t>
        </w:r>
      </w:hyperlink>
      <w:r w:rsidRPr="003A166F">
        <w:rPr>
          <w:rtl/>
        </w:rPr>
        <w:t xml:space="preserve">. </w:t>
      </w:r>
    </w:p>
  </w:footnote>
  <w:footnote w:id="5">
    <w:p w14:paraId="6A0816F3" w14:textId="77777777" w:rsidR="003A166F" w:rsidRPr="00F721EF" w:rsidRDefault="003A166F" w:rsidP="003A166F">
      <w:pPr>
        <w:pStyle w:val="FootnoteText"/>
        <w:tabs>
          <w:tab w:val="clear" w:pos="1021"/>
        </w:tabs>
        <w:bidi/>
        <w:spacing w:after="60" w:line="280" w:lineRule="exact"/>
        <w:ind w:left="1247" w:right="1247" w:hanging="567"/>
        <w:jc w:val="lowKashida"/>
        <w:textDirection w:val="tbRlV"/>
      </w:pPr>
      <w:r w:rsidRPr="00F721EF">
        <w:rPr>
          <w:rtl/>
        </w:rPr>
        <w:t>(</w:t>
      </w:r>
      <w:r w:rsidRPr="00F721EF">
        <w:rPr>
          <w:rtl/>
        </w:rPr>
        <w:footnoteRef/>
      </w:r>
      <w:r w:rsidRPr="00F721EF">
        <w:rPr>
          <w:rtl/>
        </w:rPr>
        <w:t>)</w:t>
      </w:r>
      <w:r w:rsidRPr="00F721EF">
        <w:rPr>
          <w:rtl/>
        </w:rPr>
        <w:tab/>
      </w:r>
      <w:hyperlink r:id="rId5" w:history="1">
        <w:r w:rsidRPr="003A166F">
          <w:rPr>
            <w:rStyle w:val="Hyperlink"/>
          </w:rPr>
          <w:t>CCPR/C/LUX/Q/4</w:t>
        </w:r>
      </w:hyperlink>
      <w:r w:rsidRPr="003A166F">
        <w:rPr>
          <w:rtl/>
        </w:rPr>
        <w:t xml:space="preserve">. </w:t>
      </w:r>
    </w:p>
  </w:footnote>
  <w:footnote w:id="6">
    <w:p w14:paraId="71B0448F" w14:textId="77777777" w:rsidR="003A166F" w:rsidRPr="00F721EF" w:rsidRDefault="003A166F" w:rsidP="003A166F">
      <w:pPr>
        <w:pStyle w:val="FootnoteText"/>
        <w:tabs>
          <w:tab w:val="clear" w:pos="1021"/>
        </w:tabs>
        <w:bidi/>
        <w:spacing w:after="60" w:line="280" w:lineRule="exact"/>
        <w:ind w:left="1247" w:right="1247" w:hanging="567"/>
        <w:jc w:val="lowKashida"/>
        <w:textDirection w:val="tbRlV"/>
      </w:pPr>
      <w:r w:rsidRPr="00F721EF">
        <w:rPr>
          <w:rtl/>
        </w:rPr>
        <w:t>(</w:t>
      </w:r>
      <w:r w:rsidRPr="00F721EF">
        <w:rPr>
          <w:rtl/>
        </w:rPr>
        <w:footnoteRef/>
      </w:r>
      <w:r w:rsidRPr="00F721EF">
        <w:rPr>
          <w:rtl/>
        </w:rPr>
        <w:t>)</w:t>
      </w:r>
      <w:r w:rsidRPr="00F721EF">
        <w:rPr>
          <w:rtl/>
        </w:rPr>
        <w:tab/>
        <w:t xml:space="preserve">انظر </w:t>
      </w:r>
      <w:hyperlink r:id="rId6" w:history="1">
        <w:r w:rsidRPr="003A166F">
          <w:rPr>
            <w:rStyle w:val="Hyperlink"/>
          </w:rPr>
          <w:t>CRPD/C/LUX/CO/1</w:t>
        </w:r>
      </w:hyperlink>
      <w:r w:rsidRPr="003A166F">
        <w:rPr>
          <w:rtl/>
        </w:rPr>
        <w:t xml:space="preserve">. </w:t>
      </w:r>
    </w:p>
  </w:footnote>
  <w:footnote w:id="7">
    <w:p w14:paraId="5F5542C0" w14:textId="77777777" w:rsidR="003A166F" w:rsidRPr="00F721EF" w:rsidRDefault="003A166F" w:rsidP="00A514FE">
      <w:pPr>
        <w:pStyle w:val="FootnoteText"/>
        <w:tabs>
          <w:tab w:val="clear" w:pos="1021"/>
        </w:tabs>
        <w:bidi/>
        <w:spacing w:after="60" w:line="280" w:lineRule="exact"/>
        <w:ind w:left="1247" w:right="1247" w:hanging="567"/>
        <w:jc w:val="lowKashida"/>
        <w:textDirection w:val="tbRlV"/>
        <w:rPr>
          <w:lang w:val="fr-CH"/>
        </w:rPr>
      </w:pPr>
      <w:r w:rsidRPr="00F721EF">
        <w:rPr>
          <w:rtl/>
        </w:rPr>
        <w:t>(</w:t>
      </w:r>
      <w:r w:rsidRPr="00F721EF">
        <w:rPr>
          <w:rtl/>
        </w:rPr>
        <w:footnoteRef/>
      </w:r>
      <w:r w:rsidRPr="00F721EF">
        <w:rPr>
          <w:rtl/>
        </w:rPr>
        <w:t>)</w:t>
      </w:r>
      <w:r w:rsidRPr="00F721EF">
        <w:rPr>
          <w:rtl/>
        </w:rPr>
        <w:tab/>
      </w:r>
      <w:r w:rsidRPr="00F721EF">
        <w:rPr>
          <w:lang w:val="fr-CH"/>
        </w:rPr>
        <w:t>Union européenn</w:t>
      </w:r>
      <w:r w:rsidRPr="003A166F">
        <w:rPr>
          <w:lang w:val="fr-CH"/>
        </w:rPr>
        <w:t xml:space="preserve">e, </w:t>
      </w:r>
      <w:r w:rsidRPr="00F721EF">
        <w:rPr>
          <w:lang w:val="fr-CH"/>
        </w:rPr>
        <w:t>« Directive (U</w:t>
      </w:r>
      <w:r w:rsidRPr="003A166F">
        <w:rPr>
          <w:lang w:val="fr-CH"/>
        </w:rPr>
        <w:t xml:space="preserve">E) </w:t>
      </w:r>
      <w:r w:rsidRPr="00F721EF">
        <w:rPr>
          <w:lang w:val="fr-CH"/>
        </w:rPr>
        <w:t>2019/1937 du Parlement européen et du Conseil du 23 octobre 2019 sur la protection des personnes qui signalent des violations du droit de l’Union », Journal officiel de l’Union européenn</w:t>
      </w:r>
      <w:r w:rsidRPr="003A166F">
        <w:rPr>
          <w:lang w:val="fr-CH"/>
        </w:rPr>
        <w:t xml:space="preserve">e, </w:t>
      </w:r>
      <w:r w:rsidRPr="00F721EF">
        <w:rPr>
          <w:lang w:val="fr-CH"/>
        </w:rPr>
        <w:t>L 305 (26 novembre 2019</w:t>
      </w:r>
      <w:r w:rsidRPr="003A166F">
        <w:rPr>
          <w:lang w:val="fr-CH"/>
        </w:rPr>
        <w:t>), p. </w:t>
      </w:r>
      <w:r w:rsidRPr="00F721EF">
        <w:rPr>
          <w:lang w:val="fr-CH"/>
        </w:rPr>
        <w:t>1</w:t>
      </w:r>
      <w:r w:rsidRPr="003A166F">
        <w:rPr>
          <w:lang w:val="fr-CH"/>
        </w:rPr>
        <w:t>7</w:t>
      </w:r>
      <w:r w:rsidRPr="003A166F">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340C0B" w14:textId="7F0FB3E0" w:rsidR="008C1A20" w:rsidRPr="008C1A20" w:rsidRDefault="008C1A20" w:rsidP="008C1A20">
    <w:pPr>
      <w:pStyle w:val="Header"/>
      <w:spacing w:line="240" w:lineRule="auto"/>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D7473D">
      <w:t>CCPR/C/LUX/CO/4</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AEF5E4" w14:textId="491479DC" w:rsidR="008C1A20" w:rsidRPr="008C1A20" w:rsidRDefault="008C1A20" w:rsidP="008C1A20">
    <w:pPr>
      <w:pStyle w:val="Header"/>
      <w:bidi w:val="0"/>
      <w:spacing w:line="240" w:lineRule="auto"/>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D7473D">
      <w:t>CCPR/C/LUX/CO/4</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2"/>
  </w:num>
  <w:num w:numId="13">
    <w:abstractNumId w:val="11"/>
  </w:num>
  <w:num w:numId="14">
    <w:abstractNumId w:val="8"/>
  </w:num>
  <w:num w:numId="15">
    <w:abstractNumId w:val="5"/>
  </w:num>
  <w:num w:numId="16">
    <w:abstractNumId w:val="17"/>
  </w:num>
  <w:num w:numId="17">
    <w:abstractNumId w:val="4"/>
  </w:num>
  <w:num w:numId="18">
    <w:abstractNumId w:val="3"/>
  </w:num>
  <w:num w:numId="19">
    <w:abstractNumId w:val="16"/>
  </w:num>
  <w:num w:numId="20">
    <w:abstractNumId w:val="13"/>
  </w:num>
  <w:num w:numId="21">
    <w:abstractNumId w:val="1"/>
  </w:num>
  <w:num w:numId="22">
    <w:abstractNumId w:val="14"/>
  </w:num>
  <w:num w:numId="23">
    <w:abstractNumId w:val="0"/>
  </w:num>
  <w:num w:numId="24">
    <w:abstractNumId w:val="9"/>
  </w:num>
  <w:num w:numId="25">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9">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30">
    <w:abstractNumId w:val="7"/>
  </w:num>
  <w:num w:numId="3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0BC5"/>
    <w:rsid w:val="000076D5"/>
    <w:rsid w:val="000341C1"/>
    <w:rsid w:val="00043663"/>
    <w:rsid w:val="000437B8"/>
    <w:rsid w:val="000505CF"/>
    <w:rsid w:val="000D701C"/>
    <w:rsid w:val="000E2A71"/>
    <w:rsid w:val="000F78A8"/>
    <w:rsid w:val="00103E9F"/>
    <w:rsid w:val="00110FB6"/>
    <w:rsid w:val="00125215"/>
    <w:rsid w:val="00145577"/>
    <w:rsid w:val="00160263"/>
    <w:rsid w:val="0016033C"/>
    <w:rsid w:val="00181F96"/>
    <w:rsid w:val="001872B1"/>
    <w:rsid w:val="001A1371"/>
    <w:rsid w:val="001B043F"/>
    <w:rsid w:val="001B346A"/>
    <w:rsid w:val="001E1CAD"/>
    <w:rsid w:val="001E290D"/>
    <w:rsid w:val="002144FA"/>
    <w:rsid w:val="0023469A"/>
    <w:rsid w:val="00243C8A"/>
    <w:rsid w:val="00267A0E"/>
    <w:rsid w:val="002901D9"/>
    <w:rsid w:val="002976C2"/>
    <w:rsid w:val="003068BC"/>
    <w:rsid w:val="003260FF"/>
    <w:rsid w:val="00343D95"/>
    <w:rsid w:val="00363A18"/>
    <w:rsid w:val="00374341"/>
    <w:rsid w:val="00376403"/>
    <w:rsid w:val="003A166F"/>
    <w:rsid w:val="003D0849"/>
    <w:rsid w:val="003D1062"/>
    <w:rsid w:val="00402051"/>
    <w:rsid w:val="00420D7B"/>
    <w:rsid w:val="00450B21"/>
    <w:rsid w:val="00450EA8"/>
    <w:rsid w:val="00453B63"/>
    <w:rsid w:val="00455780"/>
    <w:rsid w:val="004A4365"/>
    <w:rsid w:val="004B0A1C"/>
    <w:rsid w:val="004B27E0"/>
    <w:rsid w:val="004D298E"/>
    <w:rsid w:val="004E20A9"/>
    <w:rsid w:val="004E63C4"/>
    <w:rsid w:val="005044B3"/>
    <w:rsid w:val="00514EFD"/>
    <w:rsid w:val="00517BC9"/>
    <w:rsid w:val="0054472E"/>
    <w:rsid w:val="005662A9"/>
    <w:rsid w:val="005827D4"/>
    <w:rsid w:val="0058508B"/>
    <w:rsid w:val="00590BC5"/>
    <w:rsid w:val="00594625"/>
    <w:rsid w:val="0059622A"/>
    <w:rsid w:val="005B51C4"/>
    <w:rsid w:val="005C0061"/>
    <w:rsid w:val="005C5878"/>
    <w:rsid w:val="005C7CEA"/>
    <w:rsid w:val="005D3C0B"/>
    <w:rsid w:val="005E5217"/>
    <w:rsid w:val="005F0FA4"/>
    <w:rsid w:val="005F30EE"/>
    <w:rsid w:val="005F5271"/>
    <w:rsid w:val="0060473A"/>
    <w:rsid w:val="00617024"/>
    <w:rsid w:val="0064710C"/>
    <w:rsid w:val="00652221"/>
    <w:rsid w:val="00656392"/>
    <w:rsid w:val="006645EC"/>
    <w:rsid w:val="0068781D"/>
    <w:rsid w:val="006959B0"/>
    <w:rsid w:val="006B3E27"/>
    <w:rsid w:val="006B6507"/>
    <w:rsid w:val="006C104C"/>
    <w:rsid w:val="006C632E"/>
    <w:rsid w:val="006D5C9E"/>
    <w:rsid w:val="00717FB3"/>
    <w:rsid w:val="00730446"/>
    <w:rsid w:val="00733704"/>
    <w:rsid w:val="0078071A"/>
    <w:rsid w:val="00787022"/>
    <w:rsid w:val="00787E1E"/>
    <w:rsid w:val="0079675C"/>
    <w:rsid w:val="007C218F"/>
    <w:rsid w:val="00852A9A"/>
    <w:rsid w:val="008755DF"/>
    <w:rsid w:val="008C1A20"/>
    <w:rsid w:val="008F49E1"/>
    <w:rsid w:val="0090370F"/>
    <w:rsid w:val="009269D2"/>
    <w:rsid w:val="00942135"/>
    <w:rsid w:val="009521B0"/>
    <w:rsid w:val="00957437"/>
    <w:rsid w:val="00982139"/>
    <w:rsid w:val="009867A8"/>
    <w:rsid w:val="00991F44"/>
    <w:rsid w:val="009A0CFB"/>
    <w:rsid w:val="009A7E9F"/>
    <w:rsid w:val="009C17EC"/>
    <w:rsid w:val="009E5018"/>
    <w:rsid w:val="00A03700"/>
    <w:rsid w:val="00A053F2"/>
    <w:rsid w:val="00A12B37"/>
    <w:rsid w:val="00A317D1"/>
    <w:rsid w:val="00A514FE"/>
    <w:rsid w:val="00A54828"/>
    <w:rsid w:val="00A9386C"/>
    <w:rsid w:val="00A97E1F"/>
    <w:rsid w:val="00AB512E"/>
    <w:rsid w:val="00AB634D"/>
    <w:rsid w:val="00AB6758"/>
    <w:rsid w:val="00AB727F"/>
    <w:rsid w:val="00B13763"/>
    <w:rsid w:val="00B477A4"/>
    <w:rsid w:val="00B54045"/>
    <w:rsid w:val="00B63ADD"/>
    <w:rsid w:val="00BB09A0"/>
    <w:rsid w:val="00BD0001"/>
    <w:rsid w:val="00C007EA"/>
    <w:rsid w:val="00C01F08"/>
    <w:rsid w:val="00C03E34"/>
    <w:rsid w:val="00C175A6"/>
    <w:rsid w:val="00C41DCF"/>
    <w:rsid w:val="00C42AF7"/>
    <w:rsid w:val="00C438D7"/>
    <w:rsid w:val="00C44332"/>
    <w:rsid w:val="00C62C20"/>
    <w:rsid w:val="00C81B50"/>
    <w:rsid w:val="00C902EF"/>
    <w:rsid w:val="00C906F2"/>
    <w:rsid w:val="00CB0011"/>
    <w:rsid w:val="00CB6622"/>
    <w:rsid w:val="00CD1801"/>
    <w:rsid w:val="00CF56F9"/>
    <w:rsid w:val="00CF65C6"/>
    <w:rsid w:val="00D00A89"/>
    <w:rsid w:val="00D10EF1"/>
    <w:rsid w:val="00D42810"/>
    <w:rsid w:val="00D60DD5"/>
    <w:rsid w:val="00D63793"/>
    <w:rsid w:val="00D71F56"/>
    <w:rsid w:val="00D7473D"/>
    <w:rsid w:val="00D914A7"/>
    <w:rsid w:val="00DB6863"/>
    <w:rsid w:val="00DC11BD"/>
    <w:rsid w:val="00DC4D4B"/>
    <w:rsid w:val="00DD13C3"/>
    <w:rsid w:val="00DD596E"/>
    <w:rsid w:val="00DD621E"/>
    <w:rsid w:val="00DE50B1"/>
    <w:rsid w:val="00DF0138"/>
    <w:rsid w:val="00DF0575"/>
    <w:rsid w:val="00E2228E"/>
    <w:rsid w:val="00E546C3"/>
    <w:rsid w:val="00E70E04"/>
    <w:rsid w:val="00E75706"/>
    <w:rsid w:val="00E77E6C"/>
    <w:rsid w:val="00E83ED5"/>
    <w:rsid w:val="00EC05A7"/>
    <w:rsid w:val="00EC4B6B"/>
    <w:rsid w:val="00EC68A5"/>
    <w:rsid w:val="00EC6CB0"/>
    <w:rsid w:val="00ED7442"/>
    <w:rsid w:val="00EE517B"/>
    <w:rsid w:val="00EF1EE5"/>
    <w:rsid w:val="00EF5C43"/>
    <w:rsid w:val="00F10DAB"/>
    <w:rsid w:val="00F12763"/>
    <w:rsid w:val="00F46D42"/>
    <w:rsid w:val="00F567B1"/>
    <w:rsid w:val="00F60B3D"/>
    <w:rsid w:val="00F711F8"/>
    <w:rsid w:val="00F721EF"/>
    <w:rsid w:val="00F763B4"/>
    <w:rsid w:val="00F7757F"/>
    <w:rsid w:val="00F900C3"/>
    <w:rsid w:val="00FC6EDD"/>
    <w:rsid w:val="00FD46E2"/>
    <w:rsid w:val="00FE502A"/>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EE5EF74"/>
  <w15:docId w15:val="{41BDCB97-D451-4E6A-A27E-6E0CCCEBF1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17EC"/>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9C17EC"/>
    <w:pPr>
      <w:bidi w:val="0"/>
      <w:outlineLvl w:val="0"/>
    </w:pPr>
  </w:style>
  <w:style w:type="paragraph" w:styleId="Heading2">
    <w:name w:val="heading 2"/>
    <w:basedOn w:val="Normal"/>
    <w:next w:val="Normal"/>
    <w:link w:val="Heading2Char"/>
    <w:uiPriority w:val="9"/>
    <w:unhideWhenUsed/>
    <w:rsid w:val="009C17EC"/>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9C17EC"/>
    <w:pPr>
      <w:keepNext/>
      <w:keepLines/>
      <w:spacing w:before="200"/>
      <w:outlineLvl w:val="2"/>
    </w:pPr>
    <w:rPr>
      <w:b/>
      <w:bCs/>
      <w:color w:val="4F81BD"/>
    </w:rPr>
  </w:style>
  <w:style w:type="paragraph" w:styleId="Heading4">
    <w:name w:val="heading 4"/>
    <w:basedOn w:val="Normal"/>
    <w:next w:val="Normal"/>
    <w:link w:val="Heading4Char"/>
    <w:uiPriority w:val="9"/>
    <w:unhideWhenUsed/>
    <w:rsid w:val="009C17EC"/>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9C17EC"/>
    <w:pPr>
      <w:keepNext/>
      <w:keepLines/>
      <w:spacing w:before="200"/>
      <w:outlineLvl w:val="4"/>
    </w:pPr>
    <w:rPr>
      <w:color w:val="243F60"/>
    </w:rPr>
  </w:style>
  <w:style w:type="paragraph" w:styleId="Heading6">
    <w:name w:val="heading 6"/>
    <w:basedOn w:val="Normal"/>
    <w:next w:val="Normal"/>
    <w:link w:val="Heading6Char"/>
    <w:uiPriority w:val="9"/>
    <w:unhideWhenUsed/>
    <w:rsid w:val="009C17EC"/>
    <w:pPr>
      <w:keepNext/>
      <w:keepLines/>
      <w:spacing w:before="200"/>
      <w:outlineLvl w:val="5"/>
    </w:pPr>
    <w:rPr>
      <w:i/>
      <w:iCs/>
      <w:color w:val="243F60"/>
    </w:rPr>
  </w:style>
  <w:style w:type="paragraph" w:styleId="Heading7">
    <w:name w:val="heading 7"/>
    <w:basedOn w:val="Normal"/>
    <w:next w:val="Normal"/>
    <w:link w:val="Heading7Char"/>
    <w:uiPriority w:val="9"/>
    <w:unhideWhenUsed/>
    <w:rsid w:val="009C17EC"/>
    <w:pPr>
      <w:keepNext/>
      <w:keepLines/>
      <w:spacing w:before="200"/>
      <w:outlineLvl w:val="6"/>
    </w:pPr>
    <w:rPr>
      <w:i/>
      <w:iCs/>
      <w:color w:val="404040"/>
    </w:rPr>
  </w:style>
  <w:style w:type="paragraph" w:styleId="Heading8">
    <w:name w:val="heading 8"/>
    <w:basedOn w:val="Normal"/>
    <w:next w:val="Normal"/>
    <w:link w:val="Heading8Char"/>
    <w:uiPriority w:val="9"/>
    <w:unhideWhenUsed/>
    <w:rsid w:val="009C17EC"/>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9C17EC"/>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9C17EC"/>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9C17EC"/>
    <w:rPr>
      <w:rFonts w:ascii="Times New Roman" w:eastAsia="PMingLiU" w:hAnsi="Times New Roman" w:cs="Simplified Arabic"/>
      <w:sz w:val="18"/>
      <w:lang w:eastAsia="en-US"/>
    </w:rPr>
  </w:style>
  <w:style w:type="character" w:styleId="FootnoteReference">
    <w:name w:val="footnote reference"/>
    <w:aliases w:val="4_GA,4_G,ftref,footnote ref,16 Point,Superscript 6 Point,Fußnotenzeichen DISS,fr,BVI fnr,(NECG) Footnote Reference,Char Char Char Char Car Char,ب,Footnotes refss,Style 10,Footnote number,Endnote Text1,Rimando nota a pièdi pagina1"/>
    <w:link w:val="4GCharChar"/>
    <w:qFormat/>
    <w:rsid w:val="009C17EC"/>
    <w:rPr>
      <w:szCs w:val="18"/>
      <w:vertAlign w:val="superscript"/>
    </w:rPr>
  </w:style>
  <w:style w:type="paragraph" w:customStyle="1" w:styleId="HMGA">
    <w:name w:val="_ H __M_GA"/>
    <w:basedOn w:val="Normal"/>
    <w:next w:val="SingleTxtGA"/>
    <w:qFormat/>
    <w:rsid w:val="009C17EC"/>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9C17EC"/>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9C17EC"/>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9C17EC"/>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9C17EC"/>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9C17EC"/>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9C17EC"/>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9C17EC"/>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9C17EC"/>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9C17EC"/>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9C17EC"/>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9C17EC"/>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9C17EC"/>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9C17EC"/>
    <w:pPr>
      <w:numPr>
        <w:numId w:val="5"/>
      </w:numPr>
      <w:bidi w:val="0"/>
    </w:pPr>
    <w:rPr>
      <w:lang w:val="en-US"/>
    </w:rPr>
  </w:style>
  <w:style w:type="paragraph" w:customStyle="1" w:styleId="Roman1GA">
    <w:name w:val="_Roman 1_GA"/>
    <w:basedOn w:val="Bullet1GA"/>
    <w:qFormat/>
    <w:rsid w:val="009C17EC"/>
    <w:pPr>
      <w:numPr>
        <w:numId w:val="6"/>
      </w:numPr>
      <w:tabs>
        <w:tab w:val="clear" w:pos="2310"/>
        <w:tab w:val="left" w:pos="2486"/>
      </w:tabs>
      <w:ind w:left="2486" w:hanging="378"/>
    </w:pPr>
  </w:style>
  <w:style w:type="paragraph" w:customStyle="1" w:styleId="Roman2GA">
    <w:name w:val="_Roman 2_GA"/>
    <w:basedOn w:val="Bullet2GA"/>
    <w:qFormat/>
    <w:rsid w:val="009C17EC"/>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9C17EC"/>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9C17EC"/>
    <w:rPr>
      <w:rFonts w:ascii="Times New Roman" w:eastAsia="PMingLiU" w:hAnsi="Times New Roman" w:cs="Simplified Arabic"/>
      <w:sz w:val="18"/>
      <w:lang w:val="en-GB" w:eastAsia="en-US"/>
    </w:rPr>
  </w:style>
  <w:style w:type="character" w:customStyle="1" w:styleId="EndtnoteReference">
    <w:name w:val="Endtnote Reference"/>
    <w:aliases w:val="1_GA"/>
    <w:qFormat/>
    <w:rsid w:val="009C17EC"/>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9C17EC"/>
    <w:pPr>
      <w:suppressAutoHyphens/>
      <w:bidi w:val="0"/>
      <w:spacing w:line="240" w:lineRule="auto"/>
    </w:pPr>
    <w:rPr>
      <w:sz w:val="16"/>
      <w:lang w:val="en-GB"/>
    </w:rPr>
  </w:style>
  <w:style w:type="character" w:customStyle="1" w:styleId="FooterChar">
    <w:name w:val="Footer Char"/>
    <w:aliases w:val="3_GA Char,3_G Char"/>
    <w:link w:val="Footer"/>
    <w:rsid w:val="009C17EC"/>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9C17EC"/>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9C17EC"/>
    <w:pPr>
      <w:pBdr>
        <w:bottom w:val="single" w:sz="4" w:space="4" w:color="auto"/>
      </w:pBdr>
      <w:suppressAutoHyphens/>
    </w:pPr>
    <w:rPr>
      <w:b/>
      <w:bCs/>
      <w:sz w:val="18"/>
      <w:szCs w:val="18"/>
    </w:rPr>
  </w:style>
  <w:style w:type="character" w:customStyle="1" w:styleId="HeaderChar">
    <w:name w:val="Header Char"/>
    <w:aliases w:val="6_GA Char,6_G Char"/>
    <w:link w:val="Header"/>
    <w:uiPriority w:val="99"/>
    <w:rsid w:val="009C17EC"/>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9C17EC"/>
    <w:rPr>
      <w:rFonts w:ascii="Times New Roman" w:eastAsia="PMingLiU" w:hAnsi="Times New Roman" w:cs="Simplified Arabic"/>
      <w:sz w:val="22"/>
      <w:szCs w:val="22"/>
      <w:lang w:val="en-GB" w:eastAsia="en-US"/>
    </w:rPr>
  </w:style>
  <w:style w:type="character" w:styleId="PageNumber">
    <w:name w:val="page number"/>
    <w:aliases w:val="7_GA,7_G"/>
    <w:qFormat/>
    <w:rsid w:val="009C17EC"/>
    <w:rPr>
      <w:rFonts w:ascii="Times New Roman Bold" w:hAnsi="Times New Roman Bold"/>
      <w:b/>
      <w:i w:val="0"/>
      <w:sz w:val="18"/>
      <w:szCs w:val="18"/>
    </w:rPr>
  </w:style>
  <w:style w:type="paragraph" w:customStyle="1" w:styleId="XXLargeGA">
    <w:name w:val="XXLarge_GA"/>
    <w:basedOn w:val="Normal"/>
    <w:next w:val="SingleTxtGA"/>
    <w:qFormat/>
    <w:rsid w:val="009C17EC"/>
    <w:pPr>
      <w:suppressAutoHyphens/>
      <w:spacing w:line="820" w:lineRule="exact"/>
    </w:pPr>
    <w:rPr>
      <w:spacing w:val="-8"/>
      <w:w w:val="96"/>
      <w:sz w:val="57"/>
      <w:szCs w:val="86"/>
      <w:lang w:val="en-GB"/>
    </w:rPr>
  </w:style>
  <w:style w:type="character" w:customStyle="1" w:styleId="Heading2Char">
    <w:name w:val="Heading 2 Char"/>
    <w:link w:val="Heading2"/>
    <w:uiPriority w:val="9"/>
    <w:rsid w:val="009C17EC"/>
    <w:rPr>
      <w:rFonts w:ascii="Times New Roman" w:eastAsia="PMingLiU" w:hAnsi="Times New Roman" w:cs="Simplified Arabic"/>
      <w:b/>
      <w:bCs/>
      <w:color w:val="4F81BD"/>
      <w:sz w:val="26"/>
      <w:szCs w:val="26"/>
      <w:lang w:eastAsia="en-US"/>
    </w:rPr>
  </w:style>
  <w:style w:type="character" w:styleId="BookTitle">
    <w:name w:val="Book Title"/>
    <w:uiPriority w:val="33"/>
    <w:rsid w:val="009C17EC"/>
    <w:rPr>
      <w:b/>
      <w:bCs/>
      <w:smallCaps/>
      <w:spacing w:val="5"/>
    </w:rPr>
  </w:style>
  <w:style w:type="character" w:customStyle="1" w:styleId="Heading3Char">
    <w:name w:val="Heading 3 Char"/>
    <w:link w:val="Heading3"/>
    <w:uiPriority w:val="9"/>
    <w:rsid w:val="009C17EC"/>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9C17EC"/>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9C17EC"/>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9C17EC"/>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9C17EC"/>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9C17EC"/>
    <w:rPr>
      <w:rFonts w:ascii="Times New Roman" w:eastAsia="PMingLiU" w:hAnsi="Times New Roman" w:cs="Simplified Arabic"/>
      <w:color w:val="404040"/>
      <w:lang w:eastAsia="en-US"/>
    </w:rPr>
  </w:style>
  <w:style w:type="character" w:customStyle="1" w:styleId="Heading9Char">
    <w:name w:val="Heading 9 Char"/>
    <w:link w:val="Heading9"/>
    <w:uiPriority w:val="9"/>
    <w:rsid w:val="009C17EC"/>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9C17EC"/>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9C17EC"/>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9C17EC"/>
    <w:pPr>
      <w:numPr>
        <w:ilvl w:val="1"/>
      </w:numPr>
    </w:pPr>
    <w:rPr>
      <w:i/>
      <w:iCs/>
      <w:color w:val="4F81BD"/>
      <w:spacing w:val="15"/>
      <w:sz w:val="24"/>
      <w:szCs w:val="24"/>
    </w:rPr>
  </w:style>
  <w:style w:type="character" w:customStyle="1" w:styleId="SubtitleChar">
    <w:name w:val="Subtitle Char"/>
    <w:link w:val="Subtitle"/>
    <w:uiPriority w:val="11"/>
    <w:rsid w:val="009C17EC"/>
    <w:rPr>
      <w:rFonts w:ascii="Times New Roman" w:eastAsia="PMingLiU" w:hAnsi="Times New Roman" w:cs="Simplified Arabic"/>
      <w:i/>
      <w:iCs/>
      <w:color w:val="4F81BD"/>
      <w:spacing w:val="15"/>
      <w:sz w:val="24"/>
      <w:szCs w:val="24"/>
      <w:lang w:eastAsia="en-US"/>
    </w:rPr>
  </w:style>
  <w:style w:type="character" w:styleId="SubtleEmphasis">
    <w:name w:val="Subtle Emphasis"/>
    <w:uiPriority w:val="19"/>
    <w:rsid w:val="009C17EC"/>
    <w:rPr>
      <w:i/>
      <w:iCs/>
      <w:color w:val="808080"/>
    </w:rPr>
  </w:style>
  <w:style w:type="table" w:styleId="ColorfulGrid-Accent6">
    <w:name w:val="Colorful Grid Accent 6"/>
    <w:basedOn w:val="TableNormal"/>
    <w:uiPriority w:val="73"/>
    <w:rsid w:val="009C17EC"/>
    <w:rPr>
      <w:rFonts w:eastAsia="PMingLiU"/>
      <w:color w:val="00000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9C17EC"/>
    <w:rPr>
      <w:i/>
      <w:iCs/>
    </w:rPr>
  </w:style>
  <w:style w:type="character" w:styleId="IntenseEmphasis">
    <w:name w:val="Intense Emphasis"/>
    <w:uiPriority w:val="21"/>
    <w:rsid w:val="009C17EC"/>
    <w:rPr>
      <w:b/>
      <w:bCs/>
      <w:i/>
      <w:iCs/>
      <w:color w:val="4F81BD"/>
    </w:rPr>
  </w:style>
  <w:style w:type="character" w:styleId="Strong">
    <w:name w:val="Strong"/>
    <w:uiPriority w:val="22"/>
    <w:rsid w:val="009C17EC"/>
    <w:rPr>
      <w:b/>
      <w:bCs/>
    </w:rPr>
  </w:style>
  <w:style w:type="paragraph" w:styleId="Quote">
    <w:name w:val="Quote"/>
    <w:basedOn w:val="Normal"/>
    <w:next w:val="Normal"/>
    <w:link w:val="QuoteChar"/>
    <w:uiPriority w:val="29"/>
    <w:rsid w:val="009C17EC"/>
    <w:rPr>
      <w:i/>
      <w:iCs/>
      <w:color w:val="000000"/>
    </w:rPr>
  </w:style>
  <w:style w:type="character" w:customStyle="1" w:styleId="QuoteChar">
    <w:name w:val="Quote Char"/>
    <w:link w:val="Quote"/>
    <w:uiPriority w:val="29"/>
    <w:rsid w:val="009C17EC"/>
    <w:rPr>
      <w:rFonts w:ascii="Times New Roman" w:eastAsia="PMingLiU" w:hAnsi="Times New Roman" w:cs="Simplified Arabic"/>
      <w:i/>
      <w:iCs/>
      <w:color w:val="000000"/>
      <w:szCs w:val="22"/>
      <w:lang w:eastAsia="en-US"/>
    </w:rPr>
  </w:style>
  <w:style w:type="paragraph" w:styleId="IntenseQuote">
    <w:name w:val="Intense Quote"/>
    <w:basedOn w:val="Normal"/>
    <w:next w:val="Normal"/>
    <w:link w:val="IntenseQuoteChar"/>
    <w:uiPriority w:val="30"/>
    <w:rsid w:val="009C17EC"/>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9C17EC"/>
    <w:rPr>
      <w:rFonts w:ascii="Times New Roman" w:eastAsia="PMingLiU" w:hAnsi="Times New Roman" w:cs="Simplified Arabic"/>
      <w:b/>
      <w:bCs/>
      <w:i/>
      <w:iCs/>
      <w:color w:val="4F81BD"/>
      <w:szCs w:val="22"/>
      <w:lang w:eastAsia="en-US"/>
    </w:rPr>
  </w:style>
  <w:style w:type="character" w:styleId="SubtleReference">
    <w:name w:val="Subtle Reference"/>
    <w:uiPriority w:val="31"/>
    <w:rsid w:val="009C17EC"/>
    <w:rPr>
      <w:smallCaps/>
      <w:color w:val="C0504D"/>
      <w:u w:val="single"/>
    </w:rPr>
  </w:style>
  <w:style w:type="character" w:styleId="IntenseReference">
    <w:name w:val="Intense Reference"/>
    <w:uiPriority w:val="32"/>
    <w:rsid w:val="009C17EC"/>
    <w:rPr>
      <w:b/>
      <w:bCs/>
      <w:smallCaps/>
      <w:color w:val="C0504D"/>
      <w:spacing w:val="5"/>
      <w:u w:val="single"/>
    </w:rPr>
  </w:style>
  <w:style w:type="paragraph" w:styleId="ListParagraph">
    <w:name w:val="List Paragraph"/>
    <w:basedOn w:val="Normal"/>
    <w:uiPriority w:val="34"/>
    <w:rsid w:val="009C17EC"/>
    <w:pPr>
      <w:ind w:left="720"/>
      <w:contextualSpacing/>
    </w:pPr>
  </w:style>
  <w:style w:type="table" w:styleId="MediumShading1-Accent4">
    <w:name w:val="Medium Shading 1 Accent 4"/>
    <w:basedOn w:val="TableNormal"/>
    <w:uiPriority w:val="63"/>
    <w:rsid w:val="009C17EC"/>
    <w:rPr>
      <w:rFonts w:eastAsia="PMingLiU"/>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9C17EC"/>
    <w:rPr>
      <w:rFonts w:eastAsia="MS Mincho"/>
      <w:sz w:val="18"/>
      <w:vertAlign w:val="superscript"/>
    </w:rPr>
  </w:style>
  <w:style w:type="table" w:styleId="TableGrid">
    <w:name w:val="Table Grid"/>
    <w:basedOn w:val="TableNormal"/>
    <w:rsid w:val="009C17EC"/>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C17EC"/>
    <w:pPr>
      <w:spacing w:line="240" w:lineRule="auto"/>
    </w:pPr>
    <w:rPr>
      <w:sz w:val="16"/>
      <w:szCs w:val="16"/>
    </w:rPr>
  </w:style>
  <w:style w:type="character" w:customStyle="1" w:styleId="BalloonTextChar">
    <w:name w:val="Balloon Text Char"/>
    <w:link w:val="BalloonText"/>
    <w:uiPriority w:val="99"/>
    <w:semiHidden/>
    <w:rsid w:val="009C17EC"/>
    <w:rPr>
      <w:rFonts w:ascii="Times New Roman" w:eastAsia="PMingLiU" w:hAnsi="Times New Roman" w:cs="Simplified Arabic"/>
      <w:sz w:val="16"/>
      <w:szCs w:val="16"/>
      <w:lang w:eastAsia="en-US"/>
    </w:rPr>
  </w:style>
  <w:style w:type="character" w:styleId="Hyperlink">
    <w:name w:val="Hyperlink"/>
    <w:unhideWhenUsed/>
    <w:rsid w:val="009C17EC"/>
    <w:rPr>
      <w:color w:val="0000FF"/>
      <w:u w:val="none"/>
    </w:rPr>
  </w:style>
  <w:style w:type="paragraph" w:styleId="TOC1">
    <w:name w:val="toc 1"/>
    <w:basedOn w:val="Normal"/>
    <w:link w:val="TOC1Char"/>
    <w:autoRedefine/>
    <w:uiPriority w:val="39"/>
    <w:unhideWhenUsed/>
    <w:rsid w:val="009C17EC"/>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9C17EC"/>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9C17EC"/>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9C17EC"/>
    <w:rPr>
      <w:rFonts w:eastAsia="DengXian"/>
      <w:color w:val="auto"/>
      <w:sz w:val="20"/>
      <w:szCs w:val="20"/>
      <w:u w:val="none"/>
      <w:lang w:eastAsia="zh-CN" w:bidi="ar-EG"/>
    </w:rPr>
  </w:style>
  <w:style w:type="paragraph" w:styleId="TOC4">
    <w:name w:val="toc 4"/>
    <w:basedOn w:val="Normal"/>
    <w:link w:val="TOC4Char"/>
    <w:autoRedefine/>
    <w:uiPriority w:val="39"/>
    <w:unhideWhenUsed/>
    <w:rsid w:val="009C17EC"/>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9C17EC"/>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9C17EC"/>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9C17EC"/>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Cs w:val="28"/>
      <w:lang w:eastAsia="en-US"/>
    </w:rPr>
  </w:style>
  <w:style w:type="table" w:customStyle="1" w:styleId="TABLEA">
    <w:name w:val="TABLE_A"/>
    <w:basedOn w:val="TableNormal"/>
    <w:uiPriority w:val="99"/>
    <w:rsid w:val="009C17EC"/>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9C17EC"/>
    <w:rPr>
      <w:rFonts w:ascii="Times New Roman" w:eastAsia="PMingLiU" w:hAnsi="Times New Roman" w:cs="Simplified Arabic"/>
      <w:sz w:val="22"/>
      <w:szCs w:val="22"/>
      <w:lang w:val="en-GB" w:eastAsia="en-US"/>
    </w:rPr>
  </w:style>
  <w:style w:type="character" w:styleId="UnresolvedMention">
    <w:name w:val="Unresolved Mention"/>
    <w:basedOn w:val="DefaultParagraphFont"/>
    <w:uiPriority w:val="99"/>
    <w:semiHidden/>
    <w:unhideWhenUsed/>
    <w:rsid w:val="009C17EC"/>
    <w:rPr>
      <w:color w:val="605E5C"/>
      <w:shd w:val="clear" w:color="auto" w:fill="E1DFDD"/>
    </w:rPr>
  </w:style>
  <w:style w:type="character" w:customStyle="1" w:styleId="TOC1Char">
    <w:name w:val="TOC 1 Char"/>
    <w:basedOn w:val="DefaultParagraphFont"/>
    <w:link w:val="TOC1"/>
    <w:uiPriority w:val="39"/>
    <w:rsid w:val="009C17EC"/>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9C17EC"/>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9C17EC"/>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9C17EC"/>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9C17EC"/>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9C17EC"/>
    <w:rPr>
      <w:rFonts w:ascii="Times New Roman" w:eastAsia="PMingLiU" w:hAnsi="Times New Roman" w:cs="Simplified Arabic"/>
      <w:lang w:val="en-GB" w:eastAsia="en-US"/>
    </w:rPr>
  </w:style>
  <w:style w:type="paragraph" w:customStyle="1" w:styleId="SessionDate">
    <w:name w:val="Session_Date"/>
    <w:basedOn w:val="Normal"/>
    <w:qFormat/>
    <w:rsid w:val="009C17EC"/>
    <w:pPr>
      <w:spacing w:before="240" w:after="240" w:line="460" w:lineRule="exact"/>
      <w:ind w:left="1247"/>
    </w:pPr>
    <w:rPr>
      <w:b/>
      <w:bCs/>
      <w:sz w:val="32"/>
      <w:szCs w:val="44"/>
    </w:rPr>
  </w:style>
  <w:style w:type="paragraph" w:customStyle="1" w:styleId="SessionNumber">
    <w:name w:val="Session_Number"/>
    <w:basedOn w:val="Normal"/>
    <w:qFormat/>
    <w:rsid w:val="009C17EC"/>
    <w:pPr>
      <w:spacing w:line="480" w:lineRule="exact"/>
      <w:ind w:left="1247"/>
    </w:pPr>
    <w:rPr>
      <w:b/>
      <w:bCs/>
      <w:sz w:val="28"/>
      <w:szCs w:val="38"/>
    </w:rPr>
  </w:style>
  <w:style w:type="paragraph" w:customStyle="1" w:styleId="CityandYear">
    <w:name w:val="City and Year"/>
    <w:basedOn w:val="SingleTxtGA"/>
    <w:qFormat/>
    <w:rsid w:val="009C17EC"/>
    <w:pPr>
      <w:spacing w:line="480" w:lineRule="exact"/>
    </w:pPr>
    <w:rPr>
      <w:b/>
      <w:bCs/>
      <w:sz w:val="30"/>
      <w:szCs w:val="38"/>
      <w:lang w:eastAsia="ar-SA"/>
    </w:rPr>
  </w:style>
  <w:style w:type="paragraph" w:customStyle="1" w:styleId="NormalA">
    <w:name w:val="Normal_A"/>
    <w:basedOn w:val="Normal"/>
    <w:qFormat/>
    <w:rsid w:val="009C17EC"/>
  </w:style>
  <w:style w:type="paragraph" w:customStyle="1" w:styleId="H1G">
    <w:name w:val="_ H_1_G"/>
    <w:basedOn w:val="Normal"/>
    <w:next w:val="Normal"/>
    <w:link w:val="H1GChar"/>
    <w:qFormat/>
    <w:rsid w:val="009C17EC"/>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9C17EC"/>
    <w:pPr>
      <w:suppressAutoHyphens/>
      <w:bidi w:val="0"/>
      <w:spacing w:after="120"/>
      <w:ind w:left="1134" w:right="1134"/>
      <w:jc w:val="both"/>
    </w:pPr>
    <w:rPr>
      <w:szCs w:val="20"/>
      <w:lang w:val="en-GB"/>
    </w:rPr>
  </w:style>
  <w:style w:type="paragraph" w:customStyle="1" w:styleId="HChG">
    <w:name w:val="_ H _Ch_G"/>
    <w:basedOn w:val="Normal"/>
    <w:next w:val="Normal"/>
    <w:link w:val="HChGChar"/>
    <w:qFormat/>
    <w:rsid w:val="009C17EC"/>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link w:val="H23GChar"/>
    <w:qFormat/>
    <w:rsid w:val="009C17EC"/>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9C17EC"/>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9C17EC"/>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9C17EC"/>
    <w:rPr>
      <w:sz w:val="44"/>
      <w:szCs w:val="44"/>
      <w:lang w:val="en-US" w:bidi="ar-DZ"/>
    </w:rPr>
  </w:style>
  <w:style w:type="paragraph" w:customStyle="1" w:styleId="FootnoteGA0">
    <w:name w:val="Footnote_GA"/>
    <w:basedOn w:val="Normal"/>
    <w:qFormat/>
    <w:rsid w:val="009C17EC"/>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9C17EC"/>
    <w:pPr>
      <w:keepNext/>
      <w:keepLines/>
      <w:spacing w:after="120" w:line="400" w:lineRule="exact"/>
      <w:outlineLvl w:val="0"/>
    </w:pPr>
    <w:rPr>
      <w:b/>
      <w:bCs/>
      <w:kern w:val="14"/>
      <w:sz w:val="24"/>
      <w:szCs w:val="32"/>
    </w:rPr>
  </w:style>
  <w:style w:type="paragraph" w:customStyle="1" w:styleId="HCh">
    <w:name w:val="_ H _Ch"/>
    <w:basedOn w:val="H1"/>
    <w:next w:val="SingleTxt"/>
    <w:qFormat/>
    <w:rsid w:val="009C17EC"/>
    <w:pPr>
      <w:spacing w:line="440" w:lineRule="exact"/>
    </w:pPr>
    <w:rPr>
      <w:spacing w:val="-2"/>
      <w:sz w:val="28"/>
      <w:szCs w:val="36"/>
    </w:rPr>
  </w:style>
  <w:style w:type="character" w:styleId="CommentReference">
    <w:name w:val="annotation reference"/>
    <w:uiPriority w:val="99"/>
    <w:semiHidden/>
    <w:rsid w:val="009C17EC"/>
    <w:rPr>
      <w:sz w:val="6"/>
      <w:szCs w:val="9"/>
    </w:rPr>
  </w:style>
  <w:style w:type="paragraph" w:customStyle="1" w:styleId="HM">
    <w:name w:val="_ H __M"/>
    <w:basedOn w:val="HCh"/>
    <w:next w:val="Normal"/>
    <w:qFormat/>
    <w:rsid w:val="009C17EC"/>
    <w:pPr>
      <w:suppressAutoHyphens/>
      <w:spacing w:line="520" w:lineRule="exact"/>
    </w:pPr>
    <w:rPr>
      <w:spacing w:val="-3"/>
      <w:sz w:val="34"/>
      <w:szCs w:val="48"/>
    </w:rPr>
  </w:style>
  <w:style w:type="paragraph" w:customStyle="1" w:styleId="SingleTxt">
    <w:name w:val="__Single Txt"/>
    <w:basedOn w:val="Normal"/>
    <w:qFormat/>
    <w:rsid w:val="009C17EC"/>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9C17EC"/>
    <w:pPr>
      <w:suppressAutoHyphens/>
      <w:spacing w:line="360" w:lineRule="exact"/>
      <w:outlineLvl w:val="1"/>
    </w:pPr>
    <w:rPr>
      <w:spacing w:val="2"/>
      <w:sz w:val="20"/>
      <w:szCs w:val="28"/>
    </w:rPr>
  </w:style>
  <w:style w:type="paragraph" w:customStyle="1" w:styleId="H4">
    <w:name w:val="_ H_4"/>
    <w:basedOn w:val="Normal"/>
    <w:next w:val="Normal"/>
    <w:qFormat/>
    <w:rsid w:val="009C17EC"/>
    <w:pPr>
      <w:keepNext/>
      <w:keepLines/>
      <w:spacing w:after="120" w:line="360" w:lineRule="exact"/>
      <w:outlineLvl w:val="3"/>
    </w:pPr>
    <w:rPr>
      <w:i/>
      <w:iCs/>
      <w:kern w:val="14"/>
      <w:szCs w:val="28"/>
    </w:rPr>
  </w:style>
  <w:style w:type="paragraph" w:customStyle="1" w:styleId="H56">
    <w:name w:val="_ H_5/6"/>
    <w:basedOn w:val="Normal"/>
    <w:next w:val="Normal"/>
    <w:qFormat/>
    <w:rsid w:val="009C17EC"/>
    <w:pPr>
      <w:keepNext/>
      <w:keepLines/>
      <w:spacing w:after="120" w:line="360" w:lineRule="exact"/>
      <w:outlineLvl w:val="4"/>
    </w:pPr>
    <w:rPr>
      <w:kern w:val="14"/>
      <w:szCs w:val="28"/>
    </w:rPr>
  </w:style>
  <w:style w:type="paragraph" w:customStyle="1" w:styleId="DualTxt">
    <w:name w:val="__Dual Txt"/>
    <w:basedOn w:val="Normal"/>
    <w:qFormat/>
    <w:rsid w:val="009C17EC"/>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9C17EC"/>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9C17EC"/>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9C17EC"/>
    <w:pPr>
      <w:spacing w:after="120" w:line="440" w:lineRule="exact"/>
      <w:jc w:val="center"/>
    </w:pPr>
    <w:rPr>
      <w:b/>
      <w:bCs/>
      <w:sz w:val="25"/>
      <w:szCs w:val="38"/>
    </w:rPr>
  </w:style>
  <w:style w:type="paragraph" w:customStyle="1" w:styleId="JH1">
    <w:name w:val="J_H_1"/>
    <w:basedOn w:val="JCH"/>
    <w:qFormat/>
    <w:rsid w:val="009C17EC"/>
    <w:pPr>
      <w:spacing w:line="420" w:lineRule="exact"/>
    </w:pPr>
    <w:rPr>
      <w:sz w:val="23"/>
      <w:szCs w:val="34"/>
    </w:rPr>
  </w:style>
  <w:style w:type="paragraph" w:customStyle="1" w:styleId="JH2">
    <w:name w:val="J_H_2"/>
    <w:basedOn w:val="JH1"/>
    <w:qFormat/>
    <w:rsid w:val="009C17EC"/>
    <w:pPr>
      <w:spacing w:line="400" w:lineRule="exact"/>
    </w:pPr>
    <w:rPr>
      <w:sz w:val="20"/>
      <w:szCs w:val="30"/>
    </w:rPr>
  </w:style>
  <w:style w:type="paragraph" w:customStyle="1" w:styleId="JSmall">
    <w:name w:val="J_Small"/>
    <w:basedOn w:val="JSingleTxt"/>
    <w:next w:val="JSingleTxt"/>
    <w:qFormat/>
    <w:rsid w:val="009C17EC"/>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9C17EC"/>
    <w:pPr>
      <w:tabs>
        <w:tab w:val="right" w:leader="dot" w:pos="360"/>
      </w:tabs>
      <w:spacing w:line="310" w:lineRule="exact"/>
      <w:jc w:val="right"/>
    </w:pPr>
    <w:rPr>
      <w:spacing w:val="5"/>
      <w:w w:val="104"/>
      <w:kern w:val="14"/>
      <w:sz w:val="17"/>
      <w:szCs w:val="25"/>
    </w:rPr>
  </w:style>
  <w:style w:type="character" w:styleId="LineNumber">
    <w:name w:val="line number"/>
    <w:qFormat/>
    <w:rsid w:val="009C17EC"/>
    <w:rPr>
      <w:sz w:val="14"/>
      <w:szCs w:val="16"/>
    </w:rPr>
  </w:style>
  <w:style w:type="paragraph" w:customStyle="1" w:styleId="SmallX">
    <w:name w:val="SmallX"/>
    <w:basedOn w:val="Small"/>
    <w:next w:val="Normal"/>
    <w:qFormat/>
    <w:rsid w:val="009C17EC"/>
    <w:pPr>
      <w:spacing w:line="240" w:lineRule="exact"/>
    </w:pPr>
    <w:rPr>
      <w:spacing w:val="6"/>
      <w:w w:val="106"/>
      <w:sz w:val="14"/>
      <w:szCs w:val="21"/>
    </w:rPr>
  </w:style>
  <w:style w:type="paragraph" w:customStyle="1" w:styleId="XLarge">
    <w:name w:val="XLarge"/>
    <w:basedOn w:val="HM"/>
    <w:qFormat/>
    <w:rsid w:val="009C17EC"/>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9C17EC"/>
    <w:pPr>
      <w:spacing w:line="820" w:lineRule="exact"/>
    </w:pPr>
    <w:rPr>
      <w:spacing w:val="-8"/>
      <w:w w:val="96"/>
      <w:sz w:val="57"/>
      <w:szCs w:val="86"/>
    </w:rPr>
  </w:style>
  <w:style w:type="paragraph" w:customStyle="1" w:styleId="Distribution">
    <w:name w:val="Distribution"/>
    <w:basedOn w:val="Normal"/>
    <w:next w:val="Normal"/>
    <w:qFormat/>
    <w:rsid w:val="009C17EC"/>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9C17EC"/>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9C17EC"/>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9C17EC"/>
    <w:pPr>
      <w:tabs>
        <w:tab w:val="center" w:pos="4320"/>
        <w:tab w:val="right" w:pos="8640"/>
      </w:tabs>
      <w:spacing w:line="210" w:lineRule="exact"/>
      <w:jc w:val="right"/>
    </w:pPr>
    <w:rPr>
      <w:rFonts w:ascii="Times New Roman" w:eastAsia="PMingLiU" w:hAnsi="Times New Roman" w:cs="Simplified Arabic"/>
      <w:w w:val="103"/>
      <w:kern w:val="14"/>
      <w:szCs w:val="30"/>
      <w:lang w:eastAsia="en-US"/>
    </w:rPr>
  </w:style>
  <w:style w:type="paragraph" w:customStyle="1" w:styleId="Session">
    <w:name w:val="Session"/>
    <w:basedOn w:val="H23"/>
    <w:qFormat/>
    <w:rsid w:val="009C17EC"/>
    <w:pPr>
      <w:tabs>
        <w:tab w:val="left" w:pos="662"/>
        <w:tab w:val="left" w:pos="1267"/>
        <w:tab w:val="left" w:pos="1987"/>
        <w:tab w:val="left" w:pos="2650"/>
      </w:tabs>
      <w:spacing w:after="0"/>
      <w:ind w:left="662" w:hanging="662"/>
    </w:pPr>
  </w:style>
  <w:style w:type="paragraph" w:customStyle="1" w:styleId="Committee">
    <w:name w:val="Committee"/>
    <w:basedOn w:val="H1"/>
    <w:qFormat/>
    <w:rsid w:val="009C17EC"/>
    <w:pPr>
      <w:tabs>
        <w:tab w:val="left" w:pos="662"/>
        <w:tab w:val="left" w:pos="1267"/>
        <w:tab w:val="left" w:pos="1987"/>
        <w:tab w:val="left" w:pos="2650"/>
      </w:tabs>
      <w:ind w:right="1264"/>
    </w:pPr>
  </w:style>
  <w:style w:type="paragraph" w:customStyle="1" w:styleId="AgendaItemNormal">
    <w:name w:val="Agenda_Item_Normal"/>
    <w:next w:val="Normal"/>
    <w:qFormat/>
    <w:rsid w:val="009C17EC"/>
    <w:pPr>
      <w:spacing w:line="360" w:lineRule="exact"/>
      <w:jc w:val="both"/>
    </w:pPr>
    <w:rPr>
      <w:rFonts w:ascii="Times New Roman" w:eastAsia="PMingLiU" w:hAnsi="Times New Roman" w:cs="Simplified Arabic"/>
      <w:w w:val="103"/>
      <w:kern w:val="14"/>
      <w:szCs w:val="28"/>
      <w:lang w:eastAsia="en-US"/>
    </w:rPr>
  </w:style>
  <w:style w:type="paragraph" w:customStyle="1" w:styleId="Sponsors">
    <w:name w:val="Sponsors"/>
    <w:basedOn w:val="H23"/>
    <w:next w:val="Normal"/>
    <w:qFormat/>
    <w:rsid w:val="009C17EC"/>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9C17EC"/>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9C17EC"/>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9C17EC"/>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9C17EC"/>
    <w:rPr>
      <w:i w:val="0"/>
      <w:color w:val="0000FF"/>
      <w:u w:val="none"/>
    </w:rPr>
  </w:style>
  <w:style w:type="paragraph" w:customStyle="1" w:styleId="Bullet1">
    <w:name w:val="Bullet 1"/>
    <w:basedOn w:val="Normal"/>
    <w:qFormat/>
    <w:rsid w:val="009C17EC"/>
    <w:pPr>
      <w:numPr>
        <w:numId w:val="18"/>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9C17EC"/>
    <w:pPr>
      <w:numPr>
        <w:numId w:val="19"/>
      </w:numPr>
      <w:spacing w:after="120" w:line="360" w:lineRule="exact"/>
      <w:ind w:right="1264"/>
    </w:pPr>
    <w:rPr>
      <w:kern w:val="14"/>
      <w:szCs w:val="28"/>
    </w:rPr>
  </w:style>
  <w:style w:type="paragraph" w:customStyle="1" w:styleId="Bullet3">
    <w:name w:val="Bullet 3"/>
    <w:basedOn w:val="SingleTxt"/>
    <w:qFormat/>
    <w:rsid w:val="009C17EC"/>
    <w:pPr>
      <w:numPr>
        <w:numId w:val="20"/>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9C17EC"/>
    <w:pPr>
      <w:ind w:right="5760"/>
      <w:outlineLvl w:val="1"/>
    </w:pPr>
    <w:rPr>
      <w:spacing w:val="2"/>
      <w:sz w:val="20"/>
      <w:szCs w:val="28"/>
    </w:rPr>
  </w:style>
  <w:style w:type="paragraph" w:customStyle="1" w:styleId="STitleM">
    <w:name w:val="S_Title_M"/>
    <w:basedOn w:val="Normal"/>
    <w:next w:val="Normal"/>
    <w:qFormat/>
    <w:rsid w:val="009C17EC"/>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9C17EC"/>
    <w:pPr>
      <w:spacing w:line="600" w:lineRule="exact"/>
      <w:ind w:left="1267" w:right="1267"/>
    </w:pPr>
    <w:rPr>
      <w:w w:val="103"/>
      <w:sz w:val="60"/>
      <w:szCs w:val="60"/>
    </w:rPr>
  </w:style>
  <w:style w:type="paragraph" w:customStyle="1" w:styleId="STitleL">
    <w:name w:val="S_Title_L"/>
    <w:basedOn w:val="XLarge"/>
    <w:next w:val="Normal"/>
    <w:qFormat/>
    <w:rsid w:val="009C17EC"/>
    <w:rPr>
      <w:spacing w:val="-8"/>
      <w:w w:val="96"/>
      <w:sz w:val="57"/>
    </w:rPr>
  </w:style>
  <w:style w:type="paragraph" w:styleId="CommentText">
    <w:name w:val="annotation text"/>
    <w:basedOn w:val="Normal"/>
    <w:link w:val="CommentTextChar"/>
    <w:uiPriority w:val="99"/>
    <w:semiHidden/>
    <w:unhideWhenUsed/>
    <w:rsid w:val="009C17EC"/>
    <w:pPr>
      <w:spacing w:line="240" w:lineRule="auto"/>
    </w:pPr>
    <w:rPr>
      <w:kern w:val="14"/>
    </w:rPr>
  </w:style>
  <w:style w:type="character" w:customStyle="1" w:styleId="CommentTextChar">
    <w:name w:val="Comment Text Char"/>
    <w:basedOn w:val="DefaultParagraphFont"/>
    <w:link w:val="CommentText"/>
    <w:uiPriority w:val="99"/>
    <w:semiHidden/>
    <w:rsid w:val="009C17EC"/>
    <w:rPr>
      <w:rFonts w:ascii="Times New Roman" w:eastAsia="PMingLiU" w:hAnsi="Times New Roman" w:cs="Simplified Arabic"/>
      <w:kern w:val="14"/>
      <w:szCs w:val="22"/>
      <w:lang w:eastAsia="en-US"/>
    </w:rPr>
  </w:style>
  <w:style w:type="paragraph" w:styleId="CommentSubject">
    <w:name w:val="annotation subject"/>
    <w:basedOn w:val="CommentText"/>
    <w:next w:val="CommentText"/>
    <w:link w:val="CommentSubjectChar"/>
    <w:uiPriority w:val="99"/>
    <w:semiHidden/>
    <w:unhideWhenUsed/>
    <w:rsid w:val="009C17EC"/>
    <w:rPr>
      <w:b/>
      <w:bCs/>
    </w:rPr>
  </w:style>
  <w:style w:type="character" w:customStyle="1" w:styleId="CommentSubjectChar">
    <w:name w:val="Comment Subject Char"/>
    <w:basedOn w:val="CommentTextChar"/>
    <w:link w:val="CommentSubject"/>
    <w:uiPriority w:val="99"/>
    <w:semiHidden/>
    <w:rsid w:val="009C17EC"/>
    <w:rPr>
      <w:rFonts w:ascii="Times New Roman" w:eastAsia="PMingLiU" w:hAnsi="Times New Roman" w:cs="Simplified Arabic"/>
      <w:b/>
      <w:bCs/>
      <w:kern w:val="14"/>
      <w:szCs w:val="22"/>
      <w:lang w:eastAsia="en-US"/>
    </w:rPr>
  </w:style>
  <w:style w:type="paragraph" w:customStyle="1" w:styleId="Bullet1G">
    <w:name w:val="_Bullet 1_G"/>
    <w:basedOn w:val="Normal"/>
    <w:qFormat/>
    <w:rsid w:val="009C17EC"/>
    <w:pPr>
      <w:numPr>
        <w:numId w:val="21"/>
      </w:numPr>
      <w:bidi w:val="0"/>
      <w:spacing w:after="120"/>
      <w:ind w:right="1134"/>
      <w:jc w:val="both"/>
    </w:pPr>
    <w:rPr>
      <w:sz w:val="22"/>
    </w:rPr>
  </w:style>
  <w:style w:type="character" w:customStyle="1" w:styleId="SingleTxtGChar">
    <w:name w:val="_ Single Txt_G Char"/>
    <w:link w:val="SingleTxtG"/>
    <w:rsid w:val="009C17EC"/>
    <w:rPr>
      <w:rFonts w:ascii="Times New Roman" w:eastAsia="PMingLiU" w:hAnsi="Times New Roman" w:cs="Simplified Arabic"/>
      <w:lang w:val="en-GB" w:eastAsia="en-US"/>
    </w:rPr>
  </w:style>
  <w:style w:type="paragraph" w:customStyle="1" w:styleId="Preparedby">
    <w:name w:val="Prepared by:"/>
    <w:basedOn w:val="H23GA"/>
    <w:qFormat/>
    <w:rsid w:val="009C17EC"/>
    <w:rPr>
      <w:sz w:val="32"/>
      <w:szCs w:val="32"/>
    </w:rPr>
  </w:style>
  <w:style w:type="paragraph" w:customStyle="1" w:styleId="ParaNoG">
    <w:name w:val="_ParaNo._G"/>
    <w:basedOn w:val="SingleTxtG"/>
    <w:rsid w:val="009C17EC"/>
    <w:pPr>
      <w:numPr>
        <w:numId w:val="28"/>
      </w:numPr>
      <w:tabs>
        <w:tab w:val="left" w:pos="1134"/>
        <w:tab w:val="left" w:pos="1701"/>
        <w:tab w:val="left" w:pos="2268"/>
        <w:tab w:val="left" w:pos="2835"/>
      </w:tabs>
      <w:suppressAutoHyphens w:val="0"/>
    </w:pPr>
    <w:rPr>
      <w:rFonts w:hint="cs"/>
      <w:szCs w:val="30"/>
      <w:lang w:val="fr-FR" w:eastAsia="fr-FR"/>
    </w:rPr>
  </w:style>
  <w:style w:type="paragraph" w:customStyle="1" w:styleId="HMG">
    <w:name w:val="_ H __M_G"/>
    <w:basedOn w:val="Normal"/>
    <w:next w:val="Normal"/>
    <w:qFormat/>
    <w:rsid w:val="009C17EC"/>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9C17EC"/>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9C17EC"/>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9C17EC"/>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9C17EC"/>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9C17EC"/>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9C17EC"/>
    <w:pPr>
      <w:numPr>
        <w:numId w:val="24"/>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9C17EC"/>
    <w:rPr>
      <w:rFonts w:asciiTheme="minorHAnsi" w:eastAsiaTheme="minorEastAsia" w:hAnsiTheme="minorHAnsi" w:cstheme="minorBidi"/>
      <w:sz w:val="24"/>
      <w:szCs w:val="24"/>
      <w:lang w:val="fr-FR" w:eastAsia="fr-FR"/>
    </w:rPr>
  </w:style>
  <w:style w:type="paragraph" w:customStyle="1" w:styleId="Default">
    <w:name w:val="Default"/>
    <w:semiHidden/>
    <w:rsid w:val="009C17EC"/>
    <w:pPr>
      <w:autoSpaceDE w:val="0"/>
      <w:autoSpaceDN w:val="0"/>
      <w:adjustRightInd w:val="0"/>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9C17EC"/>
  </w:style>
  <w:style w:type="character" w:customStyle="1" w:styleId="preferred">
    <w:name w:val="preferred"/>
    <w:basedOn w:val="DefaultParagraphFont"/>
    <w:rsid w:val="009C17EC"/>
  </w:style>
  <w:style w:type="character" w:customStyle="1" w:styleId="admitted">
    <w:name w:val="admitted"/>
    <w:basedOn w:val="DefaultParagraphFont"/>
    <w:rsid w:val="009C17EC"/>
  </w:style>
  <w:style w:type="character" w:customStyle="1" w:styleId="HChGChar">
    <w:name w:val="_ H _Ch_G Char"/>
    <w:link w:val="HChG"/>
    <w:locked/>
    <w:rsid w:val="00EE517B"/>
    <w:rPr>
      <w:rFonts w:ascii="Times New Roman" w:eastAsia="PMingLiU" w:hAnsi="Times New Roman" w:cs="Simplified Arabic"/>
      <w:b/>
      <w:sz w:val="28"/>
      <w:lang w:val="en-GB" w:eastAsia="en-US"/>
    </w:rPr>
  </w:style>
  <w:style w:type="character" w:customStyle="1" w:styleId="H1GChar">
    <w:name w:val="_ H_1_G Char"/>
    <w:link w:val="H1G"/>
    <w:locked/>
    <w:rsid w:val="00EE517B"/>
    <w:rPr>
      <w:rFonts w:ascii="Times New Roman" w:eastAsia="PMingLiU" w:hAnsi="Times New Roman" w:cs="Simplified Arabic"/>
      <w:b/>
      <w:sz w:val="24"/>
      <w:lang w:val="en-GB" w:eastAsia="en-US"/>
    </w:rPr>
  </w:style>
  <w:style w:type="character" w:customStyle="1" w:styleId="H23GChar">
    <w:name w:val="_ H_2/3_G Char"/>
    <w:link w:val="H23G"/>
    <w:locked/>
    <w:rsid w:val="00EE517B"/>
    <w:rPr>
      <w:rFonts w:ascii="Times New Roman" w:eastAsia="PMingLiU" w:hAnsi="Times New Roman" w:cs="Simplified Arabic"/>
      <w:b/>
      <w:lang w:val="en-GB" w:eastAsia="en-US"/>
    </w:rPr>
  </w:style>
  <w:style w:type="character" w:customStyle="1" w:styleId="SingleTxtGCar">
    <w:name w:val="_ Single Txt_G Car"/>
    <w:rsid w:val="00EE517B"/>
    <w:rPr>
      <w:rFonts w:ascii="Times New Roman" w:eastAsiaTheme="minorHAnsi" w:hAnsi="Times New Roman" w:cs="Times New Roman"/>
      <w:sz w:val="20"/>
      <w:szCs w:val="20"/>
    </w:rPr>
  </w:style>
  <w:style w:type="paragraph" w:customStyle="1" w:styleId="4GCharChar">
    <w:name w:val="4_G Char Char"/>
    <w:aliases w:val="4_G Char Char Char,ftref Char Char Char Char,ftref Char Char Char Char Char,Heading 2 Char1 Char Char Char Char Char,Heading 2 Char2 Char Char Char Char Char Char,Heading 2 Char Char Char Char Char1 Char Char Char Char,ftref Char Char"/>
    <w:basedOn w:val="Normal"/>
    <w:link w:val="FootnoteReference"/>
    <w:rsid w:val="00EE517B"/>
    <w:pPr>
      <w:bidi w:val="0"/>
      <w:spacing w:after="160" w:line="240" w:lineRule="exact"/>
      <w:jc w:val="left"/>
    </w:pPr>
    <w:rPr>
      <w:rFonts w:ascii="Calibri" w:eastAsia="Times New Roman" w:hAnsi="Calibri" w:cs="Arial"/>
      <w:szCs w:val="18"/>
      <w:vertAlign w:val="superscript"/>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ar/CCPR/C/SR.3881" TargetMode="External"/><Relationship Id="rId2" Type="http://schemas.openxmlformats.org/officeDocument/2006/relationships/hyperlink" Target="https://undocs.org/ar/CCPR/C/SR.3880" TargetMode="External"/><Relationship Id="rId1" Type="http://schemas.openxmlformats.org/officeDocument/2006/relationships/hyperlink" Target="https://undocs.org/ar/CCPR/C/LUX/4" TargetMode="External"/><Relationship Id="rId6" Type="http://schemas.openxmlformats.org/officeDocument/2006/relationships/hyperlink" Target="https://undocs.org/ar/CRPD/C/LUX/CO/1" TargetMode="External"/><Relationship Id="rId5" Type="http://schemas.openxmlformats.org/officeDocument/2006/relationships/hyperlink" Target="https://undocs.org/ar/CCPR/C/LUX/Q/4" TargetMode="External"/><Relationship Id="rId4" Type="http://schemas.openxmlformats.org/officeDocument/2006/relationships/hyperlink" Target="https://undocs.org/ar/CCPR/C/LUX/RQ/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B3873-BCCC-420E-8601-D67A16A86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2610</Words>
  <Characters>13593</Characters>
  <Application>Microsoft Office Word</Application>
  <DocSecurity>0</DocSecurity>
  <Lines>218</Lines>
  <Paragraphs>77</Paragraphs>
  <ScaleCrop>false</ScaleCrop>
  <HeadingPairs>
    <vt:vector size="2" baseType="variant">
      <vt:variant>
        <vt:lpstr>Title</vt:lpstr>
      </vt:variant>
      <vt:variant>
        <vt:i4>1</vt:i4>
      </vt:variant>
    </vt:vector>
  </HeadingPairs>
  <TitlesOfParts>
    <vt:vector size="1" baseType="lpstr">
      <vt:lpstr>CCPR/C/LUX/CO/4</vt:lpstr>
    </vt:vector>
  </TitlesOfParts>
  <Company>DCM</Company>
  <LinksUpToDate>false</LinksUpToDate>
  <CharactersWithSpaces>16214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CCPR/C/LUX/CO/4</dc:title>
  <dc:subject>GE.2214492(A)</dc:subject>
  <dc:creator>Ihab RIZ - </dc:creator>
  <cp:keywords>GE.(A)</cp:keywords>
  <dc:description>General_x000d_
_x000d_
Arabic_x000d_
English</dc:description>
  <cp:lastModifiedBy>Ibrahim Balan</cp:lastModifiedBy>
  <cp:revision>3</cp:revision>
  <cp:lastPrinted>2022-12-05T15:06:00Z</cp:lastPrinted>
  <dcterms:created xsi:type="dcterms:W3CDTF">2022-12-05T15:06:00Z</dcterms:created>
  <dcterms:modified xsi:type="dcterms:W3CDTF">2022-12-05T15:06:00Z</dcterms:modified>
  <cp:category>Finale</cp:category>
</cp:coreProperties>
</file>