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aconcuadrcula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:rsidTr="00213632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2D5AAC" w:rsidRDefault="002D5AAC" w:rsidP="00966A4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2D5AAC" w:rsidRPr="00BD33EE" w:rsidRDefault="00BD33EE" w:rsidP="00213632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73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966A42" w:rsidP="00966A42">
            <w:pPr>
              <w:jc w:val="right"/>
            </w:pPr>
            <w:r w:rsidRPr="00966A42">
              <w:rPr>
                <w:sz w:val="40"/>
              </w:rPr>
              <w:t>CERD</w:t>
            </w:r>
            <w:r>
              <w:t>/C/SVK/Q/11-12</w:t>
            </w:r>
          </w:p>
        </w:tc>
      </w:tr>
      <w:tr w:rsidR="002D5AAC" w:rsidTr="00213632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CC15A3" w:rsidP="00213632">
            <w:pPr>
              <w:spacing w:before="120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7967DF" w:rsidRDefault="00160FF7" w:rsidP="00213632">
            <w:pPr>
              <w:spacing w:before="120" w:line="380" w:lineRule="exact"/>
              <w:rPr>
                <w:b/>
                <w:sz w:val="34"/>
                <w:szCs w:val="34"/>
              </w:rPr>
            </w:pPr>
            <w:r>
              <w:rPr>
                <w:b/>
                <w:sz w:val="34"/>
                <w:szCs w:val="34"/>
              </w:rPr>
              <w:t>Convención Internacional sobre</w:t>
            </w:r>
            <w:r>
              <w:rPr>
                <w:b/>
                <w:sz w:val="34"/>
                <w:szCs w:val="34"/>
              </w:rPr>
              <w:br/>
              <w:t xml:space="preserve">la Eliminación de </w:t>
            </w:r>
            <w:r w:rsidR="00100EA7">
              <w:rPr>
                <w:b/>
                <w:sz w:val="34"/>
                <w:szCs w:val="34"/>
              </w:rPr>
              <w:t xml:space="preserve">Todas </w:t>
            </w:r>
            <w:r>
              <w:rPr>
                <w:b/>
                <w:sz w:val="34"/>
                <w:szCs w:val="34"/>
              </w:rPr>
              <w:t>las Formas</w:t>
            </w:r>
            <w:r>
              <w:rPr>
                <w:b/>
                <w:sz w:val="34"/>
                <w:szCs w:val="34"/>
              </w:rPr>
              <w:br/>
              <w:t>de Discriminación Racial</w:t>
            </w:r>
          </w:p>
        </w:tc>
        <w:tc>
          <w:tcPr>
            <w:tcW w:w="2813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966A42" w:rsidP="00213632">
            <w:pPr>
              <w:spacing w:before="240"/>
            </w:pPr>
            <w:r>
              <w:t>Distr. general</w:t>
            </w:r>
          </w:p>
          <w:p w:rsidR="00966A42" w:rsidRDefault="00966A42" w:rsidP="00966A42">
            <w:pPr>
              <w:spacing w:line="240" w:lineRule="exact"/>
            </w:pPr>
            <w:r>
              <w:t>26 de septiembre de 2017</w:t>
            </w:r>
          </w:p>
          <w:p w:rsidR="00966A42" w:rsidRDefault="00966A42" w:rsidP="00966A42">
            <w:pPr>
              <w:spacing w:line="240" w:lineRule="exact"/>
            </w:pPr>
            <w:r>
              <w:t>Español</w:t>
            </w:r>
          </w:p>
          <w:p w:rsidR="00966A42" w:rsidRDefault="00966A42" w:rsidP="00966A42">
            <w:pPr>
              <w:spacing w:line="240" w:lineRule="exact"/>
            </w:pPr>
            <w:r>
              <w:t>Original: inglés</w:t>
            </w:r>
          </w:p>
          <w:p w:rsidR="00076EA1" w:rsidRDefault="00076EA1" w:rsidP="00966A42">
            <w:pPr>
              <w:spacing w:line="240" w:lineRule="exact"/>
            </w:pPr>
            <w:r>
              <w:t>Español, francés e inglés únicamente</w:t>
            </w:r>
          </w:p>
        </w:tc>
      </w:tr>
    </w:tbl>
    <w:p w:rsidR="001C769E" w:rsidRPr="001C769E" w:rsidRDefault="001C769E" w:rsidP="001C769E">
      <w:pPr>
        <w:spacing w:before="120"/>
        <w:rPr>
          <w:b/>
          <w:sz w:val="24"/>
        </w:rPr>
      </w:pPr>
      <w:r w:rsidRPr="001C769E">
        <w:rPr>
          <w:b/>
          <w:sz w:val="24"/>
        </w:rPr>
        <w:t>Comité para la Eliminación de la Discriminación Racial</w:t>
      </w:r>
    </w:p>
    <w:p w:rsidR="001C769E" w:rsidRPr="001C769E" w:rsidRDefault="001C769E" w:rsidP="001C769E">
      <w:pPr>
        <w:rPr>
          <w:b/>
        </w:rPr>
      </w:pPr>
      <w:r w:rsidRPr="001C769E">
        <w:rPr>
          <w:b/>
        </w:rPr>
        <w:t>94º período de sesiones</w:t>
      </w:r>
    </w:p>
    <w:p w:rsidR="001C769E" w:rsidRPr="00272281" w:rsidRDefault="001C769E" w:rsidP="001C769E">
      <w:r w:rsidRPr="00272281">
        <w:t>20 de noviembre a 8 de diciembre de 2017</w:t>
      </w:r>
    </w:p>
    <w:p w:rsidR="001C769E" w:rsidRPr="00272281" w:rsidRDefault="001C769E" w:rsidP="001C769E">
      <w:r w:rsidRPr="00272281">
        <w:t>Tema 4 del programa provisional</w:t>
      </w:r>
    </w:p>
    <w:p w:rsidR="001C769E" w:rsidRPr="001C769E" w:rsidRDefault="001C769E" w:rsidP="001C769E">
      <w:pPr>
        <w:rPr>
          <w:b/>
        </w:rPr>
      </w:pPr>
      <w:r w:rsidRPr="001C769E">
        <w:rPr>
          <w:b/>
        </w:rPr>
        <w:t xml:space="preserve">Examen de los informes, las observaciones y la información presentados </w:t>
      </w:r>
      <w:r w:rsidRPr="001C769E">
        <w:rPr>
          <w:b/>
        </w:rPr>
        <w:br/>
        <w:t>por los Estados partes en virtud del artículo 9 de la Convención</w:t>
      </w:r>
    </w:p>
    <w:p w:rsidR="001C769E" w:rsidRPr="00272281" w:rsidRDefault="001C769E" w:rsidP="001C769E">
      <w:pPr>
        <w:pStyle w:val="HChG"/>
      </w:pPr>
      <w:r>
        <w:tab/>
      </w:r>
      <w:r w:rsidRPr="00272281">
        <w:tab/>
        <w:t>Lista de temas relativa a los informes periódicos</w:t>
      </w:r>
      <w:r>
        <w:br/>
      </w:r>
      <w:r w:rsidRPr="00272281">
        <w:t>11º y 12º combinados de</w:t>
      </w:r>
      <w:r>
        <w:t xml:space="preserve"> </w:t>
      </w:r>
      <w:r w:rsidRPr="00272281">
        <w:t>Eslovaquia</w:t>
      </w:r>
    </w:p>
    <w:p w:rsidR="001C769E" w:rsidRPr="00272281" w:rsidRDefault="001C769E" w:rsidP="001C769E">
      <w:pPr>
        <w:pStyle w:val="H1G"/>
      </w:pPr>
      <w:r>
        <w:tab/>
      </w:r>
      <w:r>
        <w:tab/>
      </w:r>
      <w:r w:rsidRPr="00272281">
        <w:t>Nota del Relator para el país</w:t>
      </w:r>
    </w:p>
    <w:p w:rsidR="001C769E" w:rsidRPr="00272281" w:rsidRDefault="001C769E" w:rsidP="001C769E">
      <w:pPr>
        <w:pStyle w:val="SingleTxtG"/>
      </w:pPr>
      <w:r>
        <w:t>1</w:t>
      </w:r>
      <w:r w:rsidRPr="00272281">
        <w:t>.</w:t>
      </w:r>
      <w:r w:rsidRPr="00272281">
        <w:tab/>
        <w:t>El Comité para la Eliminación de la Discriminación Racial decidió, en su 76º</w:t>
      </w:r>
      <w:r w:rsidR="00AF405C">
        <w:t> </w:t>
      </w:r>
      <w:r w:rsidRPr="00272281">
        <w:t>período de sesiones (véase A/65/18, párr. 85) que el Relator para el país enviaría al Estado parte en cuestión una breve lista de temas con miras a orientar y centrar el diálogo entre la delegación del Estado parte y el Comité durante el examen del informe del Estado parte. El presente documento contiene una lista de temas con esa finalidad. La lista no es exhaustiva; durante el diálogo podrán abordarse otros asuntos. No se requieren respuestas por escrito.</w:t>
      </w:r>
    </w:p>
    <w:p w:rsidR="001C769E" w:rsidRPr="00272281" w:rsidRDefault="001C769E" w:rsidP="001C769E">
      <w:pPr>
        <w:pStyle w:val="H23G"/>
      </w:pPr>
      <w:r>
        <w:tab/>
      </w:r>
      <w:r>
        <w:tab/>
      </w:r>
      <w:r w:rsidRPr="00272281">
        <w:t>Estadísticas fiables sobre la composición de la población</w:t>
      </w:r>
    </w:p>
    <w:p w:rsidR="001C769E" w:rsidRPr="00272281" w:rsidRDefault="001C769E" w:rsidP="001C769E">
      <w:pPr>
        <w:pStyle w:val="SingleTxtG"/>
      </w:pPr>
      <w:r w:rsidRPr="00272281">
        <w:t>2.</w:t>
      </w:r>
      <w:r w:rsidRPr="00272281">
        <w:tab/>
        <w:t>Medidas adoptadas para mejorar la recolección de datos sobre la composición étnica de la población, particularmente la población romaní (CERD/C/SVK/9-10, párr. 5).</w:t>
      </w:r>
    </w:p>
    <w:p w:rsidR="001C769E" w:rsidRPr="00272281" w:rsidRDefault="001C769E" w:rsidP="001C769E">
      <w:pPr>
        <w:pStyle w:val="H23G"/>
      </w:pPr>
      <w:r>
        <w:tab/>
      </w:r>
      <w:r>
        <w:tab/>
      </w:r>
      <w:r w:rsidRPr="00272281">
        <w:t>La Convención en el derecho interno y marco institucional y de políticas para su aplicación (arts. 2 a 4)</w:t>
      </w:r>
    </w:p>
    <w:p w:rsidR="001C769E" w:rsidRPr="00272281" w:rsidRDefault="001C769E" w:rsidP="001C769E">
      <w:pPr>
        <w:pStyle w:val="SingleTxtG"/>
      </w:pPr>
      <w:r w:rsidRPr="00272281">
        <w:t>3.</w:t>
      </w:r>
      <w:r w:rsidRPr="00272281">
        <w:tab/>
        <w:t>Medidas adoptadas para garantizar la aplicación efectiva de la Ley contra la Discriminación y el Plan de Acción Nacional destinado a prevenir y combatir el racismo, la xenofobia, el antisemitismo y otras formas de intolerancia para el período 2016-2018 (CERD/C/SVK/11-12, párr. 205).</w:t>
      </w:r>
    </w:p>
    <w:p w:rsidR="001C769E" w:rsidRPr="00272281" w:rsidRDefault="001C769E" w:rsidP="001C769E">
      <w:pPr>
        <w:pStyle w:val="SingleTxtG"/>
        <w:rPr>
          <w:b/>
        </w:rPr>
      </w:pPr>
      <w:r w:rsidRPr="001C769E">
        <w:t>4.</w:t>
      </w:r>
      <w:r w:rsidRPr="001C769E">
        <w:tab/>
      </w:r>
      <w:r w:rsidRPr="00272281">
        <w:t>Medidas adoptadas para facilitar el acceso a la justicia y a recursos judiciales eficaces a las víctimas de la discriminación racial. Datos estadísticos sobre los casos de discriminación racial, en particular sobre los resultados de las investigaciones, las penas impuestas a los autores y la indemnización otorgada a las víctimas.</w:t>
      </w:r>
    </w:p>
    <w:p w:rsidR="001C769E" w:rsidRPr="00272281" w:rsidRDefault="001C769E" w:rsidP="001C769E">
      <w:pPr>
        <w:pStyle w:val="SingleTxtG"/>
      </w:pPr>
      <w:r w:rsidRPr="00272281">
        <w:t>5.</w:t>
      </w:r>
      <w:r w:rsidRPr="00272281">
        <w:tab/>
        <w:t xml:space="preserve">Medidas adoptadas para garantizar la independencia y el funcionamiento eficaz de los organismos competentes que se ocupan de la discriminación racial, en particular el Centro Nacional Eslovaco de Derechos Humanos (CERD/C/SVK/11-12, párr. 49). </w:t>
      </w:r>
    </w:p>
    <w:p w:rsidR="001C769E" w:rsidRPr="00272281" w:rsidRDefault="001C769E" w:rsidP="001C769E">
      <w:pPr>
        <w:pStyle w:val="SingleTxtG"/>
      </w:pPr>
      <w:r>
        <w:t>6</w:t>
      </w:r>
      <w:r w:rsidRPr="00272281">
        <w:t>.</w:t>
      </w:r>
      <w:r w:rsidRPr="00272281">
        <w:tab/>
        <w:t>Medidas adoptadas para garantizar la aplicación efectiva de la primera Estrategia Nacional para la Protección y Promoción de los Derechos Humanos, aprobada en febrero de 2015 (CERD/C/SVK/11-12, párr. 32). Resultados concretos obtenidos con la aplicación de la Estrategia para la Integración de los Romaníes hasta 2020 y la “reforma romaní”.</w:t>
      </w:r>
    </w:p>
    <w:p w:rsidR="001C769E" w:rsidRPr="00272281" w:rsidRDefault="001C769E" w:rsidP="001C769E">
      <w:pPr>
        <w:pStyle w:val="SingleTxtG"/>
      </w:pPr>
      <w:r w:rsidRPr="00272281">
        <w:lastRenderedPageBreak/>
        <w:t>7.</w:t>
      </w:r>
      <w:r w:rsidRPr="00272281">
        <w:tab/>
        <w:t>Medidas adoptadas para que las disposiciones del Código Penal se ajusten al artículo</w:t>
      </w:r>
      <w:r w:rsidR="003615CC">
        <w:t> </w:t>
      </w:r>
      <w:r w:rsidRPr="00272281">
        <w:t>4 de la Convención y que la motivación de la discriminación racial se considere una circunstancia agravante de todos los delitos. Medidas adoptadas para prevenir la creación de organizaciones extremistas y sus actividades.</w:t>
      </w:r>
    </w:p>
    <w:p w:rsidR="001C769E" w:rsidRPr="00272281" w:rsidRDefault="003615CC" w:rsidP="003615CC">
      <w:pPr>
        <w:pStyle w:val="H23G"/>
      </w:pPr>
      <w:r>
        <w:tab/>
      </w:r>
      <w:r>
        <w:tab/>
      </w:r>
      <w:r w:rsidR="001C769E" w:rsidRPr="00272281">
        <w:t>Discurso de odio racial y delitos de odio (art. 4)</w:t>
      </w:r>
    </w:p>
    <w:p w:rsidR="001C769E" w:rsidRPr="00272281" w:rsidRDefault="001C769E" w:rsidP="001C769E">
      <w:pPr>
        <w:pStyle w:val="SingleTxtG"/>
      </w:pPr>
      <w:r w:rsidRPr="00272281">
        <w:t>8.</w:t>
      </w:r>
      <w:r w:rsidRPr="00272281">
        <w:tab/>
        <w:t>Medidas adoptadas para investigar, prevenir y penar los delitos y el discurso de odio, en particular los cometidos o instigados por políticos, contra grupos minoritarios como los romaníes, los musulmanes, los migrantes, los solicitantes de asilo o los refugiados. Datos estadísticos actualizados sobre el número y la naturaleza de los delitos de odio, las condenas y las penas impuestas a los autores, desglosados por edad, género y origen nacional o étnico de las víctimas, y la indemnización otorgada, de proceder.</w:t>
      </w:r>
    </w:p>
    <w:p w:rsidR="001C769E" w:rsidRPr="00272281" w:rsidRDefault="001C769E" w:rsidP="001C769E">
      <w:pPr>
        <w:pStyle w:val="SingleTxtG"/>
      </w:pPr>
      <w:r w:rsidRPr="00272281">
        <w:t>9.</w:t>
      </w:r>
      <w:r w:rsidRPr="00272281">
        <w:tab/>
        <w:t>Aplicación de medidas para combatir el discurso político racista y el discurso de odio en los medios y en Internet. Datos estadísticos sobre las sanciones disciplinarias y otras medidas destinadas a reprimir esas manifestaciones.</w:t>
      </w:r>
    </w:p>
    <w:p w:rsidR="001C769E" w:rsidRPr="00272281" w:rsidRDefault="003615CC" w:rsidP="003615CC">
      <w:pPr>
        <w:pStyle w:val="H23G"/>
      </w:pPr>
      <w:r>
        <w:tab/>
      </w:r>
      <w:r>
        <w:tab/>
      </w:r>
      <w:r w:rsidR="001C769E" w:rsidRPr="00272281">
        <w:t>Situación de las minorías étnicas (arts. 2 a 7)</w:t>
      </w:r>
    </w:p>
    <w:p w:rsidR="001C769E" w:rsidRPr="00272281" w:rsidRDefault="001C769E" w:rsidP="001C769E">
      <w:pPr>
        <w:pStyle w:val="SingleTxtG"/>
      </w:pPr>
      <w:r w:rsidRPr="00272281">
        <w:t>10.</w:t>
      </w:r>
      <w:r w:rsidRPr="00272281">
        <w:tab/>
        <w:t>Datos estadísticos sobre los casos de uso excesivo de la fuerza por la policía y otros agentes del orden contra personas pertenecientes a minorías étnicas, en particular sobre los resultados de las investigaciones, las penas impuestas a los autores y la indemnización otorgada a las víctimas. Medidas concretas adoptadas para que esos casos se investiguen con prontitud, eficacia e imparcialidad. Medidas adoptadas para prevenir la violencia y el uso excesivo de la fuerza por los agentes del orden contra minorías étnicas, particularmente la romaní.</w:t>
      </w:r>
    </w:p>
    <w:p w:rsidR="001C769E" w:rsidRPr="00272281" w:rsidRDefault="001C769E" w:rsidP="001C769E">
      <w:pPr>
        <w:pStyle w:val="SingleTxtG"/>
      </w:pPr>
      <w:r w:rsidRPr="00272281">
        <w:t>11.</w:t>
      </w:r>
      <w:r w:rsidRPr="00272281">
        <w:tab/>
        <w:t>Puesta en práctica de la Integración de las Comunidades de Romaníes Marginadas (CERD/C/SVK/11-12, párr. 77) y medidas concretas adoptadas para mejorar el acceso a la atención de la salud, sin discriminación, por las minorías étnicas, particularmente la romaní.</w:t>
      </w:r>
    </w:p>
    <w:p w:rsidR="001C769E" w:rsidRPr="00272281" w:rsidRDefault="001C769E" w:rsidP="001C769E">
      <w:pPr>
        <w:pStyle w:val="SingleTxtG"/>
      </w:pPr>
      <w:r w:rsidRPr="00272281">
        <w:t>12.</w:t>
      </w:r>
      <w:r w:rsidRPr="00272281">
        <w:tab/>
        <w:t>Medidas tomadas para mejorar las condiciones de vivienda de los romaníes y medidas adoptadas para prevenir la discriminación y la segregación en relación con su acceso a una vivienda adecuada, al agua y al saneamiento. Datos sobre la incidencia de los desalojos forzosos de romaníes e información sobre las modalidades alternativas de vivienda y sobre la indemnización concedida a las personas afectadas. Aplicación de las medidas adoptadas para resolver la situación de la población romaní en Plavecky Stvrtok.</w:t>
      </w:r>
    </w:p>
    <w:p w:rsidR="001C769E" w:rsidRPr="00272281" w:rsidRDefault="001C769E" w:rsidP="001C769E">
      <w:pPr>
        <w:pStyle w:val="SingleTxtG"/>
      </w:pPr>
      <w:r w:rsidRPr="00272281">
        <w:t>13.</w:t>
      </w:r>
      <w:r w:rsidRPr="00272281">
        <w:tab/>
        <w:t>Resultados concretos alcanzados con las medidas tomadas para combatir la discriminación y segregación de los niños romaníes en la educación. Efectos de las enmiendas introducidas a la Ley de Escuelas, especialmente en lo relativo a la colocación de niños en clases especializadas.</w:t>
      </w:r>
    </w:p>
    <w:p w:rsidR="001C769E" w:rsidRPr="00272281" w:rsidRDefault="001C769E" w:rsidP="001C769E">
      <w:pPr>
        <w:pStyle w:val="SingleTxtG"/>
      </w:pPr>
      <w:r w:rsidRPr="00272281">
        <w:t>14.</w:t>
      </w:r>
      <w:r w:rsidRPr="00272281">
        <w:tab/>
        <w:t>Aplicación de las medidas especiales temporales destinadas a promover la igualdad de oportunidades laborales para los romaníes y sus efectos en la elevada tasa de desempleo de los romaníes.</w:t>
      </w:r>
    </w:p>
    <w:p w:rsidR="001C769E" w:rsidRPr="00272281" w:rsidRDefault="001C769E" w:rsidP="001C769E">
      <w:pPr>
        <w:pStyle w:val="SingleTxtG"/>
      </w:pPr>
      <w:r w:rsidRPr="00272281">
        <w:t>15.</w:t>
      </w:r>
      <w:r w:rsidRPr="00272281">
        <w:tab/>
        <w:t>Medidas tomadas para combatir las múltiples formas de discriminación contra las mujeres romaníes, particularmente en el mercado de trabajo. Medidas adoptadas para hacer frente a la violencia de género y a las prácticas nocivas contra las mujeres romaníes que viven en entornos segregados. Medidas adoptadas para investigar los casos de esterilización de mujeres romaníes sin su consentimiento informado y para otorgar indemnización a las víctimas (CERD/C/SVK/11-12, párr. 182).</w:t>
      </w:r>
    </w:p>
    <w:p w:rsidR="001C769E" w:rsidRPr="00272281" w:rsidRDefault="001C769E" w:rsidP="001C769E">
      <w:pPr>
        <w:pStyle w:val="SingleTxtG"/>
      </w:pPr>
      <w:r w:rsidRPr="00272281">
        <w:t>16.</w:t>
      </w:r>
      <w:r w:rsidRPr="00272281">
        <w:tab/>
        <w:t>Medidas tomadas para garantizar un acceso adecuado a los idiomas minoritarios y la promoción de estos, particularmente el húngaro y el romaní.</w:t>
      </w:r>
    </w:p>
    <w:p w:rsidR="001C769E" w:rsidRPr="00272281" w:rsidRDefault="003615CC" w:rsidP="003615CC">
      <w:pPr>
        <w:pStyle w:val="H23G"/>
      </w:pPr>
      <w:r>
        <w:tab/>
      </w:r>
      <w:r>
        <w:tab/>
      </w:r>
      <w:r w:rsidR="001C769E" w:rsidRPr="00272281">
        <w:t>Situación de los no ciudadanos, incluidos los migrantes, los solicitantes</w:t>
      </w:r>
      <w:r>
        <w:br/>
      </w:r>
      <w:r w:rsidR="001C769E" w:rsidRPr="00272281">
        <w:t>de asilo, los refugiados y los apátridas (arts. 5 y 7)</w:t>
      </w:r>
    </w:p>
    <w:p w:rsidR="001C769E" w:rsidRPr="00272281" w:rsidRDefault="001C769E" w:rsidP="001C769E">
      <w:pPr>
        <w:pStyle w:val="SingleTxtG"/>
      </w:pPr>
      <w:r w:rsidRPr="00272281">
        <w:t>17.</w:t>
      </w:r>
      <w:r w:rsidRPr="00272281">
        <w:tab/>
        <w:t xml:space="preserve">Las enmiendas a la Ley de Asilo y la Ley de Estadía de Extranjeros, en particular la nueva norma sobre la detención de los solicitantes de asilo (CERD/C/SVK/11-12, párrs. 11 y 13). Medidas tomadas para promover el recurso a modalidades alternativas a la detención </w:t>
      </w:r>
      <w:bookmarkStart w:id="0" w:name="_GoBack"/>
      <w:bookmarkEnd w:id="0"/>
      <w:r w:rsidRPr="00272281">
        <w:lastRenderedPageBreak/>
        <w:t>administrativa de todas las personas en situación irregular en el Estado parte y de los solicitantes de asilo.</w:t>
      </w:r>
    </w:p>
    <w:p w:rsidR="001C769E" w:rsidRPr="00272281" w:rsidRDefault="001C769E" w:rsidP="001C769E">
      <w:pPr>
        <w:pStyle w:val="SingleTxtG"/>
      </w:pPr>
      <w:r w:rsidRPr="00272281">
        <w:t>18.</w:t>
      </w:r>
      <w:r w:rsidRPr="00272281">
        <w:tab/>
        <w:t>Medidas concretas tomadas para prevenir y combatir la discriminación y la intolerancia contra los migrantes, los solicitantes de asilo y los refugiados.</w:t>
      </w:r>
    </w:p>
    <w:p w:rsidR="00381C24" w:rsidRDefault="001C769E" w:rsidP="003615CC">
      <w:pPr>
        <w:pStyle w:val="SingleTxtG"/>
      </w:pPr>
      <w:r w:rsidRPr="00272281">
        <w:t>19.</w:t>
      </w:r>
      <w:r w:rsidRPr="00272281">
        <w:tab/>
        <w:t>Aplicación de la Política de Integración y la Política de Migración, y los resultados obtenidos en la integración de los no nacionales</w:t>
      </w:r>
      <w:r w:rsidR="003615CC">
        <w:t>.</w:t>
      </w:r>
    </w:p>
    <w:p w:rsidR="003615CC" w:rsidRPr="003615CC" w:rsidRDefault="003615CC" w:rsidP="003615CC">
      <w:pPr>
        <w:pStyle w:val="SingleTxtG"/>
        <w:suppressAutoHyphens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615CC" w:rsidRPr="003615CC" w:rsidSect="00966A42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0413" w:rsidRPr="00D43FF0" w:rsidRDefault="006E0413" w:rsidP="00D43FF0">
      <w:pPr>
        <w:pStyle w:val="Piedepgina"/>
      </w:pPr>
    </w:p>
  </w:endnote>
  <w:endnote w:type="continuationSeparator" w:id="0">
    <w:p w:rsidR="006E0413" w:rsidRPr="00D43FF0" w:rsidRDefault="006E0413" w:rsidP="00D43FF0">
      <w:pPr>
        <w:pStyle w:val="Piedepgina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6A42" w:rsidRPr="00966A42" w:rsidRDefault="00966A42" w:rsidP="00966A42">
    <w:pPr>
      <w:pStyle w:val="Piedepgina"/>
      <w:tabs>
        <w:tab w:val="right" w:pos="9638"/>
      </w:tabs>
    </w:pPr>
    <w:r w:rsidRPr="00966A42">
      <w:rPr>
        <w:b/>
        <w:sz w:val="18"/>
      </w:rPr>
      <w:fldChar w:fldCharType="begin"/>
    </w:r>
    <w:r w:rsidRPr="00966A42">
      <w:rPr>
        <w:b/>
        <w:sz w:val="18"/>
      </w:rPr>
      <w:instrText xml:space="preserve"> PAGE  \* MERGEFORMAT </w:instrText>
    </w:r>
    <w:r w:rsidRPr="00966A42">
      <w:rPr>
        <w:b/>
        <w:sz w:val="18"/>
      </w:rPr>
      <w:fldChar w:fldCharType="separate"/>
    </w:r>
    <w:r w:rsidR="00B1615F">
      <w:rPr>
        <w:b/>
        <w:noProof/>
        <w:sz w:val="18"/>
      </w:rPr>
      <w:t>2</w:t>
    </w:r>
    <w:r w:rsidRPr="00966A42">
      <w:rPr>
        <w:b/>
        <w:sz w:val="18"/>
      </w:rPr>
      <w:fldChar w:fldCharType="end"/>
    </w:r>
    <w:r>
      <w:rPr>
        <w:b/>
        <w:sz w:val="18"/>
      </w:rPr>
      <w:tab/>
    </w:r>
    <w:r>
      <w:t>GE.17-16842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6A42" w:rsidRPr="00966A42" w:rsidRDefault="00966A42" w:rsidP="00966A42">
    <w:pPr>
      <w:pStyle w:val="Piedepgina"/>
      <w:tabs>
        <w:tab w:val="right" w:pos="9638"/>
      </w:tabs>
      <w:rPr>
        <w:b/>
        <w:sz w:val="18"/>
      </w:rPr>
    </w:pPr>
    <w:r>
      <w:t>GE.17-16842</w:t>
    </w:r>
    <w:r>
      <w:tab/>
    </w:r>
    <w:r w:rsidRPr="00966A42">
      <w:rPr>
        <w:b/>
        <w:sz w:val="18"/>
      </w:rPr>
      <w:fldChar w:fldCharType="begin"/>
    </w:r>
    <w:r w:rsidRPr="00966A42">
      <w:rPr>
        <w:b/>
        <w:sz w:val="18"/>
      </w:rPr>
      <w:instrText xml:space="preserve"> PAGE  \* MERGEFORMAT </w:instrText>
    </w:r>
    <w:r w:rsidRPr="00966A42">
      <w:rPr>
        <w:b/>
        <w:sz w:val="18"/>
      </w:rPr>
      <w:fldChar w:fldCharType="separate"/>
    </w:r>
    <w:r w:rsidR="00B1615F">
      <w:rPr>
        <w:b/>
        <w:noProof/>
        <w:sz w:val="18"/>
      </w:rPr>
      <w:t>3</w:t>
    </w:r>
    <w:r w:rsidRPr="00966A42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3C2A" w:rsidRPr="00966A42" w:rsidRDefault="00966A42" w:rsidP="00966A42">
    <w:pPr>
      <w:pStyle w:val="Piedepgina"/>
      <w:spacing w:before="120" w:line="240" w:lineRule="auto"/>
      <w:rPr>
        <w:sz w:val="20"/>
      </w:rPr>
    </w:pPr>
    <w:r>
      <w:rPr>
        <w:sz w:val="20"/>
      </w:rPr>
      <w:t>GE.</w:t>
    </w:r>
    <w:r w:rsidR="00CC15A3">
      <w:rPr>
        <w:noProof/>
      </w:rPr>
      <w:drawing>
        <wp:anchor distT="0" distB="0" distL="114300" distR="114300" simplePos="0" relativeHeight="251660288" behindDoc="0" locked="1" layoutInCell="1" allowOverlap="1" wp14:anchorId="7AEAE3DE" wp14:editId="2034B5C9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085850" cy="228600"/>
          <wp:effectExtent l="0" t="0" r="0" b="0"/>
          <wp:wrapNone/>
          <wp:docPr id="1" name="Imagen 1" descr="recycle_Spanis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22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17-16842  (S)</w:t>
    </w:r>
    <w:r w:rsidR="001C769E">
      <w:rPr>
        <w:sz w:val="20"/>
      </w:rPr>
      <w:t xml:space="preserve">    290917    061017</w:t>
    </w:r>
    <w:r>
      <w:rPr>
        <w:sz w:val="20"/>
      </w:rPr>
      <w:br/>
    </w:r>
    <w:r w:rsidRPr="00966A42">
      <w:rPr>
        <w:rFonts w:ascii="C39T30Lfz" w:hAnsi="C39T30Lfz"/>
        <w:sz w:val="56"/>
      </w:rPr>
      <w:t></w:t>
    </w:r>
    <w:r w:rsidRPr="00966A42">
      <w:rPr>
        <w:rFonts w:ascii="C39T30Lfz" w:hAnsi="C39T30Lfz"/>
        <w:sz w:val="56"/>
      </w:rPr>
      <w:t></w:t>
    </w:r>
    <w:r w:rsidRPr="00966A42">
      <w:rPr>
        <w:rFonts w:ascii="C39T30Lfz" w:hAnsi="C39T30Lfz"/>
        <w:sz w:val="56"/>
      </w:rPr>
      <w:t></w:t>
    </w:r>
    <w:r w:rsidRPr="00966A42">
      <w:rPr>
        <w:rFonts w:ascii="C39T30Lfz" w:hAnsi="C39T30Lfz"/>
        <w:sz w:val="56"/>
      </w:rPr>
      <w:t></w:t>
    </w:r>
    <w:r w:rsidRPr="00966A42">
      <w:rPr>
        <w:rFonts w:ascii="C39T30Lfz" w:hAnsi="C39T30Lfz"/>
        <w:sz w:val="56"/>
      </w:rPr>
      <w:t></w:t>
    </w:r>
    <w:r w:rsidRPr="00966A42">
      <w:rPr>
        <w:rFonts w:ascii="C39T30Lfz" w:hAnsi="C39T30Lfz"/>
        <w:sz w:val="56"/>
      </w:rPr>
      <w:t></w:t>
    </w:r>
    <w:r w:rsidRPr="00966A42">
      <w:rPr>
        <w:rFonts w:ascii="C39T30Lfz" w:hAnsi="C39T30Lfz"/>
        <w:sz w:val="56"/>
      </w:rPr>
      <w:t></w:t>
    </w:r>
    <w:r w:rsidRPr="00966A42">
      <w:rPr>
        <w:rFonts w:ascii="C39T30Lfz" w:hAnsi="C39T30Lfz"/>
        <w:sz w:val="56"/>
      </w:rPr>
      <w:t></w:t>
    </w:r>
    <w:r w:rsidRPr="00966A42">
      <w:rPr>
        <w:rFonts w:ascii="C39T30Lfz" w:hAnsi="C39T30Lfz"/>
        <w:sz w:val="56"/>
      </w:rPr>
      <w:t></w:t>
    </w:r>
    <w:r>
      <w:rPr>
        <w:noProof/>
        <w:sz w:val="20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638175" cy="638175"/>
          <wp:effectExtent l="0" t="0" r="9525" b="9525"/>
          <wp:wrapNone/>
          <wp:docPr id="3" name="Imagen 1" descr="https://undocs.org/m2/QRCode.ashx?DS=CERD/C/SVK/Q/11-12&amp;Size=2&amp;Lang=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ERD/C/SVK/Q/11-12&amp;Size=2&amp;Lang=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0413" w:rsidRPr="001075E9" w:rsidRDefault="006E0413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6E0413" w:rsidRDefault="006E0413" w:rsidP="00D43FF0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6A42" w:rsidRPr="00966A42" w:rsidRDefault="00AF405C">
    <w:pPr>
      <w:pStyle w:val="Encabezado"/>
    </w:pPr>
    <w:fldSimple w:instr=" TITLE  \* MERGEFORMAT ">
      <w:r w:rsidR="00B1615F">
        <w:t>CERD/C/SVK/Q/11-12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6A42" w:rsidRPr="00966A42" w:rsidRDefault="00AF405C" w:rsidP="00966A42">
    <w:pPr>
      <w:pStyle w:val="Encabezado"/>
      <w:jc w:val="right"/>
    </w:pPr>
    <w:fldSimple w:instr=" TITLE  \* MERGEFORMAT ">
      <w:r w:rsidR="00B1615F">
        <w:t>CERD/C/SVK/Q/11-12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E6B006F"/>
    <w:multiLevelType w:val="multilevel"/>
    <w:tmpl w:val="0C0A0023"/>
    <w:styleLink w:val="ArtculoSecci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2" w15:restartNumberingAfterBreak="0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 w15:restartNumberingAfterBreak="0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2"/>
  </w:num>
  <w:num w:numId="2">
    <w:abstractNumId w:val="10"/>
  </w:num>
  <w:num w:numId="3">
    <w:abstractNumId w:val="14"/>
  </w:num>
  <w:num w:numId="4">
    <w:abstractNumId w:val="13"/>
  </w:num>
  <w:num w:numId="5">
    <w:abstractNumId w:val="11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isplayBackgroundShape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0413"/>
    <w:rsid w:val="00006BB9"/>
    <w:rsid w:val="000107A1"/>
    <w:rsid w:val="0002339D"/>
    <w:rsid w:val="00036733"/>
    <w:rsid w:val="00076EA1"/>
    <w:rsid w:val="00095C9A"/>
    <w:rsid w:val="000B57E7"/>
    <w:rsid w:val="000F09DF"/>
    <w:rsid w:val="000F61B2"/>
    <w:rsid w:val="00100CC1"/>
    <w:rsid w:val="00100EA7"/>
    <w:rsid w:val="00103A93"/>
    <w:rsid w:val="001075E9"/>
    <w:rsid w:val="00133DFF"/>
    <w:rsid w:val="00145F2F"/>
    <w:rsid w:val="00160FF7"/>
    <w:rsid w:val="00180183"/>
    <w:rsid w:val="00196389"/>
    <w:rsid w:val="001B559E"/>
    <w:rsid w:val="001C769E"/>
    <w:rsid w:val="001C7A89"/>
    <w:rsid w:val="00201F1A"/>
    <w:rsid w:val="00213632"/>
    <w:rsid w:val="00224656"/>
    <w:rsid w:val="002433EC"/>
    <w:rsid w:val="0025226E"/>
    <w:rsid w:val="00281DDE"/>
    <w:rsid w:val="00283ED7"/>
    <w:rsid w:val="002A2EFC"/>
    <w:rsid w:val="002C0E18"/>
    <w:rsid w:val="002C33BB"/>
    <w:rsid w:val="002D5AAC"/>
    <w:rsid w:val="00301299"/>
    <w:rsid w:val="00322004"/>
    <w:rsid w:val="003402C2"/>
    <w:rsid w:val="003615CC"/>
    <w:rsid w:val="00381C24"/>
    <w:rsid w:val="003958D0"/>
    <w:rsid w:val="003D78DB"/>
    <w:rsid w:val="004031F0"/>
    <w:rsid w:val="00454E07"/>
    <w:rsid w:val="00455C7E"/>
    <w:rsid w:val="00471CB3"/>
    <w:rsid w:val="0050108D"/>
    <w:rsid w:val="0051740C"/>
    <w:rsid w:val="00572E19"/>
    <w:rsid w:val="005C105D"/>
    <w:rsid w:val="005F0B42"/>
    <w:rsid w:val="00634841"/>
    <w:rsid w:val="00655A21"/>
    <w:rsid w:val="0067198A"/>
    <w:rsid w:val="006725B3"/>
    <w:rsid w:val="006808A9"/>
    <w:rsid w:val="006D631C"/>
    <w:rsid w:val="006E0413"/>
    <w:rsid w:val="006F35EE"/>
    <w:rsid w:val="007021FF"/>
    <w:rsid w:val="007076CB"/>
    <w:rsid w:val="007967DF"/>
    <w:rsid w:val="00834B71"/>
    <w:rsid w:val="0086445C"/>
    <w:rsid w:val="00865A80"/>
    <w:rsid w:val="00865FAC"/>
    <w:rsid w:val="008728CD"/>
    <w:rsid w:val="0088791C"/>
    <w:rsid w:val="008A08D7"/>
    <w:rsid w:val="008A13F9"/>
    <w:rsid w:val="008C0F65"/>
    <w:rsid w:val="008C29C4"/>
    <w:rsid w:val="00902AFA"/>
    <w:rsid w:val="00906890"/>
    <w:rsid w:val="00906E15"/>
    <w:rsid w:val="00951972"/>
    <w:rsid w:val="00954E65"/>
    <w:rsid w:val="00966A42"/>
    <w:rsid w:val="00A17DFD"/>
    <w:rsid w:val="00A414EF"/>
    <w:rsid w:val="00A4674B"/>
    <w:rsid w:val="00A917B3"/>
    <w:rsid w:val="00AB4B51"/>
    <w:rsid w:val="00AF405C"/>
    <w:rsid w:val="00B066FC"/>
    <w:rsid w:val="00B10CC7"/>
    <w:rsid w:val="00B1615F"/>
    <w:rsid w:val="00B62458"/>
    <w:rsid w:val="00B778C8"/>
    <w:rsid w:val="00BA3587"/>
    <w:rsid w:val="00BB36EA"/>
    <w:rsid w:val="00BD33EE"/>
    <w:rsid w:val="00C60F0C"/>
    <w:rsid w:val="00C63C2A"/>
    <w:rsid w:val="00C805C9"/>
    <w:rsid w:val="00C907F0"/>
    <w:rsid w:val="00CA1679"/>
    <w:rsid w:val="00CC15A3"/>
    <w:rsid w:val="00D05347"/>
    <w:rsid w:val="00D43FF0"/>
    <w:rsid w:val="00D90138"/>
    <w:rsid w:val="00DA26B8"/>
    <w:rsid w:val="00DD4E25"/>
    <w:rsid w:val="00E2656E"/>
    <w:rsid w:val="00E73F76"/>
    <w:rsid w:val="00E80B39"/>
    <w:rsid w:val="00EA31D8"/>
    <w:rsid w:val="00EA5579"/>
    <w:rsid w:val="00EF1360"/>
    <w:rsid w:val="00EF3220"/>
    <w:rsid w:val="00EF7198"/>
    <w:rsid w:val="00F41883"/>
    <w:rsid w:val="00F45524"/>
    <w:rsid w:val="00F5689E"/>
    <w:rsid w:val="00F94155"/>
    <w:rsid w:val="00FC28A5"/>
    <w:rsid w:val="00FD2EF7"/>
    <w:rsid w:val="00FD4AD6"/>
    <w:rsid w:val="00FF1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49E5C70A-AC70-4300-B944-43E67F6EFE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198A"/>
    <w:pPr>
      <w:spacing w:line="240" w:lineRule="atLeast"/>
    </w:pPr>
    <w:rPr>
      <w:lang w:val="es-ES" w:eastAsia="es-ES"/>
    </w:rPr>
  </w:style>
  <w:style w:type="paragraph" w:styleId="Ttulo1">
    <w:name w:val="heading 1"/>
    <w:aliases w:val="Table_G"/>
    <w:basedOn w:val="SingleTxtG"/>
    <w:next w:val="SingleTxtG"/>
    <w:rsid w:val="00D05347"/>
    <w:pPr>
      <w:keepNext/>
      <w:spacing w:after="0" w:line="240" w:lineRule="auto"/>
      <w:outlineLvl w:val="0"/>
    </w:pPr>
    <w:rPr>
      <w:rFonts w:cs="Arial"/>
      <w:bCs/>
      <w:szCs w:val="32"/>
    </w:rPr>
  </w:style>
  <w:style w:type="paragraph" w:styleId="Ttulo2">
    <w:name w:val="heading 2"/>
    <w:basedOn w:val="Normal"/>
    <w:next w:val="Normal"/>
    <w:semiHidden/>
    <w:rsid w:val="00EA31D8"/>
    <w:pPr>
      <w:keepNext/>
      <w:outlineLvl w:val="1"/>
    </w:pPr>
    <w:rPr>
      <w:rFonts w:cs="Arial"/>
      <w:bCs/>
      <w:iCs/>
      <w:szCs w:val="28"/>
    </w:rPr>
  </w:style>
  <w:style w:type="paragraph" w:styleId="Ttulo3">
    <w:name w:val="heading 3"/>
    <w:basedOn w:val="Normal"/>
    <w:next w:val="Normal"/>
    <w:semiHidden/>
    <w:rsid w:val="00EA31D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semiHidden/>
    <w:rsid w:val="00EA31D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semiHidden/>
    <w:rsid w:val="00EA31D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semiHidden/>
    <w:rsid w:val="00EA31D8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semiHidden/>
    <w:rsid w:val="00EA31D8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semiHidden/>
    <w:rsid w:val="00EA31D8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semiHidden/>
    <w:rsid w:val="00EA31D8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aliases w:val="4_G"/>
    <w:basedOn w:val="Fuentedeprrafopredeter"/>
    <w:rsid w:val="00EA31D8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Encabezado">
    <w:name w:val="header"/>
    <w:aliases w:val="6_G"/>
    <w:basedOn w:val="Normal"/>
    <w:next w:val="Normal"/>
    <w:rsid w:val="000107A1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qFormat/>
    <w:rsid w:val="00EA31D8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EA31D8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EA31D8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EA31D8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Piedepgina">
    <w:name w:val="footer"/>
    <w:aliases w:val="3_G"/>
    <w:basedOn w:val="Normal"/>
    <w:next w:val="Normal"/>
    <w:rsid w:val="00EA31D8"/>
    <w:rPr>
      <w:sz w:val="16"/>
    </w:rPr>
  </w:style>
  <w:style w:type="paragraph" w:customStyle="1" w:styleId="XLargeG">
    <w:name w:val="__XLarge_G"/>
    <w:basedOn w:val="Normal"/>
    <w:next w:val="Normal"/>
    <w:rsid w:val="00EA31D8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Textonotapie">
    <w:name w:val="footnote text"/>
    <w:aliases w:val="5_G"/>
    <w:basedOn w:val="Normal"/>
    <w:autoRedefine/>
    <w:rsid w:val="00EA31D8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aconcuadrcula">
    <w:name w:val="Table Grid"/>
    <w:basedOn w:val="Tablanormal"/>
    <w:semiHidden/>
    <w:rsid w:val="00EA31D8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Sinlista"/>
    <w:semiHidden/>
    <w:rsid w:val="00EA31D8"/>
    <w:pPr>
      <w:numPr>
        <w:numId w:val="3"/>
      </w:numPr>
    </w:pPr>
  </w:style>
  <w:style w:type="numbering" w:styleId="1ai">
    <w:name w:val="Outline List 1"/>
    <w:basedOn w:val="Sinlista"/>
    <w:semiHidden/>
    <w:rsid w:val="00EA31D8"/>
    <w:pPr>
      <w:numPr>
        <w:numId w:val="4"/>
      </w:numPr>
    </w:pPr>
  </w:style>
  <w:style w:type="character" w:styleId="AcrnimoHTML">
    <w:name w:val="HTML Acronym"/>
    <w:basedOn w:val="Fuentedeprrafopredeter"/>
    <w:semiHidden/>
    <w:rsid w:val="00EA31D8"/>
  </w:style>
  <w:style w:type="numbering" w:styleId="ArtculoSeccin">
    <w:name w:val="Outline List 3"/>
    <w:basedOn w:val="Sinlista"/>
    <w:semiHidden/>
    <w:rsid w:val="00EA31D8"/>
    <w:pPr>
      <w:numPr>
        <w:numId w:val="5"/>
      </w:numPr>
    </w:pPr>
  </w:style>
  <w:style w:type="paragraph" w:styleId="Cierre">
    <w:name w:val="Closing"/>
    <w:basedOn w:val="Normal"/>
    <w:semiHidden/>
    <w:rsid w:val="00EA31D8"/>
    <w:pPr>
      <w:ind w:left="4252"/>
    </w:pPr>
  </w:style>
  <w:style w:type="character" w:styleId="CitaHTML">
    <w:name w:val="HTML Cite"/>
    <w:basedOn w:val="Fuentedeprrafopredeter"/>
    <w:semiHidden/>
    <w:rsid w:val="00EA31D8"/>
    <w:rPr>
      <w:i/>
      <w:iCs/>
    </w:rPr>
  </w:style>
  <w:style w:type="character" w:styleId="CdigoHTML">
    <w:name w:val="HTML Code"/>
    <w:basedOn w:val="Fuentedeprrafopredeter"/>
    <w:semiHidden/>
    <w:rsid w:val="00EA31D8"/>
    <w:rPr>
      <w:rFonts w:ascii="Courier New" w:hAnsi="Courier New" w:cs="Courier New"/>
      <w:sz w:val="20"/>
      <w:szCs w:val="20"/>
    </w:rPr>
  </w:style>
  <w:style w:type="paragraph" w:styleId="Continuarlista">
    <w:name w:val="List Continue"/>
    <w:basedOn w:val="Normal"/>
    <w:semiHidden/>
    <w:rsid w:val="00EA31D8"/>
    <w:pPr>
      <w:spacing w:after="120"/>
      <w:ind w:left="283"/>
    </w:pPr>
  </w:style>
  <w:style w:type="paragraph" w:styleId="Continuarlista2">
    <w:name w:val="List Continue 2"/>
    <w:basedOn w:val="Normal"/>
    <w:semiHidden/>
    <w:rsid w:val="00EA31D8"/>
    <w:pPr>
      <w:spacing w:after="120"/>
      <w:ind w:left="566"/>
    </w:pPr>
  </w:style>
  <w:style w:type="paragraph" w:styleId="Continuarlista3">
    <w:name w:val="List Continue 3"/>
    <w:basedOn w:val="Normal"/>
    <w:semiHidden/>
    <w:rsid w:val="00EA31D8"/>
    <w:pPr>
      <w:spacing w:after="120"/>
      <w:ind w:left="849"/>
    </w:pPr>
  </w:style>
  <w:style w:type="paragraph" w:styleId="Continuarlista4">
    <w:name w:val="List Continue 4"/>
    <w:basedOn w:val="Normal"/>
    <w:semiHidden/>
    <w:rsid w:val="00EA31D8"/>
    <w:pPr>
      <w:spacing w:after="120"/>
      <w:ind w:left="1132"/>
    </w:pPr>
  </w:style>
  <w:style w:type="paragraph" w:styleId="Continuarlista5">
    <w:name w:val="List Continue 5"/>
    <w:basedOn w:val="Normal"/>
    <w:semiHidden/>
    <w:rsid w:val="00EA31D8"/>
    <w:pPr>
      <w:spacing w:after="120"/>
      <w:ind w:left="1415"/>
    </w:pPr>
  </w:style>
  <w:style w:type="character" w:styleId="DefinicinHTML">
    <w:name w:val="HTML Definition"/>
    <w:basedOn w:val="Fuentedeprrafopredeter"/>
    <w:semiHidden/>
    <w:rsid w:val="00EA31D8"/>
    <w:rPr>
      <w:i/>
      <w:iCs/>
    </w:rPr>
  </w:style>
  <w:style w:type="paragraph" w:styleId="DireccinHTML">
    <w:name w:val="HTML Address"/>
    <w:basedOn w:val="Normal"/>
    <w:semiHidden/>
    <w:rsid w:val="00EA31D8"/>
    <w:rPr>
      <w:i/>
      <w:iCs/>
    </w:rPr>
  </w:style>
  <w:style w:type="paragraph" w:styleId="Direccinsobre">
    <w:name w:val="envelope address"/>
    <w:basedOn w:val="Normal"/>
    <w:semiHidden/>
    <w:rsid w:val="00EA31D8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EjemplodeHTML">
    <w:name w:val="HTML Sample"/>
    <w:basedOn w:val="Fuentedeprrafopredeter"/>
    <w:semiHidden/>
    <w:rsid w:val="00EA31D8"/>
    <w:rPr>
      <w:rFonts w:ascii="Courier New" w:hAnsi="Courier New" w:cs="Courier New"/>
    </w:rPr>
  </w:style>
  <w:style w:type="paragraph" w:styleId="Encabezadodemensaje">
    <w:name w:val="Message Header"/>
    <w:basedOn w:val="Normal"/>
    <w:semiHidden/>
    <w:rsid w:val="00EA31D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ncabezadodenota">
    <w:name w:val="Note Heading"/>
    <w:basedOn w:val="Normal"/>
    <w:next w:val="Normal"/>
    <w:semiHidden/>
    <w:rsid w:val="00EA31D8"/>
  </w:style>
  <w:style w:type="character" w:styleId="nfasis">
    <w:name w:val="Emphasis"/>
    <w:basedOn w:val="Fuentedeprrafopredeter"/>
    <w:semiHidden/>
    <w:rsid w:val="00EA31D8"/>
    <w:rPr>
      <w:i/>
      <w:iCs/>
    </w:rPr>
  </w:style>
  <w:style w:type="paragraph" w:styleId="Fecha">
    <w:name w:val="Date"/>
    <w:basedOn w:val="Normal"/>
    <w:next w:val="Normal"/>
    <w:semiHidden/>
    <w:rsid w:val="00EA31D8"/>
  </w:style>
  <w:style w:type="paragraph" w:styleId="Firma">
    <w:name w:val="Signature"/>
    <w:basedOn w:val="Normal"/>
    <w:semiHidden/>
    <w:rsid w:val="00EA31D8"/>
    <w:pPr>
      <w:ind w:left="4252"/>
    </w:pPr>
  </w:style>
  <w:style w:type="paragraph" w:styleId="Firmadecorreoelectrnico">
    <w:name w:val="E-mail Signature"/>
    <w:basedOn w:val="Normal"/>
    <w:semiHidden/>
    <w:rsid w:val="00EA31D8"/>
  </w:style>
  <w:style w:type="character" w:styleId="Hipervnculo">
    <w:name w:val="Hyperlink"/>
    <w:basedOn w:val="Fuentedeprrafopredeter"/>
    <w:rsid w:val="008C29C4"/>
    <w:rPr>
      <w:color w:val="0000FF"/>
      <w:u w:val="none"/>
    </w:rPr>
  </w:style>
  <w:style w:type="character" w:styleId="Hipervnculovisitado">
    <w:name w:val="FollowedHyperlink"/>
    <w:basedOn w:val="Fuentedeprrafopredeter"/>
    <w:rsid w:val="008C29C4"/>
    <w:rPr>
      <w:color w:val="0000FF"/>
      <w:u w:val="none"/>
    </w:rPr>
  </w:style>
  <w:style w:type="paragraph" w:styleId="HTMLconformatoprevio">
    <w:name w:val="HTML Preformatted"/>
    <w:basedOn w:val="Normal"/>
    <w:semiHidden/>
    <w:rsid w:val="00EA31D8"/>
    <w:rPr>
      <w:rFonts w:ascii="Courier New" w:hAnsi="Courier New" w:cs="Courier New"/>
    </w:rPr>
  </w:style>
  <w:style w:type="paragraph" w:styleId="Lista">
    <w:name w:val="List"/>
    <w:basedOn w:val="Normal"/>
    <w:semiHidden/>
    <w:rsid w:val="00EA31D8"/>
    <w:pPr>
      <w:ind w:left="283" w:hanging="283"/>
    </w:pPr>
  </w:style>
  <w:style w:type="paragraph" w:styleId="Lista2">
    <w:name w:val="List 2"/>
    <w:basedOn w:val="Normal"/>
    <w:semiHidden/>
    <w:rsid w:val="00EA31D8"/>
    <w:pPr>
      <w:ind w:left="566" w:hanging="283"/>
    </w:pPr>
  </w:style>
  <w:style w:type="paragraph" w:styleId="Lista3">
    <w:name w:val="List 3"/>
    <w:basedOn w:val="Normal"/>
    <w:semiHidden/>
    <w:rsid w:val="00EA31D8"/>
    <w:pPr>
      <w:ind w:left="849" w:hanging="283"/>
    </w:pPr>
  </w:style>
  <w:style w:type="paragraph" w:styleId="Lista4">
    <w:name w:val="List 4"/>
    <w:basedOn w:val="Normal"/>
    <w:semiHidden/>
    <w:rsid w:val="00EA31D8"/>
    <w:pPr>
      <w:ind w:left="1132" w:hanging="283"/>
    </w:pPr>
  </w:style>
  <w:style w:type="paragraph" w:styleId="Lista5">
    <w:name w:val="List 5"/>
    <w:basedOn w:val="Normal"/>
    <w:semiHidden/>
    <w:rsid w:val="00EA31D8"/>
    <w:pPr>
      <w:ind w:left="1415" w:hanging="283"/>
    </w:pPr>
  </w:style>
  <w:style w:type="paragraph" w:styleId="Listaconnmeros">
    <w:name w:val="List Number"/>
    <w:basedOn w:val="Normal"/>
    <w:semiHidden/>
    <w:rsid w:val="00EA31D8"/>
    <w:pPr>
      <w:numPr>
        <w:numId w:val="6"/>
      </w:numPr>
    </w:pPr>
  </w:style>
  <w:style w:type="paragraph" w:styleId="Listaconnmeros2">
    <w:name w:val="List Number 2"/>
    <w:basedOn w:val="Normal"/>
    <w:semiHidden/>
    <w:rsid w:val="00EA31D8"/>
    <w:pPr>
      <w:numPr>
        <w:numId w:val="7"/>
      </w:numPr>
    </w:pPr>
  </w:style>
  <w:style w:type="paragraph" w:styleId="Listaconnmeros3">
    <w:name w:val="List Number 3"/>
    <w:basedOn w:val="Normal"/>
    <w:semiHidden/>
    <w:rsid w:val="00EA31D8"/>
    <w:pPr>
      <w:numPr>
        <w:numId w:val="8"/>
      </w:numPr>
    </w:pPr>
  </w:style>
  <w:style w:type="paragraph" w:styleId="Listaconnmeros4">
    <w:name w:val="List Number 4"/>
    <w:basedOn w:val="Normal"/>
    <w:semiHidden/>
    <w:rsid w:val="00EA31D8"/>
    <w:pPr>
      <w:numPr>
        <w:numId w:val="9"/>
      </w:numPr>
    </w:pPr>
  </w:style>
  <w:style w:type="paragraph" w:styleId="Listaconnmeros5">
    <w:name w:val="List Number 5"/>
    <w:basedOn w:val="Normal"/>
    <w:semiHidden/>
    <w:rsid w:val="00EA31D8"/>
    <w:pPr>
      <w:numPr>
        <w:numId w:val="10"/>
      </w:numPr>
    </w:pPr>
  </w:style>
  <w:style w:type="paragraph" w:styleId="Listaconvietas">
    <w:name w:val="List Bullet"/>
    <w:basedOn w:val="Normal"/>
    <w:semiHidden/>
    <w:rsid w:val="00EA31D8"/>
    <w:pPr>
      <w:numPr>
        <w:numId w:val="11"/>
      </w:numPr>
    </w:pPr>
  </w:style>
  <w:style w:type="paragraph" w:styleId="Listaconvietas2">
    <w:name w:val="List Bullet 2"/>
    <w:basedOn w:val="Normal"/>
    <w:semiHidden/>
    <w:rsid w:val="00EA31D8"/>
    <w:pPr>
      <w:numPr>
        <w:numId w:val="12"/>
      </w:numPr>
    </w:pPr>
  </w:style>
  <w:style w:type="paragraph" w:styleId="Listaconvietas3">
    <w:name w:val="List Bullet 3"/>
    <w:basedOn w:val="Normal"/>
    <w:semiHidden/>
    <w:rsid w:val="00EA31D8"/>
    <w:pPr>
      <w:numPr>
        <w:numId w:val="13"/>
      </w:numPr>
    </w:pPr>
  </w:style>
  <w:style w:type="paragraph" w:styleId="Listaconvietas4">
    <w:name w:val="List Bullet 4"/>
    <w:basedOn w:val="Normal"/>
    <w:semiHidden/>
    <w:rsid w:val="00EA31D8"/>
    <w:pPr>
      <w:numPr>
        <w:numId w:val="14"/>
      </w:numPr>
    </w:pPr>
  </w:style>
  <w:style w:type="paragraph" w:styleId="Listaconvietas5">
    <w:name w:val="List Bullet 5"/>
    <w:basedOn w:val="Normal"/>
    <w:semiHidden/>
    <w:rsid w:val="00EA31D8"/>
    <w:pPr>
      <w:numPr>
        <w:numId w:val="15"/>
      </w:numPr>
    </w:pPr>
  </w:style>
  <w:style w:type="character" w:styleId="MquinadeescribirHTML">
    <w:name w:val="HTML Typewriter"/>
    <w:basedOn w:val="Fuentedeprrafopredeter"/>
    <w:semiHidden/>
    <w:rsid w:val="00EA31D8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EA31D8"/>
    <w:rPr>
      <w:sz w:val="24"/>
      <w:szCs w:val="24"/>
    </w:rPr>
  </w:style>
  <w:style w:type="character" w:styleId="Nmerodelnea">
    <w:name w:val="line number"/>
    <w:basedOn w:val="Fuentedeprrafopredeter"/>
    <w:semiHidden/>
    <w:rsid w:val="00EA31D8"/>
  </w:style>
  <w:style w:type="character" w:styleId="Nmerodepgina">
    <w:name w:val="page number"/>
    <w:aliases w:val="7_G"/>
    <w:basedOn w:val="Fuentedeprrafopredeter"/>
    <w:rsid w:val="00EA31D8"/>
    <w:rPr>
      <w:b/>
      <w:sz w:val="18"/>
    </w:rPr>
  </w:style>
  <w:style w:type="character" w:styleId="Refdenotaalfinal">
    <w:name w:val="endnote reference"/>
    <w:aliases w:val="1_G"/>
    <w:basedOn w:val="Refdenotaalpie"/>
    <w:rsid w:val="00EA31D8"/>
    <w:rPr>
      <w:rFonts w:ascii="Times New Roman" w:hAnsi="Times New Roman"/>
      <w:sz w:val="18"/>
      <w:vertAlign w:val="superscript"/>
    </w:rPr>
  </w:style>
  <w:style w:type="paragraph" w:styleId="Remitedesobre">
    <w:name w:val="envelope return"/>
    <w:basedOn w:val="Normal"/>
    <w:semiHidden/>
    <w:rsid w:val="00EA31D8"/>
    <w:rPr>
      <w:rFonts w:ascii="Arial" w:hAnsi="Arial" w:cs="Arial"/>
    </w:rPr>
  </w:style>
  <w:style w:type="paragraph" w:styleId="Saludo">
    <w:name w:val="Salutation"/>
    <w:basedOn w:val="Normal"/>
    <w:next w:val="Normal"/>
    <w:semiHidden/>
    <w:rsid w:val="00EA31D8"/>
  </w:style>
  <w:style w:type="paragraph" w:styleId="Sangra2detindependiente">
    <w:name w:val="Body Text Indent 2"/>
    <w:basedOn w:val="Normal"/>
    <w:semiHidden/>
    <w:rsid w:val="00EA31D8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semiHidden/>
    <w:rsid w:val="00EA31D8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semiHidden/>
    <w:rsid w:val="00EA31D8"/>
    <w:pPr>
      <w:spacing w:after="120"/>
      <w:ind w:left="283"/>
    </w:pPr>
  </w:style>
  <w:style w:type="paragraph" w:styleId="Sangranormal">
    <w:name w:val="Normal Indent"/>
    <w:basedOn w:val="Normal"/>
    <w:semiHidden/>
    <w:rsid w:val="00EA31D8"/>
    <w:pPr>
      <w:ind w:left="567"/>
    </w:pPr>
  </w:style>
  <w:style w:type="paragraph" w:styleId="Subttulo">
    <w:name w:val="Subtitle"/>
    <w:basedOn w:val="Normal"/>
    <w:semiHidden/>
    <w:rsid w:val="00EA31D8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absica1">
    <w:name w:val="Table Simple 1"/>
    <w:basedOn w:val="Tablanormal"/>
    <w:semiHidden/>
    <w:rsid w:val="00EA31D8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semiHidden/>
    <w:rsid w:val="00EA31D8"/>
    <w:pPr>
      <w:spacing w:line="24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semiHidden/>
    <w:rsid w:val="00EA31D8"/>
    <w:pPr>
      <w:spacing w:line="24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1">
    <w:name w:val="Table Columns 1"/>
    <w:basedOn w:val="Tablanormal"/>
    <w:semiHidden/>
    <w:rsid w:val="00EA31D8"/>
    <w:pPr>
      <w:spacing w:line="24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semiHidden/>
    <w:rsid w:val="00EA31D8"/>
    <w:pPr>
      <w:spacing w:line="24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semiHidden/>
    <w:rsid w:val="00EA31D8"/>
    <w:pPr>
      <w:spacing w:line="24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semiHidden/>
    <w:rsid w:val="00EA31D8"/>
    <w:pPr>
      <w:spacing w:line="24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semiHidden/>
    <w:rsid w:val="00EA31D8"/>
    <w:pPr>
      <w:spacing w:line="24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concuadrcula1">
    <w:name w:val="Table Grid 1"/>
    <w:basedOn w:val="Tabla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2">
    <w:name w:val="Table Grid 2"/>
    <w:basedOn w:val="Tablanormal"/>
    <w:semiHidden/>
    <w:rsid w:val="00EA31D8"/>
    <w:pPr>
      <w:spacing w:line="24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3">
    <w:name w:val="Table Grid 3"/>
    <w:basedOn w:val="Tabla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4">
    <w:name w:val="Table Grid 4"/>
    <w:basedOn w:val="Tablanormal"/>
    <w:semiHidden/>
    <w:rsid w:val="00EA31D8"/>
    <w:pPr>
      <w:spacing w:line="24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semiHidden/>
    <w:rsid w:val="00EA31D8"/>
    <w:pPr>
      <w:spacing w:line="24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semiHidden/>
    <w:rsid w:val="00EA31D8"/>
    <w:pPr>
      <w:spacing w:line="24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1">
    <w:name w:val="Table 3D effects 1"/>
    <w:basedOn w:val="Tablanormal"/>
    <w:semiHidden/>
    <w:rsid w:val="00EA31D8"/>
    <w:pPr>
      <w:spacing w:line="24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semiHidden/>
    <w:rsid w:val="00EA31D8"/>
    <w:pPr>
      <w:spacing w:line="24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semiHidden/>
    <w:rsid w:val="00EA31D8"/>
    <w:pPr>
      <w:spacing w:line="24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semiHidden/>
    <w:rsid w:val="00EA31D8"/>
    <w:pPr>
      <w:spacing w:line="24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semiHidden/>
    <w:rsid w:val="00EA31D8"/>
    <w:pPr>
      <w:spacing w:line="24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semiHidden/>
    <w:rsid w:val="00EA31D8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semiHidden/>
    <w:rsid w:val="00EA31D8"/>
    <w:pPr>
      <w:spacing w:line="24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semiHidden/>
    <w:rsid w:val="00EA31D8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contema">
    <w:name w:val="Table Theme"/>
    <w:basedOn w:val="Tablanormal"/>
    <w:semiHidden/>
    <w:rsid w:val="00EA31D8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semiHidden/>
    <w:rsid w:val="00EA31D8"/>
    <w:pPr>
      <w:spacing w:line="24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semiHidden/>
    <w:rsid w:val="00EA31D8"/>
    <w:pPr>
      <w:spacing w:line="24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semiHidden/>
    <w:rsid w:val="00EA31D8"/>
    <w:pPr>
      <w:spacing w:line="24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semiHidden/>
    <w:rsid w:val="00EA31D8"/>
    <w:pPr>
      <w:spacing w:line="24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semiHidden/>
    <w:rsid w:val="00EA31D8"/>
    <w:pPr>
      <w:spacing w:line="24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semiHidden/>
    <w:rsid w:val="00EA31D8"/>
    <w:pPr>
      <w:spacing w:line="24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semiHidden/>
    <w:rsid w:val="00EA31D8"/>
    <w:pPr>
      <w:spacing w:line="24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web1">
    <w:name w:val="Table Web 1"/>
    <w:basedOn w:val="Tablanormal"/>
    <w:semiHidden/>
    <w:rsid w:val="00EA31D8"/>
    <w:pPr>
      <w:spacing w:line="24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semiHidden/>
    <w:rsid w:val="00EA31D8"/>
    <w:pPr>
      <w:spacing w:line="24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semiHidden/>
    <w:rsid w:val="00EA31D8"/>
    <w:pPr>
      <w:spacing w:line="24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TecladoHTML">
    <w:name w:val="HTML Keyboard"/>
    <w:basedOn w:val="Fuentedeprrafopredeter"/>
    <w:semiHidden/>
    <w:rsid w:val="00EA31D8"/>
    <w:rPr>
      <w:rFonts w:ascii="Courier New" w:hAnsi="Courier New" w:cs="Courier New"/>
      <w:sz w:val="20"/>
      <w:szCs w:val="20"/>
    </w:rPr>
  </w:style>
  <w:style w:type="paragraph" w:styleId="Textodebloque">
    <w:name w:val="Block Text"/>
    <w:basedOn w:val="Normal"/>
    <w:semiHidden/>
    <w:rsid w:val="00EA31D8"/>
    <w:pPr>
      <w:spacing w:after="120"/>
      <w:ind w:left="1440" w:right="1440"/>
    </w:pPr>
  </w:style>
  <w:style w:type="character" w:styleId="Textoennegrita">
    <w:name w:val="Strong"/>
    <w:basedOn w:val="Fuentedeprrafopredeter"/>
    <w:semiHidden/>
    <w:rsid w:val="00EA31D8"/>
    <w:rPr>
      <w:b/>
      <w:bCs/>
    </w:rPr>
  </w:style>
  <w:style w:type="paragraph" w:styleId="Textoindependiente">
    <w:name w:val="Body Text"/>
    <w:basedOn w:val="Normal"/>
    <w:semiHidden/>
    <w:rsid w:val="00EA31D8"/>
    <w:pPr>
      <w:spacing w:after="120"/>
    </w:pPr>
  </w:style>
  <w:style w:type="paragraph" w:styleId="Textoindependiente2">
    <w:name w:val="Body Text 2"/>
    <w:basedOn w:val="Normal"/>
    <w:semiHidden/>
    <w:rsid w:val="00EA31D8"/>
    <w:pPr>
      <w:spacing w:after="120" w:line="480" w:lineRule="auto"/>
    </w:pPr>
  </w:style>
  <w:style w:type="paragraph" w:styleId="Textoindependiente3">
    <w:name w:val="Body Text 3"/>
    <w:basedOn w:val="Normal"/>
    <w:semiHidden/>
    <w:rsid w:val="00EA31D8"/>
    <w:pPr>
      <w:spacing w:after="120"/>
    </w:pPr>
    <w:rPr>
      <w:sz w:val="16"/>
      <w:szCs w:val="16"/>
    </w:rPr>
  </w:style>
  <w:style w:type="paragraph" w:styleId="Textoindependienteprimerasangra">
    <w:name w:val="Body Text First Indent"/>
    <w:basedOn w:val="Textoindependiente"/>
    <w:semiHidden/>
    <w:rsid w:val="00EA31D8"/>
    <w:pPr>
      <w:ind w:firstLine="210"/>
    </w:pPr>
  </w:style>
  <w:style w:type="paragraph" w:styleId="Textoindependienteprimerasangra2">
    <w:name w:val="Body Text First Indent 2"/>
    <w:basedOn w:val="Sangradetextonormal"/>
    <w:semiHidden/>
    <w:rsid w:val="00EA31D8"/>
    <w:pPr>
      <w:ind w:firstLine="210"/>
    </w:pPr>
  </w:style>
  <w:style w:type="paragraph" w:styleId="Textonotaalfinal">
    <w:name w:val="endnote text"/>
    <w:aliases w:val="2_G"/>
    <w:basedOn w:val="Textonotapie"/>
    <w:rsid w:val="00EA31D8"/>
  </w:style>
  <w:style w:type="paragraph" w:styleId="Textosinformato">
    <w:name w:val="Plain Text"/>
    <w:basedOn w:val="Normal"/>
    <w:semiHidden/>
    <w:rsid w:val="00EA31D8"/>
    <w:rPr>
      <w:rFonts w:ascii="Courier New" w:hAnsi="Courier New" w:cs="Courier New"/>
    </w:rPr>
  </w:style>
  <w:style w:type="paragraph" w:styleId="Ttulo">
    <w:name w:val="Title"/>
    <w:basedOn w:val="Normal"/>
    <w:semiHidden/>
    <w:rsid w:val="00EA31D8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VariableHTML">
    <w:name w:val="HTML Variable"/>
    <w:basedOn w:val="Fuentedeprrafopredeter"/>
    <w:semiHidden/>
    <w:rsid w:val="00EA31D8"/>
    <w:rPr>
      <w:i/>
      <w:iCs/>
    </w:rPr>
  </w:style>
  <w:style w:type="paragraph" w:customStyle="1" w:styleId="Bullet1G">
    <w:name w:val="_Bullet 1_G"/>
    <w:basedOn w:val="Normal"/>
    <w:qFormat/>
    <w:rsid w:val="00EA31D8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qFormat/>
    <w:rsid w:val="00EA31D8"/>
    <w:pPr>
      <w:numPr>
        <w:numId w:val="2"/>
      </w:numPr>
      <w:spacing w:after="120"/>
      <w:ind w:right="1134"/>
      <w:jc w:val="both"/>
    </w:pPr>
  </w:style>
  <w:style w:type="paragraph" w:styleId="Textodeglobo">
    <w:name w:val="Balloon Text"/>
    <w:basedOn w:val="Normal"/>
    <w:link w:val="TextodegloboCar"/>
    <w:semiHidden/>
    <w:rsid w:val="00CC15A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semiHidden/>
    <w:rsid w:val="00CC15A3"/>
    <w:rPr>
      <w:rFonts w:ascii="Tahoma" w:hAnsi="Tahoma" w:cs="Tahoma"/>
      <w:sz w:val="16"/>
      <w:szCs w:val="16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078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%202010\Template\CER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CERD.dotm</Template>
  <TotalTime>0</TotalTime>
  <Pages>3</Pages>
  <Words>1100</Words>
  <Characters>6053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CERD/</vt:lpstr>
    </vt:vector>
  </TitlesOfParts>
  <Company/>
  <LinksUpToDate>false</LinksUpToDate>
  <CharactersWithSpaces>7139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CERD/C/SVK/Q/11-12</dc:title>
  <dc:subject/>
  <dc:creator>Romina Valeria MERINO MAC-KAY</dc:creator>
  <cp:keywords/>
  <cp:lastModifiedBy>Maria Luisa ZEBALLOS MORENO</cp:lastModifiedBy>
  <cp:revision>3</cp:revision>
  <cp:lastPrinted>2017-10-06T07:57:00Z</cp:lastPrinted>
  <dcterms:created xsi:type="dcterms:W3CDTF">2017-10-06T07:57:00Z</dcterms:created>
  <dcterms:modified xsi:type="dcterms:W3CDTF">2017-10-06T07:57:00Z</dcterms:modified>
</cp:coreProperties>
</file>