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502053"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223"/>
      </w:pPr>
      <w:r>
        <w:t>Distr.</w:t>
      </w:r>
      <w:r>
        <w:br/>
        <w:t>GENERAL</w:t>
      </w:r>
    </w:p>
    <w:p w:rsidR="00000000" w:rsidRDefault="00000000">
      <w:pPr>
        <w:spacing w:after="240"/>
        <w:ind w:left="7223"/>
      </w:pPr>
      <w:r>
        <w:t>CRC/C/GC/8</w:t>
      </w:r>
      <w:r>
        <w:br/>
        <w:t>21 de agosto de 2006</w:t>
      </w:r>
    </w:p>
    <w:p w:rsidR="00000000" w:rsidRDefault="00000000">
      <w:pPr>
        <w:spacing w:after="600"/>
        <w:ind w:left="7223"/>
      </w:pPr>
      <w:r>
        <w:t>ESPAÑOL</w:t>
      </w:r>
      <w:r>
        <w:br/>
        <w:t>Original:  INGLÉS</w:t>
      </w:r>
    </w:p>
    <w:p w:rsidR="00000000" w:rsidRDefault="00000000">
      <w:pPr>
        <w:spacing w:after="1200"/>
      </w:pPr>
      <w:r>
        <w:t>COMITÉ DE LOS DERECHOS DEL NIÑO</w:t>
      </w:r>
      <w:r>
        <w:br/>
        <w:t>42º período de sesiones</w:t>
      </w:r>
      <w:r>
        <w:br/>
        <w:t>Ginebra, 15 de mayo a 2 de junio de 2006</w:t>
      </w:r>
    </w:p>
    <w:p w:rsidR="00000000" w:rsidRDefault="00000000">
      <w:pPr>
        <w:spacing w:after="360"/>
        <w:jc w:val="center"/>
        <w:rPr>
          <w:b/>
          <w:bCs/>
        </w:rPr>
      </w:pPr>
      <w:r>
        <w:rPr>
          <w:b/>
          <w:bCs/>
        </w:rPr>
        <w:t>OBSERVACIÓN GENERAL Nº 8 (2006)</w:t>
      </w:r>
    </w:p>
    <w:p w:rsidR="00000000" w:rsidRDefault="00000000">
      <w:pPr>
        <w:spacing w:after="480"/>
        <w:jc w:val="center"/>
        <w:rPr>
          <w:b/>
          <w:bCs/>
        </w:rPr>
      </w:pPr>
      <w:r>
        <w:rPr>
          <w:b/>
          <w:bCs/>
        </w:rPr>
        <w:t xml:space="preserve">El derecho del niño a la protección contra los castigos corporales y </w:t>
      </w:r>
      <w:r>
        <w:rPr>
          <w:b/>
          <w:bCs/>
        </w:rPr>
        <w:br/>
        <w:t xml:space="preserve">otras formas de castigo crueles o degradantes (artículo 19, </w:t>
      </w:r>
      <w:r>
        <w:rPr>
          <w:b/>
          <w:bCs/>
        </w:rPr>
        <w:br/>
        <w:t>párrafo 2 del artículo 28 y artículo 37, entre otros)</w:t>
      </w:r>
    </w:p>
    <w:p w:rsidR="00000000" w:rsidRDefault="00000000">
      <w:pPr>
        <w:spacing w:after="480"/>
      </w:pPr>
    </w:p>
    <w:p w:rsidR="00000000" w:rsidRDefault="00000000">
      <w:pPr>
        <w:spacing w:after="480"/>
      </w:pPr>
    </w:p>
    <w:p w:rsidR="00000000" w:rsidRDefault="00000000">
      <w:pPr>
        <w:spacing w:after="480"/>
      </w:pPr>
    </w:p>
    <w:p w:rsidR="00000000" w:rsidRDefault="00000000">
      <w:pPr>
        <w:spacing w:after="480"/>
      </w:pPr>
    </w:p>
    <w:p w:rsidR="00000000" w:rsidRDefault="00000000">
      <w:pPr>
        <w:spacing w:after="480"/>
      </w:pPr>
    </w:p>
    <w:p w:rsidR="00000000" w:rsidRDefault="00000000"/>
    <w:p w:rsidR="00000000" w:rsidRDefault="00000000"/>
    <w:p w:rsidR="00000000" w:rsidRDefault="00000000"/>
    <w:p w:rsidR="00000000" w:rsidRDefault="00000000"/>
    <w:p w:rsidR="00000000" w:rsidRDefault="00000000">
      <w:r>
        <w:t>GE.06-43915  (S)    010906    060906</w:t>
      </w:r>
    </w:p>
    <w:p w:rsidR="00000000" w:rsidRDefault="00000000"/>
    <w:p w:rsidR="00000000" w:rsidRDefault="00000000">
      <w:pPr>
        <w:spacing w:after="240"/>
        <w:jc w:val="center"/>
        <w:rPr>
          <w:b/>
        </w:rPr>
      </w:pPr>
      <w:r>
        <w:rPr>
          <w:b/>
        </w:rPr>
        <w:br w:type="page"/>
        <w:t>ÍNDICE</w:t>
      </w:r>
    </w:p>
    <w:p w:rsidR="00000000" w:rsidRDefault="00000000">
      <w:pPr>
        <w:spacing w:after="36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51"/>
          <w:tab w:val="right" w:pos="8357"/>
          <w:tab w:val="right" w:pos="9099"/>
        </w:tabs>
        <w:spacing w:after="240"/>
      </w:pPr>
      <w:r>
        <w:tab/>
        <w:t>I.</w:t>
      </w:r>
      <w:r>
        <w:tab/>
        <w:t>OBJETIVOS</w:t>
      </w:r>
      <w:r>
        <w:tab/>
      </w:r>
      <w:r>
        <w:tab/>
        <w:t>1</w:t>
      </w:r>
      <w:r>
        <w:tab/>
        <w:t>-</w:t>
      </w:r>
      <w:r>
        <w:tab/>
        <w:t>3</w:t>
      </w:r>
      <w:r>
        <w:tab/>
        <w:t>3</w:t>
      </w:r>
    </w:p>
    <w:p w:rsidR="00000000" w:rsidRDefault="00000000">
      <w:pPr>
        <w:tabs>
          <w:tab w:val="right" w:pos="567"/>
          <w:tab w:val="left" w:pos="850"/>
          <w:tab w:val="left" w:pos="1304"/>
          <w:tab w:val="left" w:pos="1701"/>
          <w:tab w:val="right" w:leader="dot" w:pos="7285"/>
          <w:tab w:val="right" w:pos="7835"/>
          <w:tab w:val="center" w:pos="7951"/>
          <w:tab w:val="right" w:pos="8357"/>
          <w:tab w:val="right" w:pos="9099"/>
        </w:tabs>
        <w:spacing w:after="240"/>
      </w:pPr>
      <w:r>
        <w:tab/>
        <w:t>II.</w:t>
      </w:r>
      <w:r>
        <w:tab/>
        <w:t>ANTECEDENTES</w:t>
      </w:r>
      <w:r>
        <w:tab/>
      </w:r>
      <w:r>
        <w:tab/>
        <w:t>4</w:t>
      </w:r>
      <w:r>
        <w:tab/>
        <w:t>-</w:t>
      </w:r>
      <w:r>
        <w:tab/>
        <w:t>9</w:t>
      </w:r>
      <w:r>
        <w:tab/>
        <w:t>3</w:t>
      </w:r>
    </w:p>
    <w:p w:rsidR="00000000" w:rsidRDefault="00000000">
      <w:pPr>
        <w:tabs>
          <w:tab w:val="right" w:pos="567"/>
          <w:tab w:val="left" w:pos="850"/>
          <w:tab w:val="left" w:pos="1304"/>
          <w:tab w:val="left" w:pos="1701"/>
          <w:tab w:val="right" w:leader="dot" w:pos="7285"/>
          <w:tab w:val="right" w:pos="7835"/>
          <w:tab w:val="center" w:pos="7951"/>
          <w:tab w:val="right" w:pos="8357"/>
          <w:tab w:val="right" w:pos="9099"/>
        </w:tabs>
        <w:spacing w:after="240"/>
      </w:pPr>
      <w:r>
        <w:tab/>
        <w:t>III.</w:t>
      </w:r>
      <w:r>
        <w:tab/>
        <w:t>DEFINICIONES</w:t>
      </w:r>
      <w:r>
        <w:tab/>
      </w:r>
      <w:r>
        <w:tab/>
        <w:t>10</w:t>
      </w:r>
      <w:r>
        <w:tab/>
        <w:t>-</w:t>
      </w:r>
      <w:r>
        <w:tab/>
        <w:t>15</w:t>
      </w:r>
      <w:r>
        <w:tab/>
        <w:t>5</w:t>
      </w:r>
    </w:p>
    <w:p w:rsidR="00000000" w:rsidRDefault="00000000">
      <w:pPr>
        <w:tabs>
          <w:tab w:val="right" w:pos="567"/>
          <w:tab w:val="left" w:pos="850"/>
          <w:tab w:val="left" w:pos="1304"/>
          <w:tab w:val="left" w:pos="1701"/>
          <w:tab w:val="right" w:leader="dot" w:pos="7285"/>
          <w:tab w:val="right" w:pos="7835"/>
          <w:tab w:val="center" w:pos="7951"/>
          <w:tab w:val="right" w:pos="8357"/>
          <w:tab w:val="right" w:pos="9099"/>
        </w:tabs>
        <w:spacing w:after="240"/>
        <w:ind w:left="850" w:hanging="850"/>
      </w:pPr>
      <w:r>
        <w:tab/>
        <w:t>IV.</w:t>
      </w:r>
      <w:r>
        <w:tab/>
        <w:t xml:space="preserve">NORMAS DE DERECHOS HUMANOS Y CASTIGOS </w:t>
      </w:r>
      <w:r>
        <w:br/>
        <w:t>CORPORALES DE LOS NIÑOS</w:t>
      </w:r>
      <w:r>
        <w:tab/>
      </w:r>
      <w:r>
        <w:tab/>
        <w:t>16</w:t>
      </w:r>
      <w:r>
        <w:tab/>
        <w:t>-</w:t>
      </w:r>
      <w:r>
        <w:tab/>
        <w:t>29</w:t>
      </w:r>
      <w:r>
        <w:tab/>
        <w:t>6</w:t>
      </w:r>
    </w:p>
    <w:p w:rsidR="00000000" w:rsidRDefault="00000000">
      <w:pPr>
        <w:tabs>
          <w:tab w:val="right" w:pos="567"/>
          <w:tab w:val="left" w:pos="850"/>
          <w:tab w:val="left" w:pos="1304"/>
          <w:tab w:val="left" w:pos="1701"/>
          <w:tab w:val="right" w:leader="dot" w:pos="7285"/>
          <w:tab w:val="right" w:pos="7835"/>
          <w:tab w:val="center" w:pos="7951"/>
          <w:tab w:val="right" w:pos="8357"/>
          <w:tab w:val="right" w:pos="9099"/>
        </w:tabs>
        <w:spacing w:after="240"/>
        <w:ind w:left="850" w:hanging="850"/>
      </w:pPr>
      <w:r>
        <w:tab/>
        <w:t>V.</w:t>
      </w:r>
      <w:r>
        <w:tab/>
        <w:t>MEDIDAS Y MECANISMOS REQUERIDOS PARA ELIMINAR</w:t>
      </w:r>
      <w:r>
        <w:br/>
        <w:t>LOS CASTIGOS CORPORALES Y OTRAS FORMAS DE</w:t>
      </w:r>
      <w:r>
        <w:br/>
        <w:t>CASTIGO CRUELES O DEGRADANTES</w:t>
      </w:r>
      <w:r>
        <w:tab/>
      </w:r>
      <w:r>
        <w:tab/>
        <w:t>30</w:t>
      </w:r>
      <w:r>
        <w:tab/>
        <w:t>-</w:t>
      </w:r>
      <w:r>
        <w:tab/>
        <w:t>52</w:t>
      </w:r>
      <w:r>
        <w:tab/>
        <w:t>11</w:t>
      </w:r>
    </w:p>
    <w:p w:rsidR="00000000" w:rsidRDefault="00000000">
      <w:pPr>
        <w:tabs>
          <w:tab w:val="right" w:pos="567"/>
          <w:tab w:val="left" w:pos="850"/>
          <w:tab w:val="left" w:pos="1304"/>
          <w:tab w:val="left" w:pos="1701"/>
          <w:tab w:val="right" w:leader="dot" w:pos="7285"/>
          <w:tab w:val="right" w:pos="7835"/>
          <w:tab w:val="center" w:pos="7951"/>
          <w:tab w:val="right" w:pos="8357"/>
          <w:tab w:val="right" w:pos="9099"/>
        </w:tabs>
        <w:spacing w:after="240"/>
        <w:ind w:left="850" w:hanging="850"/>
      </w:pPr>
      <w:r>
        <w:tab/>
      </w:r>
      <w:r>
        <w:tab/>
        <w:t>1.</w:t>
      </w:r>
      <w:r>
        <w:tab/>
        <w:t>Medidas legislativas</w:t>
      </w:r>
      <w:r>
        <w:tab/>
      </w:r>
      <w:r>
        <w:tab/>
        <w:t>30</w:t>
      </w:r>
      <w:r>
        <w:tab/>
        <w:t>-</w:t>
      </w:r>
      <w:r>
        <w:tab/>
        <w:t>37</w:t>
      </w:r>
      <w:r>
        <w:tab/>
        <w:t>11</w:t>
      </w:r>
    </w:p>
    <w:p w:rsidR="00000000" w:rsidRDefault="00000000">
      <w:pPr>
        <w:tabs>
          <w:tab w:val="right" w:pos="567"/>
          <w:tab w:val="left" w:pos="850"/>
          <w:tab w:val="left" w:pos="1304"/>
          <w:tab w:val="left" w:pos="1701"/>
          <w:tab w:val="right" w:leader="dot" w:pos="7285"/>
          <w:tab w:val="right" w:pos="7835"/>
          <w:tab w:val="center" w:pos="7951"/>
          <w:tab w:val="right" w:pos="8357"/>
          <w:tab w:val="right" w:pos="9099"/>
        </w:tabs>
        <w:spacing w:after="240"/>
        <w:ind w:left="1304" w:hanging="1304"/>
      </w:pPr>
      <w:r>
        <w:tab/>
      </w:r>
      <w:r>
        <w:tab/>
        <w:t>2.</w:t>
      </w:r>
      <w:r>
        <w:tab/>
        <w:t>Aplicación de la prohibición de los castigos corporales y</w:t>
      </w:r>
      <w:r>
        <w:br/>
        <w:t>de otras formas de castigo crueles o degradantes</w:t>
      </w:r>
      <w:r>
        <w:tab/>
      </w:r>
      <w:r>
        <w:tab/>
        <w:t>38</w:t>
      </w:r>
      <w:r>
        <w:tab/>
        <w:t>-</w:t>
      </w:r>
      <w:r>
        <w:tab/>
        <w:t>43</w:t>
      </w:r>
      <w:r>
        <w:tab/>
        <w:t>12</w:t>
      </w:r>
    </w:p>
    <w:p w:rsidR="00000000" w:rsidRDefault="00000000">
      <w:pPr>
        <w:tabs>
          <w:tab w:val="right" w:pos="567"/>
          <w:tab w:val="left" w:pos="850"/>
          <w:tab w:val="left" w:pos="1304"/>
          <w:tab w:val="left" w:pos="1701"/>
          <w:tab w:val="right" w:leader="dot" w:pos="7285"/>
          <w:tab w:val="right" w:pos="7835"/>
          <w:tab w:val="center" w:pos="7951"/>
          <w:tab w:val="right" w:pos="8357"/>
          <w:tab w:val="right" w:pos="9099"/>
        </w:tabs>
        <w:spacing w:after="240"/>
        <w:ind w:left="1304" w:hanging="1304"/>
      </w:pPr>
      <w:r>
        <w:tab/>
      </w:r>
      <w:r>
        <w:tab/>
        <w:t>3.</w:t>
      </w:r>
      <w:r>
        <w:tab/>
        <w:t>Medidas educativas y de otro tipo</w:t>
      </w:r>
      <w:r>
        <w:tab/>
      </w:r>
      <w:r>
        <w:tab/>
        <w:t>44</w:t>
      </w:r>
      <w:r>
        <w:tab/>
        <w:t>-</w:t>
      </w:r>
      <w:r>
        <w:tab/>
        <w:t>49</w:t>
      </w:r>
      <w:r>
        <w:tab/>
        <w:t>14</w:t>
      </w:r>
    </w:p>
    <w:p w:rsidR="00000000" w:rsidRDefault="00000000">
      <w:pPr>
        <w:tabs>
          <w:tab w:val="right" w:pos="567"/>
          <w:tab w:val="left" w:pos="850"/>
          <w:tab w:val="left" w:pos="1304"/>
          <w:tab w:val="left" w:pos="1701"/>
          <w:tab w:val="right" w:leader="dot" w:pos="7285"/>
          <w:tab w:val="right" w:pos="7835"/>
          <w:tab w:val="center" w:pos="7951"/>
          <w:tab w:val="right" w:pos="8357"/>
          <w:tab w:val="right" w:pos="9099"/>
        </w:tabs>
        <w:spacing w:after="240"/>
        <w:ind w:left="1304" w:hanging="1304"/>
      </w:pPr>
      <w:r>
        <w:tab/>
      </w:r>
      <w:r>
        <w:tab/>
        <w:t>4.</w:t>
      </w:r>
      <w:r>
        <w:tab/>
        <w:t>Vigilancia y evaluación</w:t>
      </w:r>
      <w:r>
        <w:tab/>
      </w:r>
      <w:r>
        <w:tab/>
        <w:t>50</w:t>
      </w:r>
      <w:r>
        <w:tab/>
        <w:t>-</w:t>
      </w:r>
      <w:r>
        <w:tab/>
        <w:t>52</w:t>
      </w:r>
      <w:r>
        <w:tab/>
        <w:t>15</w:t>
      </w:r>
    </w:p>
    <w:p w:rsidR="00000000" w:rsidRDefault="00000000">
      <w:pPr>
        <w:tabs>
          <w:tab w:val="right" w:pos="567"/>
          <w:tab w:val="left" w:pos="850"/>
          <w:tab w:val="left" w:pos="1304"/>
          <w:tab w:val="left" w:pos="1701"/>
          <w:tab w:val="right" w:leader="dot" w:pos="7285"/>
          <w:tab w:val="right" w:pos="7835"/>
          <w:tab w:val="center" w:pos="7951"/>
          <w:tab w:val="right" w:pos="8357"/>
          <w:tab w:val="right" w:pos="9099"/>
        </w:tabs>
        <w:spacing w:after="240"/>
        <w:ind w:left="850" w:hanging="850"/>
      </w:pPr>
      <w:r>
        <w:tab/>
        <w:t>VI.</w:t>
      </w:r>
      <w:r>
        <w:tab/>
        <w:t>REQUISITOS RELATIVOS A LA PRESENTACIÓN DE</w:t>
      </w:r>
      <w:r>
        <w:br/>
        <w:t>INFORMES CON ARREGLO A LA CONVENCIÓN</w:t>
      </w:r>
      <w:r>
        <w:tab/>
      </w:r>
      <w:r>
        <w:tab/>
      </w:r>
      <w:r>
        <w:tab/>
        <w:t>53</w:t>
      </w:r>
      <w:r>
        <w:tab/>
      </w:r>
      <w:r>
        <w:tab/>
        <w:t>16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p>
    <w:p w:rsidR="00000000" w:rsidRDefault="00000000">
      <w:pPr>
        <w:spacing w:after="240"/>
        <w:jc w:val="center"/>
      </w:pPr>
      <w:r>
        <w:rPr>
          <w:b/>
          <w:bCs/>
        </w:rPr>
        <w:br w:type="page"/>
        <w:t>I.  OBJETIVOS</w:t>
      </w:r>
    </w:p>
    <w:p w:rsidR="00000000" w:rsidRDefault="00000000">
      <w:pPr>
        <w:spacing w:after="240"/>
      </w:pPr>
      <w:r>
        <w:t>1.</w:t>
      </w:r>
      <w:r>
        <w:tab/>
        <w:t>Después de haber dedicado dos días de debate general, en 2000 y en 2001, al tema de la violencia contra los niños, el Comité de los Derechos del Niño resolvió publicar una serie de observaciones generales relativas a la eliminación de la violencia contra los niños; la presente observación es la primera de ellas.  El objetivo del Comité es orientar a los Estados Partes en la interpretación de las disposiciones de la Convención relativas a la protección de los niños contra toda forma de violencia.  La presente observación general se centra en los castigos corporales y otras formas de castigo crueles o degradantes, que actualmente son formas de violencia contra los niños muy ampliamente aceptadas y practicadas.</w:t>
      </w:r>
    </w:p>
    <w:p w:rsidR="00000000" w:rsidRDefault="00000000">
      <w:pPr>
        <w:spacing w:after="240"/>
      </w:pPr>
      <w:r>
        <w:t>2.</w:t>
      </w:r>
      <w:r>
        <w:tab/>
        <w:t>En la Convención sobre los Derechos del Niño y en otros instrumentos internacionales de derechos humanos se reconoce el derecho del niño al respeto de su dignidad humana e integridad física y a gozar de igual protección ante la ley.  Al publicar esta observación general, el Comité quiere destacar la obligación de todos los Estados Partes de actuar rápidamente para prohibir y eliminar todos los castigos corporales y todas las demás formas de castigo crueles o degradantes de los niños y esbozar las medidas legislativas y otras medidas educativas y de sensibilización que los Estados deben adoptar.</w:t>
      </w:r>
    </w:p>
    <w:p w:rsidR="00000000" w:rsidRDefault="00000000">
      <w:pPr>
        <w:spacing w:after="480"/>
      </w:pPr>
      <w:r>
        <w:t>3.</w:t>
      </w:r>
      <w:r>
        <w:tab/>
        <w:t>Abordar la aceptación o la tolerancia generalizadas de los castigos corporales de los niños y poner fin a dichas prácticas en la familia, las escuelas y otros entornos, no sólo es una obligación de los Estados Partes en virtud de la Convención, sino también una estrategia clave para reducir y prevenir toda forma de violencia en las sociedades.</w:t>
      </w:r>
    </w:p>
    <w:p w:rsidR="00000000" w:rsidRDefault="00000000">
      <w:pPr>
        <w:spacing w:after="240"/>
        <w:jc w:val="center"/>
        <w:rPr>
          <w:b/>
          <w:bCs/>
        </w:rPr>
      </w:pPr>
      <w:r>
        <w:rPr>
          <w:b/>
          <w:bCs/>
        </w:rPr>
        <w:t>II.  ANTECEDENTES</w:t>
      </w:r>
    </w:p>
    <w:p w:rsidR="00000000" w:rsidRDefault="00000000">
      <w:pPr>
        <w:spacing w:after="240"/>
      </w:pPr>
      <w:r>
        <w:t>4.</w:t>
      </w:r>
      <w:r>
        <w:tab/>
        <w:t>Desde sus primeros períodos de sesiones, el Comité ha prestado especial atención al hecho de hacer valer el derecho de los niños a la protección contra toda forma de violencia.  En su examen de los informes de los Estados Partes, y últimamente en el contexto del estudio del Secretario General de las Naciones Unidas sobre la violencia contra los niños, el Comité ha observado con gran preocupación la legalidad generalizada y la persistente aprobación social de los castigos corporales y de otros castigos crueles o degradantes de los niños</w:t>
      </w:r>
      <w:r>
        <w:rPr>
          <w:rStyle w:val="FootnoteReference"/>
        </w:rPr>
        <w:footnoteReference w:id="1"/>
      </w:r>
      <w:r>
        <w:t>.  Ya en 1993, el Comité, en el informe sobre su cuarto período de sesiones, "reconoció la importancia de la cuestión del castigo corporal para el mejoramiento del sistema de la promoción y protección de los derechos del niño, y decidió seguir prestando atención a este aspecto en el proceso de examen de los informes de los Estados Partes"</w:t>
      </w:r>
      <w:r>
        <w:rPr>
          <w:rStyle w:val="FootnoteReference"/>
        </w:rPr>
        <w:footnoteReference w:id="2"/>
      </w:r>
      <w:r>
        <w:t>.</w:t>
      </w:r>
    </w:p>
    <w:p w:rsidR="00000000" w:rsidRDefault="00000000">
      <w:pPr>
        <w:spacing w:after="240"/>
      </w:pPr>
      <w:r>
        <w:t>5.</w:t>
      </w:r>
      <w:r>
        <w:tab/>
        <w:t>Desde que comenzó a examinar los informes de los Estados Partes, el Comité ha recomendado la prohibición de todos los castigos corporales, en la familia y en otros entornos, a más de 130 Estados en todos los continentes</w:t>
      </w:r>
      <w:r>
        <w:rPr>
          <w:rStyle w:val="FootnoteReference"/>
        </w:rPr>
        <w:footnoteReference w:id="3"/>
      </w:r>
      <w:r>
        <w:t>.  Es alentador para el Comité comprobar que un número creciente de Estados están adoptando medidas legislativas y de otro tipo apropiadas para hacer valer el derecho de los niños a que se respete su dignidad humana e integridad física y a gozar de igual protección ante la ley.  El Comité tiene entendido que para 2006 más de 100 Estados habrán prohibido el castigo corporal de los niños en las escuelas y en el sistema penitenciario.  Un número creciente de Estados han finalizado el proceso de prohibición en el hogar y en la familia, así como en todo tipo de tutela</w:t>
      </w:r>
      <w:r>
        <w:rPr>
          <w:rStyle w:val="FootnoteReference"/>
        </w:rPr>
        <w:footnoteReference w:id="4"/>
      </w:r>
      <w:r>
        <w:t>.</w:t>
      </w:r>
    </w:p>
    <w:p w:rsidR="00000000" w:rsidRDefault="00000000">
      <w:pPr>
        <w:spacing w:after="240"/>
      </w:pPr>
      <w:r>
        <w:t>6.</w:t>
      </w:r>
      <w:r>
        <w:tab/>
        <w:t>En septiembre de 2000, el Comité celebró el primero de dos días de debate general dedicados a la violencia contra los niños.  En esa ocasión, el debate se centró en el tema "La violencia estatal contra los niños" y posteriormente se aprobaron recomendaciones detalladas, entre ellas la prohibición de todo tipo de castigo corporal y el lanzamiento de campañas de información pública "para que se tome conciencia y aumente la sensibilidad sobre la gravedad de las violaciones de los derechos humanos en este ámbito y su repercusión negativa en los niños, y a que se contrarreste en determinados contextos culturales la aceptación de la violencia contra los niños promoviendo en su lugar la "no tolerancia" de la violencia"</w:t>
      </w:r>
      <w:r>
        <w:rPr>
          <w:rStyle w:val="FootnoteReference"/>
        </w:rPr>
        <w:footnoteReference w:id="5"/>
      </w:r>
      <w:r>
        <w:t>.</w:t>
      </w:r>
    </w:p>
    <w:p w:rsidR="00000000" w:rsidRDefault="00000000">
      <w:pPr>
        <w:spacing w:after="240"/>
      </w:pPr>
      <w:r>
        <w:t>7.</w:t>
      </w:r>
      <w:r>
        <w:tab/>
        <w:t>En abril de 2001 el Comité aprobó su primera observación general sobre el tema "Propósitos de la educación" y reiteró que el castigo corporal es incompatible con la Convención:  "...  Los niños no pierden sus derechos humanos al salir de la escuela.  Por ejemplo, la educación debe impartirse de tal forma que se respete la dignidad intrínseca del niño y se permita a éste expresar su opinión libremente, de conformidad con el párrafo 1 del artículo 12, y participar en la vida escolar.  La educación debe respetar también los límites rigurosos impuestos a la disciplina, recogidos en el párrafo 2 del artículo 28, y promover la no violencia en la escuela.  El Comité ha manifestado repetidas veces en sus observaciones finales que el castigo corporal es incompatible con el respeto a la dignidad intrínseca del niño y con los límites estrictos de la disciplina escolar..."</w:t>
      </w:r>
      <w:r>
        <w:rPr>
          <w:rStyle w:val="FootnoteReference"/>
        </w:rPr>
        <w:footnoteReference w:id="6"/>
      </w:r>
      <w:r>
        <w:t>.</w:t>
      </w:r>
    </w:p>
    <w:p w:rsidR="00000000" w:rsidRDefault="00000000">
      <w:pPr>
        <w:spacing w:after="240"/>
      </w:pPr>
      <w:r>
        <w:t>8.</w:t>
      </w:r>
      <w:r>
        <w:tab/>
        <w:t>En las recomendaciones aprobadas después del segundo día de debate general sobre el tema "La violencia contra los niños en la familia y en las escuelas", celebrado en septiembre de 2001, el Comité instó a los Estados Partes a que "con carácter de urgencia, promulguen o deroguen, según sea necesario, legislación con la intención de prohibir todas las formas de violencia, por leve que sea, en la familia y en las escuelas, incluida la violencia como forma de disciplina, conforme a lo dispuesto en la Convención..."</w:t>
      </w:r>
      <w:r>
        <w:rPr>
          <w:rStyle w:val="FootnoteReference"/>
        </w:rPr>
        <w:footnoteReference w:id="7"/>
      </w:r>
      <w:r>
        <w:t>.</w:t>
      </w:r>
    </w:p>
    <w:p w:rsidR="00000000" w:rsidRDefault="00000000">
      <w:pPr>
        <w:spacing w:after="480"/>
      </w:pPr>
      <w:r>
        <w:t>9.</w:t>
      </w:r>
      <w:r>
        <w:tab/>
        <w:t>Otro resultado de los días de debate general celebrados por el Comité en 2000 y 2001 fue la recomendación de que se pidiera al Secretario General de las Naciones Unidas, por conducto de la Asamblea General, que realizara un estudio internacional a fondo sobre la violencia contra los niños.  La Asamblea General de las Naciones Unidas dio efecto a esa recomendación en 2001</w:t>
      </w:r>
      <w:r>
        <w:rPr>
          <w:rStyle w:val="FootnoteReference"/>
        </w:rPr>
        <w:footnoteReference w:id="8"/>
      </w:r>
      <w:r>
        <w:t>.  En el contexto del Estudio de las Naciones Unidas, realizado entre 2003 y 2006, se ha destacado la necesidad de prohibir toda la violencia actualmente legalizada contra los niños, así como la profunda preocupación de los propios niños por la elevada prevalencia casi universal de los castigos corporales en la familia y también por su persistente legalidad en numerosos Estados en las escuelas y en otras instituciones, y en los sistemas penitenciarios para los niños en conflicto con la ley.</w:t>
      </w:r>
    </w:p>
    <w:p w:rsidR="00000000" w:rsidRDefault="00000000">
      <w:pPr>
        <w:spacing w:after="240"/>
        <w:jc w:val="center"/>
        <w:rPr>
          <w:b/>
          <w:bCs/>
        </w:rPr>
      </w:pPr>
      <w:r>
        <w:rPr>
          <w:b/>
          <w:bCs/>
        </w:rPr>
        <w:t>III.  DEFINICIONES</w:t>
      </w:r>
    </w:p>
    <w:p w:rsidR="00000000" w:rsidRDefault="00000000">
      <w:pPr>
        <w:spacing w:after="240"/>
      </w:pPr>
      <w:r>
        <w:t>10.</w:t>
      </w:r>
      <w:r>
        <w:tab/>
        <w:t>En la Convención se define al "niño" como "todo ser humano menor de dieciocho años de edad, salvo que, en virtud de la ley que le sea aplicable, haya alcanzado antes la mayoría de edad"</w:t>
      </w:r>
      <w:r>
        <w:rPr>
          <w:rStyle w:val="FootnoteReference"/>
        </w:rPr>
        <w:footnoteReference w:id="9"/>
      </w:r>
      <w:r>
        <w:t>.</w:t>
      </w:r>
    </w:p>
    <w:p w:rsidR="00000000" w:rsidRDefault="00000000">
      <w:pPr>
        <w:spacing w:after="240"/>
      </w:pPr>
      <w:r>
        <w:t>11.</w:t>
      </w:r>
      <w:r>
        <w:tab/>
        <w:t xml:space="preserve">El Comité define el castigo "corporal" o "físico" como todo castigo en el que se utilice la fuerza física y que tenga por objeto causar cierto grado de dolor o malestar, aunque sea leve.  En la mayoría de los casos se trata de pegar a los niños ("manotazos", "bofetadas", "palizas"), con la mano o con algún objeto </w:t>
      </w:r>
      <w:r>
        <w:noBreakHyphen/>
        <w:t>azote, vara, cinturón, zapato, cuchara de madera, etc.  Pero también puede consistir en, por ejemplo, dar puntapiés, zarandear o empujar a los niños, arañarlos, pellizcarlos, morderlos, tirarles del pelo o de las orejas, obligarlos a ponerse en posturas incómodas, producirles quemaduras, obligarlos a ingerir alimentos hirviendo u otros productos (por ejemplo, lavarles la boca con jabón u obligarlos a tragar alimentos picantes).  El Comité opina que el castigo corporal es siempre degradante.  Además hay otras formas de castigo que no son físicas, pero que son igualmente crueles y degradantes, y por lo tanto incompatibles con la Convención.  Entre éstas se cuentan, por ejemplo, los castigos en que se menosprecia, se humilla, se denigra, se convierte en chivo expiatorio, se amenaza, se asusta o se ridiculiza al niño.</w:t>
      </w:r>
    </w:p>
    <w:p w:rsidR="00000000" w:rsidRDefault="00000000">
      <w:pPr>
        <w:spacing w:after="240"/>
      </w:pPr>
      <w:r>
        <w:t>12.</w:t>
      </w:r>
      <w:r>
        <w:tab/>
        <w:t xml:space="preserve">Los castigos corporales y otras formas de castigo crueles o degradantes de los niños tienen lugar en numerosos entornos, incluidos el hogar y la familia, en todos los tipos de cuidado, las escuelas y otras instituciones docentes, los sistemas de justicia </w:t>
      </w:r>
      <w:r>
        <w:noBreakHyphen/>
        <w:t>tanto en lo que se refiere a sentencias de los tribunales como a castigos en instituciones penitenciarias o de otra índole</w:t>
      </w:r>
      <w:r>
        <w:noBreakHyphen/>
        <w:t xml:space="preserve"> en las situaciones de trabajo infantil, y en la comunidad.</w:t>
      </w:r>
    </w:p>
    <w:p w:rsidR="00000000" w:rsidRDefault="00000000">
      <w:pPr>
        <w:spacing w:after="240"/>
      </w:pPr>
      <w:r>
        <w:t>13.</w:t>
      </w:r>
      <w:r>
        <w:tab/>
        <w:t>Al rechazar toda justificación de la violencia y la humillación como formas de castigo de los niños, el Comité no está rechazando en modo alguno el concepto positivo de disciplina.  El desarrollo sano del niño depende de los padres y otros adultos para la orientación y dirección necesarias, de acuerdo con el desarrollo de su capacidad, a fin de ayudarle en su crecimiento para llevar una vida responsable en la sociedad.</w:t>
      </w:r>
    </w:p>
    <w:p w:rsidR="00000000" w:rsidRDefault="00000000">
      <w:pPr>
        <w:spacing w:after="240"/>
      </w:pPr>
      <w:r>
        <w:t>14.</w:t>
      </w:r>
      <w:r>
        <w:tab/>
        <w:t>El Comité reconoce que la crianza y el cuidado de los niños, especialmente de los lactantes y niños pequeños, exigen frecuentes acciones e intervenciones físicas para protegerlos.  Pero esto es totalmente distinto del uso deliberado y punitivo de la fuerza para provocar cierto grado de dolor, molestia o humillación.  Cuando se trata de nosotros, adultos, sabemos muy bien distinguir entre una acción física protectiva y una agresión punitiva; no resulta más difícil hacer esa distinción cuando se trata de los niños.  La legislación de todos los Estados cuenta, explícita o implícitamente, con el empleo de la fuerza no punitiva y necesaria para proteger a las personas.</w:t>
      </w:r>
    </w:p>
    <w:p w:rsidR="00000000" w:rsidRDefault="00000000">
      <w:pPr>
        <w:spacing w:after="480"/>
      </w:pPr>
      <w:r>
        <w:t>15.</w:t>
      </w:r>
      <w:r>
        <w:tab/>
        <w:t>El Comité reconoce que hay circunstancias excepcionales en que los maestros y determinadas personas, como por ejemplo los que trabajan con niños en instituciones y con niños en conflicto con la ley, pueden encontrarse ante una conducta peligrosa que justifique el uso de algún tipo de restricción razonable para controlarla.  En este caso también hay una clara distinción entre el uso de la fuerza determinado por la necesidad de proteger al niño o a otros y el uso de la fuerza para castigar.  Debe aplicarse siempre el principio del uso mínimo necesario de la fuerza por el menor tiempo posible.  También se requieren una orientación y capacitación detalladas, tanto para reducir al mínimo la necesidad de recurrir a medidas restrictivas como para asegurar que cualquier método que se utilice sea inocuo y proporcionado a la situación y no entrañe la intención deliberada de causar dolor como forma de control.</w:t>
      </w:r>
    </w:p>
    <w:p w:rsidR="00000000" w:rsidRDefault="00000000">
      <w:pPr>
        <w:spacing w:after="240"/>
        <w:ind w:left="340" w:hanging="340"/>
        <w:jc w:val="center"/>
        <w:rPr>
          <w:b/>
          <w:bCs/>
        </w:rPr>
      </w:pPr>
      <w:r>
        <w:rPr>
          <w:b/>
          <w:bCs/>
        </w:rPr>
        <w:t xml:space="preserve">IV.  NORMAS DE DERECHOS HUMANOS Y CASTIGOS </w:t>
      </w:r>
      <w:r>
        <w:rPr>
          <w:b/>
          <w:bCs/>
        </w:rPr>
        <w:br/>
        <w:t>CORPORALES DE LOS NIÑOS</w:t>
      </w:r>
    </w:p>
    <w:p w:rsidR="00000000" w:rsidRDefault="00000000">
      <w:pPr>
        <w:spacing w:after="240"/>
      </w:pPr>
      <w:r>
        <w:t>16.</w:t>
      </w:r>
      <w:r>
        <w:tab/>
        <w:t>Antes de la aprobación de la Convención sobre los Derechos del Niño, la Carta Internacional de Derechos Humanos -la Declaración Universal y los dos Pactos Internacionales, el de Derechos Civiles y Políticos y el de Derechos Económicos, Sociales y Culturales- sostuvo el derecho de "toda persona" al respeto de su dignidad humana e integridad física y a gozar de igual protección de la ley.  Al afirmar la obligación de los Estados de prohibir y eliminar todos los castigos corporales y todas las demás formas de castigo crueles o degradantes, el Comité observa que la Convención sobre los Derechos del Niño se asienta sobre esa base.  La dignidad de cada persona en particular es el principio rector fundamental de la normativa internacional de derechos humanos.</w:t>
      </w:r>
    </w:p>
    <w:p w:rsidR="00000000" w:rsidRDefault="00000000">
      <w:pPr>
        <w:spacing w:after="240"/>
      </w:pPr>
      <w:r>
        <w:t>17.</w:t>
      </w:r>
      <w:r>
        <w:tab/>
        <w:t>En el preámbulo de la Convención sobre los Derechos del Niño se afirma, de conformidad con los principios proclamados en la Carta de las Naciones Unidas, repetidos en el preámbulo de la Declaración Universal, que "la libertad, la justicia y la paz en el mundo se basan en el reconocimiento de la dignidad intrínseca y de los derechos iguales e inalienables de todos los miembros de la familia humana".  En el preámbulo de la Convención se recuerda asimismo que en la Declaración Universal, las Naciones Unidas "proclamaron que la infancia tiene derecho a cuidados y asistencia".</w:t>
      </w:r>
    </w:p>
    <w:p w:rsidR="00000000" w:rsidRDefault="00000000">
      <w:pPr>
        <w:spacing w:after="240"/>
      </w:pPr>
      <w:r>
        <w:t>18.</w:t>
      </w:r>
      <w:r>
        <w:tab/>
        <w:t>En el artículo 37 de la Convención se afirma que los Estados velarán por que "ningún niño sea sometido a torturas ni a otros tratos o penas crueles, inhumanos o degradantes".  Esta afirmación se complementa y amplía en el artículo 19, que estipula que los Estados "adoptarán todas las medias legislativas, administrativas, sociales y educativas apropiadas para proteger al niño contra toda forma de perjuicio o abuso físico o mental, descuido o trato negligente, malos tratos o explotación, incluido el abuso sexual, mientras el niño se encuentre bajo la custodia de los padres, de un representante legal o de cualquier otra persona que lo tenga a su cargo".  No hay ninguna ambigüedad:  la expresión "toda forma de perjuicio o abuso físico o mental" no deja espacio para ningún grado de violencia legalizada contra los niños.  Los castigos corporales y otras formas de castigo crueles o degradantes son formas de violencia y perjuicio ante las que los Estados deben adoptar todas las medidas legislativas, administrativas, sociales y educativas apropiadas para eliminarlas.</w:t>
      </w:r>
    </w:p>
    <w:p w:rsidR="00000000" w:rsidRDefault="00000000">
      <w:pPr>
        <w:spacing w:after="240"/>
      </w:pPr>
      <w:r>
        <w:t>19.</w:t>
      </w:r>
      <w:r>
        <w:tab/>
        <w:t>Además, en el párrafo 2 del artículo 28 de la Convención se menciona la disciplina escolar y se indica que los Estados "adoptarán cuantas medidas sean adecuadas para velar por que la disciplina escolar se administre de modo compatible con la dignidad humana del niño y de conformidad con la presente Convención".</w:t>
      </w:r>
    </w:p>
    <w:p w:rsidR="00000000" w:rsidRDefault="00000000">
      <w:pPr>
        <w:spacing w:after="240"/>
      </w:pPr>
      <w:r>
        <w:t>20.</w:t>
      </w:r>
      <w:r>
        <w:tab/>
        <w:t xml:space="preserve">En el artículo 19 y en el párrafo 2 del artículo 28 no se hace ninguna referencia explícita a los castigos corporales.  En los </w:t>
      </w:r>
      <w:r>
        <w:rPr>
          <w:i/>
          <w:iCs/>
        </w:rPr>
        <w:t>travaux préparatoires</w:t>
      </w:r>
      <w:r>
        <w:t xml:space="preserve"> de la Convención no queda constancia de ningún debate sobre los castigos corporales durante las sesiones de redacción.  Pero la Convención, al igual que todos los instrumentos de derechos humanos, debe considerarse un instrumento vivo, cuya interpretación evoluciona con el tiempo.  Desde su aprobación, hace 17 años, la prevalencia de los castigos corporales de los niños en los hogares, escuelas y otras instituciones se ha hecho más visible gracias al proceso de presentación de informes con arreglo a la Convención y a la labor de investigación y de defensa llevada a cabo, entre otras instancias, por las instituciones nacionales de derechos humanos y las organizaciones no gubernamentales (ONG).</w:t>
      </w:r>
    </w:p>
    <w:p w:rsidR="00000000" w:rsidRDefault="00000000">
      <w:pPr>
        <w:spacing w:after="240"/>
      </w:pPr>
      <w:r>
        <w:t>21.</w:t>
      </w:r>
      <w:r>
        <w:tab/>
        <w:t>Una vez que esa práctica es visible, resulta claro que entra directamente en conflicto con los derechos iguales e inalienables de los niños al respeto de su dignidad humana e integridad física.  Las características propias de los niños, su situación inicial de dependencia y de desarrollo, su extraordinario potencial humano, así como su vulnerabilidad, son elementos que exigen una mayor, no menor, protección jurídica y de otro tipo contra toda forma de violencia.</w:t>
      </w:r>
    </w:p>
    <w:p w:rsidR="00000000" w:rsidRDefault="00000000">
      <w:pPr>
        <w:spacing w:after="240"/>
      </w:pPr>
      <w:r>
        <w:t>22.</w:t>
      </w:r>
      <w:r>
        <w:tab/>
        <w:t>El Comité insiste en que la eliminación de los castigos violentos y humillantes de los niños mediante una reforma de la legislación y otras medidas necesarias es una obligación inmediata e incondicional de los Estados Partes.  Observa asimismo que otros órganos de tratados, como el Comité de Derechos Humanos, el Comité de Derechos Económicos, Sociales y Culturales y el Comité contra la Tortura han recogido ese mismo parecer en sus observaciones finales sobre los informes de los Estados Partes presentados con arreglo a los instrumentos pertinentes, recomendando la prohibición de los castigos corporales en las escuelas, los sistemas penitenciarios y, en algunos casos, la familia, y la adopción de otras medidas en contra de esa práctica.  Por ejemplo, el Comité de Derechos Económicos, Sociales y Culturales, en su Observación general Nº 13 (1999) sobre "El derecho a la educación", afirmó lo siguiente:  "En opinión del Comité, los castigos físicos son compatibles con el principio rector esencial de la legislación internacional en materia de derechos humanos, consagrado en los Preámbulos de la Declaración Universal de Derechos Humanos y de ambos Pactos:  la dignidad humana.  Otros aspectos de la disciplina en la escuela también pueden ser incompatibles con la dignidad humana, por ejemplo la humillación pública"</w:t>
      </w:r>
      <w:r>
        <w:rPr>
          <w:rStyle w:val="FootnoteReference"/>
        </w:rPr>
        <w:footnoteReference w:id="10"/>
      </w:r>
      <w:r>
        <w:t>.</w:t>
      </w:r>
    </w:p>
    <w:p w:rsidR="00000000" w:rsidRDefault="00000000">
      <w:pPr>
        <w:spacing w:after="240"/>
      </w:pPr>
      <w:r>
        <w:t>23.</w:t>
      </w:r>
      <w:r>
        <w:tab/>
        <w:t>Los castigos corporales han sido igualmente condenados por los mecanismos regionales de derechos humanos.  El Tribunal Europeo de Derechos Humanos ha condenado progresivamente en una serie de sentencias los castigos corporales de los niños, en primer lugar en el sistema penitenciario, a continuación en las escuelas, incluidas las privadas, y últimamente en el hogar</w:t>
      </w:r>
      <w:r>
        <w:rPr>
          <w:rStyle w:val="FootnoteReference"/>
        </w:rPr>
        <w:footnoteReference w:id="11"/>
      </w:r>
      <w:r>
        <w:t>.  El Comité Europeo de Derechos Sociales, en su tarea de vigilar el cumplimiento de los Estados miembros del Consejo de Europa de la Carta Social Europea y de la Carta Social revisada, ha comprobado que su cumplimiento exige la prohibición en la legislación de toda forma de violencia contra los niños, ya sea en las escuelas, en otras instituciones, en su hogar o en otras partes</w:t>
      </w:r>
      <w:r>
        <w:rPr>
          <w:rStyle w:val="FootnoteReference"/>
        </w:rPr>
        <w:footnoteReference w:id="12"/>
      </w:r>
      <w:r>
        <w:t>.</w:t>
      </w:r>
    </w:p>
    <w:p w:rsidR="00000000" w:rsidRDefault="00000000">
      <w:pPr>
        <w:spacing w:after="240"/>
      </w:pPr>
      <w:r>
        <w:t>24.</w:t>
      </w:r>
      <w:r>
        <w:tab/>
        <w:t xml:space="preserve">Una opinión consultiva de la Corte Interamericana de Derechos Humanos sobre la </w:t>
      </w:r>
      <w:r>
        <w:rPr>
          <w:i/>
          <w:iCs/>
        </w:rPr>
        <w:t>Condición Jurídica y Derechos Humanos del Niño</w:t>
      </w:r>
      <w:r>
        <w:t xml:space="preserve"> (2002) sostiene que los Estados Partes en la Convención Americana de Derechos Humanos "tienen el deber... de tomar todas las medidas positivas que aseguren protección a los niños contra malos tratos, sea en sus relaciones con las autoridades públicas, sea en las relaciones interindividuales o con entes no estatales".  La Corte cita disposiciones de la Convención sobre los Derechos del Niño, conclusiones del Comité de los Derechos del Niño y también fallos del Tribunal Europeo de Derechos Humanos en relación con las obligaciones de los Estados de proteger a los niños contra la violencia, incluso en la familia.  La Corte afirma, como conclusión que "el Estado tiene el deber de adoptar todas las medidas positivas para asegurar la plena vigencia de los derechos del niño"</w:t>
      </w:r>
      <w:r>
        <w:rPr>
          <w:rStyle w:val="FootnoteReference"/>
        </w:rPr>
        <w:footnoteReference w:id="13"/>
      </w:r>
      <w:r>
        <w:t>.</w:t>
      </w:r>
    </w:p>
    <w:p w:rsidR="00000000" w:rsidRDefault="00000000">
      <w:pPr>
        <w:spacing w:after="240"/>
      </w:pPr>
      <w:r>
        <w:t>25.</w:t>
      </w:r>
      <w:r>
        <w:tab/>
        <w:t>La Comisión Africana de Derechos Humanos y de los Pueblos vigila la aplicación de la Carta Africana de Derechos Humanos y de los Pueblos.  En una decisión de 2003 sobre una comunicación individual relativa a una condena "a latigazos" impuesta a estudiantes, la Comisión consideró que el castigo violaba el artículo 5 de la Carta Africana, que prohíbe los castigos crueles, inhumanos o degradantes.  La Comisión pidió al Gobierno en cuestión que enmendara la ley, de manera que se derogara el castigo de fustigación, y que adoptara las medidas apropiadas para que se indemnizara a las víctimas.  En su decisión, la Comisión declaró que los individuos, y en particular el Gobierno de un país, no tenían derecho a aplicar violencia física sobre las personas por delitos cometidos.  Tal derecho equivaldría a sancionar la tortura respaldada por el Estado y sería contrario a la genuina naturaleza de dicho tratado de derechos humanos</w:t>
      </w:r>
      <w:r>
        <w:rPr>
          <w:rStyle w:val="FootnoteReference"/>
        </w:rPr>
        <w:footnoteReference w:id="14"/>
      </w:r>
      <w:r>
        <w:t>.  El Comité de los Derechos del Niño se complace en observar que los tribunales constitucionales y otros tribunales superiores de numerosos países han dictado fallos en que se condena el castigo corporal de los niños en algunos o en todos los entornos, citando en la mayoría de los casos la Convención sobre los Derechos del Niño</w:t>
      </w:r>
      <w:r>
        <w:rPr>
          <w:rStyle w:val="FootnoteReference"/>
        </w:rPr>
        <w:footnoteReference w:id="15"/>
      </w:r>
      <w:r>
        <w:t>.</w:t>
      </w:r>
    </w:p>
    <w:p w:rsidR="00000000" w:rsidRDefault="00000000">
      <w:pPr>
        <w:spacing w:after="240"/>
      </w:pPr>
      <w:r>
        <w:t>26.</w:t>
      </w:r>
      <w:r>
        <w:tab/>
        <w:t>Las veces que el Comité de los Derechos del Niño ha planteado la eliminación de los castigos corporales a determinados Estados durante el examen de sus informes, los representantes gubernamentales han sugerido a veces que cierto grado de castigo corporal "razonable" o "moderado" puede estar justificado en nombre del "interés superior" del niño.  El Comité ha establecido, como importante principio general, el requisito de la Convención de que el interés superior del niño deberá ser una consideración primordial en todas las medidas concernientes a los niños (párrafo 1 del artículo 3).  La Convención también afirma, en el artículo 18, que el interés superior del niño será la preocupación fundamental de los padres.  Pero la interpretación de lo que se entiende por el interés superior del niño debe ser compatible con toda la Convención, incluidos la obligación de proteger a los niños contra toda forma de violencia y el requisito de tener debidamente en cuenta las opiniones del niño; ese principio no puede aducirse para justificar prácticas, como los castigos corporales y otras formas de castigo crueles o degradantes, que están reñidas con la dignidad humana y el derecho a la integridad física del niño.</w:t>
      </w:r>
    </w:p>
    <w:p w:rsidR="00000000" w:rsidRDefault="00000000">
      <w:pPr>
        <w:spacing w:after="240"/>
      </w:pPr>
      <w:r>
        <w:t>27.</w:t>
      </w:r>
      <w:r>
        <w:tab/>
        <w:t>El preámbulo de la Convención considera a la familia como "grupo fundamental de la sociedad y medio natural para el crecimiento y el bienestar de todos sus miembros, y en particular de los niños".  La Convención exige que los Estados respeten y apoyen a las familias.  No hay ningún tipo de conflicto con la obligación de los Estados de velar por que la dignidad humana y la integridad física de los niños en la familia reciban plena protección junto con los otros miembros de la familia.</w:t>
      </w:r>
    </w:p>
    <w:p w:rsidR="00000000" w:rsidRDefault="00000000">
      <w:pPr>
        <w:spacing w:after="240"/>
      </w:pPr>
      <w:r>
        <w:t>28.</w:t>
      </w:r>
      <w:r>
        <w:tab/>
        <w:t>En el artículo 5 se afirma que los Estados deben respetar las responsabilidades, los derechos y los deberes de los padres "de impartirle [al niño], en consonancia con la evolución de sus facultades, dirección y orientación apropiadas para que el niño ejerza los derechos reconocidos en la presente Convención".  Aquí también, la interpretación de una dirección y orientación "apropiadas" debe ser coherente con el resto de la Convención y no permite ninguna justificación de formas de disciplina que sean violentas, crueles o degradantes.</w:t>
      </w:r>
    </w:p>
    <w:p w:rsidR="00000000" w:rsidRDefault="00000000">
      <w:pPr>
        <w:spacing w:after="480"/>
      </w:pPr>
      <w:r>
        <w:t>29.</w:t>
      </w:r>
      <w:r>
        <w:tab/>
        <w:t>Hay quienes aducen justificaciones de inspiración religiosa para el castigo corporal, sugiriendo que determinadas interpretaciones de los textos religiosos no sólo justifican su uso sino que lo consideran un deber.  La libertad de creencia religiosa está consagrada en el Pacto Internacional de Derechos Civiles y Políticos (art. 18), pero la práctica de una religión o creencia debe ser compatible con el respeto a la dignidad humana y a la integridad física de los demás.  La libertad de practicar la propia religión o creencia puede verse legítimamente limitada a fin de proteger los derechos y libertades fundamentales de los demás.  En determinados Estados, el Comité ha comprobado que los niños, en algunos casos desde muy temprana edad, y en otros casos desde que se considera que han llegado a la pubertad, pueden ser condenados a castigos de extrema violencia, como la lapidación y la amputación, prescritos según determinadas interpretaciones de la ley religiosa.  Esos castigos constituyen una violación flagrante de la Convención y de otras normas internacionales de derechos humanos, como han destacado también el Comité de Derechos Humanos y el Comité contra la Tortura, y deben prohibirse.</w:t>
      </w:r>
    </w:p>
    <w:p w:rsidR="00000000" w:rsidRDefault="00000000">
      <w:pPr>
        <w:keepNext/>
        <w:spacing w:after="240"/>
        <w:ind w:left="425" w:hanging="425"/>
        <w:jc w:val="center"/>
        <w:rPr>
          <w:b/>
          <w:bCs/>
        </w:rPr>
      </w:pPr>
      <w:r>
        <w:rPr>
          <w:b/>
          <w:bCs/>
        </w:rPr>
        <w:t>V.  MEDIDAS Y MECANISMOS REQUERIDOS PARA ELIMINAR</w:t>
      </w:r>
      <w:r>
        <w:rPr>
          <w:b/>
          <w:bCs/>
        </w:rPr>
        <w:br/>
        <w:t>LOS CASTIGOS CORPORALES Y OTRAS FORMAS DE</w:t>
      </w:r>
      <w:r>
        <w:rPr>
          <w:b/>
          <w:bCs/>
        </w:rPr>
        <w:br/>
        <w:t>CASTIGO CRUELES O DEGRADANTES</w:t>
      </w:r>
    </w:p>
    <w:p w:rsidR="00000000" w:rsidRDefault="00000000">
      <w:pPr>
        <w:spacing w:after="240"/>
        <w:rPr>
          <w:b/>
          <w:bCs/>
        </w:rPr>
      </w:pPr>
      <w:r>
        <w:rPr>
          <w:b/>
          <w:bCs/>
        </w:rPr>
        <w:t>1.</w:t>
      </w:r>
      <w:r>
        <w:rPr>
          <w:b/>
          <w:bCs/>
        </w:rPr>
        <w:tab/>
        <w:t>Medidas legislativas</w:t>
      </w:r>
    </w:p>
    <w:p w:rsidR="00000000" w:rsidRDefault="00000000">
      <w:pPr>
        <w:spacing w:after="240"/>
      </w:pPr>
      <w:r>
        <w:t>30.</w:t>
      </w:r>
      <w:r>
        <w:tab/>
        <w:t>La formulación del artículo 19 de la Convención se basa en el artículo 4 y deja en claro que se necesitan medidas legislativas y de otro tipo para que los Estados cumplan las obligaciones de proteger a los niños contra toda forma de violencia.  El Comité ha acogido con satisfacción el hecho de que en muchos Estados la Convención y sus principios se han incorporado al derecho interno.  Todos los Estados tienen leyes penales para proteger a los ciudadanos contra la agresión.  Muchos tienen constituciones y/o una legislación que recoge las normas internacionales de derechos humanos y el artículo 37 de la Convención sobre los Derechos del Niño, que consagra el derecho de todo niño a la protección contra la tortura y otros tratos o penas crueles, inhumanos o degradantes.  Son muchos también los Estados que cuentan con leyes específicas de protección de los niños en que se tipifican como delito los "malos tratos" o el "abuso" o la "crueldad".  Pero el Comité ha llegado a la conclusión, por su examen de los informes de los Estados, de que esas disposiciones legislativas no garantizan por lo general la protección del niño contra todo castigo corporal y otras formas de castigo crueles o degradantes, en la familia y en otros entornos.</w:t>
      </w:r>
    </w:p>
    <w:p w:rsidR="00000000" w:rsidRDefault="00000000">
      <w:pPr>
        <w:spacing w:after="240"/>
      </w:pPr>
      <w:r>
        <w:t>31.</w:t>
      </w:r>
      <w:r>
        <w:tab/>
        <w:t xml:space="preserve">En su examen de los informes, el Comité ha observado que en muchos Estados hay disposiciones jurídicas explícitas en los códigos penal y/o civil (de la familia) que ofrecen a los padres y otros cuidadores una defensa o justificación para el uso de cierto grado de violencia a fin de "disciplinar" a los niños.  Por ejemplo, la defensa del castigo o corrección "legal", "razonable" o "moderado" ha formado parte durante siglos del </w:t>
      </w:r>
      <w:r>
        <w:rPr>
          <w:i/>
          <w:iCs/>
        </w:rPr>
        <w:t>common law</w:t>
      </w:r>
      <w:r>
        <w:t xml:space="preserve"> inglés, así como el "derecho de corrección" de la legislación francesa.  Hubo períodos en que en muchos Estados también existía esa misma excepción para justificar el castigo de las esposas por sus esposos y de los esclavos, criados y aprendices por sus amos.  El Comité insiste en que la Convención exige la eliminación de toda disposición (en el derecho legislado o jurisprudencial) que permita cierto grado de violencia contra los niños (por ejemplo, el castigo o la corrección en grado "razonable" o "moderado") en sus hogares o familias o en cualquier otro entorno.</w:t>
      </w:r>
    </w:p>
    <w:p w:rsidR="00000000" w:rsidRDefault="00000000">
      <w:pPr>
        <w:spacing w:after="240"/>
      </w:pPr>
      <w:r>
        <w:t>32.</w:t>
      </w:r>
      <w:r>
        <w:tab/>
        <w:t>En algunos Estados, el castigo corporal está específicamente autorizado en las escuelas y otras instituciones, con reglamentos que establecen de qué manera debe administrarse y por quién.  Y en una minoría de Estados, el castigo corporal con varas o látigos todavía está autorizado como condena de los tribunales para los menores delincuentes.  Como el Comité ha reiterado frecuentemente, la Convención exige la derogación de todas esas disposiciones.</w:t>
      </w:r>
    </w:p>
    <w:p w:rsidR="00000000" w:rsidRDefault="00000000">
      <w:pPr>
        <w:spacing w:after="240"/>
      </w:pPr>
      <w:r>
        <w:t>33.</w:t>
      </w:r>
      <w:r>
        <w:tab/>
        <w:t>El Comité ha observado que en la legislación de algunos Estados no existe una excepción o justificación explícita para los castigos corporales, pero que la actitud tradicional respecto de los niños permite esos castigos.  A veces esa actitud queda reflejada en decisiones de los tribunales (en que los padres o maestros, u otros cuidadores, han sido absueltos de agresión o de malos tratos en razón de que estaban ejerciendo el derecho o la libertad de aplicar una "corrección" moderada).</w:t>
      </w:r>
    </w:p>
    <w:p w:rsidR="00000000" w:rsidRDefault="00000000">
      <w:pPr>
        <w:spacing w:after="240"/>
      </w:pPr>
      <w:r>
        <w:t>34.</w:t>
      </w:r>
      <w:r>
        <w:tab/>
        <w:t>Habida cuenta de la aceptación tradicional de formas violentas y humillantes de castigo de los niños, un número cada vez mayor de Estados está reconociendo que no basta simplemente con abolir la autorización de los castigos corporales o las excepciones que existan.  Además, es preciso que en su legislación civil o penal conste la prohibición explícita de los castigos corporales y de otras formas de castigo crueles o degradantes a fin de que quede absolutamente claro que es tan ilegal golpear, "abofetear" o "pegar" a un niño como lo es dar ese trato a un adulto, y que el derecho penal sobre la agresión se aplica por igual a esa violencia, independientemente de que se la denomine "disciplina" o "corrección razonable".</w:t>
      </w:r>
    </w:p>
    <w:p w:rsidR="00000000" w:rsidRDefault="00000000">
      <w:pPr>
        <w:spacing w:after="240"/>
      </w:pPr>
      <w:r>
        <w:t>35.</w:t>
      </w:r>
      <w:r>
        <w:tab/>
        <w:t>Una vez que el derecho penal se aplique íntegramente a las agresiones a los niños, éstos estarán protegidos contra los castigos corporales en cualquier lugar se produzcan y sea cual fuere su autor.  Sin embargo, el Comité opina que, habida cuenta de la aceptación tradicional de los castigos corporales, es fundamental que la legislación sectorial aplicable -por ejemplo, el derecho de familia, la ley de educación, la legislación relativa a todos los otros tipos de cuidado y los sistemas de justicia, la ley sobre el empleo- prohíba claramente su utilización en los entornos pertinentes.  Además, sería valioso que los códigos de ética profesionales y las orientaciones para los maestros, cuidadores y otros interesados, así como los reglamentos o estatutos de las instituciones, destacaran la ilegalidad de los castigos corporales y de otras formas de castigo crueles o degradantes.</w:t>
      </w:r>
    </w:p>
    <w:p w:rsidR="00000000" w:rsidRDefault="00000000">
      <w:pPr>
        <w:spacing w:after="240"/>
      </w:pPr>
      <w:r>
        <w:t>36.</w:t>
      </w:r>
      <w:r>
        <w:tab/>
        <w:t>Al Comité le preocupan asimismo las informaciones de que los castigos corporales y otros castigos crueles o degradantes se aplican en situaciones de trabajo infantil, incluido el ámbito familiar.  El Comité reitera que la Convención y otros instrumentos de derechos humanos aplicables protegen al niño contra la explotación económica y cualquier trabajo que pueda ser peligroso, obstaculice su educación o sea nocivo para su desarrollo, y exigen determinadas salvaguardias para asegurar la puesta en práctica efectiva de esa protección.  El Comité insiste en que es fundamental que la prohibición de los castigos corporales y de otras formas de castigo crueles o degradantes se aplique a todas las situaciones en que los niños trabajan.</w:t>
      </w:r>
    </w:p>
    <w:p w:rsidR="00000000" w:rsidRDefault="00000000">
      <w:pPr>
        <w:spacing w:after="240"/>
      </w:pPr>
      <w:r>
        <w:t>37.</w:t>
      </w:r>
      <w:r>
        <w:tab/>
        <w:t>El artículo 39 de la Convención exige a los Estados que adopten todas las medidas apropiadas para promover la recuperación física y psicológica y la reintegración social de todo niño víctima de "cualquier forma de abandono, explotación o abuso; tortura u otra forma de tratos o penas crueles, inhumanos o degradantes".  Los castigos corporales y otras formas de castigo degradantes pueden infligir graves daños al desarrollo físico, psicológico y social de los niños, que exigirán los debidos tratamientos y cuidados sanitarios o de otro tipo.  Éstos deberán tener lugar en un entorno que promueva la salud integral, el respeto de sí mismo y la dignidad del niño, y que sean extensivos, según proceda, al grupo familiar del niño.  Debería aplicarse un criterio interdisciplinario a la planificación y prestación de los cuidados y tratamientos, con una formación especializada de los profesionales interesados.  Las opiniones del niño deberán tenerse debidamente en cuenta en lo que se refiere a todos los aspectos de su tratamiento y en la revisión de éste.</w:t>
      </w:r>
    </w:p>
    <w:p w:rsidR="00000000" w:rsidRDefault="00000000">
      <w:pPr>
        <w:spacing w:after="240"/>
        <w:ind w:left="567" w:hanging="567"/>
        <w:rPr>
          <w:b/>
          <w:bCs/>
        </w:rPr>
      </w:pPr>
      <w:r>
        <w:rPr>
          <w:b/>
          <w:bCs/>
        </w:rPr>
        <w:t>2.</w:t>
      </w:r>
      <w:r>
        <w:rPr>
          <w:b/>
          <w:bCs/>
        </w:rPr>
        <w:tab/>
        <w:t>Aplicación de la prohibición de los castigos corporales y de otras formas de castigo crueles o degradantes</w:t>
      </w:r>
    </w:p>
    <w:p w:rsidR="00000000" w:rsidRDefault="00000000">
      <w:pPr>
        <w:spacing w:after="240"/>
      </w:pPr>
      <w:r>
        <w:t>38.</w:t>
      </w:r>
      <w:r>
        <w:tab/>
        <w:t>El Comité estima que la aplicación de la prohibición de todos los castigos corporales exige la creación de conciencia, la orientación y la capacitación (véanse los párrafos 45 y siguientes) entre todos los interesados.  Para ello hay que garantizar que la ley defienda el interés superior de los niños afectados -en particular cuando los autores son los padres u otros miembros cercanos de la familia.  La primera finalidad de la reforma de la legislación para prohibir los castigos corporales de los niños en la familia es la prevención:  prevenir la violencia contra los niños cambiando las actitudes y la práctica, subrayando el derecho de los niños a gozar de igual protección y proporcionando una base inequívoca para la protección del niño y la promoción de formas de crianza positivas, no violentas y participativas.</w:t>
      </w:r>
    </w:p>
    <w:p w:rsidR="00000000" w:rsidRDefault="00000000">
      <w:pPr>
        <w:spacing w:after="240"/>
      </w:pPr>
      <w:r>
        <w:t>39.</w:t>
      </w:r>
      <w:r>
        <w:tab/>
        <w:t>Lograr una prohibición clara e incondicional de todos los castigos corporales exigirá reformas jurídicas de diverso grado en los diferentes Estados Partes.  Puede que se requieran disposiciones específicas en leyes sectoriales sobre la educación, la justicia de menores y todos los tipos de cuidado.  Pero debería dejarse explícitamente en claro que las disposiciones del derecho penal sobre la agresión también abarcan todos los castigos corporales, incluso en la familia.  Esto tal vez requiera una disposición adicional en el código penal del Estado Parte.  Pero también es posible incluir una disposición en el código civil o en el derecho de familia en que se prohíba el uso de todas las formas de violencia, incluidos todos los castigos corporales.  Tal disposición pone de relieve que los padres u otros cuidadores ya no pueden seguir acogiéndose a la excepción tradicional, si son encausados con arreglo al código penal, de que es su derecho recurrir (de manera "razonable" o "moderada") al castigo corporal.  El derecho de familia debería también poner de relieve positivamente que la responsabilidad de los padres lleva aparejadas la dirección y orientación adecuadas de los hijos sin ninguna forma de violencia.</w:t>
      </w:r>
    </w:p>
    <w:p w:rsidR="00000000" w:rsidRDefault="00000000">
      <w:pPr>
        <w:spacing w:after="240"/>
      </w:pPr>
      <w:r>
        <w:t>40.</w:t>
      </w:r>
      <w:r>
        <w:tab/>
        <w:t xml:space="preserve">El principio de la protección por igual de niños y adultos contra la agresión, incluida la que tiene lugar en la familia, no significa que todos los casos que salgan a la luz de castigo corporal de los niños por sus padres tengan que traducirse en el enjuiciamiento de los padres.  El principio </w:t>
      </w:r>
      <w:r>
        <w:rPr>
          <w:i/>
          <w:iCs/>
        </w:rPr>
        <w:t>de minimis</w:t>
      </w:r>
      <w:r>
        <w:t xml:space="preserve"> -la ley no se ocupa de asuntos triviales- garantiza que las agresiones leves entre adultos sólo lleguen a los tribunales en circunstancias muy excepcionales.  Lo mismo se aplicará a las agresiones de menor cuantía a los niños.  Los Estados deben elaborar mecanismos eficaces de notificación y remisión.  Si bien todas las notificaciones de violencia hacia los niños deberían investigarse adecuadamente y asegurarse la protección de los niños contra daños importantes, el objetivo debería ser poner fin al empleo por los padres de la violencia u otros castigos crueles o degradantes mediante intervenciones de apoyo y educativas, y no punitivas.</w:t>
      </w:r>
    </w:p>
    <w:p w:rsidR="00000000" w:rsidRDefault="00000000">
      <w:pPr>
        <w:spacing w:after="240"/>
      </w:pPr>
      <w:r>
        <w:t>41.</w:t>
      </w:r>
      <w:r>
        <w:tab/>
        <w:t>La situación de dependencia de los niños y la intimidad característica de las relaciones familiares exigen que las decisiones de enjuiciar a los padres, o de intervenir de otra manera oficialmente en la familia, deban tomarse con extremo cuidado.  En la mayoría de los casos, no es probable que el enjuiciamiento de los padres redunde en el interés superior de los hijos.  El Comité opina que el enjuiciamiento y otras intervenciones oficiales (por ejemplo, separar al niño o al autor) deberían tener lugar sólo cuando se considere necesario para proteger al niño contra algún daño importante y cuando vaya en el interés superior del niño afectado.  Deberán tenerse debidamente en cuenta las opiniones del niño afectado, en función de su edad y madurez.</w:t>
      </w:r>
    </w:p>
    <w:p w:rsidR="00000000" w:rsidRDefault="00000000">
      <w:pPr>
        <w:spacing w:after="240"/>
      </w:pPr>
      <w:r>
        <w:t>42.</w:t>
      </w:r>
      <w:r>
        <w:tab/>
        <w:t>En la labor de asesoramiento y capacitación de todos los que intervienen en los sistemas de protección de menores, entre ellos la policía, los fiscales y el personal judicial, debería subrayarse este enfoque de la aplicación de la ley.  Las orientaciones deberían también poner de relieve que el artículo 9 de la Convención exige que la separación del niño de sus padres deba considerarse necesaria en el interés superior del niño y estar sujeta a revisión judicial, de conformidad con la ley y los procedimientos aplicables, y con la participación de todas las partes interesadas, incluido el niño.  Cuando la separación de considere justificada, se estudiarán las alternativas a la colocación del niño fuera de la familia, por ejemplo la separación del autor o la condena condicional, entre otras.</w:t>
      </w:r>
    </w:p>
    <w:p w:rsidR="00000000" w:rsidRDefault="00000000">
      <w:pPr>
        <w:spacing w:after="240"/>
      </w:pPr>
      <w:r>
        <w:t>43.</w:t>
      </w:r>
      <w:r>
        <w:tab/>
        <w:t>Cuando, pese a la prohibición y a los programas de educación y capacitación positivas, se conozcan casos de castigos corporales fuera del hogar -en las escuelas, en otras instituciones y tipos de cuidado, por ejemplo- una respuesta razonable podría ser el enjuiciamiento.  El hecho de amenazar al autor con otras medidas disciplinarias o su alejamiento debería también constituir un claro factor disuasivo.  Es indispensable que la prohibición de todos los castigos corporales y otros castigos crueles o degradantes, así como las sanciones que puedan imponerse en caso de violación, se difundan ampliamente entre los niños y entre todos los que trabajan con niños en todos los entornos.  La vigilancia de los sistemas disciplinarios y del trato de los niños debe formar parte de la supervisión continua de todas las instituciones y lugares de colocación de menores, conforme lo exige la Convención.  Los niños y sus representantes en todos esos lugares deben tener acceso inmediato y confidencial al asesoramiento adaptado al niño, la defensa y los procedimientos de denuncia, y en última instancia a los tribunales, con la asistencia jurídica y de otro tipo necesaria.  En las instituciones deberían ser obligatorios la notificación y el examen de cualquier incidente de violencia.</w:t>
      </w:r>
    </w:p>
    <w:p w:rsidR="00000000" w:rsidRDefault="00000000">
      <w:pPr>
        <w:spacing w:after="240"/>
        <w:rPr>
          <w:b/>
          <w:bCs/>
        </w:rPr>
      </w:pPr>
      <w:r>
        <w:rPr>
          <w:b/>
          <w:bCs/>
        </w:rPr>
        <w:t>3.</w:t>
      </w:r>
      <w:r>
        <w:rPr>
          <w:b/>
          <w:bCs/>
        </w:rPr>
        <w:tab/>
        <w:t>Medidas educativas y de otro tipo</w:t>
      </w:r>
    </w:p>
    <w:p w:rsidR="00000000" w:rsidRDefault="00000000">
      <w:pPr>
        <w:spacing w:after="240"/>
      </w:pPr>
      <w:r>
        <w:t>44.</w:t>
      </w:r>
      <w:r>
        <w:tab/>
        <w:t>En el artículo 12 de la Convención se destaca la importancia de tener debidamente en cuenta las opiniones de los niños respecto de la elaboración y aplicación de medidas educativas y de otro tipo para erradicar los castigos corporales y otras formas de castigo crueles o degradantes.</w:t>
      </w:r>
    </w:p>
    <w:p w:rsidR="00000000" w:rsidRDefault="00000000">
      <w:pPr>
        <w:spacing w:after="240"/>
      </w:pPr>
      <w:r>
        <w:t>45.</w:t>
      </w:r>
      <w:r>
        <w:tab/>
        <w:t>Habida cuenta de la aceptación tradicional generalizada de los castigos corporales, la prohibición por sí sola no logrará el cambio de actitudes y de prácticas necesario.  Se requiere una labor de sensibilización general acerca del derecho de los niños a la protección y de las leyes que recogen ese derecho.  Como se señala en el artículo 42 de la Convención, los Estados Partes se comprometen a dar a conocer ampliamente los principios y disposiciones de la Convención por medios eficaces y apropiados, tanto a los adultos como a los niños.</w:t>
      </w:r>
    </w:p>
    <w:p w:rsidR="00000000" w:rsidRDefault="00000000">
      <w:pPr>
        <w:spacing w:after="240"/>
      </w:pPr>
      <w:r>
        <w:t>46.</w:t>
      </w:r>
      <w:r>
        <w:tab/>
        <w:t>Además, los Estados deben garantizar que entre los padres, los cuidadores, los maestros y todos los que trabajan con los niños y las familias se promuevan constantemente unas relaciones y una educación positivas y no violentas.  El Comité hace hincapié en que la Convención exige la eliminación no sólo de los castigos corporales sino de todos los otros castigos crueles o degradantes de los niños.  No incumbe a la Convención prescribir detalladamente de qué manera los padres deben relacionarse con sus hijos u orientarlos.  Pero la Convención ofrece un marco de principios que sirve de guía para las relaciones tanto dentro de la familia como entre los maestros, los cuidadores y otras personas y los niños.  Deben respetarse las necesidades de desarrollo de los niños.  Los niños aprenden de lo que hacen los adultos, no sólo de lo que dicen.  Cuando los adultos con los que el niño está más estrechamente relacionado utilizan la violencia y la humillación en sus relaciones con él, están demostrando falta de respeto por los derechos humanos y transmitiendo un mensaje poderoso y peligroso en el sentido de que esos son medios legítimos para procurar resolver los conflictos o cambiar comportamientos.</w:t>
      </w:r>
    </w:p>
    <w:p w:rsidR="00000000" w:rsidRDefault="00000000">
      <w:pPr>
        <w:spacing w:after="240"/>
      </w:pPr>
      <w:r>
        <w:t>47.</w:t>
      </w:r>
      <w:r>
        <w:tab/>
        <w:t>La Convención establece la condición del niño como individuo y titular de derechos humanos.  El niño no es propiedad de los padres ni del Estado, ni un simple objeto de preocupación.  En este espíritu, el artículo 5 exige que los padres (o, en su caso los miembros de la familia ampliada o de la comunidad) impartan a los niños, en consonancia con la evolución de sus facultades, dirección y orientación apropiadas, para que el niño ejerza los derechos reconocidos en la Convención.  El artículo 18, que subraya la responsabilidad primordial de los padres, o de los representantes legales, de la crianza y desarrollo del niño, sostiene que "su preocupación fundamental será el interés superior del niño".  Según el artículo 12, los Estados garantizarán al niño el derecho de expresar su opinión libremente "en todos los asuntos que afectan al niño", teniéndose debidamente en cuenta sus opiniones, en función de su edad y madurez.  Aquí se recalca la necesidad de que las modalidades de atención parental, de cuidado y de enseñanza respeten los derechos de participación de los niños.  En su Observación general Nº 1 sobre "Propósitos de la educación", el Comité ha insistido en la importancia de que la educación "gire en torno al niño, le sea favorable y lo habilite"</w:t>
      </w:r>
      <w:r>
        <w:rPr>
          <w:rStyle w:val="FootnoteReference"/>
        </w:rPr>
        <w:footnoteReference w:id="16"/>
      </w:r>
      <w:r>
        <w:t>.</w:t>
      </w:r>
    </w:p>
    <w:p w:rsidR="00000000" w:rsidRDefault="00000000">
      <w:pPr>
        <w:spacing w:after="240"/>
      </w:pPr>
      <w:r>
        <w:t>48.</w:t>
      </w:r>
      <w:r>
        <w:tab/>
        <w:t>El Comité observa que ahora existen muchos ejemplos de materiales y programas que promueven formas positivas y no violentas de atención parental y de educación, dirigidos a los padres, a cuidadores y a maestros, y que han sido elaborados por gobiernos, organismos de las Naciones Unidas, ONG y otras instancias</w:t>
      </w:r>
      <w:r>
        <w:rPr>
          <w:rStyle w:val="FootnoteReference"/>
        </w:rPr>
        <w:footnoteReference w:id="17"/>
      </w:r>
      <w:r>
        <w:t>.  Esos materiales y programas pueden adaptarse adecuadamente a diferentes condiciones y situaciones.  Los medios informativos pueden desempeñar una función muy valiosa en la sensibilización y educación del público.  La oposición a la adhesión tradicional a los castigos corporales y otras formas de disciplina crueles y degradantes exige una acción sostenida.  La promoción de formas no violentas de atención parental y de educación debería formar parte de todos los puntos de contacto entre el Estado y los padres y los niños, en los servicios de salud, bienestar y educación, incluidas las instituciones para la primera infancia, las guarderías y las escuelas.  Debería también integrarse en la capacitación inicial y en el servicio de los maestros y de todos los que trabajan con niños en los sistemas de atención y de justicia.</w:t>
      </w:r>
    </w:p>
    <w:p w:rsidR="00000000" w:rsidRDefault="00000000">
      <w:pPr>
        <w:spacing w:after="240"/>
      </w:pPr>
      <w:r>
        <w:t>49.</w:t>
      </w:r>
      <w:r>
        <w:tab/>
        <w:t>El Comité propone que los Estados tal vez deseen solicitar asistencia técnica al UNICEF y a la UNESCO, entre otros, acerca de la sensibilización, la educación del público y la capacitación para promover enfoques no violentos.</w:t>
      </w:r>
    </w:p>
    <w:p w:rsidR="00000000" w:rsidRDefault="00000000">
      <w:pPr>
        <w:spacing w:after="240"/>
        <w:rPr>
          <w:b/>
          <w:bCs/>
        </w:rPr>
      </w:pPr>
      <w:r>
        <w:rPr>
          <w:b/>
          <w:bCs/>
        </w:rPr>
        <w:t>4.</w:t>
      </w:r>
      <w:r>
        <w:rPr>
          <w:b/>
          <w:bCs/>
        </w:rPr>
        <w:tab/>
        <w:t>Vigilancia y evaluación</w:t>
      </w:r>
    </w:p>
    <w:p w:rsidR="00000000" w:rsidRDefault="00000000">
      <w:pPr>
        <w:spacing w:after="240"/>
      </w:pPr>
      <w:r>
        <w:t>50.</w:t>
      </w:r>
      <w:r>
        <w:tab/>
        <w:t>El Comité, en su Observación general Nº 5 sobre "Medidas generales de aplicación de la Convención sobre los Derechos del Niño (artículos 4 y 42, y párrafo 6 del artículo 44)", se destaca la necesidad de una vigilancia sistemática por los Estados Partes del ejercicio de los derechos del niño mediante la elaboración de indicadores apropiados y la reunión de datos suficientes y fiables</w:t>
      </w:r>
      <w:r>
        <w:rPr>
          <w:rStyle w:val="FootnoteReference"/>
        </w:rPr>
        <w:footnoteReference w:id="18"/>
      </w:r>
      <w:r>
        <w:t>.</w:t>
      </w:r>
    </w:p>
    <w:p w:rsidR="00000000" w:rsidRDefault="00000000">
      <w:pPr>
        <w:spacing w:after="240"/>
      </w:pPr>
      <w:r>
        <w:t>51.</w:t>
      </w:r>
      <w:r>
        <w:tab/>
        <w:t>Por consiguiente, los Estados Partes deberían vigilar sus progresos en la eliminación de los castigos corporales y de otras formas de castigo crueles o degradantes, y llevar a efecto de esa manera el derecho de los niños a la protección.  La investigación mediante entrevistas con los niños, sus padres y otros cuidadores, en condiciones de confidencialidad y con las salvaguardias éticas apropiadas, reviste importancia fundamental para evaluar exactamente la prevalencia de esas formas de violencia dentro de la familia y las actitudes hacia ellas.  El Comité alienta a los Estados a que realicen o encarguen esas investigaciones, en lo posible con grupos representativos de toda la población, a fin de disponer de información de referencia y medir entonces a intervalos regulares los progresos realizados.  Los resultados de esas investigaciones pueden servir de valiosa orientación para la preparación de campañas de sensibilización universales y específicas y para la capacitación de los profesionales que trabajan con los niños o para ellos.</w:t>
      </w:r>
    </w:p>
    <w:p w:rsidR="00000000" w:rsidRDefault="00000000">
      <w:pPr>
        <w:spacing w:after="480"/>
      </w:pPr>
      <w:r>
        <w:t>52.</w:t>
      </w:r>
      <w:r>
        <w:tab/>
        <w:t>El Comité subraya también en la Observación general Nº 5 la importancia de que exista una vigilancia independiente de los progresos logrados en la aplicación por parte, por ejemplo, de los comités parlamentarios, las ONG, las instituciones académicas, las asociaciones profesionales, los grupos de jóvenes y las instituciones independientes que se ocupan de los derechos humanos (véase también la Observación general Nº 2 del Comité titulada "El papel de las instituciones nacionales independientes de derechos humanos en la promoción y protección de los derechos del niño"</w:t>
      </w:r>
      <w:r>
        <w:rPr>
          <w:rStyle w:val="FootnoteReference"/>
        </w:rPr>
        <w:footnoteReference w:id="19"/>
      </w:r>
      <w:r>
        <w:t>).  Todos ellos podrían desempeñar una función importante en la vigilancia del ejercicio del derecho de los niños a la protección contra todos los castigos corporales y otras formas de castigo crueles o degradantes.</w:t>
      </w:r>
    </w:p>
    <w:p w:rsidR="00000000" w:rsidRDefault="00000000">
      <w:pPr>
        <w:spacing w:after="240"/>
        <w:ind w:left="284" w:hanging="284"/>
        <w:jc w:val="center"/>
        <w:rPr>
          <w:b/>
          <w:bCs/>
        </w:rPr>
      </w:pPr>
      <w:r>
        <w:rPr>
          <w:b/>
          <w:bCs/>
        </w:rPr>
        <w:t xml:space="preserve">VI.  REQUISITOS RELATIVOS A LA PRESENTACIÓN DE INFORMES </w:t>
      </w:r>
      <w:r>
        <w:rPr>
          <w:b/>
          <w:bCs/>
        </w:rPr>
        <w:br/>
        <w:t>CON ARREGLO A LA CONVENCIÓN</w:t>
      </w:r>
    </w:p>
    <w:p w:rsidR="00000000" w:rsidRDefault="00000000">
      <w:pPr>
        <w:spacing w:after="240"/>
      </w:pPr>
      <w:r>
        <w:t>53.</w:t>
      </w:r>
      <w:r>
        <w:tab/>
        <w:t>El Comité espera que los Estados incluyan en sus informes periódicos presentados con arreglo a la Convención información sobre las medidas adoptadas para prohibir y prevenir todos los castigos corporales y otras formas de castigo crueles o degradantes en la familia y en todos los demás entornos, con inclusión de las actividades conexas de sensibilización y la promoción de relaciones positivas y no violentas, y sobre la evaluación por parte del Estado de los progresos realizados en la consecución del pleno respeto de los derechos del niño a la protección contra toda forma de violencia.  El Comité también alienta a los organismos de las Naciones Unidas, las instituciones nacionales de derechos humanos, las ONG y otros órganos competentes a que le faciliten información pertinente sobre la situación legal y la prevalencia de los castigos corporales y los progresos realizados para su eliminación.</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footnoteRef/>
      </w:r>
      <w:r>
        <w:t xml:space="preserve"> Estudio del Secretario General de las Naciones Unidas sobre la violencia contra los niños, que deberá presentar a la Asamblea General de las Naciones Unidas en el otoño de 2006.  Pueden obtenerse más detalles en la siguiente dirección:  </w:t>
      </w:r>
      <w:r>
        <w:rPr>
          <w:u w:val="single"/>
        </w:rPr>
        <w:t>http://www.violencestudy.org</w:t>
      </w:r>
      <w:r>
        <w:t>.</w:t>
      </w:r>
    </w:p>
  </w:footnote>
  <w:footnote w:id="2">
    <w:p w:rsidR="00000000" w:rsidRDefault="00000000">
      <w:pPr>
        <w:pStyle w:val="FootnoteText"/>
        <w:spacing w:line="240" w:lineRule="auto"/>
      </w:pPr>
      <w:r>
        <w:rPr>
          <w:rStyle w:val="FootnoteReference"/>
        </w:rPr>
        <w:footnoteRef/>
      </w:r>
      <w:r>
        <w:t xml:space="preserve"> Comité de los Derechos del Niño, informe sobre el cuarto período de sesiones, 25 de octubre de 1993, CRC/C/20, párr. 176.</w:t>
      </w:r>
    </w:p>
  </w:footnote>
  <w:footnote w:id="3">
    <w:p w:rsidR="00000000" w:rsidRDefault="00000000">
      <w:pPr>
        <w:pStyle w:val="FootnoteText"/>
        <w:spacing w:line="240" w:lineRule="auto"/>
        <w:rPr>
          <w:u w:val="single"/>
        </w:rPr>
      </w:pPr>
      <w:r>
        <w:rPr>
          <w:rStyle w:val="FootnoteReference"/>
        </w:rPr>
        <w:footnoteRef/>
      </w:r>
      <w:r>
        <w:t xml:space="preserve"> Todas las observaciones finales del Comité pueden consultarse en la siguiente dirección:  </w:t>
      </w:r>
      <w:r>
        <w:rPr>
          <w:u w:val="single"/>
        </w:rPr>
        <w:t>www.ohchr.org/spanish/bodies/crc/index.htm</w:t>
      </w:r>
      <w:r>
        <w:t>.</w:t>
      </w:r>
    </w:p>
  </w:footnote>
  <w:footnote w:id="4">
    <w:p w:rsidR="00000000" w:rsidRDefault="00000000">
      <w:pPr>
        <w:pStyle w:val="FootnoteText"/>
        <w:spacing w:line="240" w:lineRule="auto"/>
      </w:pPr>
      <w:r>
        <w:rPr>
          <w:rStyle w:val="FootnoteReference"/>
        </w:rPr>
        <w:footnoteRef/>
      </w:r>
      <w:r>
        <w:t xml:space="preserve"> En la Iniciativa Global para Acabar con todo Castigo Corporal hacia niños y niñas figuran informes sobre la situación jurídica del castigo corporal.  Véase el sitio </w:t>
      </w:r>
      <w:r>
        <w:rPr>
          <w:u w:val="single"/>
        </w:rPr>
        <w:t>www.acabarcastigo.org</w:t>
      </w:r>
      <w:r>
        <w:t>.</w:t>
      </w:r>
    </w:p>
  </w:footnote>
  <w:footnote w:id="5">
    <w:p w:rsidR="00000000" w:rsidRDefault="00000000">
      <w:pPr>
        <w:pStyle w:val="FootnoteText"/>
        <w:spacing w:line="240" w:lineRule="auto"/>
      </w:pPr>
      <w:r>
        <w:rPr>
          <w:rStyle w:val="FootnoteReference"/>
        </w:rPr>
        <w:footnoteRef/>
      </w:r>
      <w:r>
        <w:t xml:space="preserve"> Comité de los Derechos del Niño, día de debate general sobre la violencia estatal contra los niños.  Informe sobre el 25º período de sesiones, septiembre/octubre de 2000, CRC/C/100, párrs. 666 a 688.</w:t>
      </w:r>
    </w:p>
  </w:footnote>
  <w:footnote w:id="6">
    <w:p w:rsidR="00000000" w:rsidRDefault="00000000">
      <w:pPr>
        <w:pStyle w:val="FootnoteText"/>
        <w:spacing w:line="240" w:lineRule="auto"/>
      </w:pPr>
      <w:r>
        <w:rPr>
          <w:rStyle w:val="FootnoteReference"/>
        </w:rPr>
        <w:footnoteRef/>
      </w:r>
      <w:r>
        <w:t xml:space="preserve"> Comité de los Derechos del Niño, Observación general Nº 1, Propósitos de la educación, 17 de abril de 2001, CRC/GC/2001/1, párr. 8.</w:t>
      </w:r>
    </w:p>
  </w:footnote>
  <w:footnote w:id="7">
    <w:p w:rsidR="00000000" w:rsidRDefault="00000000">
      <w:pPr>
        <w:pStyle w:val="FootnoteText"/>
        <w:spacing w:line="240" w:lineRule="auto"/>
      </w:pPr>
      <w:r>
        <w:rPr>
          <w:rStyle w:val="FootnoteReference"/>
        </w:rPr>
        <w:footnoteRef/>
      </w:r>
      <w:r>
        <w:t xml:space="preserve"> Comité de los Derechos del Niño, día de debate general sobre "La violencia contra los niños en la familia y en las escuelas", informe sobre el 28º período de sesiones, septiembre/octubre de 2001, CTC/C/111, párrs. 701 a 745.</w:t>
      </w:r>
    </w:p>
  </w:footnote>
  <w:footnote w:id="8">
    <w:p w:rsidR="00000000" w:rsidRDefault="00000000">
      <w:pPr>
        <w:pStyle w:val="FootnoteText"/>
        <w:spacing w:line="240" w:lineRule="auto"/>
      </w:pPr>
      <w:r>
        <w:rPr>
          <w:rStyle w:val="FootnoteReference"/>
        </w:rPr>
        <w:footnoteRef/>
      </w:r>
      <w:r>
        <w:t xml:space="preserve"> Resolución 56/138 de la Asamblea General.</w:t>
      </w:r>
    </w:p>
  </w:footnote>
  <w:footnote w:id="9">
    <w:p w:rsidR="00000000" w:rsidRDefault="00000000">
      <w:pPr>
        <w:pStyle w:val="FootnoteText"/>
        <w:spacing w:line="240" w:lineRule="auto"/>
      </w:pPr>
      <w:r>
        <w:rPr>
          <w:rStyle w:val="FootnoteReference"/>
        </w:rPr>
        <w:footnoteRef/>
      </w:r>
      <w:r>
        <w:t xml:space="preserve"> Art. 1.</w:t>
      </w:r>
    </w:p>
  </w:footnote>
  <w:footnote w:id="10">
    <w:p w:rsidR="00000000" w:rsidRDefault="00000000">
      <w:pPr>
        <w:pStyle w:val="FootnoteText"/>
        <w:spacing w:line="240" w:lineRule="auto"/>
      </w:pPr>
      <w:r>
        <w:rPr>
          <w:rStyle w:val="FootnoteReference"/>
        </w:rPr>
        <w:footnoteRef/>
      </w:r>
      <w:r>
        <w:t xml:space="preserve"> Comité de Derechos Económicos, Sociales y Culturales, Observación general Nº 13, El derecho a la educación (art. 13), 1999, párr. 41.</w:t>
      </w:r>
    </w:p>
  </w:footnote>
  <w:footnote w:id="11">
    <w:p w:rsidR="00000000" w:rsidRDefault="00000000">
      <w:pPr>
        <w:pStyle w:val="FootnoteText"/>
        <w:spacing w:line="240" w:lineRule="auto"/>
      </w:pPr>
      <w:r>
        <w:rPr>
          <w:rStyle w:val="FootnoteReference"/>
        </w:rPr>
        <w:footnoteRef/>
      </w:r>
      <w:r>
        <w:t xml:space="preserve"> Los castigos corporales fueron condenados en una serie de decisiones de la Comisión Europea de Derechos Humanos y fallos del Tribunal Europeo de Derechos Humanos; véanse en particular las causas </w:t>
      </w:r>
      <w:r>
        <w:rPr>
          <w:i/>
          <w:iCs/>
        </w:rPr>
        <w:t>Tyrer c. el Reino Unido, 1978</w:t>
      </w:r>
      <w:r>
        <w:t xml:space="preserve">; </w:t>
      </w:r>
      <w:r>
        <w:rPr>
          <w:i/>
          <w:iCs/>
        </w:rPr>
        <w:t>Campbell y Cosans c. el Reino Unido, 1982</w:t>
      </w:r>
      <w:r>
        <w:t>;</w:t>
      </w:r>
      <w:r>
        <w:rPr>
          <w:i/>
          <w:iCs/>
        </w:rPr>
        <w:t xml:space="preserve"> Costello</w:t>
      </w:r>
      <w:r>
        <w:rPr>
          <w:i/>
          <w:iCs/>
        </w:rPr>
        <w:noBreakHyphen/>
        <w:t>Roberts c. el Reino Unido, 1993</w:t>
      </w:r>
      <w:r>
        <w:t>;</w:t>
      </w:r>
      <w:r>
        <w:rPr>
          <w:i/>
          <w:iCs/>
        </w:rPr>
        <w:t xml:space="preserve"> A. c. el Reino Unido, 1998.</w:t>
      </w:r>
      <w:r>
        <w:t xml:space="preserve"> Los fallos del Tribunal Europeo se encuentran en el sitio </w:t>
      </w:r>
      <w:r>
        <w:rPr>
          <w:u w:val="single"/>
        </w:rPr>
        <w:t>http://www.echr.coe.int/echr</w:t>
      </w:r>
      <w:r>
        <w:t>.</w:t>
      </w:r>
    </w:p>
  </w:footnote>
  <w:footnote w:id="12">
    <w:p w:rsidR="00000000" w:rsidRDefault="00000000">
      <w:pPr>
        <w:pStyle w:val="FootnoteText"/>
        <w:spacing w:line="240" w:lineRule="auto"/>
      </w:pPr>
      <w:r>
        <w:rPr>
          <w:rStyle w:val="FootnoteReference"/>
        </w:rPr>
        <w:footnoteRef/>
      </w:r>
      <w:r>
        <w:t xml:space="preserve"> Comité Europeo de Derechos Sociales, observaciones generales relativas al párrafo 10 del artículo 7 y el artículo 17.  </w:t>
      </w:r>
      <w:r>
        <w:rPr>
          <w:i/>
          <w:iCs/>
        </w:rPr>
        <w:t>Conclusiones XV-2</w:t>
      </w:r>
      <w:r>
        <w:t xml:space="preserve">, vol. 1, Introducción general, pág. 26, 2001; el Comité ha publicado desde entonces conclusiones, observando el incumplimiento por parte de varios Estados miembros debido a que no han prohibido todos los castigos corporales en la familia y en otros entornos.  En 2005 publicó decisiones sobre las denuncias colectivas presentadas en virtud de las cartas, observando el incumplimiento de tres Estados por no haber prohibido esas prácticas.  Puede obtenerse información más detallada en la siguiente dirección:  </w:t>
      </w:r>
      <w:r>
        <w:rPr>
          <w:u w:val="single"/>
        </w:rPr>
        <w:t>http://www.coe.int/T/E/Human_Rights/Esc/</w:t>
      </w:r>
      <w:r>
        <w:t xml:space="preserve">; véase también </w:t>
      </w:r>
      <w:r>
        <w:rPr>
          <w:i/>
          <w:iCs/>
        </w:rPr>
        <w:t>Eliminating corporal punishment:  a human rights imperative for Europe´s children</w:t>
      </w:r>
      <w:r>
        <w:t>, Council of Europe Publishing, 2005.</w:t>
      </w:r>
    </w:p>
  </w:footnote>
  <w:footnote w:id="13">
    <w:p w:rsidR="00000000" w:rsidRDefault="00000000">
      <w:pPr>
        <w:pStyle w:val="FootnoteText"/>
        <w:spacing w:line="240" w:lineRule="auto"/>
      </w:pPr>
      <w:r>
        <w:rPr>
          <w:rStyle w:val="FootnoteReference"/>
        </w:rPr>
        <w:footnoteRef/>
      </w:r>
      <w:r>
        <w:t xml:space="preserve"> Corte Interamericana de Derechos Humanos, opinión consultiva OC-17/2002 de 28 de agosto de 2002, párrs. 87 y 91.</w:t>
      </w:r>
    </w:p>
  </w:footnote>
  <w:footnote w:id="14">
    <w:p w:rsidR="00000000" w:rsidRDefault="00000000">
      <w:pPr>
        <w:pStyle w:val="FootnoteText"/>
        <w:spacing w:line="240" w:lineRule="auto"/>
      </w:pPr>
      <w:r>
        <w:rPr>
          <w:rStyle w:val="FootnoteReference"/>
        </w:rPr>
        <w:footnoteRef/>
      </w:r>
      <w:r>
        <w:t xml:space="preserve"> Comisión Africana de Derechos Humanos y de los Pueblos, </w:t>
      </w:r>
      <w:r>
        <w:rPr>
          <w:i/>
          <w:iCs/>
        </w:rPr>
        <w:t>Curtis Francis Doebbler c. el Sudán</w:t>
      </w:r>
      <w:r>
        <w:t>, comunicación Nº 236/2000 (2003); véase párr. 42.</w:t>
      </w:r>
    </w:p>
  </w:footnote>
  <w:footnote w:id="15">
    <w:p w:rsidR="00000000" w:rsidRDefault="00000000">
      <w:pPr>
        <w:pStyle w:val="FootnoteText"/>
        <w:keepLines/>
        <w:spacing w:line="240" w:lineRule="auto"/>
      </w:pPr>
      <w:r>
        <w:rPr>
          <w:rStyle w:val="FootnoteReference"/>
        </w:rPr>
        <w:footnoteRef/>
      </w:r>
      <w:r>
        <w:t xml:space="preserve"> Por ejemplo, en 2002, el Tribunal de Apelación de Fiji declaró inconstitucional el castigo corporal en las escuelas y en el sistema penitenciario.  En su resolución declaró lo siguiente:  "Los niños tienen derechos en nada inferiores a los derechos de los adultos.  Fiji ha ratificado la Convención sobre los Derechos del Niño.  Nuestra Constitución también garantiza los derechos fundamentales a toda persona.  El Gobierno tiene que cumplir los principios que respetan los derechos de todas las personas, comunidades y grupos.  Debido a su condición, los niños necesitan una protección especial.  Nuestras instituciones docentes deberían ser santuarios de paz y de enriquecimiento creativo, no lugares de miedo, malos tratos y desprecio de la dignidad humana de los estudiantes" (Tribunal de Apelación de Fiji, </w:t>
      </w:r>
      <w:r>
        <w:rPr>
          <w:i/>
          <w:iCs/>
        </w:rPr>
        <w:t>Naushad Ali c. el Estado</w:t>
      </w:r>
      <w:r>
        <w:t xml:space="preserve">, 2002).  En 1996, el Tribunal más alto de Italia, el Tribunal de Casación de Roma, dictó un fallo prohibiendo a los padres el recurso al castigo corporal.  En el fallo se declara:  "...el uso de la violencia para fines educativos no puede seguir considerándose legal.  Hay dos razones para ello:  la primera es la importancia primordial que el sistema jurídico [italiano] atribuye a la protección de la dignidad de la persona.  Ésta comprende a los "menores" que ahora ostentan derechos y ya no son simplemente objetos que deben ser protegidos por sus padres o, peor aún, objetos a disposición de sus padres.  La segunda razón es que, como objetivo educativo, el desarrollo armonioso de la personalidad del niño, que garantiza su aceptación de los valores de la paz, la tolerancia y la coexistencia, no puede lograrse mediante el uso de medios violentos que contradicen esos objetivos" (Cambria, Cass, sez. VI, 18 de marzo [Tribunal de Casación, sección penal, 18 de marzo de 1996], Foro It II 1996, 407 (Italia)).  Véase también la información del Tribunal Constitucional de Sudáfrica (2000) </w:t>
      </w:r>
      <w:r>
        <w:rPr>
          <w:i/>
          <w:iCs/>
        </w:rPr>
        <w:t>Christian Education South Africa c. Ministro de Educación,</w:t>
      </w:r>
      <w:r>
        <w:t xml:space="preserve"> CCT4/00; 2000(4)SA757 (CC); 2000(10) BCLR 1051 (CC), 18 de agosto de 2000.</w:t>
      </w:r>
    </w:p>
  </w:footnote>
  <w:footnote w:id="16">
    <w:p w:rsidR="00000000" w:rsidRDefault="00000000">
      <w:pPr>
        <w:pStyle w:val="FootnoteText"/>
        <w:spacing w:line="240" w:lineRule="auto"/>
      </w:pPr>
      <w:r>
        <w:rPr>
          <w:rStyle w:val="FootnoteReference"/>
        </w:rPr>
        <w:footnoteRef/>
      </w:r>
      <w:r>
        <w:t xml:space="preserve"> Véase la nota Nº 11.</w:t>
      </w:r>
    </w:p>
  </w:footnote>
  <w:footnote w:id="17">
    <w:p w:rsidR="00000000" w:rsidRDefault="00000000">
      <w:pPr>
        <w:pStyle w:val="FootnoteText"/>
        <w:spacing w:line="240" w:lineRule="auto"/>
      </w:pPr>
      <w:r>
        <w:rPr>
          <w:rStyle w:val="FootnoteReference"/>
        </w:rPr>
        <w:footnoteRef/>
      </w:r>
      <w:r>
        <w:t xml:space="preserve"> El Comité elogia, como ejemplo, el manual de la UNESCO titulado </w:t>
      </w:r>
      <w:r>
        <w:rPr>
          <w:i/>
          <w:iCs/>
        </w:rPr>
        <w:t>Eliminating corporal punishment:  the way forward to constructive child discipline</w:t>
      </w:r>
      <w:r>
        <w:t>, UNESCO Publishing, París, 2005.  En el manual se ofrece un conjunto de principios para una disciplina constructiva, que se basan en la Convención.  También figuran referencias a materiales y programas disponibles en todo el mundo a través de Internet.</w:t>
      </w:r>
    </w:p>
  </w:footnote>
  <w:footnote w:id="18">
    <w:p w:rsidR="00000000" w:rsidRDefault="00000000">
      <w:pPr>
        <w:pStyle w:val="FootnoteText"/>
        <w:spacing w:line="240" w:lineRule="auto"/>
      </w:pPr>
      <w:r>
        <w:rPr>
          <w:rStyle w:val="FootnoteReference"/>
        </w:rPr>
        <w:footnoteRef/>
      </w:r>
      <w:r>
        <w:t xml:space="preserve"> Comité de los Derechos del Niño, Observación general Nº 5 (2003), "Medidas generales de aplicación de la Convención sobre los Derechos del Niño", párr. 2.</w:t>
      </w:r>
    </w:p>
  </w:footnote>
  <w:footnote w:id="19">
    <w:p w:rsidR="00000000" w:rsidRDefault="00000000">
      <w:pPr>
        <w:pStyle w:val="FootnoteText"/>
        <w:spacing w:line="240" w:lineRule="auto"/>
      </w:pPr>
      <w:r>
        <w:rPr>
          <w:rStyle w:val="FootnoteReference"/>
        </w:rPr>
        <w:footnoteRef/>
      </w:r>
      <w:r>
        <w:t xml:space="preserve"> Comité de los Derechos del Niño, Observación general Nº 2 (2002) sobre "El papel de las instituciones nacionales independientes de derechos humanos en la promoción y protección de los derechos del niño".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CRC/C/GC/8</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8040"/>
      </w:tabs>
      <w:rPr>
        <w:lang w:val="en-GB"/>
      </w:rPr>
    </w:pPr>
    <w:r>
      <w:tab/>
    </w:r>
    <w:r>
      <w:rPr>
        <w:lang w:val="en-GB"/>
      </w:rPr>
      <w:t>CRC/C/GC/8</w:t>
    </w:r>
  </w:p>
  <w:p w:rsidR="00000000" w:rsidRDefault="00000000">
    <w:pPr>
      <w:tabs>
        <w:tab w:val="left" w:pos="8040"/>
      </w:tabs>
    </w:pPr>
    <w:r>
      <w:rPr>
        <w:lang w:val="en-GB"/>
      </w:rPr>
      <w:tab/>
    </w:r>
    <w:r>
      <w:t xml:space="preserve">página </w:t>
    </w:r>
    <w:r>
      <w:fldChar w:fldCharType="begin"/>
    </w:r>
    <w:r>
      <w:instrText xml:space="preserve"> PAGE  \* MERGEFORMAT </w:instrText>
    </w:r>
    <w:r>
      <w:fldChar w:fldCharType="separate"/>
    </w:r>
    <w:r>
      <w:rPr>
        <w:noProof/>
      </w:rPr>
      <w:t>15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16</Pages>
  <Words>6358</Words>
  <Characters>36244</Characters>
  <Application>Microsoft Office Word</Application>
  <DocSecurity>4</DocSecurity>
  <Lines>302</Lines>
  <Paragraphs>72</Paragraphs>
  <ScaleCrop>false</ScaleCrop>
  <HeadingPairs>
    <vt:vector size="2" baseType="variant">
      <vt:variant>
        <vt:lpstr>Título</vt:lpstr>
      </vt:variant>
      <vt:variant>
        <vt:i4>1</vt:i4>
      </vt:variant>
    </vt:vector>
  </HeadingPairs>
  <TitlesOfParts>
    <vt:vector size="1" baseType="lpstr">
      <vt:lpstr>CRC/C/GC/8</vt:lpstr>
    </vt:vector>
  </TitlesOfParts>
  <Company>ONU</Company>
  <LinksUpToDate>false</LinksUpToDate>
  <CharactersWithSpaces>44510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CRC/C/GC/8</dc:title>
  <dc:subject>06-43915</dc:subject>
  <dc:creator>Ruth</dc:creator>
  <cp:keywords/>
  <dc:description/>
  <cp:lastModifiedBy>CSD</cp:lastModifiedBy>
  <cp:revision>2</cp:revision>
  <cp:lastPrinted>2006-09-06T07:08:00Z</cp:lastPrinted>
  <dcterms:created xsi:type="dcterms:W3CDTF">2006-09-06T04:29:00Z</dcterms:created>
  <dcterms:modified xsi:type="dcterms:W3CDTF">2006-09-06T04:29:00Z</dcterms:modified>
</cp:coreProperties>
</file>