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t>45035</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161204    161204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22579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rPr>
            </w:pPr>
            <w:r>
              <w:rPr>
                <w:sz w:val="22"/>
              </w:rPr>
              <w:t>СС</w:t>
            </w:r>
            <w:r>
              <w:rPr>
                <w:sz w:val="22"/>
                <w:lang w:val="en-US"/>
              </w:rPr>
              <w:t>PR</w:t>
            </w:r>
            <w:r>
              <w:rPr>
                <w:sz w:val="22"/>
              </w:rPr>
              <w:t>/С/83/L/UZB</w:t>
            </w: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end"/>
            </w:r>
          </w:p>
          <w:p w:rsidR="00000000" w:rsidRDefault="00000000">
            <w:pPr>
              <w:spacing w:line="240" w:lineRule="auto"/>
              <w:rPr>
                <w:sz w:val="22"/>
              </w:rPr>
            </w:pPr>
            <w:r>
              <w:rPr>
                <w:sz w:val="22"/>
                <w:lang w:val="en-US"/>
              </w:rPr>
              <w:t>2 December 2004</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r>
        <w:t>КОМИТЕТ ПО ПРАВАМ ЧЕЛОВЕКА</w:t>
      </w:r>
    </w:p>
    <w:p w:rsidR="00000000" w:rsidRDefault="00000000">
      <w:r>
        <w:t>Восемьдесят вторая сессия</w:t>
      </w:r>
    </w:p>
    <w:p w:rsidR="00000000" w:rsidRDefault="00000000">
      <w:pPr>
        <w:rPr>
          <w:lang w:val="en-US"/>
        </w:rPr>
      </w:pPr>
    </w:p>
    <w:p w:rsidR="00000000" w:rsidRDefault="00000000">
      <w:pPr>
        <w:rPr>
          <w:lang w:val="en-US"/>
        </w:rPr>
      </w:pPr>
    </w:p>
    <w:p w:rsidR="00000000" w:rsidRDefault="00000000">
      <w:pPr>
        <w:jc w:val="center"/>
        <w:rPr>
          <w:b/>
          <w:bCs/>
        </w:rPr>
      </w:pPr>
      <w:r>
        <w:rPr>
          <w:b/>
          <w:bCs/>
        </w:rPr>
        <w:t>Перечень вопросов, подлежащих обсуждению в связи с рассмотрением второго периодического доклада Узбекистана (ССPR/C/UZB/2004/2)</w:t>
      </w:r>
    </w:p>
    <w:p w:rsidR="00000000" w:rsidRDefault="00000000">
      <w:pPr>
        <w:jc w:val="center"/>
        <w:rPr>
          <w:b/>
          <w:bCs/>
        </w:rPr>
      </w:pPr>
    </w:p>
    <w:p w:rsidR="00000000" w:rsidRDefault="00000000">
      <w:pPr>
        <w:jc w:val="center"/>
        <w:rPr>
          <w:b/>
          <w:bCs/>
        </w:rPr>
      </w:pPr>
      <w:r>
        <w:rPr>
          <w:b/>
          <w:bCs/>
        </w:rPr>
        <w:t>Конституционные и правовые рамки реализации Пакта.  Право на эффективное средство правовой защиты (статья 2)</w:t>
      </w:r>
    </w:p>
    <w:p w:rsidR="00000000" w:rsidRDefault="00000000">
      <w:pPr>
        <w:jc w:val="center"/>
        <w:rPr>
          <w:b/>
          <w:bCs/>
        </w:rPr>
      </w:pPr>
    </w:p>
    <w:p w:rsidR="00000000" w:rsidRDefault="00000000">
      <w:r>
        <w:t>1.</w:t>
      </w:r>
      <w:r>
        <w:tab/>
        <w:t>Просьба указать, какие существуют процедуры реализации Соображений Комитета по Факультативному протоколу.  Просьба указать, какие конкретные действия были предприняты для обеспечения учета Соображений, утвержденных Комитетом в отношении государства-участника в 2004 году.</w:t>
      </w:r>
    </w:p>
    <w:p w:rsidR="00000000" w:rsidRDefault="00000000"/>
    <w:p w:rsidR="00000000" w:rsidRDefault="00000000">
      <w:r>
        <w:t>2.</w:t>
      </w:r>
      <w:r>
        <w:tab/>
        <w:t xml:space="preserve">Согласно имеющейся в Комитете информации, большое число лиц, приговоренных к смертной казни, были казнены, несмотря на то, что они обратились в Комитет в соответствии с положениями Факультативного протокола, и в их отношении Комитет выразил просьбу согласно правилу 86 своих Правил процедуры не приводить в исполнение приговор о смертной казни, пока их дела рассматриваются Комитетом.  Просьба предоставить полную и обновленную информацию относительно нынешнего положения всех находящихся в заключении лиц, приговоренных к смертной казни, чьи сообщения рассматриваются Комитетом.  Просьба предоставить информацию о мерах, принятых государством-участником, с тем чтобы не допустить подобные случаи приведения в исполнение приговоров о смертной казни в будущем. </w:t>
      </w:r>
    </w:p>
    <w:p w:rsidR="00000000" w:rsidRDefault="00000000"/>
    <w:p w:rsidR="00000000" w:rsidRDefault="00000000">
      <w:pPr>
        <w:jc w:val="center"/>
        <w:rPr>
          <w:b/>
          <w:bCs/>
        </w:rPr>
      </w:pPr>
      <w:r>
        <w:rPr>
          <w:b/>
          <w:bCs/>
        </w:rPr>
        <w:t>Равенство полов и недискриминация (статьи 3 и 26)</w:t>
      </w:r>
    </w:p>
    <w:p w:rsidR="00000000" w:rsidRDefault="00000000">
      <w:pPr>
        <w:jc w:val="center"/>
        <w:rPr>
          <w:b/>
          <w:bCs/>
        </w:rPr>
      </w:pPr>
    </w:p>
    <w:p w:rsidR="00000000" w:rsidRDefault="00000000">
      <w:r>
        <w:t>3.</w:t>
      </w:r>
      <w:r>
        <w:tab/>
        <w:t>Какие меры государство-участник планирует принять с целью расширения участия женщин в политической жизни и повышения их доли среди лиц, занимающих официальные должности, в особенности на директивном уровне (СС</w:t>
      </w:r>
      <w:r>
        <w:rPr>
          <w:lang w:val="en-US"/>
        </w:rPr>
        <w:t>PR</w:t>
      </w:r>
      <w:r>
        <w:t>/</w:t>
      </w:r>
      <w:r>
        <w:rPr>
          <w:lang w:val="en-US"/>
        </w:rPr>
        <w:t>C</w:t>
      </w:r>
      <w:r>
        <w:t>/</w:t>
      </w:r>
      <w:r>
        <w:rPr>
          <w:lang w:val="en-US"/>
        </w:rPr>
        <w:t>UZB</w:t>
      </w:r>
      <w:r>
        <w:t>/2004/2, пункт 56, таблица 1)?</w:t>
      </w:r>
    </w:p>
    <w:p w:rsidR="00000000" w:rsidRDefault="00000000"/>
    <w:p w:rsidR="00000000" w:rsidRDefault="00000000">
      <w:r>
        <w:t>4.</w:t>
      </w:r>
      <w:r>
        <w:tab/>
        <w:t>Согласно располагаемой Комитетом информации, широко распространено насилие в семье в отношении женщин.  Какие существуют законодательные и защитные механизмы, которыми женщины могут воспользоваться непосредственно в связи с насилием в семье и жестоким обращением?  Каковы результаты реализации представленных по данному вопросу Комитетом рекомендаций после рассмотрения первоначального доклада государства-участника в 2001 году?</w:t>
      </w:r>
    </w:p>
    <w:p w:rsidR="00000000" w:rsidRDefault="00000000"/>
    <w:p w:rsidR="00000000" w:rsidRDefault="00000000">
      <w:pPr>
        <w:jc w:val="center"/>
        <w:rPr>
          <w:b/>
          <w:bCs/>
        </w:rPr>
      </w:pPr>
      <w:r>
        <w:rPr>
          <w:b/>
          <w:bCs/>
        </w:rPr>
        <w:t>Отступление от обязательств (статья 4)</w:t>
      </w:r>
    </w:p>
    <w:p w:rsidR="00000000" w:rsidRDefault="00000000">
      <w:pPr>
        <w:jc w:val="center"/>
        <w:rPr>
          <w:b/>
          <w:bCs/>
        </w:rPr>
      </w:pPr>
    </w:p>
    <w:p w:rsidR="00000000" w:rsidRDefault="00000000">
      <w:r>
        <w:t>5.</w:t>
      </w:r>
      <w:r>
        <w:tab/>
        <w:t xml:space="preserve">Просьба уточнить, каким образом законами государства-участника гарантируется требование о запрете отступлений от прав, перечисленных в пункте 2 статьи 4 Пакта, в случае объявления чрезвычайного положения (там же, пункт 61)? </w:t>
      </w:r>
    </w:p>
    <w:p w:rsidR="00000000" w:rsidRDefault="00000000"/>
    <w:p w:rsidR="00000000" w:rsidRDefault="00000000">
      <w:pPr>
        <w:jc w:val="center"/>
        <w:rPr>
          <w:b/>
          <w:bCs/>
        </w:rPr>
      </w:pPr>
      <w:r>
        <w:rPr>
          <w:b/>
          <w:bCs/>
        </w:rPr>
        <w:t>Право на жизнь (статья 6);  запрет пыток, обращение с заключенными и иными задержанными (статьи 7 и 10)</w:t>
      </w:r>
    </w:p>
    <w:p w:rsidR="00000000" w:rsidRDefault="00000000">
      <w:pPr>
        <w:jc w:val="center"/>
        <w:rPr>
          <w:b/>
          <w:bCs/>
        </w:rPr>
      </w:pPr>
    </w:p>
    <w:p w:rsidR="00000000" w:rsidRDefault="00000000">
      <w:r>
        <w:t>6.</w:t>
      </w:r>
      <w:r>
        <w:tab/>
        <w:t>Перечень преступлений, за совершение которых предусматривается наказание в виде смертной казни, со времени рассмотрения первоначального периодического доклада был сокращен (там же, пункты 68-72);  было ли соответствующим образом сокращено количество приведенных в исполнение приговоров о смертной казни?  Просьба представить конкретную информацию относительно количества приведенных в исполнение приговоров о смертной казни, числа заключенных, приговоренных к смертной казни, основания для их осуждения, а также число лиц, приговоренных к смертной казни, которым было смягчено наказание со времени рассмотрения первоначального доклада.</w:t>
      </w:r>
    </w:p>
    <w:p w:rsidR="00000000" w:rsidRDefault="00000000"/>
    <w:p w:rsidR="00000000" w:rsidRDefault="00000000">
      <w:r>
        <w:t>7.</w:t>
      </w:r>
      <w:r>
        <w:tab/>
        <w:t>Просьба объяснить, намеревается ли государство-участник изменить свою практику тайного приведения в исполнение приговоров о смертной казни без сообщения приговоренным лицам и членам их семей даты осуществления приговора и места захоронения казненных лиц.</w:t>
      </w:r>
    </w:p>
    <w:p w:rsidR="00000000" w:rsidRDefault="00000000"/>
    <w:p w:rsidR="00000000" w:rsidRDefault="00000000">
      <w:r>
        <w:t>8.</w:t>
      </w:r>
      <w:r>
        <w:tab/>
        <w:t xml:space="preserve">Имеются сообщения о случаях смерти заключенных в местах лишения свободы, а также о том, что в местах содержания под стражей люди умирают под пытками, которым их подвергают сотрудники правоохранительных органов.  Просьба указать меры, принятые с целью расследования подобных случаев, наказания виновных и выплаты компенсаций жертвам. </w:t>
      </w:r>
    </w:p>
    <w:p w:rsidR="00000000" w:rsidRDefault="00000000"/>
    <w:p w:rsidR="00000000" w:rsidRDefault="00000000">
      <w:r>
        <w:t>9.</w:t>
      </w:r>
      <w:r>
        <w:tab/>
        <w:t>В Комитет поступают многочисленные сообщения, в которых содержатся утверждения о совершаемых сотрудниками полиции и служб безопасности актах пыток.  Специальный докладчик по вопросу о пытках Комиссии по правам человека указал, что пытки и подобное жестокое обращение носят систематический характер.  Просьба предоставить статистические данные о количестве жалоб, поданных непосредственно в связи с утверждениями об актах пыток и жестоком обращении со стороны государственных должностных лиц, а также о расследованиях, уголовном преследовании и наказании соответствующих лиц (там же, пункты 90-92 и 197-198).</w:t>
      </w:r>
    </w:p>
    <w:p w:rsidR="00000000" w:rsidRDefault="00000000"/>
    <w:p w:rsidR="00000000" w:rsidRDefault="00000000">
      <w:r>
        <w:t>10.</w:t>
      </w:r>
      <w:r>
        <w:tab/>
        <w:t>Какие конкретные шаги приняты по итогам рекомендаций Специального докладчика по вопросу о пытках?  В частности, просьба представить детализированную информацию о конкретных законодательных и иных мерах, предусмотренных национальным планом по борьбе с пытками.  Каким образом в указанном плане обеспечивается, чтобы все случаи утверждений о пытках в будущем полностью расследовались независимым органом?</w:t>
      </w:r>
    </w:p>
    <w:p w:rsidR="00000000" w:rsidRDefault="00000000"/>
    <w:p w:rsidR="00000000" w:rsidRDefault="00000000">
      <w:r>
        <w:t>11.</w:t>
      </w:r>
      <w:r>
        <w:tab/>
        <w:t>Намеревается ли государство-участник принять нормы, прямо запрещающие высылку, принудительное возвращение или экстрадицию в государства, когда существуют убедительные основания полагать, что то или иное лицо может там подвергнуться пыткам (там же, пункт 170).  Какие были приняты меры в связи с рекомендацией Комитета в пункте 13 его заключительных замечаний по первоначальному докладу (</w:t>
      </w:r>
      <w:r>
        <w:rPr>
          <w:lang w:val="en-US"/>
        </w:rPr>
        <w:t>CCPR</w:t>
      </w:r>
      <w:r>
        <w:t>/</w:t>
      </w:r>
      <w:r>
        <w:rPr>
          <w:lang w:val="en-US"/>
        </w:rPr>
        <w:t>CO</w:t>
      </w:r>
      <w:r>
        <w:t>/71/</w:t>
      </w:r>
      <w:r>
        <w:rPr>
          <w:lang w:val="en-US"/>
        </w:rPr>
        <w:t>UZB</w:t>
      </w:r>
      <w:r>
        <w:t>)?</w:t>
      </w:r>
    </w:p>
    <w:p w:rsidR="00000000" w:rsidRDefault="00000000"/>
    <w:p w:rsidR="00000000" w:rsidRDefault="00000000">
      <w:r>
        <w:t>12.</w:t>
      </w:r>
      <w:r>
        <w:tab/>
        <w:t>Просьба представить подробную информацию относительно условий содержания в тюрьмах, в том числе об уровне гигиены, питания и медицинских услуг.  Каким образом государство-участник обеспечивает гуманное обращение с заключенными и уважение их человеческого достоинства в соответствии с Минимальными стандартными правилами обращения с заключенными?  В частности, просьба прокомментировать утверждения о том, что условия содержания в тюрьме Жаслык в Каракалпакстане по</w:t>
      </w:r>
      <w:r>
        <w:noBreakHyphen/>
        <w:t>прежнему остаются бесчеловечными, температура варьируется от -10</w:t>
      </w:r>
      <w:r>
        <w:rPr>
          <w:rFonts w:ascii="Arial" w:hAnsi="Arial" w:cs="Arial"/>
        </w:rPr>
        <w:t>°</w:t>
      </w:r>
      <w:r>
        <w:t>С в зимнее время до +50</w:t>
      </w:r>
      <w:r>
        <w:rPr>
          <w:rFonts w:ascii="Arial" w:hAnsi="Arial" w:cs="Arial"/>
        </w:rPr>
        <w:t>°</w:t>
      </w:r>
      <w:r>
        <w:t xml:space="preserve">С летом, а в 2002 году от пыток, совершавшихся сотрудниками тюрьмы, умерли двое заключенных.  </w:t>
      </w:r>
    </w:p>
    <w:p w:rsidR="00000000" w:rsidRDefault="00000000"/>
    <w:p w:rsidR="00000000" w:rsidRDefault="00000000">
      <w:pPr>
        <w:pStyle w:val="10"/>
        <w:rPr>
          <w:bCs/>
        </w:rPr>
      </w:pPr>
      <w:r>
        <w:rPr>
          <w:bCs/>
        </w:rPr>
        <w:t>Личная неприкосновенность и защита от произвольного ареста (статья 9)</w:t>
      </w:r>
    </w:p>
    <w:p w:rsidR="00000000" w:rsidRDefault="00000000">
      <w:pPr>
        <w:pStyle w:val="10"/>
        <w:rPr>
          <w:bCs/>
        </w:rPr>
      </w:pPr>
    </w:p>
    <w:p w:rsidR="00000000" w:rsidRDefault="00000000">
      <w:r>
        <w:t>13.</w:t>
      </w:r>
      <w:r>
        <w:tab/>
        <w:t>Какова нынешняя ситуация относительно предложений о сокращении продолжительности возможного содержания подозреваемых под стражей с 72 до 48 часов и относительно выведения пенитенциарной системы из-под контроля министерства внутренних дел (там же, пункт 126)?  Будет ли последнее применяться к центрам досудебного содержания и к исправительным колониям?</w:t>
      </w:r>
    </w:p>
    <w:p w:rsidR="00000000" w:rsidRDefault="00000000"/>
    <w:p w:rsidR="00000000" w:rsidRDefault="00000000">
      <w:r>
        <w:t>14.</w:t>
      </w:r>
      <w:r>
        <w:tab/>
        <w:t>Просьба представить дополнительную информацию относительно института хабеас корпус и сообщить о любых конкретных планах введения судебного надзора за содержанием под стражей (там же, пункт 132).</w:t>
      </w:r>
    </w:p>
    <w:p w:rsidR="00000000" w:rsidRDefault="00000000"/>
    <w:p w:rsidR="00000000" w:rsidRDefault="00000000">
      <w:pPr>
        <w:pStyle w:val="10"/>
        <w:rPr>
          <w:bCs/>
        </w:rPr>
      </w:pPr>
      <w:r>
        <w:rPr>
          <w:bCs/>
        </w:rPr>
        <w:t xml:space="preserve">Свобода передвижения и право покидать любую страну и возвращаться в нее </w:t>
      </w:r>
    </w:p>
    <w:p w:rsidR="00000000" w:rsidRDefault="00000000">
      <w:pPr>
        <w:jc w:val="center"/>
        <w:rPr>
          <w:b/>
          <w:bCs/>
        </w:rPr>
      </w:pPr>
      <w:r>
        <w:rPr>
          <w:b/>
          <w:bCs/>
        </w:rPr>
        <w:t>(статья 12)</w:t>
      </w:r>
    </w:p>
    <w:p w:rsidR="00000000" w:rsidRDefault="00000000">
      <w:pPr>
        <w:jc w:val="center"/>
        <w:rPr>
          <w:b/>
          <w:bCs/>
        </w:rPr>
      </w:pPr>
    </w:p>
    <w:p w:rsidR="00000000" w:rsidRDefault="00000000">
      <w:r>
        <w:t>15.</w:t>
      </w:r>
      <w:r>
        <w:tab/>
        <w:t xml:space="preserve">Просьба конкретизировать, каким образом требование о получении визы на выезд с целью покинуть страну считается совместимым с обязательством государства-участника по статье 12.  </w:t>
      </w:r>
    </w:p>
    <w:p w:rsidR="00000000" w:rsidRDefault="00000000"/>
    <w:p w:rsidR="00000000" w:rsidRDefault="00000000">
      <w:pPr>
        <w:pStyle w:val="10"/>
        <w:rPr>
          <w:bCs/>
        </w:rPr>
      </w:pPr>
      <w:r>
        <w:rPr>
          <w:bCs/>
        </w:rPr>
        <w:t>Невысылка иностранцев без судебных гарантий (статья 13)</w:t>
      </w:r>
    </w:p>
    <w:p w:rsidR="00000000" w:rsidRDefault="00000000">
      <w:pPr>
        <w:pStyle w:val="10"/>
        <w:rPr>
          <w:bCs/>
        </w:rPr>
      </w:pPr>
    </w:p>
    <w:p w:rsidR="00000000" w:rsidRDefault="00000000">
      <w:r>
        <w:t>16.</w:t>
      </w:r>
      <w:r>
        <w:tab/>
        <w:t>Просьба указать, какими средствами правовой защиты в соответствии с положениями статьи 13 Пакта обладают лица, которым угрожает насильственная высылка из Узбекистана на том основании, что они представляют собой опасность для безопасности государства или общественного порядка, либо на основаниях, связанных с терроризмом.</w:t>
      </w:r>
    </w:p>
    <w:p w:rsidR="00000000" w:rsidRDefault="00000000"/>
    <w:p w:rsidR="00000000" w:rsidRDefault="00000000">
      <w:pPr>
        <w:pStyle w:val="10"/>
        <w:rPr>
          <w:bCs/>
        </w:rPr>
      </w:pPr>
      <w:r>
        <w:rPr>
          <w:bCs/>
        </w:rPr>
        <w:t>Право на справедливое судебное разбирательство (статья 14)</w:t>
      </w:r>
    </w:p>
    <w:p w:rsidR="00000000" w:rsidRDefault="00000000">
      <w:pPr>
        <w:pStyle w:val="10"/>
        <w:rPr>
          <w:bCs/>
        </w:rPr>
      </w:pPr>
    </w:p>
    <w:p w:rsidR="00000000" w:rsidRDefault="00000000">
      <w:r>
        <w:t>17.</w:t>
      </w:r>
      <w:r>
        <w:tab/>
        <w:t>Судьи назначаются президентом на пятилетний срок с возможностью переизбрания.  Просьба предоставить комментарии относительно того, каким образом подобная практика считается совместимой с понятием независимости судебной власти и имеются ли какие-либо предложения о внесении в указанные положения изменений, как это рекомендовал Комитет в своих заключительных замечаниях по первоначальному докладу.</w:t>
      </w:r>
    </w:p>
    <w:p w:rsidR="00000000" w:rsidRDefault="00000000"/>
    <w:p w:rsidR="00000000" w:rsidRDefault="00000000">
      <w:r>
        <w:t>18.</w:t>
      </w:r>
      <w:r>
        <w:tab/>
        <w:t>Обвинение может прибегать к различным методам ведения следствия без необходимости получения предварительного разрешения судьи.  Адвокаты защиты располагают немногими средствами ведения расследования, если они вообще есть.  Просьба объяснить, каким образом указанное выше совместимо с принципом равенства состязательных возможностей, защищаемым положениями пункта 1 статьи 14 Пакта.</w:t>
      </w:r>
    </w:p>
    <w:p w:rsidR="00000000" w:rsidRDefault="00000000"/>
    <w:p w:rsidR="00000000" w:rsidRDefault="00000000">
      <w:r>
        <w:t>19.</w:t>
      </w:r>
      <w:r>
        <w:tab/>
        <w:t>Существуют шесть различных органов, в компетенцию которых входит борьба с терроризмом.  Просьба указать, какими гарантиями пользуются лица, подозреваемые в совершении связанных с терроризмом преступлений.  В какой момент после их ареста или задержания они предстают перед судьей либо иным должностным лицом, наделенным полномочиями по осуществлению судебной власти?  Надолго ли может быть продлен срок их задержания решением следователя, прокурора или судьи?  На какой стадии подобные лица могут воспользоваться институтом юридического представительства?</w:t>
      </w:r>
    </w:p>
    <w:p w:rsidR="00000000" w:rsidRDefault="00000000"/>
    <w:p w:rsidR="00000000" w:rsidRDefault="00000000">
      <w:r>
        <w:t>20.</w:t>
      </w:r>
      <w:r>
        <w:tab/>
        <w:t>Просьба предоставить дополнительную детализированную информацию относительно понятия терроризма, закрепленного в Законе о борьбе с терроризмом от 15 декабря 2000 года.  Каковы критерии, используемые для классификации действия как террористического акта, и какие суды имеют для этого соответствующие полномочия?</w:t>
      </w:r>
    </w:p>
    <w:p w:rsidR="00000000" w:rsidRDefault="00000000"/>
    <w:p w:rsidR="00000000" w:rsidRDefault="00000000">
      <w:r>
        <w:t>21.</w:t>
      </w:r>
      <w:r>
        <w:tab/>
        <w:t>По имеющейся у Комитета информации в рамках усилий по борьбе с терроризмом ряд лиц были признаны виновными на одном лишь основании признания, полученного под пытками во время содержания под стражей, и в этой связи в отношении иных лиц были вынесены приговоры в результате упрощенного судопроизводства:  какова нынешняя ситуация в данном отношении?</w:t>
      </w:r>
    </w:p>
    <w:p w:rsidR="00000000" w:rsidRDefault="00000000"/>
    <w:p w:rsidR="00000000" w:rsidRDefault="00000000">
      <w:pPr>
        <w:jc w:val="center"/>
        <w:rPr>
          <w:b/>
          <w:bCs/>
        </w:rPr>
      </w:pPr>
      <w:r>
        <w:rPr>
          <w:b/>
          <w:bCs/>
        </w:rPr>
        <w:t>Свобода религии (статья 18)</w:t>
      </w:r>
    </w:p>
    <w:p w:rsidR="00000000" w:rsidRDefault="00000000">
      <w:pPr>
        <w:jc w:val="center"/>
        <w:rPr>
          <w:b/>
          <w:bCs/>
        </w:rPr>
      </w:pPr>
    </w:p>
    <w:p w:rsidR="00000000" w:rsidRDefault="00000000">
      <w:r>
        <w:t>22.</w:t>
      </w:r>
      <w:r>
        <w:tab/>
        <w:t>Просьба сообщить, содержится в Законе о свободе совести и религиозных организациях требование о регистрации религиозных групп и конгрегаций и отправлении религиозных обрядов только зарегистрированными религиозными организациями.  Просьба предоставить информацию относительно все еще существующих критериев для регистрации и объяснить, каким образом любые подобные ограничения считаются совместимыми с положениями пункта 3 статьи 18.</w:t>
      </w:r>
    </w:p>
    <w:p w:rsidR="00000000" w:rsidRDefault="00000000"/>
    <w:p w:rsidR="00000000" w:rsidRDefault="00000000">
      <w:r>
        <w:t>23.</w:t>
      </w:r>
      <w:r>
        <w:tab/>
        <w:t>Просьба прокомментировать сообщения о том, что мусульмане, практикующие свою религию вне учреждений, находящихся под контролем правительства, подвергаются преследованиям со стороны властей и что около 6 000 человек были заключены в тюрьму за преступления, относящиеся к мирному выражению их религиозных убеждений.</w:t>
      </w:r>
    </w:p>
    <w:p w:rsidR="00000000" w:rsidRDefault="00000000"/>
    <w:p w:rsidR="00000000" w:rsidRDefault="00000000">
      <w:pPr>
        <w:jc w:val="center"/>
        <w:rPr>
          <w:b/>
          <w:bCs/>
        </w:rPr>
      </w:pPr>
      <w:r>
        <w:rPr>
          <w:b/>
          <w:bCs/>
        </w:rPr>
        <w:t>Свобода выражения мнений, собрания и ассоциаций (статьи 19, 21 и 22)</w:t>
      </w:r>
    </w:p>
    <w:p w:rsidR="00000000" w:rsidRDefault="00000000">
      <w:pPr>
        <w:jc w:val="center"/>
        <w:rPr>
          <w:b/>
          <w:bCs/>
        </w:rPr>
      </w:pPr>
    </w:p>
    <w:p w:rsidR="00000000" w:rsidRDefault="00000000">
      <w:r>
        <w:t>24.</w:t>
      </w:r>
      <w:r>
        <w:tab/>
        <w:t xml:space="preserve">Сообщается об осуществлении давления со стороны государственных должностных лиц на журналистов.  Просьба предоставить информацию о числе журналистов, которые были арестованы, в отношении которых велось судебное разбирательство, в отношении которых выдвигались обвинения или которые были приговорены к выплате штрафов либо к тюремному заключению в связи с их профессиональной деятельностью.  </w:t>
      </w:r>
    </w:p>
    <w:p w:rsidR="00000000" w:rsidRDefault="00000000"/>
    <w:p w:rsidR="00000000" w:rsidRDefault="00000000">
      <w:r>
        <w:t>25.</w:t>
      </w:r>
      <w:r>
        <w:tab/>
        <w:t>Просьба прокомментировать утверждения о том, что власти отказываются регистрировать политические партии и запугивают некоторых членов оппозиционных партий.  Пересмотрело ли государство-участник свои законы в отношении регистрации политических партий в соответствии с рекомендациями Комитета, высказанными в связи с рассмотрением первоначального доклада?</w:t>
      </w:r>
    </w:p>
    <w:p w:rsidR="00000000" w:rsidRDefault="00000000"/>
    <w:p w:rsidR="00000000" w:rsidRDefault="00000000">
      <w:r>
        <w:t>26.</w:t>
      </w:r>
      <w:r>
        <w:tab/>
        <w:t xml:space="preserve">Какие критерии применяются для регистрации неправительственных организаций?  Какой финансовый контроль и какие иные виды контроля осуществляются за деятельностью неправительственных организаций?  Просьба представить детализированную информацию относительно а)  числа неправительственных организаций, которым было отказано в регистрации, и основных причин такого отказа, и </w:t>
      </w:r>
      <w:r>
        <w:rPr>
          <w:lang w:val="en-US"/>
        </w:rPr>
        <w:t>b</w:t>
      </w:r>
      <w:r>
        <w:t>)  числа лиц, арестованных либо подвергнувшихся наказанию в этой связи.  Каков результат учета рекомендаций относительно неправительственных организаций, сформулированных Комитетом после рассмотрения первоначального доклада государства-участника в 2001 году?</w:t>
      </w:r>
    </w:p>
    <w:p w:rsidR="00000000" w:rsidRDefault="00000000"/>
    <w:p w:rsidR="00000000" w:rsidRDefault="00000000">
      <w:pPr>
        <w:jc w:val="center"/>
        <w:rPr>
          <w:b/>
          <w:bCs/>
        </w:rPr>
      </w:pPr>
      <w:r>
        <w:rPr>
          <w:b/>
          <w:bCs/>
        </w:rPr>
        <w:t>Права ребенка (статья 24)</w:t>
      </w:r>
    </w:p>
    <w:p w:rsidR="00000000" w:rsidRDefault="00000000">
      <w:pPr>
        <w:jc w:val="center"/>
        <w:rPr>
          <w:b/>
          <w:bCs/>
        </w:rPr>
      </w:pPr>
    </w:p>
    <w:p w:rsidR="00000000" w:rsidRDefault="00000000">
      <w:r>
        <w:t>27.</w:t>
      </w:r>
      <w:r>
        <w:tab/>
        <w:t>Просьба предоставить информацию относительно положения детей, заключенных под стражу, и сообщить о том, какие меры были приняты для реализации рекомендаций Комитета по данному вопросу в его заключительных замечаниях по первоначальному докладу.</w:t>
      </w:r>
    </w:p>
    <w:p w:rsidR="00000000" w:rsidRDefault="00000000"/>
    <w:p w:rsidR="00000000" w:rsidRDefault="00000000">
      <w:pPr>
        <w:jc w:val="center"/>
        <w:rPr>
          <w:b/>
          <w:bCs/>
        </w:rPr>
      </w:pPr>
      <w:r>
        <w:rPr>
          <w:b/>
          <w:bCs/>
        </w:rPr>
        <w:t>Распространение информации о Пакте и Факультативном протоколе</w:t>
      </w:r>
    </w:p>
    <w:p w:rsidR="00000000" w:rsidRDefault="00000000">
      <w:pPr>
        <w:jc w:val="center"/>
        <w:rPr>
          <w:b/>
          <w:bCs/>
        </w:rPr>
      </w:pPr>
    </w:p>
    <w:p w:rsidR="00000000" w:rsidRDefault="00000000">
      <w:r>
        <w:t>28.</w:t>
      </w:r>
      <w:r>
        <w:tab/>
        <w:t>Просьба сообщить о мерах, принятых для распространения информации о представлении второго периодического доклада и его рассмотрении Комитетом, а также о заключительных замечаниях, принятых Комитетом после рассмотрения первоначального периодического доклада Узбекистана (пункт 29 заключительных замечаний Комитета по первоначальному докладу государства-участника).</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СС</w:t>
    </w:r>
    <w:r>
      <w:rPr>
        <w:lang w:val="en-US"/>
      </w:rPr>
      <w:t>PR</w:t>
    </w:r>
    <w:r>
      <w:t>/С/83/L/UZB</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pPr>
    <w:r>
      <w:rPr>
        <w:lang w:val="en-US"/>
      </w:rPr>
      <w:tab/>
    </w:r>
    <w:r>
      <w:rPr>
        <w:lang w:val="en-US"/>
      </w:rPr>
      <w:tab/>
    </w:r>
    <w:r>
      <w:t>СС</w:t>
    </w:r>
    <w:r>
      <w:rPr>
        <w:lang w:val="en-US"/>
      </w:rPr>
      <w:t>PR</w:t>
    </w:r>
    <w:r>
      <w:t>/С/83/L/UZB</w:t>
    </w:r>
  </w:p>
  <w:p w:rsidR="00000000" w:rsidRDefault="00000000">
    <w:pPr>
      <w:pStyle w:val="Header"/>
      <w:tabs>
        <w:tab w:val="left" w:pos="7088"/>
      </w:tabs>
      <w:rPr>
        <w:rStyle w:val="PageNumber"/>
        <w:lang w:val="en-US"/>
      </w:rPr>
    </w:pPr>
    <w:r>
      <w:tab/>
    </w: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1801</Words>
  <Characters>10266</Characters>
  <Application>Microsoft Office Word</Application>
  <DocSecurity>4</DocSecurity>
  <Lines>85</Lines>
  <Paragraphs>20</Paragraphs>
  <ScaleCrop>false</ScaleCrop>
  <HeadingPairs>
    <vt:vector size="2" baseType="variant">
      <vt:variant>
        <vt:lpstr>Название</vt:lpstr>
      </vt:variant>
      <vt:variant>
        <vt:i4>1</vt:i4>
      </vt:variant>
    </vt:vector>
  </HeadingPairs>
  <TitlesOfParts>
    <vt:vector size="1" baseType="lpstr">
      <vt:lpstr>0445035.doc</vt:lpstr>
    </vt:vector>
  </TitlesOfParts>
  <Company> </Company>
  <LinksUpToDate>false</LinksUpToDate>
  <CharactersWithSpaces>12607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0445035.doc</dc:title>
  <dc:subject/>
  <dc:creator>Марина Именинникова</dc:creator>
  <cp:keywords/>
  <dc:description/>
  <cp:lastModifiedBy>Marina Imeninnikova</cp:lastModifiedBy>
  <cp:revision>3</cp:revision>
  <cp:lastPrinted>2004-12-16T13:39:00Z</cp:lastPrinted>
  <dcterms:created xsi:type="dcterms:W3CDTF">2004-12-16T13:39:00Z</dcterms:created>
  <dcterms:modified xsi:type="dcterms:W3CDTF">2004-12-16T13:40:00Z</dcterms:modified>
</cp:coreProperties>
</file>