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Cs/>
              </w:rPr>
            </w:pPr>
            <w:r>
              <w:rPr>
                <w:b/>
                <w:bCs/>
                <w:iCs/>
                <w:sz w:val="40"/>
              </w:rPr>
              <w:t>М</w:t>
            </w:r>
            <w:r>
              <w:rPr>
                <w:b/>
                <w:bCs/>
                <w:iCs/>
              </w:rPr>
              <w:t>ЕЖДУНАРОДНАЯ</w:t>
            </w:r>
          </w:p>
          <w:p w:rsidR="00000000" w:rsidRDefault="00000000">
            <w:pPr>
              <w:tabs>
                <w:tab w:val="left" w:pos="0"/>
                <w:tab w:val="left" w:pos="7086"/>
              </w:tabs>
              <w:suppressAutoHyphens/>
              <w:spacing w:line="264" w:lineRule="auto"/>
              <w:ind w:right="284"/>
              <w:rPr>
                <w:b/>
                <w:bCs/>
                <w:iCs/>
              </w:rPr>
            </w:pPr>
            <w:r>
              <w:rPr>
                <w:b/>
                <w:bCs/>
                <w:iCs/>
              </w:rPr>
              <w:t>КОНВЕНЦИЯ</w:t>
            </w:r>
          </w:p>
          <w:p w:rsidR="00000000" w:rsidRDefault="00000000">
            <w:pPr>
              <w:tabs>
                <w:tab w:val="left" w:pos="0"/>
                <w:tab w:val="left" w:pos="7086"/>
              </w:tabs>
              <w:suppressAutoHyphens/>
              <w:spacing w:line="264" w:lineRule="auto"/>
              <w:ind w:right="284"/>
              <w:rPr>
                <w:b/>
                <w:bCs/>
                <w:iCs/>
              </w:rPr>
            </w:pPr>
            <w:r>
              <w:rPr>
                <w:b/>
                <w:bCs/>
                <w:iCs/>
              </w:rPr>
              <w:t>О ЛИКВИДАЦИИ</w:t>
            </w:r>
          </w:p>
          <w:p w:rsidR="00000000" w:rsidRDefault="00000000">
            <w:pPr>
              <w:tabs>
                <w:tab w:val="left" w:pos="0"/>
                <w:tab w:val="left" w:pos="7086"/>
              </w:tabs>
              <w:suppressAutoHyphens/>
              <w:spacing w:line="264" w:lineRule="auto"/>
              <w:ind w:right="284"/>
              <w:rPr>
                <w:b/>
                <w:bCs/>
                <w:iCs/>
              </w:rPr>
            </w:pPr>
            <w:r>
              <w:rPr>
                <w:b/>
                <w:bCs/>
                <w:iCs/>
              </w:rPr>
              <w:t>ВСЕХ ФОРМ</w:t>
            </w:r>
          </w:p>
          <w:p w:rsidR="00000000" w:rsidRDefault="00000000">
            <w:pPr>
              <w:tabs>
                <w:tab w:val="left" w:pos="0"/>
                <w:tab w:val="left" w:pos="7086"/>
              </w:tabs>
              <w:suppressAutoHyphens/>
              <w:spacing w:line="264" w:lineRule="auto"/>
              <w:ind w:right="284"/>
              <w:rPr>
                <w:i/>
              </w:rPr>
            </w:pPr>
            <w:r>
              <w:rPr>
                <w:b/>
                <w:bCs/>
                <w:iCs/>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CERD/C/DOM/</w:t>
            </w:r>
            <w:r>
              <w:rPr>
                <w:lang w:val="en-US"/>
              </w:rPr>
              <w:fldChar w:fldCharType="end"/>
            </w:r>
            <w:r>
              <w:rPr>
                <w:lang w:val="en-US"/>
              </w:rPr>
              <w:t>12</w:t>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8 June 20</w:t>
            </w:r>
            <w:r>
              <w:rPr>
                <w:lang w:val="en-US"/>
              </w:rPr>
              <w:fldChar w:fldCharType="end"/>
            </w:r>
            <w:r>
              <w:rPr>
                <w:lang w:val="en-US"/>
              </w:rPr>
              <w:t>07</w:t>
            </w:r>
          </w:p>
          <w:p w:rsidR="00000000" w:rsidRDefault="00000000">
            <w:pPr>
              <w:spacing w:line="216" w:lineRule="auto"/>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Original:  SPANISH</w:t>
            </w: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rPr>
          <w:lang w:val="en-US"/>
        </w:rPr>
      </w:pPr>
      <w:r>
        <w:t xml:space="preserve">КОМИТЕТ ПО ЛИКВИДАЦИИ </w:t>
      </w:r>
    </w:p>
    <w:p w:rsidR="00000000" w:rsidRDefault="00000000">
      <w:pPr>
        <w:tabs>
          <w:tab w:val="left" w:pos="0"/>
        </w:tabs>
        <w:suppressAutoHyphens/>
      </w:pPr>
      <w:r>
        <w:t>РАСОВОЙ 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rPr>
          <w:b/>
          <w:bCs/>
        </w:rPr>
      </w:pPr>
      <w:r>
        <w:rPr>
          <w:b/>
          <w:bCs/>
        </w:rPr>
        <w:t>ДОКЛАДЫ, ПРЕДСТАВЛЕННЫЕ ГОСУДАРСТВАМИ-УЧАСТНИКАМИ</w:t>
      </w:r>
    </w:p>
    <w:p w:rsidR="00000000" w:rsidRDefault="00000000">
      <w:pPr>
        <w:tabs>
          <w:tab w:val="left" w:pos="0"/>
        </w:tabs>
        <w:suppressAutoHyphens/>
        <w:jc w:val="center"/>
        <w:rPr>
          <w:b/>
          <w:bCs/>
        </w:rPr>
      </w:pPr>
      <w:r>
        <w:rPr>
          <w:b/>
          <w:bCs/>
        </w:rPr>
        <w:t>В СООТВЕТСТВИИ СО СТАТЬЕЙ 9 КОНВЕНЦИИ</w:t>
      </w:r>
    </w:p>
    <w:p w:rsidR="00000000" w:rsidRDefault="00000000">
      <w:pPr>
        <w:tabs>
          <w:tab w:val="left" w:pos="0"/>
        </w:tabs>
        <w:suppressAutoHyphens/>
        <w:jc w:val="center"/>
        <w:rPr>
          <w:b/>
          <w:bCs/>
        </w:rPr>
      </w:pPr>
    </w:p>
    <w:p w:rsidR="00000000" w:rsidRDefault="00000000">
      <w:pPr>
        <w:tabs>
          <w:tab w:val="left" w:pos="0"/>
        </w:tabs>
        <w:suppressAutoHyphens/>
        <w:jc w:val="center"/>
      </w:pPr>
      <w:r>
        <w:rPr>
          <w:u w:val="single"/>
        </w:rPr>
        <w:t>Двенадцатые периодические доклады государств-участников</w:t>
      </w:r>
      <w:r>
        <w:t>,</w:t>
      </w:r>
    </w:p>
    <w:p w:rsidR="00000000" w:rsidRDefault="00000000">
      <w:pPr>
        <w:tabs>
          <w:tab w:val="left" w:pos="0"/>
        </w:tabs>
        <w:suppressAutoHyphens/>
        <w:jc w:val="center"/>
        <w:rPr>
          <w:u w:val="single"/>
        </w:rPr>
      </w:pPr>
      <w:r>
        <w:rPr>
          <w:u w:val="single"/>
        </w:rPr>
        <w:t>подлежащие представлению в 2006 году</w:t>
      </w:r>
    </w:p>
    <w:p w:rsidR="00000000" w:rsidRDefault="00000000">
      <w:pPr>
        <w:pStyle w:val="10"/>
        <w:tabs>
          <w:tab w:val="left" w:pos="0"/>
        </w:tabs>
        <w:suppressAutoHyphens/>
        <w:rPr>
          <w:b w:val="0"/>
        </w:rPr>
      </w:pPr>
    </w:p>
    <w:p w:rsidR="00000000" w:rsidRDefault="00000000">
      <w:pPr>
        <w:pStyle w:val="14"/>
        <w:tabs>
          <w:tab w:val="left" w:pos="0"/>
        </w:tabs>
        <w:suppressAutoHyphens/>
        <w:rPr>
          <w:b w:val="0"/>
        </w:rPr>
      </w:pPr>
      <w:r>
        <w:rPr>
          <w:b w:val="0"/>
        </w:rPr>
        <w:t>Добавление</w:t>
      </w:r>
    </w:p>
    <w:p w:rsidR="00000000" w:rsidRDefault="00000000">
      <w:pPr>
        <w:tabs>
          <w:tab w:val="left" w:pos="0"/>
        </w:tabs>
        <w:suppressAutoHyphens/>
        <w:jc w:val="center"/>
      </w:pPr>
    </w:p>
    <w:p w:rsidR="00000000" w:rsidRDefault="00000000">
      <w:pPr>
        <w:tabs>
          <w:tab w:val="left" w:pos="0"/>
        </w:tabs>
        <w:suppressAutoHyphens/>
        <w:jc w:val="center"/>
      </w:pPr>
      <w:r>
        <w:rPr>
          <w:b/>
          <w:bCs/>
        </w:rPr>
        <w:t>ДОМИНИКАНСКАЯ РЕСПУБЛИКА</w:t>
      </w:r>
      <w:r>
        <w:t>*</w:t>
      </w:r>
    </w:p>
    <w:p w:rsidR="00000000" w:rsidRDefault="00000000">
      <w:pPr>
        <w:tabs>
          <w:tab w:val="left" w:pos="0"/>
        </w:tabs>
        <w:suppressAutoHyphens/>
      </w:pPr>
    </w:p>
    <w:p w:rsidR="00000000" w:rsidRDefault="00000000">
      <w:pPr>
        <w:tabs>
          <w:tab w:val="left" w:pos="0"/>
        </w:tabs>
        <w:suppressAutoHyphens/>
        <w:jc w:val="right"/>
      </w:pPr>
      <w:r>
        <w:t>[5 декабря 2006 года]</w:t>
      </w:r>
    </w:p>
    <w:p w:rsidR="00000000" w:rsidRDefault="00000000">
      <w:pPr>
        <w:tabs>
          <w:tab w:val="left" w:pos="0"/>
        </w:tabs>
        <w:suppressAutoHyphens/>
        <w:jc w:val="right"/>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pStyle w:val="FootnoteText"/>
        <w:tabs>
          <w:tab w:val="left" w:pos="0"/>
        </w:tabs>
        <w:suppressAutoHyphens/>
        <w:spacing w:line="288" w:lineRule="auto"/>
      </w:pPr>
      <w:r>
        <w:t>________________</w:t>
      </w:r>
    </w:p>
    <w:p w:rsidR="00000000" w:rsidRDefault="00000000">
      <w:pPr>
        <w:tabs>
          <w:tab w:val="left" w:pos="0"/>
        </w:tabs>
        <w:suppressAutoHyphens/>
        <w:spacing w:line="240" w:lineRule="auto"/>
        <w:rPr>
          <w:b/>
          <w:bCs/>
        </w:rPr>
      </w:pPr>
    </w:p>
    <w:p w:rsidR="00000000" w:rsidRDefault="00000000">
      <w:pPr>
        <w:spacing w:line="240" w:lineRule="auto"/>
      </w:pPr>
      <w:r>
        <w:rPr>
          <w:b/>
          <w:bCs/>
        </w:rPr>
        <w:t>*</w:t>
      </w:r>
      <w:r>
        <w:tab/>
        <w:t>В настоящем документе сводятся воедино девятый, десятый, одиннадцатый и двенадцатый периодические доклады, подлежавшие представлению 24 июня соответственно 2000, 2002, 2004 и 2006 годов.  Четвертый, пятый, шестой, седьмой и восьмой периодические доклады Доминиканской Республики и краткие отчеты о заседаниях, на которых Комитет рассматривал эти доклады, см. в документах</w:t>
      </w:r>
      <w:r>
        <w:rPr>
          <w:lang w:val="en-US"/>
        </w:rPr>
        <w:t> CERD</w:t>
      </w:r>
      <w:r>
        <w:t>/</w:t>
      </w:r>
      <w:r>
        <w:rPr>
          <w:lang w:val="en-US"/>
        </w:rPr>
        <w:t>C</w:t>
      </w:r>
      <w:r>
        <w:t>/331/</w:t>
      </w:r>
      <w:r>
        <w:rPr>
          <w:lang w:val="en-US"/>
        </w:rPr>
        <w:t>Add</w:t>
      </w:r>
      <w:r>
        <w:t xml:space="preserve">.1 и </w:t>
      </w:r>
      <w:r>
        <w:rPr>
          <w:lang w:val="en-US"/>
        </w:rPr>
        <w:t>CERD</w:t>
      </w:r>
      <w:r>
        <w:t>/</w:t>
      </w:r>
      <w:r>
        <w:rPr>
          <w:lang w:val="en-US"/>
        </w:rPr>
        <w:t>C</w:t>
      </w:r>
      <w:r>
        <w:t>/</w:t>
      </w:r>
      <w:r>
        <w:rPr>
          <w:lang w:val="en-US"/>
        </w:rPr>
        <w:t>SR</w:t>
      </w:r>
      <w:r>
        <w:t>.1364 и 1365.</w:t>
      </w:r>
    </w:p>
    <w:p w:rsidR="00000000" w:rsidRDefault="00000000">
      <w:pPr>
        <w:jc w:val="center"/>
        <w:rPr>
          <w:b/>
          <w:bCs/>
        </w:rPr>
      </w:pPr>
      <w:r>
        <w:br w:type="page"/>
      </w:r>
      <w:r>
        <w:rPr>
          <w:b/>
          <w:bCs/>
        </w:rPr>
        <w:t>Девятый доклад Доминиканской Республики для Комитета по ликвидации</w:t>
      </w:r>
      <w:r>
        <w:rPr>
          <w:b/>
          <w:bCs/>
        </w:rPr>
        <w:br/>
        <w:t>расовой дискриминации</w:t>
      </w:r>
    </w:p>
    <w:p w:rsidR="00000000" w:rsidRDefault="00000000"/>
    <w:p w:rsidR="00000000" w:rsidRDefault="00000000">
      <w:pPr>
        <w:jc w:val="center"/>
        <w:rPr>
          <w:b/>
          <w:bCs/>
        </w:rPr>
      </w:pPr>
      <w:r>
        <w:rPr>
          <w:b/>
          <w:bCs/>
        </w:rPr>
        <w:t>СТАТЬЯ 1</w:t>
      </w:r>
    </w:p>
    <w:p w:rsidR="00000000" w:rsidRDefault="00000000"/>
    <w:p w:rsidR="00000000" w:rsidRDefault="00000000">
      <w:r>
        <w:t>1.</w:t>
      </w:r>
      <w:r>
        <w:tab/>
        <w:t>Следует отметить, что Доминиканскую Республику в настоящее время нельзя рассматривать как национальное сообщество, состоящее из разрозненных этнических групп, как во многих странах Карибского бассейна, Центральной и Южной Америки, хотя у истоков ее населения стояли народы - выходцы преимущественно из Африки и Европы, учитывая факт уничтожения коренных племен с первых же моментов колонизации.  Доминиканцы осознают себя как единый народ.  Другими словами, доминиканцы, будь то белые, чернокожие или мулаты, не воспринимают своих соотечественников (независимо от цвета кожи) как людей, принадлежащих к другой культуре или иному этносу.</w:t>
      </w:r>
    </w:p>
    <w:p w:rsidR="00000000" w:rsidRDefault="00000000"/>
    <w:p w:rsidR="00000000" w:rsidRDefault="00000000">
      <w:r>
        <w:t>2.</w:t>
      </w:r>
      <w:r>
        <w:tab/>
        <w:t>Наличие расистских проявлений, обусловленных в основном влиянием европейских эстетических шаблонов, которые придают особую значимость цвету кожи, является пережитком колониализма, не дающим доминиканцам полностью осознать свою самобытность.</w:t>
      </w:r>
    </w:p>
    <w:p w:rsidR="00000000" w:rsidRDefault="00000000"/>
    <w:p w:rsidR="00000000" w:rsidRDefault="00000000">
      <w:r>
        <w:t>3.</w:t>
      </w:r>
      <w:r>
        <w:tab/>
        <w:t>В Доминиканской Республике дискриминация по признакам цвета кожи и расы эволюционировала после принятия в 1992 году Трудового кодекса.  В стране насчитывается 8 200 000 жителей, из которых 80% относятся к негроидной расе, а 20% составляют метисы.  Кроме того, в стране проживают примерно 1 млн. гаитян, которые заняты на различных работах (в строительстве, сельском хозяйстве, неформальном секторе, в качестве охранников, домашней прислуги и проч.).</w:t>
      </w:r>
    </w:p>
    <w:p w:rsidR="00000000" w:rsidRDefault="00000000"/>
    <w:p w:rsidR="00000000" w:rsidRDefault="00000000">
      <w:r>
        <w:t>4.</w:t>
      </w:r>
      <w:r>
        <w:tab/>
        <w:t xml:space="preserve">Все трудящиеся - как граждане страны, так и иностранцы - пользуются равными правами в деле доступа к услугам в сфере здравоохранения, образования, охраны материнства и занятости на рынке труда.  Доминиканские законы распространяются на всех без исключения трудящихся на территории страны.  Трудовой кодекс, принятый в мае 1992 года как следствие консенсуса между трудящимися массами и представителями национальных деловых кругов при поддержке Международной организации труда (МОТ), в своем Принципе </w:t>
      </w:r>
      <w:r>
        <w:rPr>
          <w:lang w:val="en-US"/>
        </w:rPr>
        <w:t>VII</w:t>
      </w:r>
      <w:r>
        <w:t xml:space="preserve"> гласит:</w:t>
      </w:r>
    </w:p>
    <w:p w:rsidR="00000000" w:rsidRDefault="00000000"/>
    <w:p w:rsidR="00000000" w:rsidRDefault="00000000">
      <w:pPr>
        <w:ind w:left="567" w:hanging="567"/>
      </w:pPr>
      <w:r>
        <w:tab/>
      </w:r>
      <w:r>
        <w:tab/>
        <w:t>"Запрещаются любая дискриминация, ущемление или предпочтение по признакам пола, возраста, расы, цвета кожи, национальных корней, социального происхождения, политических воззрений, профсоюзного членства или вероисповедания, кроме случаев, предусмотренных законом в целях защиты личности трудящегося".</w:t>
      </w:r>
    </w:p>
    <w:p w:rsidR="00000000" w:rsidRDefault="00000000"/>
    <w:p w:rsidR="00000000" w:rsidRDefault="00000000">
      <w:r>
        <w:t>5.</w:t>
      </w:r>
      <w:r>
        <w:tab/>
        <w:t xml:space="preserve">Кроме того, в Принципе </w:t>
      </w:r>
      <w:r>
        <w:rPr>
          <w:lang w:val="en-US"/>
        </w:rPr>
        <w:t>IV</w:t>
      </w:r>
      <w:r>
        <w:t xml:space="preserve"> Трудового кодекса устанавливается:</w:t>
      </w:r>
    </w:p>
    <w:p w:rsidR="00000000" w:rsidRDefault="00000000"/>
    <w:p w:rsidR="00000000" w:rsidRDefault="00000000">
      <w:pPr>
        <w:ind w:left="567" w:hanging="567"/>
      </w:pPr>
      <w:r>
        <w:tab/>
      </w:r>
      <w:r>
        <w:tab/>
        <w:t>"Законы, касающиеся сферы труда, носят территориальный характер.  Они распространяются без какого бы то ни было различия на доминиканцев и на иностранцев, за исключением отступлений, оговоренных в международных конвенциях".</w:t>
      </w:r>
    </w:p>
    <w:p w:rsidR="00000000" w:rsidRDefault="00000000"/>
    <w:p w:rsidR="00000000" w:rsidRDefault="00000000">
      <w:r>
        <w:t>6.</w:t>
      </w:r>
      <w:r>
        <w:tab/>
        <w:t>Доминиканская Республика ратифицировала восемь основных конвенций МОТ, в том числе Конвенцию № 111 о дискриминации в области труда и занятий от 1958 года, где в соответствии с</w:t>
      </w:r>
      <w:r>
        <w:rPr>
          <w:sz w:val="20"/>
        </w:rPr>
        <w:t xml:space="preserve"> </w:t>
      </w:r>
      <w:r>
        <w:t>Филадельфийской декларацией провозглашается, что "все люди, независимо от расы, веры или пола, имеют право на осуществление своего материального благосостояния и духовного развития в условиях свободы и достоинства, экономической устойчивости и равных возможностей".</w:t>
      </w:r>
    </w:p>
    <w:p w:rsidR="00000000" w:rsidRDefault="00000000"/>
    <w:p w:rsidR="00000000" w:rsidRDefault="00000000">
      <w:r>
        <w:t>7.</w:t>
      </w:r>
      <w:r>
        <w:tab/>
        <w:t xml:space="preserve">Исторически в Доминиканской Республике отрицалось наличие населения африканского происхождения, а потому статистических данных, которые давали бы представление о таком населении, не имеется.  Категория "чернокожий/ая африканского происхождения" никогда не фигурировала в качестве составной части этнорасового многообразия страны, и именно по этой причине в </w:t>
      </w:r>
      <w:r>
        <w:rPr>
          <w:lang w:val="en-US"/>
        </w:rPr>
        <w:t>XVI</w:t>
      </w:r>
      <w:r>
        <w:t xml:space="preserve"> веке было введено понятие "мулат", которым обозначается население, появившееся в результате половых связей между чернокожими и белыми.</w:t>
      </w:r>
    </w:p>
    <w:p w:rsidR="00000000" w:rsidRDefault="00000000"/>
    <w:p w:rsidR="00000000" w:rsidRDefault="00000000">
      <w:r>
        <w:t>8.</w:t>
      </w:r>
      <w:r>
        <w:tab/>
        <w:t>Эта категория использовалась во время первой общенациональной переписи населения в 1920 году.  В ходе последующих переписей она не использовалась, и этническая принадлежность населения определялась в зависимости от того, как воспринимали того или иного человека сами переписчики.</w:t>
      </w:r>
    </w:p>
    <w:p w:rsidR="00000000" w:rsidRDefault="00000000"/>
    <w:p w:rsidR="00000000" w:rsidRDefault="00000000">
      <w:r>
        <w:t>9.</w:t>
      </w:r>
      <w:r>
        <w:tab/>
        <w:t>В период диктатуры Рафаэля Леонидаса Трухильо официальная статистика вводит в обиход категорию "индеец" с различными подкатегориями в зависимости от оттенка цвета кожи, и с тех пор доминиканцы предпочитают называть себя не "чернокожий", а "светлый индеец" или "темный индеец".</w:t>
      </w:r>
    </w:p>
    <w:p w:rsidR="00000000" w:rsidRDefault="00000000"/>
    <w:p w:rsidR="00000000" w:rsidRDefault="00000000">
      <w:r>
        <w:t>10.</w:t>
      </w:r>
      <w:r>
        <w:tab/>
        <w:t>Доминиканская Республика в подтверждение Всеобщей декларации прав человека и Устава Организации Объединенных Наций, в качестве участницы международных пактов о правах человека и Международной конвенции о ликвидации всех форм расовой дискриминации и страны, подписавшей Венскую декларацию и Программу действий от 1993 года о ликвидации всех форм расизма, расовой дискриминации, ксенофобии и связанной с ними нетерпимости, а также Декларацию и Программу действий, принятую на Всемирной конференции по борьбе против расизма в Дурбане, осуждает законодательство и практику, основанные на расизме, поскольку они несовместимы с демократией;  на конституционном уровне статья 100 Основного закона гласит:  "Республика осуждает любого рода привилегии и любые ситуации, связанные с посягательством на равноправие всех доминиканцев, между которыми не допускается проведение каких-либо различий, кроме тех, которые обусловлены их талантами или достоинствами, и вследствие этого ни один субъект Республики не может жаловать кому-либо дворянские титулы или признавать наследственные различия".</w:t>
      </w:r>
    </w:p>
    <w:p w:rsidR="00000000" w:rsidRDefault="00000000"/>
    <w:p w:rsidR="00000000" w:rsidRDefault="00000000">
      <w:r>
        <w:t>11.</w:t>
      </w:r>
      <w:r>
        <w:tab/>
        <w:t xml:space="preserve">При определении государственной политики Доминиканской Республики, помимо трудностей, связанных с необходимостью обеспечения равноправия и равенства возможностей мужчин и женщин, а также инвалидов и сексуальных меньшинств, возникают серьезные проблемы, обусловленные этническим и культурным разнообразием доминиканского общества.  В стране нет каких-либо принципов политики на основе, которых явно признавалось бы наличие жителей африканского происхождения. </w:t>
      </w:r>
    </w:p>
    <w:p w:rsidR="00000000" w:rsidRDefault="00000000"/>
    <w:p w:rsidR="00000000" w:rsidRDefault="00000000">
      <w:r>
        <w:t>12.</w:t>
      </w:r>
      <w:r>
        <w:tab/>
        <w:t>Надо признать, что в последние годы благодаря усилиям НПО и правительства, направленным на выполнение обязательств, вытекающих из ратификации различных международных договоров, были достигнуты большие успехи в деле осуществления экономических, социальных и культурных прав.</w:t>
      </w:r>
    </w:p>
    <w:p w:rsidR="00000000" w:rsidRDefault="00000000"/>
    <w:p w:rsidR="00000000" w:rsidRDefault="00000000">
      <w:r>
        <w:t>13.</w:t>
      </w:r>
      <w:r>
        <w:tab/>
        <w:t>Министерство труда никогда не выясняет национальность или правовой статус работника, обратившегося в государственные учреждения для получения той или иной справки либо для предъявления жалобы;  этот орган также последовательно и активно реагирует на все случаи заявлений об ущемлении прав трудящегося вне зависимости от его национальности.</w:t>
      </w:r>
    </w:p>
    <w:p w:rsidR="00000000" w:rsidRDefault="00000000"/>
    <w:p w:rsidR="00000000" w:rsidRDefault="00000000">
      <w:r>
        <w:t>14.</w:t>
      </w:r>
      <w:r>
        <w:tab/>
        <w:t>Министерство труда как орган, координирующий политику в сфере труда, ведет непрерывную работу по пропаганде трудового законодательства как внутри страны, так и за рубежом;  оно постоянно организует также семинарские занятия со своими сотрудниками, особенно по вопросам условий труда и его охраны, с тем чтобы довести до них нормативно-законодательные установки внутреннего и международного права, имеющие отношение к дискриминации по признакам расы и цвета кожи.  Была разработана экспериментальная программа по мониторингу соблюдения трудового законодательства в сахарной промышленности, где в качестве рабочей силы широко используются гаитянские иммигранты.  Данная программа была введена в действие в январе 2005 года и предоставляет штатным инспекторам широкие полномочия:  они могут дважды в неделю инспектировать плантации сахарного тростника и представлять по пятницам доклад со своими выводами о соблюдении там норм трудового законодательства.</w:t>
      </w:r>
    </w:p>
    <w:p w:rsidR="00000000" w:rsidRDefault="00000000"/>
    <w:p w:rsidR="00000000" w:rsidRDefault="00000000">
      <w:r>
        <w:t>15.</w:t>
      </w:r>
      <w:r>
        <w:tab/>
        <w:t>В 2001 году было создано Управление по гендерному равенству, подведомственное министерству труда.  В этом управлении принимают жалобы, касающиеся дискриминации по признаку пола и нарушений прав женщин по месту работы.  Что касается охраны материнства, то была организована пропагандистская кампания по доведению до сведения работников и работодателей требования о недопустимости проведения теста на беременность в качестве условия предоставления работы.  Кампании и семинары по данной тематике проводятся постоянно.</w:t>
      </w:r>
    </w:p>
    <w:p w:rsidR="00000000" w:rsidRDefault="00000000"/>
    <w:p w:rsidR="00000000" w:rsidRDefault="00000000">
      <w:r>
        <w:t>16.</w:t>
      </w:r>
      <w:r>
        <w:tab/>
        <w:t>В то же время посредством официального коммюнике было распространено уведомление о том, что запрещается проводить тест на ВИЧ/СПИД в качестве условия предоставления работы, поскольку это является нарушением законодательства.  Особо были предупреждены клинические лаборатории:  их участие в подобных тестах (если имеется подозрение, что они проводятся в целях получения работы) также является нарушением закона.  Департамент юридической помощи бесплатно помогает трудящимся по их просьбе, если они считают себя жертвами дискриминации по месту работы вследствие заболевания ВИЧ/СПИДом.</w:t>
      </w:r>
    </w:p>
    <w:p w:rsidR="00000000" w:rsidRDefault="00000000"/>
    <w:p w:rsidR="00000000" w:rsidRDefault="00000000">
      <w:r>
        <w:t>17.</w:t>
      </w:r>
      <w:r>
        <w:tab/>
        <w:t>Предпринимаются соответствующие действия, направленные на эффективное выполнение положений статьи 47 Трудового кодекса, которая защищает от сексуальных домогательств и предусматривает ответственность не принявшего должных мер работодателя, если эти притязания исходят от других работодателей по данному месту работы.</w:t>
      </w:r>
    </w:p>
    <w:p w:rsidR="00000000" w:rsidRDefault="00000000"/>
    <w:p w:rsidR="00000000" w:rsidRDefault="00000000">
      <w:r>
        <w:t>18.</w:t>
      </w:r>
      <w:r>
        <w:tab/>
        <w:t>Что касается сферы здравоохранения, то за последний год в стране медицинская помощь была оказана 334 241 иностранцу, в том числе 334 135 гаитянским иммигрантам.</w:t>
      </w:r>
    </w:p>
    <w:p w:rsidR="00000000" w:rsidRDefault="00000000"/>
    <w:p w:rsidR="00000000" w:rsidRDefault="00000000">
      <w:pPr>
        <w:jc w:val="center"/>
        <w:rPr>
          <w:b/>
          <w:bCs/>
        </w:rPr>
      </w:pPr>
      <w:r>
        <w:rPr>
          <w:b/>
          <w:bCs/>
        </w:rPr>
        <w:t>СТАТЬЯ 2</w:t>
      </w:r>
    </w:p>
    <w:p w:rsidR="00000000" w:rsidRDefault="00000000"/>
    <w:p w:rsidR="00000000" w:rsidRDefault="00000000">
      <w:r>
        <w:t>19.</w:t>
      </w:r>
      <w:r>
        <w:tab/>
        <w:t xml:space="preserve">Следуя предложениям и рекомендациям, сформулированным в пункте 9 предшествующих заключительных замечаний Комитета по статьям 2 и 5 Конвенции, Доминиканская Республика подтвердила свое обязательство проводить законодательную политику, направленную на искоренение расовой дискриминации во всех ее формах. </w:t>
      </w:r>
    </w:p>
    <w:p w:rsidR="00000000" w:rsidRDefault="00000000"/>
    <w:p w:rsidR="00000000" w:rsidRDefault="00000000">
      <w:r>
        <w:t>20.</w:t>
      </w:r>
      <w:r>
        <w:tab/>
        <w:t xml:space="preserve">Закон № 136-03, вводящий в действие Кодекс системы защиты и основных прав детей и подростков, в своем Принципе </w:t>
      </w:r>
      <w:r>
        <w:rPr>
          <w:lang w:val="en-US"/>
        </w:rPr>
        <w:t>I</w:t>
      </w:r>
      <w:r>
        <w:t>, касающемся предмета Кодекса, устанавливает следующее:  "Настоящий Кодекс имеет целью гарантировать всем детям и подросткам обоих полов, находящимся на национальной территории, полное и эффективное осуществление и использование основополагающих прав".  Кроме того, в своем Принципе </w:t>
      </w:r>
      <w:r>
        <w:rPr>
          <w:lang w:val="en-US"/>
        </w:rPr>
        <w:t>IV</w:t>
      </w:r>
      <w:r>
        <w:t xml:space="preserve"> о равенстве и недискриминации этот Закон гласит:  "Положения настоящего Кодекса распространяются в равной мере на всех детей и подростков без какой бы то ни было дискриминации по признакам расы, цвета кожи, пола, возраста, языка, образа мышления, самосознания, религии, верования, культуры, политических или других воззрений, экономического положения, социального, этнического либо национального происхождения, инвалидности, заболевания, рождения в условиях риска или любого другого положения ребенка, подростка, его родителей, представителей, попечителей либо родственников".</w:t>
      </w:r>
    </w:p>
    <w:p w:rsidR="00000000" w:rsidRDefault="00000000"/>
    <w:p w:rsidR="00000000" w:rsidRDefault="00000000">
      <w:r>
        <w:t>21.</w:t>
      </w:r>
      <w:r>
        <w:tab/>
        <w:t>Государственная политика в сфере защиты детей и подростков, разработанная Национальным советом по делам детства и юношества (КОНАВИ), являющимся высшим органом управления в рамках Национальной системы защиты основных прав детей и подростков, охватывает всех без исключения детей и подростков обоих полов без какой-либо дискриминации.</w:t>
      </w:r>
    </w:p>
    <w:p w:rsidR="00000000" w:rsidRDefault="00000000"/>
    <w:p w:rsidR="00000000" w:rsidRDefault="00000000">
      <w:r>
        <w:t>22.</w:t>
      </w:r>
      <w:r>
        <w:tab/>
        <w:t xml:space="preserve">Глава пятая проекта Уголовного кодекса Доминиканской Республики, озаглавленная "Посягательства на достоинство личности", в Разделе </w:t>
      </w:r>
      <w:r>
        <w:rPr>
          <w:lang w:val="en-US"/>
        </w:rPr>
        <w:t>I</w:t>
      </w:r>
      <w:r>
        <w:t xml:space="preserve">, посвященном дискриминации, отмечает следующее: </w:t>
      </w:r>
    </w:p>
    <w:p w:rsidR="00000000" w:rsidRDefault="00000000"/>
    <w:p w:rsidR="00000000" w:rsidRDefault="00000000">
      <w:r>
        <w:t>23.</w:t>
      </w:r>
      <w:r>
        <w:tab/>
        <w:t>Статья 250 гласит:  "Дискриминацией является любое неравное либо оскорбительное отношение одного человека к другому по причине его происхождения, возраста, пола, семейного положения, состояния здоровья, инвалидности, обычаев и нравов, политических взглядов, профсоюзной деятельности, предполагаемой либо подлинной принадлежности или не принадлежности к какой-либо определенной этнической группе, нации, расе или религии".</w:t>
      </w:r>
    </w:p>
    <w:p w:rsidR="00000000" w:rsidRDefault="00000000"/>
    <w:p w:rsidR="00000000" w:rsidRDefault="00000000">
      <w:r>
        <w:t>24.</w:t>
      </w:r>
      <w:r>
        <w:tab/>
        <w:t>В статье 257 говорится:  "Если сутенерство сопровождается пытками или варварскими действиями, оно наказуется лишением свободы на срок до 40 лет".</w:t>
      </w:r>
    </w:p>
    <w:p w:rsidR="00000000" w:rsidRDefault="00000000"/>
    <w:p w:rsidR="00000000" w:rsidRDefault="00000000">
      <w:r>
        <w:t>25.</w:t>
      </w:r>
      <w:r>
        <w:tab/>
        <w:t>В статье 503 указывается:  "Если дискриминация, определенная в статье 250, заключается в отказе предоставить право, установленное законом, или в воспрепятствовании нормальной экономической деятельности и совершается лицом, облеченным государственной властью либо отвечающим за оказание государственных услуг, при осуществлении им своих функций и ущемляет интересы физического либо юридического лица, виновный подлежит наказанию в виде лишения свободы на срок до трех лет с выплатой штрафа в размере трех с четвертью МРОТ, установленного для служащих государственного сектора".</w:t>
      </w:r>
    </w:p>
    <w:p w:rsidR="00000000" w:rsidRDefault="00000000"/>
    <w:p w:rsidR="00000000" w:rsidRDefault="00000000">
      <w:r>
        <w:t>26.</w:t>
      </w:r>
      <w:r>
        <w:tab/>
        <w:t>Кроме того, статьи 637, 638, 639 и 642 гласят:</w:t>
      </w:r>
    </w:p>
    <w:p w:rsidR="00000000" w:rsidRDefault="00000000"/>
    <w:p w:rsidR="00000000" w:rsidRDefault="00000000">
      <w:pPr>
        <w:ind w:left="567" w:hanging="567"/>
      </w:pPr>
      <w:r>
        <w:tab/>
      </w:r>
      <w:r>
        <w:tab/>
        <w:t>"Диффамация, не носящая публичного характера, в отношении какого-либо лица или группы лиц по причине их происхождения либо принадлежности, действительной или предполагаемой, к определенной этнической группе, нации, расе или религии, наказуется штрафом в размере трех четвертей МРОТ, установленного для служащих государственного сектора.</w:t>
      </w:r>
    </w:p>
    <w:p w:rsidR="00000000" w:rsidRDefault="00000000"/>
    <w:p w:rsidR="00000000" w:rsidRDefault="00000000">
      <w:pPr>
        <w:ind w:left="567" w:hanging="567"/>
      </w:pPr>
      <w:r>
        <w:tab/>
      </w:r>
      <w:r>
        <w:tab/>
        <w:t>Оскорбление, не носящее публичного характера, в отношении какого-либо лица или группы лиц по причине их происхождения либо принадлежности, действительной или предполагаемой, к определенной этнической группе, нации, расе или религии, наказуется штрафом в размере трех четвертей МРОТ, установленного для служащих государственного сектора.</w:t>
      </w:r>
    </w:p>
    <w:p w:rsidR="00000000" w:rsidRDefault="00000000"/>
    <w:p w:rsidR="00000000" w:rsidRDefault="00000000">
      <w:pPr>
        <w:ind w:left="567" w:hanging="567"/>
      </w:pPr>
      <w:r>
        <w:tab/>
      </w:r>
      <w:r>
        <w:tab/>
        <w:t>Для лиц, виновных в нарушениях, предусмотренных в настоящей главе, помимо этого предусмотрены одно, несколько или все из следующих дополнительных наказаний:</w:t>
      </w:r>
    </w:p>
    <w:p w:rsidR="00000000" w:rsidRDefault="00000000"/>
    <w:p w:rsidR="00000000" w:rsidRDefault="00000000">
      <w:pPr>
        <w:ind w:left="1134" w:hanging="1134"/>
      </w:pPr>
      <w:r>
        <w:tab/>
        <w:t>1.</w:t>
      </w:r>
      <w:r>
        <w:tab/>
        <w:t>Запрещение иметь или носить один или несколько предметов оружия, подлежащего лицензированию, на срок не более трех лет;</w:t>
      </w:r>
    </w:p>
    <w:p w:rsidR="00000000" w:rsidRDefault="00000000">
      <w:pPr>
        <w:ind w:left="1134" w:hanging="1134"/>
      </w:pPr>
    </w:p>
    <w:p w:rsidR="00000000" w:rsidRDefault="00000000">
      <w:pPr>
        <w:ind w:left="1134" w:hanging="1134"/>
      </w:pPr>
      <w:r>
        <w:tab/>
        <w:t>2.</w:t>
      </w:r>
      <w:r>
        <w:tab/>
        <w:t>Конфискация одного или нескольких предметов оружия, которыми владеет обвиняемый/обвиняемая или которые находятся в его/ее распоряжении.</w:t>
      </w:r>
    </w:p>
    <w:p w:rsidR="00000000" w:rsidRDefault="00000000">
      <w:pPr>
        <w:ind w:left="1134" w:hanging="1134"/>
      </w:pPr>
    </w:p>
    <w:p w:rsidR="00000000" w:rsidRDefault="00000000">
      <w:pPr>
        <w:ind w:left="1134" w:hanging="1134"/>
      </w:pPr>
      <w:r>
        <w:tab/>
        <w:t>3.</w:t>
      </w:r>
      <w:r>
        <w:tab/>
        <w:t>Конфискация предмета, который послужил или был предназначен для совершения нарушения, либо предмета, который является его продуктом, за исключением тех, которые подлежат реституции в пользу третьих лиц.</w:t>
      </w:r>
    </w:p>
    <w:p w:rsidR="00000000" w:rsidRDefault="00000000"/>
    <w:p w:rsidR="00000000" w:rsidRDefault="00000000">
      <w:pPr>
        <w:ind w:left="567" w:hanging="567"/>
      </w:pPr>
      <w:r>
        <w:tab/>
      </w:r>
      <w:r>
        <w:tab/>
        <w:t>Нарушения, предусмотренные в настоящей главе, считаются действиями частного характера в соответствии с положениями Уголовно-процессуального кодекса".</w:t>
      </w:r>
    </w:p>
    <w:p w:rsidR="00000000" w:rsidRDefault="00000000"/>
    <w:p w:rsidR="00000000" w:rsidRDefault="00000000">
      <w:pPr>
        <w:jc w:val="center"/>
        <w:rPr>
          <w:b/>
          <w:bCs/>
        </w:rPr>
      </w:pPr>
      <w:r>
        <w:rPr>
          <w:b/>
          <w:bCs/>
        </w:rPr>
        <w:t>СТАТЬЯ 3</w:t>
      </w:r>
    </w:p>
    <w:p w:rsidR="00000000" w:rsidRDefault="00000000"/>
    <w:p w:rsidR="00000000" w:rsidRDefault="00000000">
      <w:r>
        <w:t>27.</w:t>
      </w:r>
      <w:r>
        <w:tab/>
        <w:t xml:space="preserve">Доминиканская Республика скрупулезно соблюдает положения данной статьи.  Конституция Республики защищает право на равенство и возлагает на государство обязанность пресекать расовую дискриминацию со стороны отдельных лиц, групп или организаций.  Это позволяет избежать расистских проявлений и не допустить объединения неких людей в группы, с тем чтобы навязывать расистские принципы:  например, разрешать вход в частные заведения лицам только определенной этнической группы. </w:t>
      </w:r>
    </w:p>
    <w:p w:rsidR="00000000" w:rsidRDefault="00000000"/>
    <w:p w:rsidR="00000000" w:rsidRDefault="00000000">
      <w:r>
        <w:t>28.</w:t>
      </w:r>
      <w:r>
        <w:tab/>
        <w:t>Конституция законодательно закрепляет в Доминиканской Республике право на равенство.  Это право изложено в статье 100, а статья 46 провозглашает не имеющими правовой силы какие бы то ни было нормативные акты, нарушающие это право.</w:t>
      </w:r>
    </w:p>
    <w:p w:rsidR="00000000" w:rsidRDefault="00000000"/>
    <w:p w:rsidR="00000000" w:rsidRDefault="00000000">
      <w:r>
        <w:t>29.</w:t>
      </w:r>
      <w:r>
        <w:tab/>
        <w:t xml:space="preserve">В последнее время, по сообщениям местных газет, расовую дискриминацию практикуют некоторые заведения, в частности дискотеки.  Эти публичные учреждения, хотя и находящиеся в частной собственности, такими действиями нарушают Конституцию Доминиканской Республики.  Недавний случай произошел на одной дискотеке, куда, как написано в газете, не разрешили войти молодой девушке предположительно негритянского происхождения.  Вспыхнул конфликт, который, к сожалению, закончился смертью студентки. </w:t>
      </w:r>
    </w:p>
    <w:p w:rsidR="00000000" w:rsidRDefault="00000000"/>
    <w:p w:rsidR="00000000" w:rsidRDefault="00000000">
      <w:r>
        <w:t>30.</w:t>
      </w:r>
      <w:r>
        <w:tab/>
        <w:t>Судья первой инстанции Национального округа закрыл на три месяца помещение дискотеки, до тех пор пока не будет завершено расследование данного происшествия, и распорядился задержать виновного.</w:t>
      </w:r>
    </w:p>
    <w:p w:rsidR="00000000" w:rsidRDefault="00000000"/>
    <w:p w:rsidR="00000000" w:rsidRDefault="00000000">
      <w:r>
        <w:t>31.</w:t>
      </w:r>
      <w:r>
        <w:tab/>
        <w:t>В стране ведется работа по искоренению этой вредной практики.</w:t>
      </w:r>
    </w:p>
    <w:p w:rsidR="00000000" w:rsidRDefault="00000000"/>
    <w:p w:rsidR="00000000" w:rsidRDefault="00000000">
      <w:pPr>
        <w:jc w:val="center"/>
        <w:rPr>
          <w:b/>
          <w:bCs/>
        </w:rPr>
      </w:pPr>
      <w:r>
        <w:rPr>
          <w:b/>
          <w:bCs/>
        </w:rPr>
        <w:t>СТАТЬЯ 4</w:t>
      </w:r>
    </w:p>
    <w:p w:rsidR="00000000" w:rsidRDefault="00000000"/>
    <w:p w:rsidR="00000000" w:rsidRDefault="00000000">
      <w:r>
        <w:t>32.</w:t>
      </w:r>
      <w:r>
        <w:tab/>
        <w:t>Положения пункта 6 статьи 8 Конституции Доминиканской Республики ограничивают свободу выражения мнения следующим образом:  "Каждый человек может без предварительной цензуры свободно выражать свои мысли в письменном виде либо посредством любого другого графического или устного средства выражения.  Деяния, когда выраженная мысль посягает на достоинство и нравственность личности, государственный порядок или добропорядочные устои общества, наказуются в соответствии с законом.  Запрещается любая подрывная пропаганда, как в анонимном виде, так и в любом средстве выражения, направленная на провоцирование неподчинения законам, однако данный запрет не отрицает права на анализ или критику законодательных положений".</w:t>
      </w:r>
    </w:p>
    <w:p w:rsidR="00000000" w:rsidRDefault="00000000"/>
    <w:p w:rsidR="00000000" w:rsidRDefault="00000000">
      <w:r>
        <w:t>33.</w:t>
      </w:r>
      <w:r>
        <w:tab/>
        <w:t>В пункте 7 той же статьи 8 признается право граждан на объединение с тем лишь ограничением, что образованная ассоциация не должна быть направлена против государственного строя.</w:t>
      </w:r>
    </w:p>
    <w:p w:rsidR="00000000" w:rsidRDefault="00000000"/>
    <w:p w:rsidR="00000000" w:rsidRDefault="00000000">
      <w:r>
        <w:t>34.</w:t>
      </w:r>
      <w:r>
        <w:tab/>
        <w:t xml:space="preserve">Закон № 6130 "О выражении и распространении мнений" в пункте 2 статьи 33 устанавливает наказания применительно к случаям, когда диффамация совершается в отношении группы людей, которые по своему происхождению принадлежат к определенной расе или религии, если она имела целью вызвать чувство ненависти среди населения, - в виде тюремного заключения от одного месяца до одного года и штрафа в размере от 25 до 200 песо. </w:t>
      </w:r>
    </w:p>
    <w:p w:rsidR="00000000" w:rsidRDefault="00000000"/>
    <w:p w:rsidR="00000000" w:rsidRDefault="00000000">
      <w:pPr>
        <w:jc w:val="center"/>
        <w:rPr>
          <w:b/>
          <w:bCs/>
        </w:rPr>
      </w:pPr>
      <w:r>
        <w:rPr>
          <w:b/>
          <w:bCs/>
        </w:rPr>
        <w:t>СТАТЬЯ 5</w:t>
      </w:r>
    </w:p>
    <w:p w:rsidR="00000000" w:rsidRDefault="00000000"/>
    <w:p w:rsidR="00000000" w:rsidRDefault="00000000">
      <w:r>
        <w:t>35.</w:t>
      </w:r>
      <w:r>
        <w:tab/>
        <w:t xml:space="preserve">Министерство культуры - впервые в доминиканской истории - разработало политику в области культуры, учитывающую африканский вклад.  Вместе с тем оно поддерживает все соответствующие инициативы, исходящие от гражданского общества.  В частности, оно оказало помощь в учреждении Дома Африки, в праздновании 500-летия появления африканцев на американском континенте, в пропаганде ценности ряда африканских традиций, свойственных нашей культуре. </w:t>
      </w:r>
    </w:p>
    <w:p w:rsidR="00000000" w:rsidRDefault="00000000"/>
    <w:p w:rsidR="00000000" w:rsidRDefault="00000000">
      <w:r>
        <w:t>36.</w:t>
      </w:r>
      <w:r>
        <w:tab/>
        <w:t>Пункт 5 статьи 8 Конституции гласит:  "Закон равен для всех;  он не может разрешить больше того, что справедливо и полезно для общества, ими запретить больше того, что вредит ему".  Согласно статье 100, "Республика осуждает любого рода привилегии и любые ситуации, связанные с посягательством на равноправие всех доминиканцев, между которыми не допускается проведение каких-либо различий, кроме тех, которые обусловлены их талантами или достоинствами".  Помимо этого, указанный принцип равенства закреплен в пункте 1 статьи 1 Американской конвенции о правах человека, а также во Всеобщей декларации прав человека, подписанной Доминиканской Республикой.</w:t>
      </w:r>
    </w:p>
    <w:p w:rsidR="00000000" w:rsidRDefault="00000000"/>
    <w:p w:rsidR="00000000" w:rsidRDefault="00000000">
      <w:r>
        <w:t>37.</w:t>
      </w:r>
      <w:r>
        <w:tab/>
        <w:t xml:space="preserve">Этот принцип равенства всех сторон перед законом содержит прямой запрет на любые неравные и дискриминационные действия в правовом поле и, следовательно, запрещение вносить в законодательные акты дискриминационные положения, касающиеся защиты общепризнанных прав.  Это обязывает судебную власть толковать и применять закон в строгом соответствии с принципом равенства на всех этапах судебного процесса любого характера. </w:t>
      </w:r>
    </w:p>
    <w:p w:rsidR="00000000" w:rsidRDefault="00000000"/>
    <w:p w:rsidR="00000000" w:rsidRDefault="00000000">
      <w:r>
        <w:t>38.</w:t>
      </w:r>
      <w:r>
        <w:tab/>
        <w:t>В отношении предложений и рекомендаций, содержащихся в пункте 11 замечаний Комитета, сообщается, что Доминиканская Республика через свой Государственный совет по сахару (ГСС) работает над улучшением условий жизни в батеях страны, реализуя там социальные и инфраструктурные программы, в частности:</w:t>
      </w:r>
    </w:p>
    <w:p w:rsidR="00000000" w:rsidRDefault="00000000"/>
    <w:p w:rsidR="00000000" w:rsidRDefault="00000000">
      <w:pPr>
        <w:ind w:left="1134" w:hanging="1134"/>
      </w:pPr>
      <w:r>
        <w:tab/>
      </w:r>
      <w:r>
        <w:rPr>
          <w:lang w:val="en-US"/>
        </w:rPr>
        <w:t>a</w:t>
      </w:r>
      <w:r>
        <w:t>)</w:t>
      </w:r>
      <w:r>
        <w:tab/>
        <w:t>по созданию земледельческих и животноводческих предприятий;</w:t>
      </w:r>
    </w:p>
    <w:p w:rsidR="00000000" w:rsidRDefault="00000000">
      <w:pPr>
        <w:ind w:left="1134" w:hanging="1134"/>
      </w:pPr>
    </w:p>
    <w:p w:rsidR="00000000" w:rsidRDefault="00000000">
      <w:r>
        <w:tab/>
      </w:r>
      <w:r>
        <w:rPr>
          <w:lang w:val="en-US"/>
        </w:rPr>
        <w:t>b</w:t>
      </w:r>
      <w:r>
        <w:t>)</w:t>
      </w:r>
      <w:r>
        <w:tab/>
        <w:t>по повышению уровня образования и профессионально-технической подготовки;</w:t>
      </w:r>
    </w:p>
    <w:p w:rsidR="00000000" w:rsidRDefault="00000000"/>
    <w:p w:rsidR="00000000" w:rsidRDefault="00000000">
      <w:r>
        <w:tab/>
      </w:r>
      <w:r>
        <w:rPr>
          <w:lang w:val="en-US"/>
        </w:rPr>
        <w:t>c</w:t>
      </w:r>
      <w:r>
        <w:t>)</w:t>
      </w:r>
      <w:r>
        <w:tab/>
        <w:t>по обеспечению коммунальными услугами мест проживания (снабжение питьевой водой и электроэнергией, устройство санитарных удобств, сбор твердых бытовых отходов, санитарная обработка и борьба с бытовыми вредителями);</w:t>
      </w:r>
    </w:p>
    <w:p w:rsidR="00000000" w:rsidRDefault="00000000">
      <w:pPr>
        <w:ind w:left="1134" w:hanging="1134"/>
      </w:pPr>
    </w:p>
    <w:p w:rsidR="00000000" w:rsidRDefault="00000000">
      <w:r>
        <w:tab/>
      </w:r>
      <w:r>
        <w:rPr>
          <w:lang w:val="en-US"/>
        </w:rPr>
        <w:t>d</w:t>
      </w:r>
      <w:r>
        <w:t>)</w:t>
      </w:r>
      <w:r>
        <w:tab/>
        <w:t>по общеобразовательной подготовке различных уровней, профессиональной подготовке в сфере искусств и ремесел;</w:t>
      </w:r>
    </w:p>
    <w:p w:rsidR="00000000" w:rsidRDefault="00000000">
      <w:pPr>
        <w:ind w:left="1134" w:hanging="1134"/>
      </w:pPr>
    </w:p>
    <w:p w:rsidR="00000000" w:rsidRDefault="00000000">
      <w:r>
        <w:tab/>
      </w:r>
      <w:r>
        <w:rPr>
          <w:lang w:val="en-US"/>
        </w:rPr>
        <w:t>e</w:t>
      </w:r>
      <w:r>
        <w:t>)</w:t>
      </w:r>
      <w:r>
        <w:tab/>
        <w:t>по снабжению недорогими продуктами питания и мясом;</w:t>
      </w:r>
    </w:p>
    <w:p w:rsidR="00000000" w:rsidRDefault="00000000"/>
    <w:p w:rsidR="00000000" w:rsidRDefault="00000000">
      <w:r>
        <w:tab/>
      </w:r>
      <w:r>
        <w:rPr>
          <w:lang w:val="en-US"/>
        </w:rPr>
        <w:t>f</w:t>
      </w:r>
      <w:r>
        <w:t>)</w:t>
      </w:r>
      <w:r>
        <w:tab/>
        <w:t>по строительству народных медпунктов и аптек;</w:t>
      </w:r>
    </w:p>
    <w:p w:rsidR="00000000" w:rsidRDefault="00000000"/>
    <w:p w:rsidR="00000000" w:rsidRDefault="00000000">
      <w:r>
        <w:tab/>
      </w:r>
      <w:r>
        <w:rPr>
          <w:lang w:val="en-US"/>
        </w:rPr>
        <w:t>g</w:t>
      </w:r>
      <w:r>
        <w:t>)</w:t>
      </w:r>
      <w:r>
        <w:tab/>
        <w:t>по выделению стипендий учащимся вузов.</w:t>
      </w:r>
    </w:p>
    <w:p w:rsidR="00000000" w:rsidRDefault="00000000"/>
    <w:p w:rsidR="00000000" w:rsidRDefault="00000000">
      <w:r>
        <w:t>39.</w:t>
      </w:r>
      <w:r>
        <w:tab/>
        <w:t>Координация и финансовая поддержка этих программ осуществляются в рамках соглашений, заключенных с неправительственными организациями, правительственными учреждениями и прежде всего с Имущественным фондом реформированных предприятий (ФОНПЕР) и фондом ГСС.</w:t>
      </w:r>
    </w:p>
    <w:p w:rsidR="00000000" w:rsidRDefault="00000000"/>
    <w:p w:rsidR="00000000" w:rsidRDefault="00000000">
      <w:r>
        <w:t>40.</w:t>
      </w:r>
      <w:r>
        <w:tab/>
        <w:t>В 2004 году были осуществлены такие разнообразные проекты, как строительство мини-водопроводов, септических камер, водоочистительных установок, жилых и многофункциональных зданий;  организация санитарно-профилактических мероприятий и кампаний по борьбе с вредителями в целях предотвращения распространения инфекционных и заразных заболеваний;  проведение дней здоровья;  раздача одежды и продуктов питания.</w:t>
      </w:r>
    </w:p>
    <w:p w:rsidR="00000000" w:rsidRDefault="00000000"/>
    <w:p w:rsidR="00000000" w:rsidRDefault="00000000">
      <w:r>
        <w:t>41.</w:t>
      </w:r>
      <w:r>
        <w:tab/>
        <w:t>С другой стороны, были организованы мероприятия в поддержку программ по восстановлению лесов;  оказана материальная помощь лицам, страдающим заболеваниями;  выделены земельные участки в пользование ассоциаций, НПО и учреждений, строящих объекты социального значения;  переданы различные права сахарным заводам.</w:t>
      </w:r>
    </w:p>
    <w:p w:rsidR="00000000" w:rsidRDefault="00000000"/>
    <w:p w:rsidR="00000000" w:rsidRDefault="00000000">
      <w:r>
        <w:t>42.</w:t>
      </w:r>
      <w:r>
        <w:tab/>
        <w:t>По мнению Доминиканской Республики, наиболее действенный способ покончить с бедностью - поднять уровень образования;  именно поэтому образовательные мероприятия являются стержнем всех долгосрочных планов в этой области.  Одна из наиболее важных программ направлена на активизацию вовлечения молодых людей, проживающих в батеях, в среду доминиканского студенчества и предусматривает выделение стипендий, для чего создан специальный орган, выполняющий соответствующие задачи.  Кроме того, при поддержке Института профессионально-технического образования (ИНФОТЕП) разрабатываются программы по охвату тех общин, где еще не организованы какие-либо курсы профессиональной подготовки.</w:t>
      </w:r>
    </w:p>
    <w:p w:rsidR="00000000" w:rsidRDefault="00000000"/>
    <w:p w:rsidR="00000000" w:rsidRDefault="00000000">
      <w:r>
        <w:t>43.</w:t>
      </w:r>
      <w:r>
        <w:tab/>
        <w:t>Проводятся выезды на места для ознакомления с состоянием тех сооружений, которые были уступлены, сданы в аренду или проданы учреждениям и/или частным лицам, с тем чтобы выявить те, где имеются нарушения.</w:t>
      </w:r>
    </w:p>
    <w:p w:rsidR="00000000" w:rsidRDefault="00000000"/>
    <w:p w:rsidR="00000000" w:rsidRDefault="00000000">
      <w:r>
        <w:t>44.</w:t>
      </w:r>
      <w:r>
        <w:tab/>
        <w:t xml:space="preserve">Вводится в действие типовая программа по развитию батеев, для чего в специально отобранных поселках осуществляется сбор информации в целях реализации комплексного плана развития, который позволил бы устранить проблемы, затрудняющие предоставление базовых услуг.  В этой связи в семи батеях была проведена перепись, по результатам которой они будут перестроены и обеспечены всеми необходимыми услугами.  Кроме того, в них будут построены школы и центры здравоохранения, отремонтированы санитарные коммуникации, перестроены жилища, на основных улицах будут оборудованы тротуары и бордюры, уложено дорожное покрытие.  Для реализации данной типовой программы отобраны следующие батеи:  Алехандро-Басс в Сан-Педро-де-Макорис;  Халонга в Ато-Майор, сахарный завод "Порвенир";  Кангрехос и Панчо-Матео в Пуэрто-Плата;  Энрикильо в Сабана-Гранде-де-Бойя;  Альгодонес и Альтаграсия в Бараоне. </w:t>
      </w:r>
    </w:p>
    <w:p w:rsidR="00000000" w:rsidRDefault="00000000"/>
    <w:p w:rsidR="00000000" w:rsidRDefault="00000000">
      <w:r>
        <w:t>45.</w:t>
      </w:r>
      <w:r>
        <w:tab/>
        <w:t>Были проведены 16 оперативных кампаний для оказания медицинской, стоматологической помощи и раздачи продуктов питания.  Медицинская помощь оказана 10 605 пациентам;  стоматологическая - 3 274 пациентам;  было выдано 10 000 продуктовых наборов.  Общая сумма помощи составила 2 652 979,62 песо (см. таблицу 1).</w:t>
      </w:r>
    </w:p>
    <w:p w:rsidR="00000000" w:rsidRDefault="00000000"/>
    <w:p w:rsidR="00000000" w:rsidRDefault="00000000">
      <w:pPr>
        <w:jc w:val="center"/>
        <w:rPr>
          <w:b/>
          <w:bCs/>
        </w:rPr>
      </w:pPr>
      <w:r>
        <w:rPr>
          <w:b/>
          <w:bCs/>
        </w:rPr>
        <w:t>Таблица 1:  Расходы в разбивке по уровням</w:t>
      </w:r>
    </w:p>
    <w:p w:rsidR="00000000" w:rsidRDefault="00000000"/>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6"/>
        <w:gridCol w:w="3740"/>
      </w:tblGrid>
      <w:tr w:rsidR="00000000">
        <w:tblPrEx>
          <w:tblCellMar>
            <w:top w:w="0" w:type="dxa"/>
            <w:bottom w:w="0" w:type="dxa"/>
          </w:tblCellMar>
        </w:tblPrEx>
        <w:tc>
          <w:tcPr>
            <w:tcW w:w="3366" w:type="dxa"/>
          </w:tcPr>
          <w:p w:rsidR="00000000" w:rsidRDefault="00000000">
            <w:pPr>
              <w:rPr>
                <w:b/>
                <w:bCs/>
              </w:rPr>
            </w:pPr>
            <w:r>
              <w:rPr>
                <w:b/>
                <w:bCs/>
              </w:rPr>
              <w:t>Уровень</w:t>
            </w:r>
          </w:p>
        </w:tc>
        <w:tc>
          <w:tcPr>
            <w:tcW w:w="3740" w:type="dxa"/>
          </w:tcPr>
          <w:p w:rsidR="00000000" w:rsidRDefault="00000000">
            <w:pPr>
              <w:rPr>
                <w:b/>
                <w:bCs/>
              </w:rPr>
            </w:pPr>
            <w:r>
              <w:rPr>
                <w:b/>
                <w:bCs/>
              </w:rPr>
              <w:t>Расходы (в песо)</w:t>
            </w:r>
          </w:p>
        </w:tc>
      </w:tr>
      <w:tr w:rsidR="00000000">
        <w:tblPrEx>
          <w:tblCellMar>
            <w:top w:w="0" w:type="dxa"/>
            <w:bottom w:w="0" w:type="dxa"/>
          </w:tblCellMar>
        </w:tblPrEx>
        <w:tc>
          <w:tcPr>
            <w:tcW w:w="3366" w:type="dxa"/>
          </w:tcPr>
          <w:p w:rsidR="00000000" w:rsidRDefault="00000000">
            <w:r>
              <w:t>Начальный</w:t>
            </w:r>
          </w:p>
        </w:tc>
        <w:tc>
          <w:tcPr>
            <w:tcW w:w="3740" w:type="dxa"/>
          </w:tcPr>
          <w:p w:rsidR="00000000" w:rsidRDefault="00000000">
            <w:pPr>
              <w:rPr>
                <w:bCs/>
              </w:rPr>
            </w:pPr>
            <w:r>
              <w:rPr>
                <w:bCs/>
                <w:lang w:val="es-ES"/>
              </w:rPr>
              <w:t>14 737 695,00</w:t>
            </w:r>
          </w:p>
        </w:tc>
      </w:tr>
      <w:tr w:rsidR="00000000">
        <w:tblPrEx>
          <w:tblCellMar>
            <w:top w:w="0" w:type="dxa"/>
            <w:bottom w:w="0" w:type="dxa"/>
          </w:tblCellMar>
        </w:tblPrEx>
        <w:tc>
          <w:tcPr>
            <w:tcW w:w="3366" w:type="dxa"/>
          </w:tcPr>
          <w:p w:rsidR="00000000" w:rsidRDefault="00000000">
            <w:r>
              <w:t>Базовый</w:t>
            </w:r>
          </w:p>
        </w:tc>
        <w:tc>
          <w:tcPr>
            <w:tcW w:w="3740" w:type="dxa"/>
          </w:tcPr>
          <w:p w:rsidR="00000000" w:rsidRDefault="00000000">
            <w:pPr>
              <w:rPr>
                <w:bCs/>
              </w:rPr>
            </w:pPr>
            <w:r>
              <w:rPr>
                <w:bCs/>
                <w:lang w:val="es-ES"/>
              </w:rPr>
              <w:t>157 132 100,00</w:t>
            </w:r>
          </w:p>
        </w:tc>
      </w:tr>
      <w:tr w:rsidR="00000000">
        <w:tblPrEx>
          <w:tblCellMar>
            <w:top w:w="0" w:type="dxa"/>
            <w:bottom w:w="0" w:type="dxa"/>
          </w:tblCellMar>
        </w:tblPrEx>
        <w:tc>
          <w:tcPr>
            <w:tcW w:w="3366" w:type="dxa"/>
          </w:tcPr>
          <w:p w:rsidR="00000000" w:rsidRDefault="00000000">
            <w:r>
              <w:t>Средний</w:t>
            </w:r>
          </w:p>
        </w:tc>
        <w:tc>
          <w:tcPr>
            <w:tcW w:w="3740" w:type="dxa"/>
          </w:tcPr>
          <w:p w:rsidR="00000000" w:rsidRDefault="00000000">
            <w:pPr>
              <w:rPr>
                <w:bCs/>
              </w:rPr>
            </w:pPr>
            <w:r>
              <w:rPr>
                <w:bCs/>
                <w:lang w:val="es-ES"/>
              </w:rPr>
              <w:t>13 613 432,00</w:t>
            </w:r>
          </w:p>
        </w:tc>
      </w:tr>
      <w:tr w:rsidR="00000000">
        <w:tblPrEx>
          <w:tblCellMar>
            <w:top w:w="0" w:type="dxa"/>
            <w:bottom w:w="0" w:type="dxa"/>
          </w:tblCellMar>
        </w:tblPrEx>
        <w:tc>
          <w:tcPr>
            <w:tcW w:w="3366" w:type="dxa"/>
          </w:tcPr>
          <w:p w:rsidR="00000000" w:rsidRDefault="00000000">
            <w:r>
              <w:t>Специальный</w:t>
            </w:r>
          </w:p>
        </w:tc>
        <w:tc>
          <w:tcPr>
            <w:tcW w:w="3740" w:type="dxa"/>
          </w:tcPr>
          <w:p w:rsidR="00000000" w:rsidRDefault="00000000">
            <w:pPr>
              <w:rPr>
                <w:bCs/>
              </w:rPr>
            </w:pPr>
            <w:r>
              <w:rPr>
                <w:bCs/>
                <w:lang w:val="es-ES"/>
              </w:rPr>
              <w:t>101 850,00</w:t>
            </w:r>
          </w:p>
        </w:tc>
      </w:tr>
      <w:tr w:rsidR="00000000">
        <w:tblPrEx>
          <w:tblCellMar>
            <w:top w:w="0" w:type="dxa"/>
            <w:bottom w:w="0" w:type="dxa"/>
          </w:tblCellMar>
        </w:tblPrEx>
        <w:tc>
          <w:tcPr>
            <w:tcW w:w="3366" w:type="dxa"/>
          </w:tcPr>
          <w:p w:rsidR="00000000" w:rsidRDefault="00000000">
            <w:r>
              <w:t>Для взрослых</w:t>
            </w:r>
          </w:p>
        </w:tc>
        <w:tc>
          <w:tcPr>
            <w:tcW w:w="3740" w:type="dxa"/>
          </w:tcPr>
          <w:p w:rsidR="00000000" w:rsidRDefault="00000000">
            <w:pPr>
              <w:rPr>
                <w:bCs/>
              </w:rPr>
            </w:pPr>
            <w:r>
              <w:rPr>
                <w:bCs/>
                <w:lang w:val="es-ES"/>
              </w:rPr>
              <w:t>6 565 930,00</w:t>
            </w:r>
          </w:p>
        </w:tc>
      </w:tr>
    </w:tbl>
    <w:p w:rsidR="00000000" w:rsidRDefault="00000000"/>
    <w:p w:rsidR="00000000" w:rsidRDefault="00000000">
      <w:r>
        <w:t>46.</w:t>
      </w:r>
      <w:r>
        <w:tab/>
        <w:t>Совместно с ассоциацией "Батей релиф алаенс" (БРА-Доминикана) были организованы три выезда для оказания на местах офтальмологической и стоматологической помощи.  В них приняли участие 32 врача из Соединенных Штатов Америки (из штата Висконсин и города Бостон, штат Массачусетс), которые работали в батее Гуаябаль-де-Бока-Чика, в поселковых районах Вилья-Хуана и в батее Сентраль, Бараона.  В ходе первого выезда, в феврале 2005 года, офтальмологическая помощь была оказана 503 пациентам, которые получили не только консультации, но и очки, глазные капли и т.д.  Лечению подвергались такие патологии, как глаукома, катаракта, конъюнктивит, астигматизм, миопия и проч.  Стоматологическую помощь получил 161 человек.  Во время второго выезда офтальмологическую помощь получили 1 820 пациентов, а стоматологическую - 170 человек.  Общая стоимость мероприятий составила:  100 000 долл. США, которые предоставила БРА-Доминикана, и 300 000 песо, которые внес Государственный совет по сахару.</w:t>
      </w:r>
    </w:p>
    <w:p w:rsidR="00000000" w:rsidRDefault="00000000"/>
    <w:p w:rsidR="00000000" w:rsidRDefault="00000000">
      <w:r>
        <w:t>47.</w:t>
      </w:r>
      <w:r>
        <w:tab/>
        <w:t>В целях разработки стратегического плана по проблематике здравоохранения в батеях, находящихся в ведении ГСС, было подписано соглашение о сотрудничестве с испанской сетью "Оспитен".  Соглашение предусматривает образование постоянной чрезвычайной комиссии, задача которой - удовлетворение спроса на услуги здравоохранения в случае чрезвычайных ситуаций (в том числе наводнений, ураганов, пожаров), формирование комиссии по выработке средне- и долгосрочной стратегии здравоохранения, а также создание смешанной структуры, способной анализировать все возможности, которые есть в стране и за рубежом, с тем чтобы ГСС мог использовать их в интересах здравоохранения.  Представители "Оспитен" будут принимать участие в выездах на места, организуемых ГСС для оказания медицинской помощи, и снабжать пациентов бесплатными лекарствами.</w:t>
      </w:r>
    </w:p>
    <w:p w:rsidR="00000000" w:rsidRDefault="00000000"/>
    <w:p w:rsidR="00000000" w:rsidRDefault="00000000">
      <w:r>
        <w:t>48.</w:t>
      </w:r>
      <w:r>
        <w:tab/>
        <w:t>ГСС подписал также соглашение с независимой некоммерческой НПО "Алас-де-Игуальдад" ("Крылья равенства"), штаб-квартира которой находится в городе Санто-Доминго.  Ее усилия будут сосредоточены на поселках, находящихся под юрисдикцией сахарного завода "Консуэло".  Программой действий предусмотрено:  оборудование отхожих мест;  строительство и ремонт школ и центров здравоохранения;  возведение ограждений и заборов вокруг школ и/или центров здравоохранения;  создание системы водоснабжения и т.д.  Одновременно в школах будут внедряться учебные программы по выращиванию овощей на пришкольных участках, продукция которых будет раздаваться учащимся.</w:t>
      </w:r>
    </w:p>
    <w:p w:rsidR="00000000" w:rsidRDefault="00000000"/>
    <w:p w:rsidR="00000000" w:rsidRDefault="00000000">
      <w:r>
        <w:t>49.</w:t>
      </w:r>
      <w:r>
        <w:tab/>
        <w:t>В соответствии со стратегией программы "Сначала накормить" Исполнительная дирекция ГСС подписала соглашение с сетью столовых экономического класса об организации столовых и центров производства и розничной продажи продуктов для жителей батеев.  Продукты питания будут продаваться по минимальной цене, как и в остальных столовых экономического класса по всей стране.</w:t>
      </w:r>
    </w:p>
    <w:p w:rsidR="00000000" w:rsidRDefault="00000000"/>
    <w:p w:rsidR="00000000" w:rsidRDefault="00000000">
      <w:r>
        <w:t>50.</w:t>
      </w:r>
      <w:r>
        <w:tab/>
        <w:t>Опираясь на поддержку правительства, Государственный совет по сахару во взаимодействии с Фондом агропромышленного развития (ФЕДА) и ИНФОТЕП утвердил программы помощи жителям поселков при сахарных заводах.  В частности, удалось получить 50 кур-несушек, которые в ходе очередного выезда были розданы в Бараоне (Батей 4).  Также предусмотрена программа по передаче жителям батеев коз, овец, свиней и кур.</w:t>
      </w:r>
    </w:p>
    <w:p w:rsidR="00000000" w:rsidRDefault="00000000"/>
    <w:p w:rsidR="00000000" w:rsidRDefault="00000000">
      <w:r>
        <w:t>51.</w:t>
      </w:r>
      <w:r>
        <w:tab/>
        <w:t xml:space="preserve">При поддержке ответственных за социальное развитие работников сахарных заводов и региональных уполномоченных ИНФОТЕП организуются различные технические курсы по подготовке маляров, закройщиков и портных, механиков, электриков, специалистов по ремонту электробытовых приборов, по обустройству территорий и т.д., с тем чтобы дать молодым людям, проживающим в батеях, те профессии, которые обеспечат им доступ на рынок труда. </w:t>
      </w:r>
    </w:p>
    <w:p w:rsidR="00000000" w:rsidRDefault="00000000"/>
    <w:p w:rsidR="00000000" w:rsidRDefault="00000000">
      <w:r>
        <w:t>52.</w:t>
      </w:r>
      <w:r>
        <w:tab/>
        <w:t>На уровне руководства ГСС провел заседания с целью включить батеи в президентскую программу "Сначала накормить", в рамках которой жителям выдаются социальные карты, дающие право на получение пособия для приобретения продуктов питания и пропана.  Рабочая группа, состоящая из ответственных за социальное развитие работников сахарных заводов, собирает информацию в целях подготовки рекомендаций по дальнейшему плану работ на ближайшую и среднесрочную перспективу.</w:t>
      </w:r>
    </w:p>
    <w:p w:rsidR="00000000" w:rsidRDefault="00000000"/>
    <w:p w:rsidR="00000000" w:rsidRDefault="00000000">
      <w:r>
        <w:t>53.</w:t>
      </w:r>
      <w:r>
        <w:tab/>
        <w:t>На начальном этапе этой правительственной программы Имущественный фонд реформированных предприятий принял участие в нескольких выездах в батеи, организованных ГСС, выделив для раздачи предметы домашнего обихода, как то:  печки, газовые баллоны, противомоскитные сетки, кровати.  Эти предметы распределялись среди наиболее нуждающихся жителей посредством жребия.  Во время последних выездов подобная утварь для дома приобреталась ГСС за счет собственных средств.</w:t>
      </w:r>
    </w:p>
    <w:p w:rsidR="00000000" w:rsidRDefault="00000000"/>
    <w:p w:rsidR="00000000" w:rsidRDefault="00000000">
      <w:r>
        <w:t>54.</w:t>
      </w:r>
      <w:r>
        <w:tab/>
        <w:t>Комиссия по реформе здравоохранения безвозмездно передала ГСС многочисленные предметы медицинского оборудования, в том числе семь кроватей с электроприводами, девять кроватей с гидроприводами, 18 деревянных и металлических стульев, две инвалидные коляски, два вращающихся стула, два письменных стола, а также стеллажи, краску, ящики, передвижные туалеты и проч.  Часть этого оборудования была передана больницам в Сан-Педро-де-Макорис и Ла-Романа, которые принимают множество пациентов из батеев.</w:t>
      </w:r>
    </w:p>
    <w:p w:rsidR="00000000" w:rsidRDefault="00000000"/>
    <w:p w:rsidR="00000000" w:rsidRDefault="00000000">
      <w:r>
        <w:t>55.</w:t>
      </w:r>
      <w:r>
        <w:tab/>
        <w:t>В рамках контактов на уровне правительственных учреждений следует особо отметить ряд проектов, разработанных совместно с министерством по делам женщин (МДЖ).  В частности, выдвинуто предложение организовать несколько центров по обучению кройке и шитью.</w:t>
      </w:r>
    </w:p>
    <w:p w:rsidR="00000000" w:rsidRDefault="00000000"/>
    <w:p w:rsidR="00000000" w:rsidRDefault="00000000">
      <w:pPr>
        <w:rPr>
          <w:b/>
          <w:bCs/>
        </w:rPr>
      </w:pPr>
      <w:r>
        <w:rPr>
          <w:b/>
          <w:bCs/>
        </w:rPr>
        <w:t>Здравоохранение</w:t>
      </w:r>
    </w:p>
    <w:p w:rsidR="00000000" w:rsidRDefault="00000000"/>
    <w:p w:rsidR="00000000" w:rsidRDefault="00000000">
      <w:r>
        <w:t>56.</w:t>
      </w:r>
      <w:r>
        <w:tab/>
        <w:t>Большинство граждан африканского происхождения находятся на низших ступенях общества, и именно они больше всего нуждаются в социальных услугах.  В стране за последние годы, и особенно в 2002 году, увеличилось количество центров социальной помощи, а после принятия и введения в действие Закона № 87-01 о доминиканской системе социального обеспечения все граждане имеют социальные гарантии.</w:t>
      </w:r>
    </w:p>
    <w:p w:rsidR="00000000" w:rsidRDefault="00000000"/>
    <w:p w:rsidR="00000000" w:rsidRDefault="00000000">
      <w:r>
        <w:t>57.</w:t>
      </w:r>
      <w:r>
        <w:tab/>
        <w:t>В области здравоохранения Доминиканская Республика добилась существенных успехов.  Материнская смертность на каждые 100 000 родов сократилась с 269 случаев в 1999 году до 116 случаев в 2000 году.  Детская же смертность на каждую 1 000 новорожденных снизилась с 47 случаев в 1996 году до 31 случая в 2002 году.</w:t>
      </w:r>
    </w:p>
    <w:p w:rsidR="00000000" w:rsidRDefault="00000000"/>
    <w:p w:rsidR="00000000" w:rsidRDefault="00000000">
      <w:r>
        <w:t>58.</w:t>
      </w:r>
      <w:r>
        <w:tab/>
        <w:t xml:space="preserve">Расширяется инфраструктура здравоохранения в сельских районах и на окраинах основных городов:  построено 89 медицинских амбулаторий в городских предместьях, 15 медпунктов и 30 сельских клиник.  Наряду с этим расширяются и реконструируются больницы в населенных пунктах Элиас-Пинья, Лас-Матас-де-Фарфан, Сан-Хуан, Химани, Педерналес, Дуэрме и Сан-Кристобаль. </w:t>
      </w:r>
    </w:p>
    <w:p w:rsidR="00000000" w:rsidRDefault="00000000"/>
    <w:p w:rsidR="00000000" w:rsidRDefault="00000000">
      <w:r>
        <w:t>59.</w:t>
      </w:r>
      <w:r>
        <w:tab/>
        <w:t>Президент Республики объявил о строительстве в Асуа при поддержке правительства Тайваня больницы, которая будет одной из самых современных в Карибском бассейне.</w:t>
      </w:r>
    </w:p>
    <w:p w:rsidR="00000000" w:rsidRDefault="00000000"/>
    <w:p w:rsidR="00000000" w:rsidRDefault="00000000">
      <w:r>
        <w:t>60.</w:t>
      </w:r>
      <w:r>
        <w:tab/>
        <w:t>Политика в области профилактики и искоренения таких инфекционных заболеваний, как корь, коклюш, столбняк и менингит, привела к заметным успехам.  Благодаря принятым профилактическим мерам в 2001 году не было зарегистрировано ни одного случая заболевания менингитом, в то время как в 2000 году таких случаев было 461.</w:t>
      </w:r>
    </w:p>
    <w:p w:rsidR="00000000" w:rsidRDefault="00000000"/>
    <w:p w:rsidR="00000000" w:rsidRDefault="00000000">
      <w:r>
        <w:t>61.</w:t>
      </w:r>
      <w:r>
        <w:tab/>
        <w:t>Что касается заболевания ВИЧ/СПИДом, то министерство здравоохранения проводит в жизнь в общенациональном масштабе политику оказания комплексной помощи пациентам с ВИЧ/СПИДом, которая предусматривает лабораторную диагностику и обеспечение антиретровирусными медикаментами, способствующими укреплению иммунологической устойчивости пациента и препятствующими дальнейшему распространению вируса.  Эта помощь включает также в себя помещение в амбулаторию на период до и после проведения теста на положительный или отрицательный результат, вирусную нагрузку, лечение в домашних условиях, заботу о детях в случае смерти их родителей, специализированные консультации и питание.</w:t>
      </w:r>
    </w:p>
    <w:p w:rsidR="00000000" w:rsidRDefault="00000000"/>
    <w:p w:rsidR="00000000" w:rsidRDefault="00000000">
      <w:r>
        <w:t>62.</w:t>
      </w:r>
      <w:r>
        <w:tab/>
        <w:t xml:space="preserve">Для установления пациентов, которым может быть прописана антиретровирусная терапия, производится подсчет клеток </w:t>
      </w:r>
      <w:r>
        <w:rPr>
          <w:lang w:val="en-US"/>
        </w:rPr>
        <w:t>CD</w:t>
      </w:r>
      <w:r>
        <w:t>4, т.е. количества белых кровяных шариков, которые активизируют борьбу с инфекцией.  По результатам такого обследования определяется, кому из пациентов следует назначить прием антиретровирусных препаратов.</w:t>
      </w:r>
    </w:p>
    <w:p w:rsidR="00000000" w:rsidRDefault="00000000"/>
    <w:p w:rsidR="00000000" w:rsidRDefault="00000000">
      <w:pPr>
        <w:rPr>
          <w:b/>
          <w:bCs/>
        </w:rPr>
      </w:pPr>
      <w:r>
        <w:rPr>
          <w:b/>
          <w:bCs/>
        </w:rPr>
        <w:t>Социальное обеспечение</w:t>
      </w:r>
    </w:p>
    <w:p w:rsidR="00000000" w:rsidRDefault="00000000"/>
    <w:p w:rsidR="00000000" w:rsidRDefault="00000000">
      <w:r>
        <w:t>63.</w:t>
      </w:r>
      <w:r>
        <w:tab/>
        <w:t>Во исполнение статьи 9 Международного пакта об экономических, социальных и культурных правах Доминиканская Республика приняла Закон № 87-01.  В 2003 году на юго-западе страны приступили к формированию системы социального обеспечения, для чего еще в 2002 году были образованы 147 первичных отделений, что позволит совершить качественный скачок в деле реформирования здравоохранения на всей национальной территории.  В нынешнем году система социального обеспечения покроет всю страну, дав возможность улучшить условия жизни сотен тысяч трудящихся и членов их семей.</w:t>
      </w:r>
    </w:p>
    <w:p w:rsidR="00000000" w:rsidRDefault="00000000"/>
    <w:p w:rsidR="00000000" w:rsidRDefault="00000000">
      <w:r>
        <w:t>64.</w:t>
      </w:r>
      <w:r>
        <w:tab/>
        <w:t>В сфере защиты прав трудящихся благоприятная эволюция произошла не только на уровне законодательства, но и на практике.  Доминиканская Республика подписала большинство конвенций МОТ.</w:t>
      </w:r>
    </w:p>
    <w:p w:rsidR="00000000" w:rsidRDefault="00000000"/>
    <w:p w:rsidR="00000000" w:rsidRDefault="00000000">
      <w:r>
        <w:t>65.</w:t>
      </w:r>
      <w:r>
        <w:tab/>
        <w:t>Особо следует отметить Конвенцию № 111 МОТ о дискриминации в области труда и занятий от 1958 года, поскольку теперь все доминиканцы, вне зависимости от расы и пола, имеют право на труд.  Трудящиеся могут также создавать профсоюзы и пользоваться правом на забастовку.</w:t>
      </w:r>
    </w:p>
    <w:p w:rsidR="00000000" w:rsidRDefault="00000000"/>
    <w:p w:rsidR="00000000" w:rsidRDefault="00000000">
      <w:r>
        <w:t>66.</w:t>
      </w:r>
      <w:r>
        <w:tab/>
        <w:t>Согласно результатам исследований, выходцы из семей с африканскими корнями, особенно женщины, трудятся в свободных экономических зонах, заняты на домашних работах и в неформальном секторе экономики.</w:t>
      </w:r>
    </w:p>
    <w:p w:rsidR="00000000" w:rsidRDefault="00000000"/>
    <w:p w:rsidR="00000000" w:rsidRDefault="00000000">
      <w:r>
        <w:t>67.</w:t>
      </w:r>
      <w:r>
        <w:tab/>
        <w:t>В Доминиканской Республике не существует чистоты нации, поскольку более 90% населения имеют негритянские корни.  Другие расы - белая и желтая - представляли собой этнические группы, которые, перемешиваясь между собой, обусловили генетические и физические характеристики, значительно отличающиеся от исконной расы.  Даже в представителях одной расы видны черты всех других - и это уже никого не удивляет.</w:t>
      </w:r>
    </w:p>
    <w:p w:rsidR="00000000" w:rsidRDefault="00000000"/>
    <w:p w:rsidR="00000000" w:rsidRDefault="00000000">
      <w:r>
        <w:t>68.</w:t>
      </w:r>
      <w:r>
        <w:tab/>
        <w:t xml:space="preserve">Многообразие культур, возникшее в результате смешения и появления новых этнических групп, создает каналы, делающие возможным уважительный диалог в рамках социальной структуры.  Политика в области культуры, проводимая государством и направленная на развитие программ по изучению и уважению общенациональной и местных культур, способствует укреплению культурной самобытности нации. </w:t>
      </w:r>
    </w:p>
    <w:p w:rsidR="00000000" w:rsidRDefault="00000000"/>
    <w:p w:rsidR="00000000" w:rsidRDefault="00000000">
      <w:r>
        <w:t>69.</w:t>
      </w:r>
      <w:r>
        <w:tab/>
        <w:t>Культурное влияние африканского этноса проявляется в различных уголках национальной территории, особенно там, где укоренились симарроны.  Будучи бунтарями, симарроны привнесли свою культуру, например в Вилья-Мелья, поселение неподалеку от Национального округа, где по сей день практикуют различные культы с традиционными африканскими ритуалами.  В мае 2001 года Организация Объединенных Наций по вопросам образования, науки и культуры (ЮНЕСКО) признала эти проявления культуры и провозгласила Культурное пространство Братства Святого Духа конголезцев Вилья-Мелья (Доминиканская Республика) в качестве шедевра устного и нематериального достояния человечества.</w:t>
      </w:r>
    </w:p>
    <w:p w:rsidR="00000000" w:rsidRDefault="00000000"/>
    <w:p w:rsidR="00000000" w:rsidRDefault="00000000">
      <w:pPr>
        <w:rPr>
          <w:b/>
          <w:bCs/>
        </w:rPr>
      </w:pPr>
      <w:r>
        <w:rPr>
          <w:b/>
          <w:bCs/>
        </w:rPr>
        <w:t>Жилье</w:t>
      </w:r>
    </w:p>
    <w:p w:rsidR="00000000" w:rsidRDefault="00000000"/>
    <w:p w:rsidR="00000000" w:rsidRDefault="00000000">
      <w:r>
        <w:t>70.</w:t>
      </w:r>
      <w:r>
        <w:tab/>
        <w:t>При участии частного сектора была выделена сумма в 1 млрд. 800 млн. песо на контрактацию, работы по развитию городской инфраструктуры и ремонт 108 000 единиц жилья, из которых 18 000 были построены заново.  Кроме того, правительство заявило, что в ближайшие 11-14 месяцев за счет внешнего финансирования в объеме 115 млн. долларов будет завершено строительство еще 5 500 единиц жилья, которые будут переданы профобъединениям для их последующей раздачи, в частности, врачам, медсестрам и учителям по всей стране.</w:t>
      </w:r>
    </w:p>
    <w:p w:rsidR="00000000" w:rsidRDefault="00000000"/>
    <w:p w:rsidR="00000000" w:rsidRDefault="00000000">
      <w:pPr>
        <w:rPr>
          <w:b/>
          <w:bCs/>
        </w:rPr>
      </w:pPr>
      <w:r>
        <w:rPr>
          <w:b/>
          <w:bCs/>
        </w:rPr>
        <w:t>Бедность</w:t>
      </w:r>
    </w:p>
    <w:p w:rsidR="00000000" w:rsidRDefault="00000000"/>
    <w:p w:rsidR="00000000" w:rsidRDefault="00000000">
      <w:r>
        <w:t>71.</w:t>
      </w:r>
      <w:r>
        <w:tab/>
        <w:t>В рамках борьбы с бедностью государство выдало 14 700 займов мелким предпринимателям, что способствовало созданию 46 000 новых рабочих мест, а также предоставило 18 часов электроснабжения по низкому социальному тарифу более чем 3 млн. доминиканцев, проживающих в бедных районах страны.</w:t>
      </w:r>
    </w:p>
    <w:p w:rsidR="00000000" w:rsidRDefault="00000000"/>
    <w:p w:rsidR="00000000" w:rsidRDefault="00000000">
      <w:r>
        <w:t>72.</w:t>
      </w:r>
      <w:r>
        <w:tab/>
        <w:t>Были открыты 3 400 народных рынков, с тем чтобы позволить наиболее бедным семьям покупать продукты по субсидируемым ценам.  Правительство передало в собственность бедных семей 45 000 земельных участков и наделов;  в 14 400 домах земляной пол был заменен на цементный.  По состоянию на март 2003 года число матерей, получающих пособия по школьной карте, выросло до 50 000;  кроме того, к этому проекту дополнительно подключились еще 50 000 семей.  Школьные карты и завтраки, бесплатная выдача книг, школьной одежды и обуви позволили сократить на 12% число учеников, бросающих начальные школы.</w:t>
      </w:r>
    </w:p>
    <w:p w:rsidR="00000000" w:rsidRDefault="00000000"/>
    <w:p w:rsidR="00000000" w:rsidRDefault="00000000">
      <w:r>
        <w:t>73.</w:t>
      </w:r>
      <w:r>
        <w:tab/>
        <w:t>Под эгидой вооруженных сил была активизирована программа по предоставлению крова и гражданскому воспитанию безнадзорных детей и подростков.  Эти дети получают образование, питание и медицинское обслуживание, им прививаются навыки дисциплины, что в целом позволит им продуктивно интегрироваться в общество и разорвать порочный круг бедности своих семей.</w:t>
      </w:r>
    </w:p>
    <w:p w:rsidR="00000000" w:rsidRDefault="00000000"/>
    <w:p w:rsidR="00000000" w:rsidRDefault="00000000">
      <w:r>
        <w:t>74.</w:t>
      </w:r>
      <w:r>
        <w:tab/>
        <w:t>Поскольку среди основных жертв нарушений экономических, социальных и культурных прав фигурируют представители африканской культуры, необходимо:</w:t>
      </w:r>
    </w:p>
    <w:p w:rsidR="00000000" w:rsidRDefault="00000000"/>
    <w:p w:rsidR="00000000" w:rsidRDefault="00000000">
      <w:pPr>
        <w:ind w:left="1134" w:hanging="1134"/>
      </w:pPr>
      <w:r>
        <w:tab/>
      </w:r>
      <w:r>
        <w:rPr>
          <w:lang w:val="en-US"/>
        </w:rPr>
        <w:t>a</w:t>
      </w:r>
      <w:r>
        <w:t>)</w:t>
      </w:r>
      <w:r>
        <w:tab/>
        <w:t>выявить препятствия, мешающие участию лиц африканского происхождения в экономической, социальной и культурной жизни страны;</w:t>
      </w:r>
    </w:p>
    <w:p w:rsidR="00000000" w:rsidRDefault="00000000"/>
    <w:p w:rsidR="00000000" w:rsidRDefault="00000000">
      <w:pPr>
        <w:ind w:left="1134" w:hanging="1134"/>
      </w:pPr>
      <w:r>
        <w:tab/>
      </w:r>
      <w:r>
        <w:rPr>
          <w:lang w:val="en-US"/>
        </w:rPr>
        <w:t>b</w:t>
      </w:r>
      <w:r>
        <w:t>)</w:t>
      </w:r>
      <w:r>
        <w:tab/>
        <w:t>на основе опыта стран Латинской Америки, Карибского бассейна и других регионов, которые могут дать соответствующие примеры государствам нашего региона, выявить наилучшие практические решения по выработке, принятию и реализации стратегии позитивных мер применительно к лицам африканского происхождения;</w:t>
      </w:r>
    </w:p>
    <w:p w:rsidR="00000000" w:rsidRDefault="00000000"/>
    <w:p w:rsidR="00000000" w:rsidRDefault="00000000">
      <w:pPr>
        <w:ind w:left="1134" w:hanging="1134"/>
      </w:pPr>
      <w:r>
        <w:tab/>
      </w:r>
      <w:r>
        <w:rPr>
          <w:lang w:val="en-US"/>
        </w:rPr>
        <w:t>c</w:t>
      </w:r>
      <w:r>
        <w:t>)</w:t>
      </w:r>
      <w:r>
        <w:tab/>
        <w:t>содействовать принятию региональных актов, способствующих просвещению населения и позитивному восприятию политики конструктивных действий по отношению к гражданам африканского происхождения, с тем чтобы искоренить или исправить историческую несправедливость;  устранить социальную и структурную дискриминацию;  обеспечить пропорциональное представительство различных групп;  показать общинам, находящимся в ущемленном положении, позитивные примеры, которые помогут обеспечить им необходимую мотивацию и стимулы;  а также положить конец вредным стереотипам и предрассудкам;</w:t>
      </w:r>
    </w:p>
    <w:p w:rsidR="00000000" w:rsidRDefault="00000000"/>
    <w:p w:rsidR="00000000" w:rsidRDefault="00000000">
      <w:pPr>
        <w:ind w:left="1134" w:hanging="1134"/>
      </w:pPr>
      <w:r>
        <w:tab/>
      </w:r>
      <w:r>
        <w:rPr>
          <w:lang w:val="en-US"/>
        </w:rPr>
        <w:t>d</w:t>
      </w:r>
      <w:r>
        <w:t>)</w:t>
      </w:r>
      <w:r>
        <w:tab/>
        <w:t>противодействовать социальным волнениям, обеспечить эффективность и справедливость социально-экономической системы;</w:t>
      </w:r>
    </w:p>
    <w:p w:rsidR="00000000" w:rsidRDefault="00000000"/>
    <w:p w:rsidR="00000000" w:rsidRDefault="00000000">
      <w:pPr>
        <w:ind w:left="1134" w:hanging="1134"/>
      </w:pPr>
      <w:r>
        <w:tab/>
      </w:r>
      <w:r>
        <w:rPr>
          <w:lang w:val="en-US"/>
        </w:rPr>
        <w:t>e</w:t>
      </w:r>
      <w:r>
        <w:t>)</w:t>
      </w:r>
      <w:r>
        <w:tab/>
        <w:t>поддерживать исследования, направленные на восстановление ценностей африканского наследия;</w:t>
      </w:r>
    </w:p>
    <w:p w:rsidR="00000000" w:rsidRDefault="00000000"/>
    <w:p w:rsidR="00000000" w:rsidRDefault="00000000">
      <w:pPr>
        <w:ind w:left="1134" w:hanging="1134"/>
      </w:pPr>
      <w:r>
        <w:tab/>
      </w:r>
      <w:r>
        <w:rPr>
          <w:lang w:val="en-US"/>
        </w:rPr>
        <w:t>f</w:t>
      </w:r>
      <w:r>
        <w:t>)</w:t>
      </w:r>
      <w:r>
        <w:tab/>
        <w:t>пробудить самоуважение, основанное на значимости трудового вклада, который внесли рабы (мужчины и женщины) в период колонизации.</w:t>
      </w:r>
    </w:p>
    <w:p w:rsidR="00000000" w:rsidRDefault="00000000"/>
    <w:p w:rsidR="00000000" w:rsidRDefault="00000000">
      <w:r>
        <w:t>75.</w:t>
      </w:r>
      <w:r>
        <w:tab/>
        <w:t xml:space="preserve">Что касается залога </w:t>
      </w:r>
      <w:r>
        <w:rPr>
          <w:i/>
          <w:iCs/>
        </w:rPr>
        <w:t>judicatum solvi</w:t>
      </w:r>
      <w:r>
        <w:t>, установленного в статье 16 Гражданского кодекса, которая гласит, что "по всем делам и во всех юрисдикциях иностранец-нерезидент, являющийся главным истцом или привлеченным ответчиком, обязан внести залог для оплаты издержек, а также ущерба и вреда, вытекающих из данной тяжбы, за исключением случаев, когда он владеет в Доминиканской Республике недвижимостью, стоимость которой достаточна, чтобы обеспечить эту оплату", то Верховный суд своим распоряжением отменил действие данной статьи, сочтя ее дискриминационной, и это стало еще одним шагом на пути укрепления законодательства, касающегося запрещения дискриминации.  Верховный суд постановил также, что иностранный работник, не имеющий документов, вправе прибегать к правосудию, требуя оплаты своего труда.</w:t>
      </w:r>
    </w:p>
    <w:p w:rsidR="00000000" w:rsidRDefault="00000000"/>
    <w:p w:rsidR="00000000" w:rsidRDefault="00000000">
      <w:pPr>
        <w:jc w:val="center"/>
        <w:rPr>
          <w:b/>
          <w:bCs/>
        </w:rPr>
      </w:pPr>
      <w:r>
        <w:rPr>
          <w:b/>
          <w:bCs/>
        </w:rPr>
        <w:t>СТАТЬИ 6 И 7</w:t>
      </w:r>
    </w:p>
    <w:p w:rsidR="00000000" w:rsidRDefault="00000000"/>
    <w:p w:rsidR="00000000" w:rsidRDefault="00000000">
      <w:r>
        <w:t>76.</w:t>
      </w:r>
      <w:r>
        <w:tab/>
        <w:t>Министерство образования выступает гарантом права каждого ребенка на образование независимо от его национальности, как это установлено в Законе № 136-03 "Кодекс системы защиты и основных прав детей и подростков".  В 2004/2005 учебном году различные учебные заведения страны посещали 18 171 мальчик и девочка гаитянской национальности или с гаитянскими корнями (см. таблицу 2).</w:t>
      </w:r>
    </w:p>
    <w:p w:rsidR="00000000" w:rsidRDefault="00000000"/>
    <w:p w:rsidR="00000000" w:rsidRDefault="00000000">
      <w:pPr>
        <w:jc w:val="center"/>
        <w:rPr>
          <w:b/>
          <w:bCs/>
        </w:rPr>
      </w:pPr>
      <w:r>
        <w:rPr>
          <w:b/>
          <w:bCs/>
        </w:rPr>
        <w:t>Таблица 2:  Учащиеся гаитянской национальности в разбивке по</w:t>
      </w:r>
    </w:p>
    <w:p w:rsidR="00000000" w:rsidRDefault="00000000">
      <w:pPr>
        <w:jc w:val="center"/>
        <w:rPr>
          <w:b/>
          <w:bCs/>
          <w:szCs w:val="24"/>
        </w:rPr>
      </w:pPr>
      <w:r>
        <w:rPr>
          <w:b/>
          <w:bCs/>
        </w:rPr>
        <w:t xml:space="preserve">уровням образования и регионам, </w:t>
      </w:r>
      <w:r>
        <w:rPr>
          <w:b/>
          <w:bCs/>
          <w:szCs w:val="24"/>
          <w:lang w:val="es-ES"/>
        </w:rPr>
        <w:t>2005</w:t>
      </w:r>
      <w:r>
        <w:rPr>
          <w:b/>
          <w:bCs/>
          <w:szCs w:val="24"/>
        </w:rPr>
        <w:t>/</w:t>
      </w:r>
      <w:r>
        <w:rPr>
          <w:b/>
          <w:bCs/>
          <w:szCs w:val="24"/>
          <w:lang w:val="es-ES"/>
        </w:rPr>
        <w:t>2006</w:t>
      </w:r>
      <w:r>
        <w:rPr>
          <w:b/>
          <w:bCs/>
          <w:szCs w:val="24"/>
        </w:rPr>
        <w:t xml:space="preserve"> учебный год</w:t>
      </w:r>
    </w:p>
    <w:p w:rsidR="00000000" w:rsidRDefault="00000000">
      <w:pPr>
        <w:rPr>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284"/>
        <w:gridCol w:w="1182"/>
        <w:gridCol w:w="1144"/>
        <w:gridCol w:w="1515"/>
        <w:gridCol w:w="1302"/>
        <w:gridCol w:w="1047"/>
        <w:gridCol w:w="937"/>
      </w:tblGrid>
      <w:tr w:rsidR="00000000">
        <w:trPr>
          <w:cantSplit/>
          <w:tblHeader/>
        </w:trPr>
        <w:tc>
          <w:tcPr>
            <w:tcW w:w="2284" w:type="dxa"/>
            <w:vAlign w:val="center"/>
          </w:tcPr>
          <w:p w:rsidR="00000000" w:rsidRDefault="00000000">
            <w:pPr>
              <w:jc w:val="center"/>
              <w:rPr>
                <w:sz w:val="20"/>
                <w:lang w:val="es-DO"/>
              </w:rPr>
            </w:pPr>
          </w:p>
        </w:tc>
        <w:tc>
          <w:tcPr>
            <w:tcW w:w="7127" w:type="dxa"/>
            <w:gridSpan w:val="6"/>
            <w:vAlign w:val="center"/>
          </w:tcPr>
          <w:p w:rsidR="00000000" w:rsidRDefault="00000000">
            <w:pPr>
              <w:jc w:val="center"/>
              <w:rPr>
                <w:b/>
                <w:sz w:val="20"/>
              </w:rPr>
            </w:pPr>
            <w:r>
              <w:rPr>
                <w:b/>
                <w:sz w:val="20"/>
              </w:rPr>
              <w:t>Уровень</w:t>
            </w:r>
          </w:p>
        </w:tc>
      </w:tr>
      <w:tr w:rsidR="00000000">
        <w:trPr>
          <w:cantSplit/>
          <w:tblHeader/>
        </w:trPr>
        <w:tc>
          <w:tcPr>
            <w:tcW w:w="2284" w:type="dxa"/>
            <w:vAlign w:val="center"/>
          </w:tcPr>
          <w:p w:rsidR="00000000" w:rsidRDefault="00000000">
            <w:pPr>
              <w:rPr>
                <w:b/>
                <w:sz w:val="20"/>
              </w:rPr>
            </w:pPr>
            <w:r>
              <w:rPr>
                <w:b/>
                <w:sz w:val="20"/>
              </w:rPr>
              <w:t>Регион</w:t>
            </w:r>
          </w:p>
        </w:tc>
        <w:tc>
          <w:tcPr>
            <w:tcW w:w="1182" w:type="dxa"/>
            <w:vAlign w:val="center"/>
          </w:tcPr>
          <w:p w:rsidR="00000000" w:rsidRDefault="00000000">
            <w:pPr>
              <w:jc w:val="center"/>
              <w:rPr>
                <w:b/>
                <w:sz w:val="20"/>
              </w:rPr>
            </w:pPr>
            <w:r>
              <w:rPr>
                <w:b/>
                <w:sz w:val="20"/>
              </w:rPr>
              <w:t>Для взрослых</w:t>
            </w:r>
          </w:p>
        </w:tc>
        <w:tc>
          <w:tcPr>
            <w:tcW w:w="1144" w:type="dxa"/>
            <w:vAlign w:val="center"/>
          </w:tcPr>
          <w:p w:rsidR="00000000" w:rsidRDefault="00000000">
            <w:pPr>
              <w:jc w:val="center"/>
              <w:rPr>
                <w:b/>
                <w:sz w:val="20"/>
              </w:rPr>
            </w:pPr>
            <w:r>
              <w:rPr>
                <w:b/>
                <w:sz w:val="20"/>
              </w:rPr>
              <w:t>Базовый</w:t>
            </w:r>
          </w:p>
        </w:tc>
        <w:tc>
          <w:tcPr>
            <w:tcW w:w="1515" w:type="dxa"/>
            <w:vAlign w:val="center"/>
          </w:tcPr>
          <w:p w:rsidR="00000000" w:rsidRDefault="00000000">
            <w:pPr>
              <w:jc w:val="center"/>
              <w:rPr>
                <w:b/>
                <w:sz w:val="20"/>
              </w:rPr>
            </w:pPr>
            <w:r>
              <w:rPr>
                <w:b/>
                <w:sz w:val="20"/>
              </w:rPr>
              <w:t>Специальный</w:t>
            </w:r>
          </w:p>
        </w:tc>
        <w:tc>
          <w:tcPr>
            <w:tcW w:w="1302" w:type="dxa"/>
            <w:vAlign w:val="center"/>
          </w:tcPr>
          <w:p w:rsidR="00000000" w:rsidRDefault="00000000">
            <w:pPr>
              <w:jc w:val="center"/>
              <w:rPr>
                <w:b/>
                <w:sz w:val="20"/>
              </w:rPr>
            </w:pPr>
            <w:r>
              <w:rPr>
                <w:b/>
                <w:sz w:val="20"/>
              </w:rPr>
              <w:t>Начальный</w:t>
            </w:r>
          </w:p>
        </w:tc>
        <w:tc>
          <w:tcPr>
            <w:tcW w:w="1047" w:type="dxa"/>
            <w:vAlign w:val="center"/>
          </w:tcPr>
          <w:p w:rsidR="00000000" w:rsidRDefault="00000000">
            <w:pPr>
              <w:jc w:val="center"/>
              <w:rPr>
                <w:b/>
                <w:sz w:val="20"/>
              </w:rPr>
            </w:pPr>
            <w:r>
              <w:rPr>
                <w:b/>
                <w:sz w:val="20"/>
              </w:rPr>
              <w:t>Средний</w:t>
            </w:r>
          </w:p>
        </w:tc>
        <w:tc>
          <w:tcPr>
            <w:tcW w:w="937" w:type="dxa"/>
            <w:vAlign w:val="center"/>
          </w:tcPr>
          <w:p w:rsidR="00000000" w:rsidRDefault="00000000">
            <w:pPr>
              <w:jc w:val="center"/>
              <w:rPr>
                <w:b/>
                <w:sz w:val="20"/>
              </w:rPr>
            </w:pPr>
            <w:r>
              <w:rPr>
                <w:b/>
                <w:sz w:val="20"/>
              </w:rPr>
              <w:t>Итого</w:t>
            </w:r>
          </w:p>
        </w:tc>
      </w:tr>
      <w:tr w:rsidR="00000000">
        <w:trPr>
          <w:cantSplit/>
        </w:trPr>
        <w:tc>
          <w:tcPr>
            <w:tcW w:w="2284" w:type="dxa"/>
            <w:vAlign w:val="center"/>
          </w:tcPr>
          <w:p w:rsidR="00000000" w:rsidRDefault="00000000">
            <w:pPr>
              <w:rPr>
                <w:sz w:val="20"/>
                <w:lang w:val="es-DO"/>
              </w:rPr>
            </w:pPr>
            <w:r>
              <w:rPr>
                <w:sz w:val="20"/>
                <w:lang w:val="es-DO"/>
              </w:rPr>
              <w:t xml:space="preserve">01 </w:t>
            </w:r>
            <w:r>
              <w:rPr>
                <w:sz w:val="20"/>
              </w:rPr>
              <w:t>БАРАОНА</w:t>
            </w:r>
          </w:p>
        </w:tc>
        <w:tc>
          <w:tcPr>
            <w:tcW w:w="1182" w:type="dxa"/>
            <w:tcMar>
              <w:right w:w="227" w:type="dxa"/>
            </w:tcMar>
            <w:vAlign w:val="center"/>
          </w:tcPr>
          <w:p w:rsidR="00000000" w:rsidRDefault="00000000">
            <w:pPr>
              <w:jc w:val="right"/>
              <w:rPr>
                <w:sz w:val="20"/>
                <w:lang w:val="es-DO"/>
              </w:rPr>
            </w:pPr>
            <w:r>
              <w:rPr>
                <w:sz w:val="20"/>
                <w:lang w:val="es-DO"/>
              </w:rPr>
              <w:t>164</w:t>
            </w:r>
          </w:p>
        </w:tc>
        <w:tc>
          <w:tcPr>
            <w:tcW w:w="1144" w:type="dxa"/>
            <w:tcMar>
              <w:right w:w="227" w:type="dxa"/>
            </w:tcMar>
            <w:vAlign w:val="center"/>
          </w:tcPr>
          <w:p w:rsidR="00000000" w:rsidRDefault="00000000">
            <w:pPr>
              <w:jc w:val="right"/>
              <w:rPr>
                <w:sz w:val="20"/>
                <w:lang w:val="es-DO"/>
              </w:rPr>
            </w:pPr>
            <w:r>
              <w:rPr>
                <w:sz w:val="20"/>
                <w:lang w:val="es-DO"/>
              </w:rPr>
              <w:t>1 145</w:t>
            </w:r>
          </w:p>
        </w:tc>
        <w:tc>
          <w:tcPr>
            <w:tcW w:w="1515" w:type="dxa"/>
            <w:tcMar>
              <w:right w:w="227" w:type="dxa"/>
            </w:tcMar>
            <w:vAlign w:val="center"/>
          </w:tcPr>
          <w:p w:rsidR="00000000" w:rsidRDefault="00000000">
            <w:pPr>
              <w:jc w:val="right"/>
              <w:rPr>
                <w:sz w:val="20"/>
                <w:lang w:val="es-DO"/>
              </w:rPr>
            </w:pPr>
            <w:r>
              <w:rPr>
                <w:sz w:val="20"/>
                <w:lang w:val="es-DO"/>
              </w:rPr>
              <w:t>1</w:t>
            </w:r>
          </w:p>
        </w:tc>
        <w:tc>
          <w:tcPr>
            <w:tcW w:w="1302" w:type="dxa"/>
            <w:tcMar>
              <w:right w:w="227" w:type="dxa"/>
            </w:tcMar>
            <w:vAlign w:val="center"/>
          </w:tcPr>
          <w:p w:rsidR="00000000" w:rsidRDefault="00000000">
            <w:pPr>
              <w:jc w:val="right"/>
              <w:rPr>
                <w:sz w:val="20"/>
                <w:lang w:val="es-DO"/>
              </w:rPr>
            </w:pPr>
            <w:r>
              <w:rPr>
                <w:sz w:val="20"/>
                <w:lang w:val="es-DO"/>
              </w:rPr>
              <w:t>73</w:t>
            </w:r>
          </w:p>
        </w:tc>
        <w:tc>
          <w:tcPr>
            <w:tcW w:w="1047" w:type="dxa"/>
            <w:tcMar>
              <w:right w:w="227" w:type="dxa"/>
            </w:tcMar>
            <w:vAlign w:val="center"/>
          </w:tcPr>
          <w:p w:rsidR="00000000" w:rsidRDefault="00000000">
            <w:pPr>
              <w:jc w:val="right"/>
              <w:rPr>
                <w:sz w:val="20"/>
                <w:lang w:val="es-DO"/>
              </w:rPr>
            </w:pPr>
            <w:r>
              <w:rPr>
                <w:sz w:val="20"/>
                <w:lang w:val="es-DO"/>
              </w:rPr>
              <w:t>19</w:t>
            </w:r>
          </w:p>
        </w:tc>
        <w:tc>
          <w:tcPr>
            <w:tcW w:w="937" w:type="dxa"/>
            <w:tcMar>
              <w:right w:w="227" w:type="dxa"/>
            </w:tcMar>
            <w:vAlign w:val="center"/>
          </w:tcPr>
          <w:p w:rsidR="00000000" w:rsidRDefault="00000000">
            <w:pPr>
              <w:jc w:val="right"/>
              <w:rPr>
                <w:sz w:val="20"/>
                <w:lang w:val="es-DO"/>
              </w:rPr>
            </w:pPr>
            <w:r>
              <w:rPr>
                <w:sz w:val="20"/>
                <w:lang w:val="es-DO"/>
              </w:rPr>
              <w:t>1 402</w:t>
            </w:r>
          </w:p>
        </w:tc>
      </w:tr>
      <w:tr w:rsidR="00000000">
        <w:trPr>
          <w:cantSplit/>
        </w:trPr>
        <w:tc>
          <w:tcPr>
            <w:tcW w:w="2284" w:type="dxa"/>
            <w:vAlign w:val="center"/>
          </w:tcPr>
          <w:p w:rsidR="00000000" w:rsidRDefault="00000000">
            <w:pPr>
              <w:rPr>
                <w:sz w:val="20"/>
              </w:rPr>
            </w:pPr>
            <w:r>
              <w:rPr>
                <w:sz w:val="20"/>
                <w:lang w:val="es-DO"/>
              </w:rPr>
              <w:t xml:space="preserve">02 </w:t>
            </w:r>
            <w:r>
              <w:rPr>
                <w:sz w:val="20"/>
              </w:rPr>
              <w:t>САН-ХУАН-ДЕ-ЛА-МАГУАНА</w:t>
            </w:r>
          </w:p>
        </w:tc>
        <w:tc>
          <w:tcPr>
            <w:tcW w:w="1182" w:type="dxa"/>
            <w:tcMar>
              <w:right w:w="227" w:type="dxa"/>
            </w:tcMar>
            <w:vAlign w:val="center"/>
          </w:tcPr>
          <w:p w:rsidR="00000000" w:rsidRDefault="00000000">
            <w:pPr>
              <w:jc w:val="right"/>
              <w:rPr>
                <w:sz w:val="20"/>
                <w:lang w:val="es-DO"/>
              </w:rPr>
            </w:pPr>
            <w:r>
              <w:rPr>
                <w:sz w:val="20"/>
                <w:lang w:val="es-DO"/>
              </w:rPr>
              <w:t>54</w:t>
            </w:r>
          </w:p>
        </w:tc>
        <w:tc>
          <w:tcPr>
            <w:tcW w:w="1144" w:type="dxa"/>
            <w:tcMar>
              <w:right w:w="227" w:type="dxa"/>
            </w:tcMar>
            <w:vAlign w:val="center"/>
          </w:tcPr>
          <w:p w:rsidR="00000000" w:rsidRDefault="00000000">
            <w:pPr>
              <w:jc w:val="right"/>
              <w:rPr>
                <w:sz w:val="20"/>
                <w:lang w:val="es-DO"/>
              </w:rPr>
            </w:pPr>
            <w:r>
              <w:rPr>
                <w:sz w:val="20"/>
                <w:lang w:val="es-DO"/>
              </w:rPr>
              <w:t>843</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39</w:t>
            </w:r>
          </w:p>
        </w:tc>
        <w:tc>
          <w:tcPr>
            <w:tcW w:w="1047" w:type="dxa"/>
            <w:tcMar>
              <w:right w:w="227" w:type="dxa"/>
            </w:tcMar>
            <w:vAlign w:val="center"/>
          </w:tcPr>
          <w:p w:rsidR="00000000" w:rsidRDefault="00000000">
            <w:pPr>
              <w:jc w:val="right"/>
              <w:rPr>
                <w:sz w:val="20"/>
                <w:lang w:val="es-DO"/>
              </w:rPr>
            </w:pPr>
            <w:r>
              <w:rPr>
                <w:sz w:val="20"/>
                <w:lang w:val="es-DO"/>
              </w:rPr>
              <w:t>4</w:t>
            </w:r>
          </w:p>
        </w:tc>
        <w:tc>
          <w:tcPr>
            <w:tcW w:w="937" w:type="dxa"/>
            <w:tcMar>
              <w:right w:w="227" w:type="dxa"/>
            </w:tcMar>
            <w:vAlign w:val="center"/>
          </w:tcPr>
          <w:p w:rsidR="00000000" w:rsidRDefault="00000000">
            <w:pPr>
              <w:jc w:val="right"/>
              <w:rPr>
                <w:sz w:val="20"/>
                <w:lang w:val="es-DO"/>
              </w:rPr>
            </w:pPr>
            <w:r>
              <w:rPr>
                <w:sz w:val="20"/>
                <w:lang w:val="es-DO"/>
              </w:rPr>
              <w:t>940</w:t>
            </w:r>
          </w:p>
        </w:tc>
      </w:tr>
      <w:tr w:rsidR="00000000">
        <w:trPr>
          <w:cantSplit/>
        </w:trPr>
        <w:tc>
          <w:tcPr>
            <w:tcW w:w="2284" w:type="dxa"/>
            <w:vAlign w:val="center"/>
          </w:tcPr>
          <w:p w:rsidR="00000000" w:rsidRDefault="00000000">
            <w:pPr>
              <w:rPr>
                <w:sz w:val="20"/>
                <w:lang w:val="es-DO"/>
              </w:rPr>
            </w:pPr>
            <w:r>
              <w:rPr>
                <w:sz w:val="20"/>
                <w:lang w:val="es-DO"/>
              </w:rPr>
              <w:t xml:space="preserve">03 </w:t>
            </w:r>
            <w:r>
              <w:rPr>
                <w:sz w:val="20"/>
              </w:rPr>
              <w:t>АСУА</w:t>
            </w:r>
          </w:p>
        </w:tc>
        <w:tc>
          <w:tcPr>
            <w:tcW w:w="1182" w:type="dxa"/>
            <w:tcMar>
              <w:right w:w="227" w:type="dxa"/>
            </w:tcMar>
            <w:vAlign w:val="center"/>
          </w:tcPr>
          <w:p w:rsidR="00000000" w:rsidRDefault="00000000">
            <w:pPr>
              <w:jc w:val="right"/>
              <w:rPr>
                <w:sz w:val="20"/>
                <w:lang w:val="es-DO"/>
              </w:rPr>
            </w:pPr>
            <w:r>
              <w:rPr>
                <w:sz w:val="20"/>
                <w:lang w:val="es-DO"/>
              </w:rPr>
              <w:t>24</w:t>
            </w:r>
          </w:p>
        </w:tc>
        <w:tc>
          <w:tcPr>
            <w:tcW w:w="1144" w:type="dxa"/>
            <w:tcMar>
              <w:right w:w="227" w:type="dxa"/>
            </w:tcMar>
            <w:vAlign w:val="center"/>
          </w:tcPr>
          <w:p w:rsidR="00000000" w:rsidRDefault="00000000">
            <w:pPr>
              <w:jc w:val="right"/>
              <w:rPr>
                <w:sz w:val="20"/>
                <w:lang w:val="es-DO"/>
              </w:rPr>
            </w:pPr>
            <w:r>
              <w:rPr>
                <w:sz w:val="20"/>
                <w:lang w:val="es-DO"/>
              </w:rPr>
              <w:t>647</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50</w:t>
            </w:r>
          </w:p>
        </w:tc>
        <w:tc>
          <w:tcPr>
            <w:tcW w:w="1047" w:type="dxa"/>
            <w:tcMar>
              <w:right w:w="227" w:type="dxa"/>
            </w:tcMar>
            <w:vAlign w:val="center"/>
          </w:tcPr>
          <w:p w:rsidR="00000000" w:rsidRDefault="00000000">
            <w:pPr>
              <w:jc w:val="right"/>
              <w:rPr>
                <w:sz w:val="20"/>
                <w:lang w:val="es-DO"/>
              </w:rPr>
            </w:pPr>
            <w:r>
              <w:rPr>
                <w:sz w:val="20"/>
                <w:lang w:val="es-DO"/>
              </w:rPr>
              <w:t>26</w:t>
            </w:r>
          </w:p>
        </w:tc>
        <w:tc>
          <w:tcPr>
            <w:tcW w:w="937" w:type="dxa"/>
            <w:tcMar>
              <w:right w:w="227" w:type="dxa"/>
            </w:tcMar>
            <w:vAlign w:val="center"/>
          </w:tcPr>
          <w:p w:rsidR="00000000" w:rsidRDefault="00000000">
            <w:pPr>
              <w:jc w:val="right"/>
              <w:rPr>
                <w:sz w:val="20"/>
                <w:lang w:val="es-DO"/>
              </w:rPr>
            </w:pPr>
            <w:r>
              <w:rPr>
                <w:sz w:val="20"/>
                <w:lang w:val="es-DO"/>
              </w:rPr>
              <w:t>747</w:t>
            </w:r>
          </w:p>
        </w:tc>
      </w:tr>
      <w:tr w:rsidR="00000000">
        <w:trPr>
          <w:cantSplit/>
        </w:trPr>
        <w:tc>
          <w:tcPr>
            <w:tcW w:w="2284" w:type="dxa"/>
            <w:vAlign w:val="center"/>
          </w:tcPr>
          <w:p w:rsidR="00000000" w:rsidRDefault="00000000">
            <w:pPr>
              <w:rPr>
                <w:sz w:val="20"/>
                <w:lang w:val="es-DO"/>
              </w:rPr>
            </w:pPr>
            <w:r>
              <w:rPr>
                <w:sz w:val="20"/>
                <w:lang w:val="es-DO"/>
              </w:rPr>
              <w:t xml:space="preserve">04 </w:t>
            </w:r>
            <w:r>
              <w:rPr>
                <w:sz w:val="20"/>
              </w:rPr>
              <w:t>САН-КРИСТОБАЛЬ</w:t>
            </w:r>
          </w:p>
        </w:tc>
        <w:tc>
          <w:tcPr>
            <w:tcW w:w="1182" w:type="dxa"/>
            <w:tcMar>
              <w:right w:w="227" w:type="dxa"/>
            </w:tcMar>
            <w:vAlign w:val="center"/>
          </w:tcPr>
          <w:p w:rsidR="00000000" w:rsidRDefault="00000000">
            <w:pPr>
              <w:jc w:val="right"/>
              <w:rPr>
                <w:sz w:val="20"/>
                <w:lang w:val="es-DO"/>
              </w:rPr>
            </w:pPr>
            <w:r>
              <w:rPr>
                <w:sz w:val="20"/>
                <w:lang w:val="es-DO"/>
              </w:rPr>
              <w:t>90</w:t>
            </w:r>
          </w:p>
        </w:tc>
        <w:tc>
          <w:tcPr>
            <w:tcW w:w="1144" w:type="dxa"/>
            <w:tcMar>
              <w:right w:w="227" w:type="dxa"/>
            </w:tcMar>
            <w:vAlign w:val="center"/>
          </w:tcPr>
          <w:p w:rsidR="00000000" w:rsidRDefault="00000000">
            <w:pPr>
              <w:jc w:val="right"/>
              <w:rPr>
                <w:sz w:val="20"/>
                <w:lang w:val="es-DO"/>
              </w:rPr>
            </w:pPr>
            <w:r>
              <w:rPr>
                <w:sz w:val="20"/>
                <w:lang w:val="es-DO"/>
              </w:rPr>
              <w:t>367</w:t>
            </w:r>
          </w:p>
        </w:tc>
        <w:tc>
          <w:tcPr>
            <w:tcW w:w="1515" w:type="dxa"/>
            <w:tcMar>
              <w:right w:w="227" w:type="dxa"/>
            </w:tcMar>
            <w:vAlign w:val="center"/>
          </w:tcPr>
          <w:p w:rsidR="00000000" w:rsidRDefault="00000000">
            <w:pPr>
              <w:jc w:val="right"/>
              <w:rPr>
                <w:sz w:val="20"/>
                <w:lang w:val="es-DO"/>
              </w:rPr>
            </w:pPr>
            <w:r>
              <w:rPr>
                <w:sz w:val="20"/>
                <w:lang w:val="es-DO"/>
              </w:rPr>
              <w:t>1</w:t>
            </w:r>
          </w:p>
        </w:tc>
        <w:tc>
          <w:tcPr>
            <w:tcW w:w="1302" w:type="dxa"/>
            <w:tcMar>
              <w:right w:w="227" w:type="dxa"/>
            </w:tcMar>
            <w:vAlign w:val="center"/>
          </w:tcPr>
          <w:p w:rsidR="00000000" w:rsidRDefault="00000000">
            <w:pPr>
              <w:jc w:val="right"/>
              <w:rPr>
                <w:sz w:val="20"/>
                <w:lang w:val="es-DO"/>
              </w:rPr>
            </w:pPr>
            <w:r>
              <w:rPr>
                <w:sz w:val="20"/>
                <w:lang w:val="es-DO"/>
              </w:rPr>
              <w:t>48</w:t>
            </w:r>
          </w:p>
        </w:tc>
        <w:tc>
          <w:tcPr>
            <w:tcW w:w="1047" w:type="dxa"/>
            <w:tcMar>
              <w:right w:w="227" w:type="dxa"/>
            </w:tcMar>
            <w:vAlign w:val="center"/>
          </w:tcPr>
          <w:p w:rsidR="00000000" w:rsidRDefault="00000000">
            <w:pPr>
              <w:jc w:val="right"/>
              <w:rPr>
                <w:sz w:val="20"/>
                <w:lang w:val="es-DO"/>
              </w:rPr>
            </w:pPr>
            <w:r>
              <w:rPr>
                <w:sz w:val="20"/>
                <w:lang w:val="es-DO"/>
              </w:rPr>
              <w:t>46</w:t>
            </w:r>
          </w:p>
        </w:tc>
        <w:tc>
          <w:tcPr>
            <w:tcW w:w="937" w:type="dxa"/>
            <w:tcMar>
              <w:right w:w="227" w:type="dxa"/>
            </w:tcMar>
            <w:vAlign w:val="center"/>
          </w:tcPr>
          <w:p w:rsidR="00000000" w:rsidRDefault="00000000">
            <w:pPr>
              <w:jc w:val="right"/>
              <w:rPr>
                <w:sz w:val="20"/>
                <w:lang w:val="es-DO"/>
              </w:rPr>
            </w:pPr>
            <w:r>
              <w:rPr>
                <w:sz w:val="20"/>
                <w:lang w:val="es-DO"/>
              </w:rPr>
              <w:t>552</w:t>
            </w:r>
          </w:p>
        </w:tc>
      </w:tr>
      <w:tr w:rsidR="00000000">
        <w:trPr>
          <w:cantSplit/>
        </w:trPr>
        <w:tc>
          <w:tcPr>
            <w:tcW w:w="2284" w:type="dxa"/>
            <w:vAlign w:val="center"/>
          </w:tcPr>
          <w:p w:rsidR="00000000" w:rsidRDefault="00000000">
            <w:pPr>
              <w:rPr>
                <w:sz w:val="20"/>
                <w:lang w:val="es-DO"/>
              </w:rPr>
            </w:pPr>
            <w:r>
              <w:rPr>
                <w:sz w:val="20"/>
                <w:lang w:val="es-DO"/>
              </w:rPr>
              <w:t xml:space="preserve">05 </w:t>
            </w:r>
            <w:r>
              <w:rPr>
                <w:sz w:val="20"/>
              </w:rPr>
              <w:t>САН-ПЕДРО-ДЕ-МАКОРИС</w:t>
            </w:r>
          </w:p>
        </w:tc>
        <w:tc>
          <w:tcPr>
            <w:tcW w:w="1182" w:type="dxa"/>
            <w:tcMar>
              <w:right w:w="227" w:type="dxa"/>
            </w:tcMar>
            <w:vAlign w:val="center"/>
          </w:tcPr>
          <w:p w:rsidR="00000000" w:rsidRDefault="00000000">
            <w:pPr>
              <w:jc w:val="right"/>
              <w:rPr>
                <w:sz w:val="20"/>
                <w:lang w:val="es-DO"/>
              </w:rPr>
            </w:pPr>
            <w:r>
              <w:rPr>
                <w:sz w:val="20"/>
                <w:lang w:val="es-DO"/>
              </w:rPr>
              <w:t>59</w:t>
            </w:r>
          </w:p>
        </w:tc>
        <w:tc>
          <w:tcPr>
            <w:tcW w:w="1144" w:type="dxa"/>
            <w:tcMar>
              <w:right w:w="227" w:type="dxa"/>
            </w:tcMar>
            <w:vAlign w:val="center"/>
          </w:tcPr>
          <w:p w:rsidR="00000000" w:rsidRDefault="00000000">
            <w:pPr>
              <w:jc w:val="right"/>
              <w:rPr>
                <w:sz w:val="20"/>
                <w:lang w:val="es-DO"/>
              </w:rPr>
            </w:pPr>
            <w:r>
              <w:rPr>
                <w:sz w:val="20"/>
                <w:lang w:val="es-DO"/>
              </w:rPr>
              <w:t>2 195</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180</w:t>
            </w:r>
          </w:p>
        </w:tc>
        <w:tc>
          <w:tcPr>
            <w:tcW w:w="1047" w:type="dxa"/>
            <w:tcMar>
              <w:right w:w="227" w:type="dxa"/>
            </w:tcMar>
            <w:vAlign w:val="center"/>
          </w:tcPr>
          <w:p w:rsidR="00000000" w:rsidRDefault="00000000">
            <w:pPr>
              <w:jc w:val="right"/>
              <w:rPr>
                <w:sz w:val="20"/>
                <w:lang w:val="es-DO"/>
              </w:rPr>
            </w:pPr>
            <w:r>
              <w:rPr>
                <w:sz w:val="20"/>
                <w:lang w:val="es-DO"/>
              </w:rPr>
              <w:t>79</w:t>
            </w:r>
          </w:p>
        </w:tc>
        <w:tc>
          <w:tcPr>
            <w:tcW w:w="937" w:type="dxa"/>
            <w:tcMar>
              <w:right w:w="227" w:type="dxa"/>
            </w:tcMar>
            <w:vAlign w:val="center"/>
          </w:tcPr>
          <w:p w:rsidR="00000000" w:rsidRDefault="00000000">
            <w:pPr>
              <w:jc w:val="right"/>
              <w:rPr>
                <w:sz w:val="20"/>
                <w:lang w:val="es-DO"/>
              </w:rPr>
            </w:pPr>
            <w:r>
              <w:rPr>
                <w:sz w:val="20"/>
                <w:lang w:val="es-DO"/>
              </w:rPr>
              <w:t>2 513</w:t>
            </w:r>
          </w:p>
        </w:tc>
      </w:tr>
      <w:tr w:rsidR="00000000">
        <w:trPr>
          <w:cantSplit/>
        </w:trPr>
        <w:tc>
          <w:tcPr>
            <w:tcW w:w="2284" w:type="dxa"/>
            <w:vAlign w:val="center"/>
          </w:tcPr>
          <w:p w:rsidR="00000000" w:rsidRDefault="00000000">
            <w:pPr>
              <w:rPr>
                <w:sz w:val="20"/>
                <w:lang w:val="es-DO"/>
              </w:rPr>
            </w:pPr>
            <w:r>
              <w:rPr>
                <w:sz w:val="20"/>
                <w:lang w:val="es-DO"/>
              </w:rPr>
              <w:t xml:space="preserve">06 </w:t>
            </w:r>
            <w:r>
              <w:rPr>
                <w:sz w:val="20"/>
              </w:rPr>
              <w:t>ЛА-ВЕГА</w:t>
            </w:r>
          </w:p>
        </w:tc>
        <w:tc>
          <w:tcPr>
            <w:tcW w:w="1182" w:type="dxa"/>
            <w:tcMar>
              <w:right w:w="227" w:type="dxa"/>
            </w:tcMar>
            <w:vAlign w:val="center"/>
          </w:tcPr>
          <w:p w:rsidR="00000000" w:rsidRDefault="00000000">
            <w:pPr>
              <w:jc w:val="right"/>
              <w:rPr>
                <w:sz w:val="20"/>
                <w:lang w:val="es-DO"/>
              </w:rPr>
            </w:pPr>
            <w:r>
              <w:rPr>
                <w:sz w:val="20"/>
                <w:lang w:val="es-DO"/>
              </w:rPr>
              <w:t>29</w:t>
            </w:r>
          </w:p>
        </w:tc>
        <w:tc>
          <w:tcPr>
            <w:tcW w:w="1144" w:type="dxa"/>
            <w:tcMar>
              <w:right w:w="227" w:type="dxa"/>
            </w:tcMar>
            <w:vAlign w:val="center"/>
          </w:tcPr>
          <w:p w:rsidR="00000000" w:rsidRDefault="00000000">
            <w:pPr>
              <w:jc w:val="right"/>
              <w:rPr>
                <w:sz w:val="20"/>
                <w:lang w:val="es-DO"/>
              </w:rPr>
            </w:pPr>
            <w:r>
              <w:rPr>
                <w:sz w:val="20"/>
                <w:lang w:val="es-DO"/>
              </w:rPr>
              <w:t>208</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24</w:t>
            </w:r>
          </w:p>
        </w:tc>
        <w:tc>
          <w:tcPr>
            <w:tcW w:w="1047" w:type="dxa"/>
            <w:tcMar>
              <w:right w:w="227" w:type="dxa"/>
            </w:tcMar>
            <w:vAlign w:val="center"/>
          </w:tcPr>
          <w:p w:rsidR="00000000" w:rsidRDefault="00000000">
            <w:pPr>
              <w:jc w:val="right"/>
              <w:rPr>
                <w:sz w:val="20"/>
                <w:lang w:val="es-DO"/>
              </w:rPr>
            </w:pPr>
            <w:r>
              <w:rPr>
                <w:sz w:val="20"/>
                <w:lang w:val="es-DO"/>
              </w:rPr>
              <w:t>5</w:t>
            </w:r>
          </w:p>
        </w:tc>
        <w:tc>
          <w:tcPr>
            <w:tcW w:w="937" w:type="dxa"/>
            <w:tcMar>
              <w:right w:w="227" w:type="dxa"/>
            </w:tcMar>
            <w:vAlign w:val="center"/>
          </w:tcPr>
          <w:p w:rsidR="00000000" w:rsidRDefault="00000000">
            <w:pPr>
              <w:jc w:val="right"/>
              <w:rPr>
                <w:sz w:val="20"/>
                <w:lang w:val="es-DO"/>
              </w:rPr>
            </w:pPr>
            <w:r>
              <w:rPr>
                <w:sz w:val="20"/>
                <w:lang w:val="es-DO"/>
              </w:rPr>
              <w:t>266</w:t>
            </w:r>
          </w:p>
        </w:tc>
      </w:tr>
      <w:tr w:rsidR="00000000">
        <w:trPr>
          <w:cantSplit/>
        </w:trPr>
        <w:tc>
          <w:tcPr>
            <w:tcW w:w="2284" w:type="dxa"/>
            <w:vAlign w:val="center"/>
          </w:tcPr>
          <w:p w:rsidR="00000000" w:rsidRDefault="00000000">
            <w:pPr>
              <w:rPr>
                <w:b/>
                <w:bCs/>
                <w:sz w:val="20"/>
              </w:rPr>
            </w:pPr>
            <w:r>
              <w:rPr>
                <w:sz w:val="20"/>
                <w:lang w:val="es-DO"/>
              </w:rPr>
              <w:t xml:space="preserve">07 </w:t>
            </w:r>
            <w:r>
              <w:rPr>
                <w:sz w:val="20"/>
              </w:rPr>
              <w:t>САН-ФРАНСИСКО-ДЕ-МАКОРИС</w:t>
            </w:r>
          </w:p>
        </w:tc>
        <w:tc>
          <w:tcPr>
            <w:tcW w:w="1182" w:type="dxa"/>
            <w:tcMar>
              <w:right w:w="227" w:type="dxa"/>
            </w:tcMar>
            <w:vAlign w:val="center"/>
          </w:tcPr>
          <w:p w:rsidR="00000000" w:rsidRDefault="00000000">
            <w:pPr>
              <w:jc w:val="right"/>
              <w:rPr>
                <w:sz w:val="20"/>
                <w:lang w:val="es-DO"/>
              </w:rPr>
            </w:pPr>
            <w:r>
              <w:rPr>
                <w:sz w:val="20"/>
                <w:lang w:val="es-DO"/>
              </w:rPr>
              <w:t>20</w:t>
            </w:r>
          </w:p>
        </w:tc>
        <w:tc>
          <w:tcPr>
            <w:tcW w:w="1144" w:type="dxa"/>
            <w:tcMar>
              <w:right w:w="227" w:type="dxa"/>
            </w:tcMar>
            <w:vAlign w:val="center"/>
          </w:tcPr>
          <w:p w:rsidR="00000000" w:rsidRDefault="00000000">
            <w:pPr>
              <w:jc w:val="right"/>
              <w:rPr>
                <w:sz w:val="20"/>
                <w:lang w:val="es-DO"/>
              </w:rPr>
            </w:pPr>
            <w:r>
              <w:rPr>
                <w:sz w:val="20"/>
                <w:lang w:val="es-DO"/>
              </w:rPr>
              <w:t>82</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9</w:t>
            </w:r>
          </w:p>
        </w:tc>
        <w:tc>
          <w:tcPr>
            <w:tcW w:w="1047" w:type="dxa"/>
            <w:tcMar>
              <w:right w:w="227" w:type="dxa"/>
            </w:tcMar>
            <w:vAlign w:val="center"/>
          </w:tcPr>
          <w:p w:rsidR="00000000" w:rsidRDefault="00000000">
            <w:pPr>
              <w:jc w:val="right"/>
              <w:rPr>
                <w:sz w:val="20"/>
                <w:lang w:val="es-DO"/>
              </w:rPr>
            </w:pPr>
            <w:r>
              <w:rPr>
                <w:sz w:val="20"/>
                <w:lang w:val="es-DO"/>
              </w:rPr>
              <w:t>16</w:t>
            </w:r>
          </w:p>
        </w:tc>
        <w:tc>
          <w:tcPr>
            <w:tcW w:w="937" w:type="dxa"/>
            <w:tcMar>
              <w:right w:w="227" w:type="dxa"/>
            </w:tcMar>
            <w:vAlign w:val="center"/>
          </w:tcPr>
          <w:p w:rsidR="00000000" w:rsidRDefault="00000000">
            <w:pPr>
              <w:jc w:val="right"/>
              <w:rPr>
                <w:sz w:val="20"/>
                <w:lang w:val="es-DO"/>
              </w:rPr>
            </w:pPr>
            <w:r>
              <w:rPr>
                <w:sz w:val="20"/>
                <w:lang w:val="es-DO"/>
              </w:rPr>
              <w:t>127</w:t>
            </w:r>
          </w:p>
        </w:tc>
      </w:tr>
      <w:tr w:rsidR="00000000">
        <w:trPr>
          <w:cantSplit/>
        </w:trPr>
        <w:tc>
          <w:tcPr>
            <w:tcW w:w="2284" w:type="dxa"/>
            <w:vAlign w:val="center"/>
          </w:tcPr>
          <w:p w:rsidR="00000000" w:rsidRDefault="00000000">
            <w:pPr>
              <w:rPr>
                <w:sz w:val="20"/>
                <w:lang w:val="es-DO"/>
              </w:rPr>
            </w:pPr>
            <w:r>
              <w:rPr>
                <w:sz w:val="20"/>
                <w:lang w:val="es-DO"/>
              </w:rPr>
              <w:t xml:space="preserve">08 </w:t>
            </w:r>
            <w:r>
              <w:rPr>
                <w:sz w:val="20"/>
              </w:rPr>
              <w:t>САНТЬЯГО</w:t>
            </w:r>
          </w:p>
        </w:tc>
        <w:tc>
          <w:tcPr>
            <w:tcW w:w="1182" w:type="dxa"/>
            <w:tcMar>
              <w:right w:w="227" w:type="dxa"/>
            </w:tcMar>
            <w:vAlign w:val="center"/>
          </w:tcPr>
          <w:p w:rsidR="00000000" w:rsidRDefault="00000000">
            <w:pPr>
              <w:jc w:val="right"/>
              <w:rPr>
                <w:sz w:val="20"/>
                <w:lang w:val="es-DO"/>
              </w:rPr>
            </w:pPr>
            <w:r>
              <w:rPr>
                <w:sz w:val="20"/>
                <w:lang w:val="es-DO"/>
              </w:rPr>
              <w:t>130</w:t>
            </w:r>
          </w:p>
        </w:tc>
        <w:tc>
          <w:tcPr>
            <w:tcW w:w="1144" w:type="dxa"/>
            <w:tcMar>
              <w:right w:w="227" w:type="dxa"/>
            </w:tcMar>
            <w:vAlign w:val="center"/>
          </w:tcPr>
          <w:p w:rsidR="00000000" w:rsidRDefault="00000000">
            <w:pPr>
              <w:jc w:val="right"/>
              <w:rPr>
                <w:sz w:val="20"/>
                <w:lang w:val="es-DO"/>
              </w:rPr>
            </w:pPr>
            <w:r>
              <w:rPr>
                <w:sz w:val="20"/>
                <w:lang w:val="es-DO"/>
              </w:rPr>
              <w:t>410</w:t>
            </w:r>
          </w:p>
        </w:tc>
        <w:tc>
          <w:tcPr>
            <w:tcW w:w="1515" w:type="dxa"/>
            <w:tcMar>
              <w:right w:w="227" w:type="dxa"/>
            </w:tcMar>
            <w:vAlign w:val="center"/>
          </w:tcPr>
          <w:p w:rsidR="00000000" w:rsidRDefault="00000000">
            <w:pPr>
              <w:jc w:val="right"/>
              <w:rPr>
                <w:sz w:val="20"/>
                <w:lang w:val="es-DO"/>
              </w:rPr>
            </w:pPr>
            <w:r>
              <w:rPr>
                <w:sz w:val="20"/>
                <w:lang w:val="es-DO"/>
              </w:rPr>
              <w:t>2</w:t>
            </w:r>
          </w:p>
        </w:tc>
        <w:tc>
          <w:tcPr>
            <w:tcW w:w="1302" w:type="dxa"/>
            <w:tcMar>
              <w:right w:w="227" w:type="dxa"/>
            </w:tcMar>
            <w:vAlign w:val="center"/>
          </w:tcPr>
          <w:p w:rsidR="00000000" w:rsidRDefault="00000000">
            <w:pPr>
              <w:jc w:val="right"/>
              <w:rPr>
                <w:sz w:val="20"/>
                <w:lang w:val="es-DO"/>
              </w:rPr>
            </w:pPr>
            <w:r>
              <w:rPr>
                <w:sz w:val="20"/>
                <w:lang w:val="es-DO"/>
              </w:rPr>
              <w:t>42</w:t>
            </w:r>
          </w:p>
        </w:tc>
        <w:tc>
          <w:tcPr>
            <w:tcW w:w="1047" w:type="dxa"/>
            <w:tcMar>
              <w:right w:w="227" w:type="dxa"/>
            </w:tcMar>
            <w:vAlign w:val="center"/>
          </w:tcPr>
          <w:p w:rsidR="00000000" w:rsidRDefault="00000000">
            <w:pPr>
              <w:jc w:val="right"/>
              <w:rPr>
                <w:sz w:val="20"/>
                <w:lang w:val="es-DO"/>
              </w:rPr>
            </w:pPr>
            <w:r>
              <w:rPr>
                <w:sz w:val="20"/>
                <w:lang w:val="es-DO"/>
              </w:rPr>
              <w:t>53</w:t>
            </w:r>
          </w:p>
        </w:tc>
        <w:tc>
          <w:tcPr>
            <w:tcW w:w="937" w:type="dxa"/>
            <w:tcMar>
              <w:right w:w="227" w:type="dxa"/>
            </w:tcMar>
            <w:vAlign w:val="center"/>
          </w:tcPr>
          <w:p w:rsidR="00000000" w:rsidRDefault="00000000">
            <w:pPr>
              <w:jc w:val="right"/>
              <w:rPr>
                <w:sz w:val="20"/>
                <w:lang w:val="es-DO"/>
              </w:rPr>
            </w:pPr>
            <w:r>
              <w:rPr>
                <w:sz w:val="20"/>
                <w:lang w:val="es-DO"/>
              </w:rPr>
              <w:t>637</w:t>
            </w:r>
          </w:p>
        </w:tc>
      </w:tr>
      <w:tr w:rsidR="00000000">
        <w:trPr>
          <w:cantSplit/>
        </w:trPr>
        <w:tc>
          <w:tcPr>
            <w:tcW w:w="2284" w:type="dxa"/>
            <w:vAlign w:val="center"/>
          </w:tcPr>
          <w:p w:rsidR="00000000" w:rsidRDefault="00000000">
            <w:pPr>
              <w:rPr>
                <w:sz w:val="20"/>
                <w:lang w:val="es-DO"/>
              </w:rPr>
            </w:pPr>
            <w:r>
              <w:rPr>
                <w:sz w:val="20"/>
                <w:lang w:val="es-DO"/>
              </w:rPr>
              <w:t>09 MAO</w:t>
            </w:r>
          </w:p>
        </w:tc>
        <w:tc>
          <w:tcPr>
            <w:tcW w:w="1182" w:type="dxa"/>
            <w:tcMar>
              <w:right w:w="227" w:type="dxa"/>
            </w:tcMar>
            <w:vAlign w:val="center"/>
          </w:tcPr>
          <w:p w:rsidR="00000000" w:rsidRDefault="00000000">
            <w:pPr>
              <w:jc w:val="right"/>
              <w:rPr>
                <w:sz w:val="20"/>
                <w:lang w:val="es-DO"/>
              </w:rPr>
            </w:pPr>
            <w:r>
              <w:rPr>
                <w:sz w:val="20"/>
                <w:lang w:val="es-DO"/>
              </w:rPr>
              <w:t>70</w:t>
            </w:r>
          </w:p>
        </w:tc>
        <w:tc>
          <w:tcPr>
            <w:tcW w:w="1144" w:type="dxa"/>
            <w:tcMar>
              <w:right w:w="227" w:type="dxa"/>
            </w:tcMar>
            <w:vAlign w:val="center"/>
          </w:tcPr>
          <w:p w:rsidR="00000000" w:rsidRDefault="00000000">
            <w:pPr>
              <w:jc w:val="right"/>
              <w:rPr>
                <w:sz w:val="20"/>
                <w:lang w:val="es-DO"/>
              </w:rPr>
            </w:pPr>
            <w:r>
              <w:rPr>
                <w:sz w:val="20"/>
                <w:lang w:val="es-DO"/>
              </w:rPr>
              <w:t>504</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32</w:t>
            </w:r>
          </w:p>
        </w:tc>
        <w:tc>
          <w:tcPr>
            <w:tcW w:w="1047" w:type="dxa"/>
            <w:tcMar>
              <w:right w:w="227" w:type="dxa"/>
            </w:tcMar>
            <w:vAlign w:val="center"/>
          </w:tcPr>
          <w:p w:rsidR="00000000" w:rsidRDefault="00000000">
            <w:pPr>
              <w:jc w:val="right"/>
              <w:rPr>
                <w:sz w:val="20"/>
                <w:lang w:val="es-DO"/>
              </w:rPr>
            </w:pPr>
            <w:r>
              <w:rPr>
                <w:sz w:val="20"/>
                <w:lang w:val="es-DO"/>
              </w:rPr>
              <w:t>17</w:t>
            </w:r>
          </w:p>
        </w:tc>
        <w:tc>
          <w:tcPr>
            <w:tcW w:w="937" w:type="dxa"/>
            <w:tcMar>
              <w:right w:w="227" w:type="dxa"/>
            </w:tcMar>
            <w:vAlign w:val="center"/>
          </w:tcPr>
          <w:p w:rsidR="00000000" w:rsidRDefault="00000000">
            <w:pPr>
              <w:jc w:val="right"/>
              <w:rPr>
                <w:sz w:val="20"/>
                <w:lang w:val="es-DO"/>
              </w:rPr>
            </w:pPr>
            <w:r>
              <w:rPr>
                <w:sz w:val="20"/>
                <w:lang w:val="es-DO"/>
              </w:rPr>
              <w:t>623</w:t>
            </w:r>
          </w:p>
        </w:tc>
      </w:tr>
      <w:tr w:rsidR="00000000">
        <w:trPr>
          <w:cantSplit/>
        </w:trPr>
        <w:tc>
          <w:tcPr>
            <w:tcW w:w="2284" w:type="dxa"/>
            <w:vAlign w:val="center"/>
          </w:tcPr>
          <w:p w:rsidR="00000000" w:rsidRDefault="00000000">
            <w:pPr>
              <w:rPr>
                <w:sz w:val="20"/>
                <w:lang w:val="es-DO"/>
              </w:rPr>
            </w:pPr>
            <w:r>
              <w:rPr>
                <w:sz w:val="20"/>
                <w:lang w:val="es-DO"/>
              </w:rPr>
              <w:t xml:space="preserve">10 </w:t>
            </w:r>
            <w:r>
              <w:rPr>
                <w:sz w:val="20"/>
              </w:rPr>
              <w:t>САНТО-ДОМИНГО</w:t>
            </w:r>
          </w:p>
        </w:tc>
        <w:tc>
          <w:tcPr>
            <w:tcW w:w="1182" w:type="dxa"/>
            <w:tcMar>
              <w:right w:w="227" w:type="dxa"/>
            </w:tcMar>
            <w:vAlign w:val="center"/>
          </w:tcPr>
          <w:p w:rsidR="00000000" w:rsidRDefault="00000000">
            <w:pPr>
              <w:jc w:val="right"/>
              <w:rPr>
                <w:sz w:val="20"/>
                <w:lang w:val="es-DO"/>
              </w:rPr>
            </w:pPr>
            <w:r>
              <w:rPr>
                <w:sz w:val="20"/>
                <w:lang w:val="es-DO"/>
              </w:rPr>
              <w:t>427</w:t>
            </w:r>
          </w:p>
        </w:tc>
        <w:tc>
          <w:tcPr>
            <w:tcW w:w="1144" w:type="dxa"/>
            <w:tcMar>
              <w:right w:w="227" w:type="dxa"/>
            </w:tcMar>
            <w:vAlign w:val="center"/>
          </w:tcPr>
          <w:p w:rsidR="00000000" w:rsidRDefault="00000000">
            <w:pPr>
              <w:jc w:val="right"/>
              <w:rPr>
                <w:sz w:val="20"/>
                <w:lang w:val="es-DO"/>
              </w:rPr>
            </w:pPr>
            <w:r>
              <w:rPr>
                <w:sz w:val="20"/>
                <w:lang w:val="es-DO"/>
              </w:rPr>
              <w:t>1 361</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193</w:t>
            </w:r>
          </w:p>
        </w:tc>
        <w:tc>
          <w:tcPr>
            <w:tcW w:w="1047" w:type="dxa"/>
            <w:tcMar>
              <w:right w:w="227" w:type="dxa"/>
            </w:tcMar>
            <w:vAlign w:val="center"/>
          </w:tcPr>
          <w:p w:rsidR="00000000" w:rsidRDefault="00000000">
            <w:pPr>
              <w:jc w:val="right"/>
              <w:rPr>
                <w:sz w:val="20"/>
                <w:lang w:val="es-DO"/>
              </w:rPr>
            </w:pPr>
            <w:r>
              <w:rPr>
                <w:sz w:val="20"/>
                <w:lang w:val="es-DO"/>
              </w:rPr>
              <w:t>145</w:t>
            </w:r>
          </w:p>
        </w:tc>
        <w:tc>
          <w:tcPr>
            <w:tcW w:w="937" w:type="dxa"/>
            <w:tcMar>
              <w:right w:w="227" w:type="dxa"/>
            </w:tcMar>
            <w:vAlign w:val="center"/>
          </w:tcPr>
          <w:p w:rsidR="00000000" w:rsidRDefault="00000000">
            <w:pPr>
              <w:jc w:val="right"/>
              <w:rPr>
                <w:sz w:val="20"/>
                <w:lang w:val="es-DO"/>
              </w:rPr>
            </w:pPr>
            <w:r>
              <w:rPr>
                <w:sz w:val="20"/>
                <w:lang w:val="es-DO"/>
              </w:rPr>
              <w:t>2 126</w:t>
            </w:r>
          </w:p>
        </w:tc>
      </w:tr>
      <w:tr w:rsidR="00000000">
        <w:trPr>
          <w:cantSplit/>
        </w:trPr>
        <w:tc>
          <w:tcPr>
            <w:tcW w:w="2284" w:type="dxa"/>
            <w:vAlign w:val="center"/>
          </w:tcPr>
          <w:p w:rsidR="00000000" w:rsidRDefault="00000000">
            <w:pPr>
              <w:rPr>
                <w:sz w:val="20"/>
                <w:lang w:val="es-DO"/>
              </w:rPr>
            </w:pPr>
            <w:r>
              <w:rPr>
                <w:sz w:val="20"/>
                <w:lang w:val="es-DO"/>
              </w:rPr>
              <w:t xml:space="preserve">11 </w:t>
            </w:r>
            <w:r>
              <w:rPr>
                <w:sz w:val="20"/>
              </w:rPr>
              <w:t>ПУЭРТО-ПЛАТА</w:t>
            </w:r>
          </w:p>
        </w:tc>
        <w:tc>
          <w:tcPr>
            <w:tcW w:w="1182" w:type="dxa"/>
            <w:tcMar>
              <w:right w:w="227" w:type="dxa"/>
            </w:tcMar>
            <w:vAlign w:val="center"/>
          </w:tcPr>
          <w:p w:rsidR="00000000" w:rsidRDefault="00000000">
            <w:pPr>
              <w:jc w:val="right"/>
              <w:rPr>
                <w:sz w:val="20"/>
                <w:lang w:val="es-DO"/>
              </w:rPr>
            </w:pPr>
            <w:r>
              <w:rPr>
                <w:sz w:val="20"/>
                <w:lang w:val="es-DO"/>
              </w:rPr>
              <w:t>189</w:t>
            </w:r>
          </w:p>
        </w:tc>
        <w:tc>
          <w:tcPr>
            <w:tcW w:w="1144" w:type="dxa"/>
            <w:tcMar>
              <w:right w:w="227" w:type="dxa"/>
            </w:tcMar>
            <w:vAlign w:val="center"/>
          </w:tcPr>
          <w:p w:rsidR="00000000" w:rsidRDefault="00000000">
            <w:pPr>
              <w:jc w:val="right"/>
              <w:rPr>
                <w:sz w:val="20"/>
                <w:lang w:val="es-DO"/>
              </w:rPr>
            </w:pPr>
            <w:r>
              <w:rPr>
                <w:sz w:val="20"/>
                <w:lang w:val="es-DO"/>
              </w:rPr>
              <w:t>1 147</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165</w:t>
            </w:r>
          </w:p>
        </w:tc>
        <w:tc>
          <w:tcPr>
            <w:tcW w:w="1047" w:type="dxa"/>
            <w:tcMar>
              <w:right w:w="227" w:type="dxa"/>
            </w:tcMar>
            <w:vAlign w:val="center"/>
          </w:tcPr>
          <w:p w:rsidR="00000000" w:rsidRDefault="00000000">
            <w:pPr>
              <w:jc w:val="right"/>
              <w:rPr>
                <w:sz w:val="20"/>
                <w:lang w:val="es-DO"/>
              </w:rPr>
            </w:pPr>
            <w:r>
              <w:rPr>
                <w:sz w:val="20"/>
                <w:lang w:val="es-DO"/>
              </w:rPr>
              <w:t>60</w:t>
            </w:r>
          </w:p>
        </w:tc>
        <w:tc>
          <w:tcPr>
            <w:tcW w:w="937" w:type="dxa"/>
            <w:tcMar>
              <w:right w:w="227" w:type="dxa"/>
            </w:tcMar>
            <w:vAlign w:val="center"/>
          </w:tcPr>
          <w:p w:rsidR="00000000" w:rsidRDefault="00000000">
            <w:pPr>
              <w:jc w:val="right"/>
              <w:rPr>
                <w:sz w:val="20"/>
                <w:lang w:val="es-DO"/>
              </w:rPr>
            </w:pPr>
            <w:r>
              <w:rPr>
                <w:sz w:val="20"/>
                <w:lang w:val="es-DO"/>
              </w:rPr>
              <w:t>1 561</w:t>
            </w:r>
          </w:p>
        </w:tc>
      </w:tr>
      <w:tr w:rsidR="00000000">
        <w:trPr>
          <w:cantSplit/>
        </w:trPr>
        <w:tc>
          <w:tcPr>
            <w:tcW w:w="2284" w:type="dxa"/>
            <w:vAlign w:val="center"/>
          </w:tcPr>
          <w:p w:rsidR="00000000" w:rsidRDefault="00000000">
            <w:pPr>
              <w:rPr>
                <w:sz w:val="20"/>
                <w:lang w:val="es-DO"/>
              </w:rPr>
            </w:pPr>
            <w:r>
              <w:rPr>
                <w:sz w:val="20"/>
                <w:lang w:val="es-DO"/>
              </w:rPr>
              <w:t xml:space="preserve">12 </w:t>
            </w:r>
            <w:r>
              <w:rPr>
                <w:sz w:val="20"/>
              </w:rPr>
              <w:t xml:space="preserve">ИГУЭЙ </w:t>
            </w:r>
          </w:p>
        </w:tc>
        <w:tc>
          <w:tcPr>
            <w:tcW w:w="1182" w:type="dxa"/>
            <w:tcMar>
              <w:right w:w="227" w:type="dxa"/>
            </w:tcMar>
            <w:vAlign w:val="center"/>
          </w:tcPr>
          <w:p w:rsidR="00000000" w:rsidRDefault="00000000">
            <w:pPr>
              <w:jc w:val="right"/>
              <w:rPr>
                <w:sz w:val="20"/>
                <w:lang w:val="es-DO"/>
              </w:rPr>
            </w:pPr>
            <w:r>
              <w:rPr>
                <w:sz w:val="20"/>
                <w:lang w:val="es-DO"/>
              </w:rPr>
              <w:t>57</w:t>
            </w:r>
          </w:p>
        </w:tc>
        <w:tc>
          <w:tcPr>
            <w:tcW w:w="1144" w:type="dxa"/>
            <w:tcMar>
              <w:right w:w="227" w:type="dxa"/>
            </w:tcMar>
            <w:vAlign w:val="center"/>
          </w:tcPr>
          <w:p w:rsidR="00000000" w:rsidRDefault="00000000">
            <w:pPr>
              <w:jc w:val="right"/>
              <w:rPr>
                <w:sz w:val="20"/>
                <w:lang w:val="es-DO"/>
              </w:rPr>
            </w:pPr>
            <w:r>
              <w:rPr>
                <w:sz w:val="20"/>
                <w:lang w:val="es-DO"/>
              </w:rPr>
              <w:t>2 136</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248</w:t>
            </w:r>
          </w:p>
        </w:tc>
        <w:tc>
          <w:tcPr>
            <w:tcW w:w="1047" w:type="dxa"/>
            <w:tcMar>
              <w:right w:w="227" w:type="dxa"/>
            </w:tcMar>
            <w:vAlign w:val="center"/>
          </w:tcPr>
          <w:p w:rsidR="00000000" w:rsidRDefault="00000000">
            <w:pPr>
              <w:jc w:val="right"/>
              <w:rPr>
                <w:sz w:val="20"/>
                <w:lang w:val="es-DO"/>
              </w:rPr>
            </w:pPr>
            <w:r>
              <w:rPr>
                <w:sz w:val="20"/>
                <w:lang w:val="es-DO"/>
              </w:rPr>
              <w:t>66</w:t>
            </w:r>
          </w:p>
        </w:tc>
        <w:tc>
          <w:tcPr>
            <w:tcW w:w="937" w:type="dxa"/>
            <w:tcMar>
              <w:right w:w="227" w:type="dxa"/>
            </w:tcMar>
            <w:vAlign w:val="center"/>
          </w:tcPr>
          <w:p w:rsidR="00000000" w:rsidRDefault="00000000">
            <w:pPr>
              <w:jc w:val="right"/>
              <w:rPr>
                <w:sz w:val="20"/>
                <w:lang w:val="es-DO"/>
              </w:rPr>
            </w:pPr>
            <w:r>
              <w:rPr>
                <w:sz w:val="20"/>
                <w:lang w:val="es-DO"/>
              </w:rPr>
              <w:t>2 507</w:t>
            </w:r>
          </w:p>
        </w:tc>
      </w:tr>
      <w:tr w:rsidR="00000000">
        <w:trPr>
          <w:cantSplit/>
        </w:trPr>
        <w:tc>
          <w:tcPr>
            <w:tcW w:w="2284" w:type="dxa"/>
            <w:vAlign w:val="center"/>
          </w:tcPr>
          <w:p w:rsidR="00000000" w:rsidRDefault="00000000">
            <w:pPr>
              <w:rPr>
                <w:sz w:val="20"/>
                <w:lang w:val="es-DO"/>
              </w:rPr>
            </w:pPr>
            <w:r>
              <w:rPr>
                <w:sz w:val="20"/>
                <w:lang w:val="es-DO"/>
              </w:rPr>
              <w:t xml:space="preserve">13 </w:t>
            </w:r>
            <w:r>
              <w:rPr>
                <w:sz w:val="20"/>
              </w:rPr>
              <w:t>МОНТЕКРИСТИ</w:t>
            </w:r>
          </w:p>
        </w:tc>
        <w:tc>
          <w:tcPr>
            <w:tcW w:w="1182" w:type="dxa"/>
            <w:tcMar>
              <w:right w:w="227" w:type="dxa"/>
            </w:tcMar>
            <w:vAlign w:val="center"/>
          </w:tcPr>
          <w:p w:rsidR="00000000" w:rsidRDefault="00000000">
            <w:pPr>
              <w:jc w:val="right"/>
              <w:rPr>
                <w:sz w:val="20"/>
                <w:lang w:val="es-DO"/>
              </w:rPr>
            </w:pPr>
            <w:r>
              <w:rPr>
                <w:sz w:val="20"/>
                <w:lang w:val="es-DO"/>
              </w:rPr>
              <w:t>31</w:t>
            </w:r>
          </w:p>
        </w:tc>
        <w:tc>
          <w:tcPr>
            <w:tcW w:w="1144" w:type="dxa"/>
            <w:tcMar>
              <w:right w:w="227" w:type="dxa"/>
            </w:tcMar>
            <w:vAlign w:val="center"/>
          </w:tcPr>
          <w:p w:rsidR="00000000" w:rsidRDefault="00000000">
            <w:pPr>
              <w:jc w:val="right"/>
              <w:rPr>
                <w:sz w:val="20"/>
                <w:lang w:val="es-DO"/>
              </w:rPr>
            </w:pPr>
            <w:r>
              <w:rPr>
                <w:sz w:val="20"/>
                <w:lang w:val="es-DO"/>
              </w:rPr>
              <w:t>774</w:t>
            </w:r>
          </w:p>
        </w:tc>
        <w:tc>
          <w:tcPr>
            <w:tcW w:w="1515" w:type="dxa"/>
            <w:tcMar>
              <w:right w:w="227" w:type="dxa"/>
            </w:tcMar>
            <w:vAlign w:val="center"/>
          </w:tcPr>
          <w:p w:rsidR="00000000" w:rsidRDefault="00000000">
            <w:pPr>
              <w:jc w:val="right"/>
              <w:rPr>
                <w:sz w:val="20"/>
                <w:lang w:val="es-DO"/>
              </w:rPr>
            </w:pPr>
            <w:r>
              <w:rPr>
                <w:sz w:val="20"/>
                <w:lang w:val="es-DO"/>
              </w:rPr>
              <w:t>4</w:t>
            </w:r>
          </w:p>
        </w:tc>
        <w:tc>
          <w:tcPr>
            <w:tcW w:w="1302" w:type="dxa"/>
            <w:tcMar>
              <w:right w:w="227" w:type="dxa"/>
            </w:tcMar>
            <w:vAlign w:val="center"/>
          </w:tcPr>
          <w:p w:rsidR="00000000" w:rsidRDefault="00000000">
            <w:pPr>
              <w:jc w:val="right"/>
              <w:rPr>
                <w:sz w:val="20"/>
                <w:lang w:val="es-DO"/>
              </w:rPr>
            </w:pPr>
            <w:r>
              <w:rPr>
                <w:sz w:val="20"/>
                <w:lang w:val="es-DO"/>
              </w:rPr>
              <w:t>64</w:t>
            </w:r>
          </w:p>
        </w:tc>
        <w:tc>
          <w:tcPr>
            <w:tcW w:w="1047" w:type="dxa"/>
            <w:tcMar>
              <w:right w:w="227" w:type="dxa"/>
            </w:tcMar>
            <w:vAlign w:val="center"/>
          </w:tcPr>
          <w:p w:rsidR="00000000" w:rsidRDefault="00000000">
            <w:pPr>
              <w:jc w:val="right"/>
              <w:rPr>
                <w:sz w:val="20"/>
                <w:lang w:val="es-DO"/>
              </w:rPr>
            </w:pPr>
            <w:r>
              <w:rPr>
                <w:sz w:val="20"/>
                <w:lang w:val="es-DO"/>
              </w:rPr>
              <w:t>26</w:t>
            </w:r>
          </w:p>
        </w:tc>
        <w:tc>
          <w:tcPr>
            <w:tcW w:w="937" w:type="dxa"/>
            <w:tcMar>
              <w:right w:w="227" w:type="dxa"/>
            </w:tcMar>
            <w:vAlign w:val="center"/>
          </w:tcPr>
          <w:p w:rsidR="00000000" w:rsidRDefault="00000000">
            <w:pPr>
              <w:jc w:val="right"/>
              <w:rPr>
                <w:sz w:val="20"/>
                <w:lang w:val="es-DO"/>
              </w:rPr>
            </w:pPr>
            <w:r>
              <w:rPr>
                <w:sz w:val="20"/>
                <w:lang w:val="es-DO"/>
              </w:rPr>
              <w:t>899</w:t>
            </w:r>
          </w:p>
        </w:tc>
      </w:tr>
      <w:tr w:rsidR="00000000">
        <w:trPr>
          <w:cantSplit/>
        </w:trPr>
        <w:tc>
          <w:tcPr>
            <w:tcW w:w="2284" w:type="dxa"/>
            <w:vAlign w:val="center"/>
          </w:tcPr>
          <w:p w:rsidR="00000000" w:rsidRDefault="00000000">
            <w:pPr>
              <w:rPr>
                <w:sz w:val="20"/>
                <w:lang w:val="es-DO"/>
              </w:rPr>
            </w:pPr>
            <w:r>
              <w:rPr>
                <w:sz w:val="20"/>
                <w:lang w:val="es-DO"/>
              </w:rPr>
              <w:t xml:space="preserve">14 </w:t>
            </w:r>
            <w:r>
              <w:rPr>
                <w:sz w:val="20"/>
              </w:rPr>
              <w:t xml:space="preserve">НАГУА </w:t>
            </w:r>
          </w:p>
        </w:tc>
        <w:tc>
          <w:tcPr>
            <w:tcW w:w="1182" w:type="dxa"/>
            <w:tcMar>
              <w:right w:w="227" w:type="dxa"/>
            </w:tcMar>
            <w:vAlign w:val="center"/>
          </w:tcPr>
          <w:p w:rsidR="00000000" w:rsidRDefault="00000000">
            <w:pPr>
              <w:jc w:val="right"/>
              <w:rPr>
                <w:sz w:val="20"/>
                <w:lang w:val="es-DO"/>
              </w:rPr>
            </w:pPr>
            <w:r>
              <w:rPr>
                <w:sz w:val="20"/>
                <w:lang w:val="es-DO"/>
              </w:rPr>
              <w:t>14</w:t>
            </w:r>
          </w:p>
        </w:tc>
        <w:tc>
          <w:tcPr>
            <w:tcW w:w="1144" w:type="dxa"/>
            <w:tcMar>
              <w:right w:w="227" w:type="dxa"/>
            </w:tcMar>
            <w:vAlign w:val="center"/>
          </w:tcPr>
          <w:p w:rsidR="00000000" w:rsidRDefault="00000000">
            <w:pPr>
              <w:jc w:val="right"/>
              <w:rPr>
                <w:sz w:val="20"/>
                <w:lang w:val="es-DO"/>
              </w:rPr>
            </w:pPr>
            <w:r>
              <w:rPr>
                <w:sz w:val="20"/>
                <w:lang w:val="es-DO"/>
              </w:rPr>
              <w:t>61</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8</w:t>
            </w:r>
          </w:p>
        </w:tc>
        <w:tc>
          <w:tcPr>
            <w:tcW w:w="1047" w:type="dxa"/>
            <w:tcMar>
              <w:right w:w="227" w:type="dxa"/>
            </w:tcMar>
            <w:vAlign w:val="center"/>
          </w:tcPr>
          <w:p w:rsidR="00000000" w:rsidRDefault="00000000">
            <w:pPr>
              <w:jc w:val="right"/>
              <w:rPr>
                <w:sz w:val="20"/>
                <w:lang w:val="es-DO"/>
              </w:rPr>
            </w:pPr>
            <w:r>
              <w:rPr>
                <w:sz w:val="20"/>
                <w:lang w:val="es-DO"/>
              </w:rPr>
              <w:t>8</w:t>
            </w:r>
          </w:p>
        </w:tc>
        <w:tc>
          <w:tcPr>
            <w:tcW w:w="937" w:type="dxa"/>
            <w:tcMar>
              <w:right w:w="227" w:type="dxa"/>
            </w:tcMar>
            <w:vAlign w:val="center"/>
          </w:tcPr>
          <w:p w:rsidR="00000000" w:rsidRDefault="00000000">
            <w:pPr>
              <w:jc w:val="right"/>
              <w:rPr>
                <w:sz w:val="20"/>
                <w:lang w:val="es-DO"/>
              </w:rPr>
            </w:pPr>
            <w:r>
              <w:rPr>
                <w:sz w:val="20"/>
                <w:lang w:val="es-DO"/>
              </w:rPr>
              <w:t>91</w:t>
            </w:r>
          </w:p>
        </w:tc>
      </w:tr>
      <w:tr w:rsidR="00000000">
        <w:trPr>
          <w:cantSplit/>
        </w:trPr>
        <w:tc>
          <w:tcPr>
            <w:tcW w:w="2284" w:type="dxa"/>
            <w:vAlign w:val="center"/>
          </w:tcPr>
          <w:p w:rsidR="00000000" w:rsidRDefault="00000000">
            <w:pPr>
              <w:rPr>
                <w:b/>
                <w:bCs/>
                <w:sz w:val="20"/>
              </w:rPr>
            </w:pPr>
            <w:r>
              <w:rPr>
                <w:sz w:val="20"/>
                <w:lang w:val="es-DO"/>
              </w:rPr>
              <w:t xml:space="preserve">15 </w:t>
            </w:r>
            <w:r>
              <w:rPr>
                <w:sz w:val="20"/>
              </w:rPr>
              <w:t>САНТО</w:t>
            </w:r>
            <w:r>
              <w:rPr>
                <w:sz w:val="20"/>
                <w:lang w:val="en-US"/>
              </w:rPr>
              <w:t>-</w:t>
            </w:r>
            <w:r>
              <w:rPr>
                <w:sz w:val="20"/>
              </w:rPr>
              <w:t>ДОМИНГО</w:t>
            </w:r>
          </w:p>
        </w:tc>
        <w:tc>
          <w:tcPr>
            <w:tcW w:w="1182" w:type="dxa"/>
            <w:tcMar>
              <w:right w:w="227" w:type="dxa"/>
            </w:tcMar>
            <w:vAlign w:val="center"/>
          </w:tcPr>
          <w:p w:rsidR="00000000" w:rsidRDefault="00000000">
            <w:pPr>
              <w:jc w:val="right"/>
              <w:rPr>
                <w:sz w:val="20"/>
                <w:lang w:val="es-DO"/>
              </w:rPr>
            </w:pPr>
            <w:r>
              <w:rPr>
                <w:sz w:val="20"/>
                <w:lang w:val="es-DO"/>
              </w:rPr>
              <w:t>405</w:t>
            </w:r>
          </w:p>
        </w:tc>
        <w:tc>
          <w:tcPr>
            <w:tcW w:w="1144" w:type="dxa"/>
            <w:tcMar>
              <w:right w:w="227" w:type="dxa"/>
            </w:tcMar>
            <w:vAlign w:val="center"/>
          </w:tcPr>
          <w:p w:rsidR="00000000" w:rsidRDefault="00000000">
            <w:pPr>
              <w:jc w:val="right"/>
              <w:rPr>
                <w:sz w:val="20"/>
                <w:lang w:val="es-DO"/>
              </w:rPr>
            </w:pPr>
            <w:r>
              <w:rPr>
                <w:sz w:val="20"/>
                <w:lang w:val="es-DO"/>
              </w:rPr>
              <w:t>899</w:t>
            </w:r>
          </w:p>
        </w:tc>
        <w:tc>
          <w:tcPr>
            <w:tcW w:w="1515" w:type="dxa"/>
            <w:tcMar>
              <w:right w:w="227" w:type="dxa"/>
            </w:tcMar>
            <w:vAlign w:val="center"/>
          </w:tcPr>
          <w:p w:rsidR="00000000" w:rsidRDefault="00000000">
            <w:pPr>
              <w:jc w:val="right"/>
              <w:rPr>
                <w:sz w:val="20"/>
                <w:lang w:val="es-DO"/>
              </w:rPr>
            </w:pPr>
            <w:r>
              <w:rPr>
                <w:sz w:val="20"/>
                <w:lang w:val="es-DO"/>
              </w:rPr>
              <w:t>1</w:t>
            </w:r>
          </w:p>
        </w:tc>
        <w:tc>
          <w:tcPr>
            <w:tcW w:w="1302" w:type="dxa"/>
            <w:tcMar>
              <w:right w:w="227" w:type="dxa"/>
            </w:tcMar>
            <w:vAlign w:val="center"/>
          </w:tcPr>
          <w:p w:rsidR="00000000" w:rsidRDefault="00000000">
            <w:pPr>
              <w:jc w:val="right"/>
              <w:rPr>
                <w:sz w:val="20"/>
                <w:lang w:val="es-DO"/>
              </w:rPr>
            </w:pPr>
            <w:r>
              <w:rPr>
                <w:sz w:val="20"/>
                <w:lang w:val="es-DO"/>
              </w:rPr>
              <w:t>154</w:t>
            </w:r>
          </w:p>
        </w:tc>
        <w:tc>
          <w:tcPr>
            <w:tcW w:w="1047" w:type="dxa"/>
            <w:tcMar>
              <w:right w:w="227" w:type="dxa"/>
            </w:tcMar>
            <w:vAlign w:val="center"/>
          </w:tcPr>
          <w:p w:rsidR="00000000" w:rsidRDefault="00000000">
            <w:pPr>
              <w:jc w:val="right"/>
              <w:rPr>
                <w:sz w:val="20"/>
                <w:lang w:val="es-DO"/>
              </w:rPr>
            </w:pPr>
            <w:r>
              <w:rPr>
                <w:sz w:val="20"/>
                <w:lang w:val="es-DO"/>
              </w:rPr>
              <w:t>213</w:t>
            </w:r>
          </w:p>
        </w:tc>
        <w:tc>
          <w:tcPr>
            <w:tcW w:w="937" w:type="dxa"/>
            <w:tcMar>
              <w:right w:w="227" w:type="dxa"/>
            </w:tcMar>
            <w:vAlign w:val="center"/>
          </w:tcPr>
          <w:p w:rsidR="00000000" w:rsidRDefault="00000000">
            <w:pPr>
              <w:jc w:val="right"/>
              <w:rPr>
                <w:sz w:val="20"/>
                <w:lang w:val="es-DO"/>
              </w:rPr>
            </w:pPr>
            <w:r>
              <w:rPr>
                <w:sz w:val="20"/>
                <w:lang w:val="es-DO"/>
              </w:rPr>
              <w:t>1 672</w:t>
            </w:r>
          </w:p>
        </w:tc>
      </w:tr>
      <w:tr w:rsidR="00000000">
        <w:trPr>
          <w:cantSplit/>
        </w:trPr>
        <w:tc>
          <w:tcPr>
            <w:tcW w:w="2284" w:type="dxa"/>
            <w:vAlign w:val="center"/>
          </w:tcPr>
          <w:p w:rsidR="00000000" w:rsidRDefault="00000000">
            <w:pPr>
              <w:rPr>
                <w:sz w:val="20"/>
                <w:lang w:val="es-DO"/>
              </w:rPr>
            </w:pPr>
            <w:r>
              <w:rPr>
                <w:sz w:val="20"/>
                <w:lang w:val="es-DO"/>
              </w:rPr>
              <w:t xml:space="preserve">16 </w:t>
            </w:r>
            <w:r>
              <w:rPr>
                <w:sz w:val="20"/>
              </w:rPr>
              <w:t xml:space="preserve">КОТУИ </w:t>
            </w:r>
          </w:p>
        </w:tc>
        <w:tc>
          <w:tcPr>
            <w:tcW w:w="1182" w:type="dxa"/>
            <w:tcMar>
              <w:right w:w="227" w:type="dxa"/>
            </w:tcMar>
            <w:vAlign w:val="center"/>
          </w:tcPr>
          <w:p w:rsidR="00000000" w:rsidRDefault="00000000">
            <w:pPr>
              <w:jc w:val="right"/>
              <w:rPr>
                <w:sz w:val="20"/>
                <w:lang w:val="es-DO"/>
              </w:rPr>
            </w:pPr>
            <w:r>
              <w:rPr>
                <w:sz w:val="20"/>
                <w:lang w:val="es-DO"/>
              </w:rPr>
              <w:t>48</w:t>
            </w:r>
          </w:p>
        </w:tc>
        <w:tc>
          <w:tcPr>
            <w:tcW w:w="1144" w:type="dxa"/>
            <w:tcMar>
              <w:right w:w="227" w:type="dxa"/>
            </w:tcMar>
            <w:vAlign w:val="center"/>
          </w:tcPr>
          <w:p w:rsidR="00000000" w:rsidRDefault="00000000">
            <w:pPr>
              <w:jc w:val="right"/>
              <w:rPr>
                <w:sz w:val="20"/>
                <w:lang w:val="es-DO"/>
              </w:rPr>
            </w:pPr>
            <w:r>
              <w:rPr>
                <w:sz w:val="20"/>
                <w:lang w:val="es-DO"/>
              </w:rPr>
              <w:t>113</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13</w:t>
            </w:r>
          </w:p>
        </w:tc>
        <w:tc>
          <w:tcPr>
            <w:tcW w:w="1047" w:type="dxa"/>
            <w:tcMar>
              <w:right w:w="227" w:type="dxa"/>
            </w:tcMar>
            <w:vAlign w:val="center"/>
          </w:tcPr>
          <w:p w:rsidR="00000000" w:rsidRDefault="00000000">
            <w:pPr>
              <w:jc w:val="right"/>
              <w:rPr>
                <w:sz w:val="20"/>
                <w:lang w:val="es-DO"/>
              </w:rPr>
            </w:pPr>
            <w:r>
              <w:rPr>
                <w:sz w:val="20"/>
                <w:lang w:val="es-DO"/>
              </w:rPr>
              <w:t>12</w:t>
            </w:r>
          </w:p>
        </w:tc>
        <w:tc>
          <w:tcPr>
            <w:tcW w:w="937" w:type="dxa"/>
            <w:tcMar>
              <w:right w:w="227" w:type="dxa"/>
            </w:tcMar>
            <w:vAlign w:val="center"/>
          </w:tcPr>
          <w:p w:rsidR="00000000" w:rsidRDefault="00000000">
            <w:pPr>
              <w:jc w:val="right"/>
              <w:rPr>
                <w:sz w:val="20"/>
                <w:lang w:val="es-DO"/>
              </w:rPr>
            </w:pPr>
            <w:r>
              <w:rPr>
                <w:sz w:val="20"/>
                <w:lang w:val="es-DO"/>
              </w:rPr>
              <w:t>186</w:t>
            </w:r>
          </w:p>
        </w:tc>
      </w:tr>
      <w:tr w:rsidR="00000000">
        <w:trPr>
          <w:cantSplit/>
        </w:trPr>
        <w:tc>
          <w:tcPr>
            <w:tcW w:w="2284" w:type="dxa"/>
            <w:vAlign w:val="center"/>
          </w:tcPr>
          <w:p w:rsidR="00000000" w:rsidRDefault="00000000">
            <w:pPr>
              <w:rPr>
                <w:sz w:val="20"/>
                <w:lang w:val="es-DO"/>
              </w:rPr>
            </w:pPr>
            <w:r>
              <w:rPr>
                <w:sz w:val="20"/>
                <w:lang w:val="es-DO"/>
              </w:rPr>
              <w:t xml:space="preserve">17 </w:t>
            </w:r>
            <w:r>
              <w:rPr>
                <w:sz w:val="20"/>
              </w:rPr>
              <w:t>МОНТЕ-ПЛАТА</w:t>
            </w:r>
          </w:p>
        </w:tc>
        <w:tc>
          <w:tcPr>
            <w:tcW w:w="1182" w:type="dxa"/>
            <w:tcMar>
              <w:right w:w="227" w:type="dxa"/>
            </w:tcMar>
            <w:vAlign w:val="center"/>
          </w:tcPr>
          <w:p w:rsidR="00000000" w:rsidRDefault="00000000">
            <w:pPr>
              <w:jc w:val="right"/>
              <w:rPr>
                <w:sz w:val="20"/>
                <w:lang w:val="es-DO"/>
              </w:rPr>
            </w:pPr>
            <w:r>
              <w:rPr>
                <w:sz w:val="20"/>
                <w:lang w:val="es-DO"/>
              </w:rPr>
              <w:t>63</w:t>
            </w:r>
          </w:p>
        </w:tc>
        <w:tc>
          <w:tcPr>
            <w:tcW w:w="1144" w:type="dxa"/>
            <w:tcMar>
              <w:right w:w="227" w:type="dxa"/>
            </w:tcMar>
            <w:vAlign w:val="center"/>
          </w:tcPr>
          <w:p w:rsidR="00000000" w:rsidRDefault="00000000">
            <w:pPr>
              <w:jc w:val="right"/>
              <w:rPr>
                <w:sz w:val="20"/>
                <w:lang w:val="es-DO"/>
              </w:rPr>
            </w:pPr>
            <w:r>
              <w:rPr>
                <w:sz w:val="20"/>
                <w:lang w:val="es-DO"/>
              </w:rPr>
              <w:t>874</w:t>
            </w:r>
          </w:p>
        </w:tc>
        <w:tc>
          <w:tcPr>
            <w:tcW w:w="1515" w:type="dxa"/>
            <w:tcMar>
              <w:right w:w="227" w:type="dxa"/>
            </w:tcMar>
            <w:vAlign w:val="center"/>
          </w:tcPr>
          <w:p w:rsidR="00000000" w:rsidRDefault="00000000">
            <w:pPr>
              <w:jc w:val="right"/>
              <w:rPr>
                <w:sz w:val="20"/>
                <w:lang w:val="es-DO"/>
              </w:rPr>
            </w:pPr>
          </w:p>
        </w:tc>
        <w:tc>
          <w:tcPr>
            <w:tcW w:w="1302" w:type="dxa"/>
            <w:tcMar>
              <w:right w:w="227" w:type="dxa"/>
            </w:tcMar>
            <w:vAlign w:val="center"/>
          </w:tcPr>
          <w:p w:rsidR="00000000" w:rsidRDefault="00000000">
            <w:pPr>
              <w:jc w:val="right"/>
              <w:rPr>
                <w:sz w:val="20"/>
                <w:lang w:val="es-DO"/>
              </w:rPr>
            </w:pPr>
            <w:r>
              <w:rPr>
                <w:sz w:val="20"/>
                <w:lang w:val="es-DO"/>
              </w:rPr>
              <w:t>77</w:t>
            </w:r>
          </w:p>
        </w:tc>
        <w:tc>
          <w:tcPr>
            <w:tcW w:w="1047" w:type="dxa"/>
            <w:tcMar>
              <w:right w:w="227" w:type="dxa"/>
            </w:tcMar>
            <w:vAlign w:val="center"/>
          </w:tcPr>
          <w:p w:rsidR="00000000" w:rsidRDefault="00000000">
            <w:pPr>
              <w:jc w:val="right"/>
              <w:rPr>
                <w:sz w:val="20"/>
                <w:lang w:val="es-DO"/>
              </w:rPr>
            </w:pPr>
            <w:r>
              <w:rPr>
                <w:sz w:val="20"/>
                <w:lang w:val="es-DO"/>
              </w:rPr>
              <w:t>28</w:t>
            </w:r>
          </w:p>
        </w:tc>
        <w:tc>
          <w:tcPr>
            <w:tcW w:w="937" w:type="dxa"/>
            <w:tcMar>
              <w:right w:w="227" w:type="dxa"/>
            </w:tcMar>
            <w:vAlign w:val="center"/>
          </w:tcPr>
          <w:p w:rsidR="00000000" w:rsidRDefault="00000000">
            <w:pPr>
              <w:jc w:val="right"/>
              <w:rPr>
                <w:sz w:val="20"/>
                <w:lang w:val="es-DO"/>
              </w:rPr>
            </w:pPr>
            <w:r>
              <w:rPr>
                <w:sz w:val="20"/>
                <w:lang w:val="es-DO"/>
              </w:rPr>
              <w:t>1 042</w:t>
            </w:r>
          </w:p>
        </w:tc>
      </w:tr>
      <w:tr w:rsidR="00000000">
        <w:trPr>
          <w:cantSplit/>
        </w:trPr>
        <w:tc>
          <w:tcPr>
            <w:tcW w:w="2284" w:type="dxa"/>
            <w:vAlign w:val="center"/>
          </w:tcPr>
          <w:p w:rsidR="00000000" w:rsidRDefault="00000000">
            <w:pPr>
              <w:rPr>
                <w:sz w:val="20"/>
                <w:lang w:val="es-DO"/>
              </w:rPr>
            </w:pPr>
            <w:r>
              <w:rPr>
                <w:sz w:val="20"/>
                <w:lang w:val="es-DO"/>
              </w:rPr>
              <w:t xml:space="preserve">18 </w:t>
            </w:r>
            <w:r>
              <w:rPr>
                <w:sz w:val="20"/>
              </w:rPr>
              <w:t>БАОРУКО</w:t>
            </w:r>
          </w:p>
        </w:tc>
        <w:tc>
          <w:tcPr>
            <w:tcW w:w="1182" w:type="dxa"/>
            <w:tcBorders>
              <w:bottom w:val="single" w:sz="4" w:space="0" w:color="auto"/>
            </w:tcBorders>
            <w:tcMar>
              <w:right w:w="227" w:type="dxa"/>
            </w:tcMar>
            <w:vAlign w:val="center"/>
          </w:tcPr>
          <w:p w:rsidR="00000000" w:rsidRDefault="00000000">
            <w:pPr>
              <w:jc w:val="right"/>
              <w:rPr>
                <w:sz w:val="20"/>
                <w:lang w:val="es-ES"/>
              </w:rPr>
            </w:pPr>
            <w:r>
              <w:rPr>
                <w:sz w:val="20"/>
                <w:lang w:val="es-ES"/>
              </w:rPr>
              <w:t>60</w:t>
            </w:r>
          </w:p>
        </w:tc>
        <w:tc>
          <w:tcPr>
            <w:tcW w:w="1144" w:type="dxa"/>
            <w:tcBorders>
              <w:bottom w:val="single" w:sz="4" w:space="0" w:color="auto"/>
            </w:tcBorders>
            <w:tcMar>
              <w:right w:w="227" w:type="dxa"/>
            </w:tcMar>
            <w:vAlign w:val="center"/>
          </w:tcPr>
          <w:p w:rsidR="00000000" w:rsidRDefault="00000000">
            <w:pPr>
              <w:jc w:val="right"/>
              <w:rPr>
                <w:sz w:val="20"/>
                <w:lang w:val="es-ES"/>
              </w:rPr>
            </w:pPr>
            <w:r>
              <w:rPr>
                <w:sz w:val="20"/>
                <w:lang w:val="es-ES"/>
              </w:rPr>
              <w:t>422</w:t>
            </w:r>
          </w:p>
        </w:tc>
        <w:tc>
          <w:tcPr>
            <w:tcW w:w="1515" w:type="dxa"/>
            <w:tcBorders>
              <w:bottom w:val="single" w:sz="4" w:space="0" w:color="auto"/>
            </w:tcBorders>
            <w:tcMar>
              <w:right w:w="227" w:type="dxa"/>
            </w:tcMar>
            <w:vAlign w:val="center"/>
          </w:tcPr>
          <w:p w:rsidR="00000000" w:rsidRDefault="00000000">
            <w:pPr>
              <w:jc w:val="right"/>
              <w:rPr>
                <w:sz w:val="20"/>
                <w:lang w:val="es-ES"/>
              </w:rPr>
            </w:pPr>
            <w:r>
              <w:rPr>
                <w:sz w:val="20"/>
                <w:lang w:val="es-ES"/>
              </w:rPr>
              <w:t>1</w:t>
            </w:r>
          </w:p>
        </w:tc>
        <w:tc>
          <w:tcPr>
            <w:tcW w:w="1302" w:type="dxa"/>
            <w:tcBorders>
              <w:bottom w:val="single" w:sz="4" w:space="0" w:color="auto"/>
            </w:tcBorders>
            <w:tcMar>
              <w:right w:w="227" w:type="dxa"/>
            </w:tcMar>
            <w:vAlign w:val="center"/>
          </w:tcPr>
          <w:p w:rsidR="00000000" w:rsidRDefault="00000000">
            <w:pPr>
              <w:jc w:val="right"/>
              <w:rPr>
                <w:sz w:val="20"/>
                <w:lang w:val="es-ES"/>
              </w:rPr>
            </w:pPr>
            <w:r>
              <w:rPr>
                <w:sz w:val="20"/>
                <w:lang w:val="es-ES"/>
              </w:rPr>
              <w:t>28</w:t>
            </w:r>
          </w:p>
        </w:tc>
        <w:tc>
          <w:tcPr>
            <w:tcW w:w="1047" w:type="dxa"/>
            <w:tcBorders>
              <w:bottom w:val="single" w:sz="4" w:space="0" w:color="auto"/>
            </w:tcBorders>
            <w:tcMar>
              <w:right w:w="227" w:type="dxa"/>
            </w:tcMar>
            <w:vAlign w:val="center"/>
          </w:tcPr>
          <w:p w:rsidR="00000000" w:rsidRDefault="00000000">
            <w:pPr>
              <w:jc w:val="right"/>
              <w:rPr>
                <w:sz w:val="20"/>
                <w:lang w:val="es-ES"/>
              </w:rPr>
            </w:pPr>
            <w:r>
              <w:rPr>
                <w:sz w:val="20"/>
                <w:lang w:val="es-ES"/>
              </w:rPr>
              <w:t>36</w:t>
            </w:r>
          </w:p>
        </w:tc>
        <w:tc>
          <w:tcPr>
            <w:tcW w:w="937" w:type="dxa"/>
            <w:tcBorders>
              <w:bottom w:val="single" w:sz="4" w:space="0" w:color="auto"/>
            </w:tcBorders>
            <w:tcMar>
              <w:right w:w="227" w:type="dxa"/>
            </w:tcMar>
            <w:vAlign w:val="center"/>
          </w:tcPr>
          <w:p w:rsidR="00000000" w:rsidRDefault="00000000">
            <w:pPr>
              <w:jc w:val="right"/>
              <w:rPr>
                <w:sz w:val="20"/>
                <w:lang w:val="es-ES"/>
              </w:rPr>
            </w:pPr>
            <w:r>
              <w:rPr>
                <w:sz w:val="20"/>
                <w:lang w:val="es-ES"/>
              </w:rPr>
              <w:t>547</w:t>
            </w:r>
          </w:p>
        </w:tc>
      </w:tr>
      <w:tr w:rsidR="00000000">
        <w:trPr>
          <w:cantSplit/>
        </w:trPr>
        <w:tc>
          <w:tcPr>
            <w:tcW w:w="2284" w:type="dxa"/>
            <w:vAlign w:val="center"/>
          </w:tcPr>
          <w:p w:rsidR="00000000" w:rsidRDefault="00000000">
            <w:pPr>
              <w:rPr>
                <w:sz w:val="20"/>
              </w:rPr>
            </w:pPr>
            <w:r>
              <w:rPr>
                <w:sz w:val="20"/>
              </w:rPr>
              <w:t>ИТОГО</w:t>
            </w:r>
          </w:p>
        </w:tc>
        <w:tc>
          <w:tcPr>
            <w:tcW w:w="1182" w:type="dxa"/>
            <w:tcBorders>
              <w:bottom w:val="single" w:sz="4" w:space="0" w:color="auto"/>
            </w:tcBorders>
            <w:tcMar>
              <w:right w:w="227" w:type="dxa"/>
            </w:tcMar>
            <w:vAlign w:val="center"/>
          </w:tcPr>
          <w:p w:rsidR="00000000" w:rsidRDefault="00000000">
            <w:pPr>
              <w:jc w:val="right"/>
              <w:rPr>
                <w:sz w:val="20"/>
                <w:lang w:val="es-ES"/>
              </w:rPr>
            </w:pPr>
            <w:r>
              <w:rPr>
                <w:sz w:val="20"/>
                <w:lang w:val="es-ES"/>
              </w:rPr>
              <w:t>1 934</w:t>
            </w:r>
          </w:p>
        </w:tc>
        <w:tc>
          <w:tcPr>
            <w:tcW w:w="1144" w:type="dxa"/>
            <w:tcBorders>
              <w:bottom w:val="single" w:sz="4" w:space="0" w:color="auto"/>
            </w:tcBorders>
            <w:tcMar>
              <w:right w:w="227" w:type="dxa"/>
            </w:tcMar>
            <w:vAlign w:val="center"/>
          </w:tcPr>
          <w:p w:rsidR="00000000" w:rsidRDefault="00000000">
            <w:pPr>
              <w:jc w:val="right"/>
              <w:rPr>
                <w:sz w:val="20"/>
                <w:lang w:val="es-ES"/>
              </w:rPr>
            </w:pPr>
            <w:r>
              <w:rPr>
                <w:sz w:val="20"/>
                <w:lang w:val="es-ES"/>
              </w:rPr>
              <w:t>14 188</w:t>
            </w:r>
          </w:p>
        </w:tc>
        <w:tc>
          <w:tcPr>
            <w:tcW w:w="1515" w:type="dxa"/>
            <w:tcBorders>
              <w:bottom w:val="single" w:sz="4" w:space="0" w:color="auto"/>
            </w:tcBorders>
            <w:tcMar>
              <w:right w:w="227" w:type="dxa"/>
            </w:tcMar>
            <w:vAlign w:val="center"/>
          </w:tcPr>
          <w:p w:rsidR="00000000" w:rsidRDefault="00000000">
            <w:pPr>
              <w:jc w:val="right"/>
              <w:rPr>
                <w:sz w:val="20"/>
                <w:lang w:val="es-ES"/>
              </w:rPr>
            </w:pPr>
            <w:r>
              <w:rPr>
                <w:sz w:val="20"/>
                <w:lang w:val="es-ES"/>
              </w:rPr>
              <w:t>10</w:t>
            </w:r>
          </w:p>
        </w:tc>
        <w:tc>
          <w:tcPr>
            <w:tcW w:w="1302" w:type="dxa"/>
            <w:tcBorders>
              <w:bottom w:val="single" w:sz="4" w:space="0" w:color="auto"/>
            </w:tcBorders>
            <w:tcMar>
              <w:right w:w="227" w:type="dxa"/>
            </w:tcMar>
            <w:vAlign w:val="center"/>
          </w:tcPr>
          <w:p w:rsidR="00000000" w:rsidRDefault="00000000">
            <w:pPr>
              <w:jc w:val="right"/>
              <w:rPr>
                <w:sz w:val="20"/>
                <w:lang w:val="es-ES"/>
              </w:rPr>
            </w:pPr>
            <w:r>
              <w:rPr>
                <w:sz w:val="20"/>
                <w:lang w:val="es-ES"/>
              </w:rPr>
              <w:t>1 447</w:t>
            </w:r>
          </w:p>
        </w:tc>
        <w:tc>
          <w:tcPr>
            <w:tcW w:w="1047" w:type="dxa"/>
            <w:tcBorders>
              <w:bottom w:val="single" w:sz="4" w:space="0" w:color="auto"/>
            </w:tcBorders>
            <w:tcMar>
              <w:right w:w="227" w:type="dxa"/>
            </w:tcMar>
            <w:vAlign w:val="center"/>
          </w:tcPr>
          <w:p w:rsidR="00000000" w:rsidRDefault="00000000">
            <w:pPr>
              <w:jc w:val="right"/>
              <w:rPr>
                <w:sz w:val="20"/>
                <w:lang w:val="es-ES"/>
              </w:rPr>
            </w:pPr>
            <w:r>
              <w:rPr>
                <w:sz w:val="20"/>
                <w:lang w:val="es-ES"/>
              </w:rPr>
              <w:t>859</w:t>
            </w:r>
          </w:p>
        </w:tc>
        <w:tc>
          <w:tcPr>
            <w:tcW w:w="937" w:type="dxa"/>
            <w:tcBorders>
              <w:bottom w:val="single" w:sz="4" w:space="0" w:color="auto"/>
            </w:tcBorders>
            <w:tcMar>
              <w:right w:w="227" w:type="dxa"/>
            </w:tcMar>
            <w:vAlign w:val="center"/>
          </w:tcPr>
          <w:p w:rsidR="00000000" w:rsidRDefault="00000000">
            <w:pPr>
              <w:jc w:val="right"/>
              <w:rPr>
                <w:sz w:val="20"/>
                <w:lang w:val="es-ES"/>
              </w:rPr>
            </w:pPr>
            <w:r>
              <w:rPr>
                <w:sz w:val="20"/>
                <w:lang w:val="es-ES"/>
              </w:rPr>
              <w:t>18 438</w:t>
            </w:r>
          </w:p>
        </w:tc>
      </w:tr>
    </w:tbl>
    <w:p w:rsidR="00000000" w:rsidRDefault="00000000"/>
    <w:p w:rsidR="00000000" w:rsidRDefault="00000000">
      <w:pPr>
        <w:rPr>
          <w:b/>
          <w:bCs/>
        </w:rPr>
      </w:pPr>
      <w:r>
        <w:rPr>
          <w:b/>
          <w:bCs/>
        </w:rPr>
        <w:t>Образование</w:t>
      </w:r>
    </w:p>
    <w:p w:rsidR="00000000" w:rsidRDefault="00000000"/>
    <w:p w:rsidR="00000000" w:rsidRDefault="00000000">
      <w:r>
        <w:t>77.</w:t>
      </w:r>
      <w:r>
        <w:tab/>
        <w:t>Доминиканская Республика переживает большие перемены в сфере образования.  Удалось добиться существенного улучшения качества обучения, увеличения количества детей, посещающих школы, а также роста мастерства педагогических кадров.</w:t>
      </w:r>
    </w:p>
    <w:p w:rsidR="00000000" w:rsidRDefault="00000000"/>
    <w:p w:rsidR="00000000" w:rsidRDefault="00000000">
      <w:r>
        <w:t>78.</w:t>
      </w:r>
      <w:r>
        <w:tab/>
        <w:t>Доля детей, не посещающих школы, снизилась с 19% в 1985 году до 8% в 2002 году.  Количество же детей, охваченных школьным обучением, заметно увеличилось во всех возрастных группах:  с 18% до 19% в категории 3-5 лет;  с 60% до 77% в категории 5 лет;  с 88% до 93% в категории 6-13 лет;  с 27% до 35% в категории 14-17 лет.</w:t>
      </w:r>
    </w:p>
    <w:p w:rsidR="00000000" w:rsidRDefault="00000000"/>
    <w:p w:rsidR="00000000" w:rsidRDefault="00000000">
      <w:r>
        <w:t>79.</w:t>
      </w:r>
      <w:r>
        <w:tab/>
        <w:t>Как отметил президент Республики г-н Иполито Мехия в своем выступлении перед членами сената и палаты депутатов по случаю 159-й годовщины Национальной независимости, эти впечатляющие результаты стали возможны благодаря высокому профессионализму 10 000 педагогов и школьных администраторов, а также бесплатной раздаче 8 млн. книг.</w:t>
      </w:r>
    </w:p>
    <w:p w:rsidR="00000000" w:rsidRDefault="00000000"/>
    <w:p w:rsidR="00000000" w:rsidRDefault="00000000">
      <w:r>
        <w:t>80.</w:t>
      </w:r>
      <w:r>
        <w:tab/>
        <w:t>Президент указал также, что было построено 250 детских домов, рассчитанных на 16 000 детей, со штатом в 1 200 воспитателей и назначено свыше 11 000 стипендий бедным студентам.  Кроме того, было оборудовано 344 лаборатории по информатике и 90 виртуальных классов, установлено 1 700 компьютеров на центральном и региональном уровнях образования.</w:t>
      </w:r>
    </w:p>
    <w:p w:rsidR="00000000" w:rsidRDefault="00000000"/>
    <w:p w:rsidR="00000000" w:rsidRDefault="00000000">
      <w:r>
        <w:t>81.</w:t>
      </w:r>
      <w:r>
        <w:tab/>
        <w:t>Работники сферы образования активно пропагандируют Органический закон об образовании (№ 66-97), который устанавливает обязательность посещения последнего класса начального уровня обучения и всех классов базового уровня, а также работают над выполнением Десятилетнего плана развития образования, который вводит в систему доминиканского образования новые программы и планы обучения.</w:t>
      </w:r>
    </w:p>
    <w:p w:rsidR="00000000" w:rsidRDefault="00000000"/>
    <w:p w:rsidR="00000000" w:rsidRDefault="00000000">
      <w:r>
        <w:t>82.</w:t>
      </w:r>
      <w:r>
        <w:tab/>
        <w:t>Изменения, вносимые в новые программы и планы обучения, не предусматривают революционного пересмотра роли представителей чернокожего населения в повседневной жизни.</w:t>
      </w:r>
    </w:p>
    <w:p w:rsidR="00000000" w:rsidRDefault="00000000"/>
    <w:p w:rsidR="00000000" w:rsidRDefault="00000000">
      <w:r>
        <w:t>83.</w:t>
      </w:r>
      <w:r>
        <w:tab/>
        <w:t>Учебники испанского языка и истории для первого-четвертого классов содержат тексты, работающие на подтверждение равенства людей и неприятие дискриминации по признаку расы или пола.  В настоящее время мы переживаем процесс перевоспитания через формальное и неформальное образование.</w:t>
      </w:r>
    </w:p>
    <w:p w:rsidR="00000000" w:rsidRDefault="00000000"/>
    <w:p w:rsidR="00000000" w:rsidRDefault="00000000">
      <w:r>
        <w:t>84.</w:t>
      </w:r>
      <w:r>
        <w:tab/>
        <w:t>Что касается пункта 13 заключительных замечаний Комитета, то Доминиканская Республика приняла эффективные меры на всех уровнях национальной системы образования в целях борьбы с расовыми предрассудками.  Так, в статье 4 Органического закона об образовании (№ 66-97) устанавливается, что доминиканское образование основывается на следующих принципах:</w:t>
      </w:r>
    </w:p>
    <w:p w:rsidR="00000000" w:rsidRDefault="00000000"/>
    <w:p w:rsidR="00000000" w:rsidRDefault="00000000">
      <w:pPr>
        <w:ind w:left="1134" w:hanging="1134"/>
      </w:pPr>
      <w:r>
        <w:tab/>
        <w:t>"а)</w:t>
      </w:r>
      <w:r>
        <w:tab/>
        <w:t>образование - это незыблемое и неотъемлемое право человека.  Чтобы эффективно им воспользоваться, каждый человек вправе рассчитывать на комплексное обучение, которое позволит ему раскрыть свою индивидуальность и осуществлять общественно полезную деятельность в соответствии со своим призванием, а также национальными либо местными интересами, без какой бы то ни было дискриминации по признакам расы, пола, веры, экономического или социального положения и иных причин.  Каждый человек имеет право участвовать в культурной жизни и пользоваться благами научно-технического прогресса и его достижениями;</w:t>
      </w:r>
    </w:p>
    <w:p w:rsidR="00000000" w:rsidRDefault="00000000"/>
    <w:p w:rsidR="00000000" w:rsidRDefault="00000000">
      <w:pPr>
        <w:ind w:left="1134" w:hanging="1134"/>
      </w:pPr>
      <w:r>
        <w:tab/>
      </w:r>
      <w:r>
        <w:rPr>
          <w:lang w:val="en-US"/>
        </w:rPr>
        <w:t>b</w:t>
      </w:r>
      <w:r>
        <w:t>)</w:t>
      </w:r>
      <w:r>
        <w:tab/>
        <w:t xml:space="preserve">образование должно основываться на уважении к жизни, основным правам человека, на соблюдении принципа демократического сосуществования, на поиске правды и солидарности; </w:t>
      </w:r>
    </w:p>
    <w:p w:rsidR="00000000" w:rsidRDefault="00000000"/>
    <w:p w:rsidR="00000000" w:rsidRDefault="00000000">
      <w:pPr>
        <w:ind w:left="1134" w:hanging="1134"/>
      </w:pPr>
      <w:r>
        <w:tab/>
      </w:r>
      <w:r>
        <w:rPr>
          <w:lang w:val="en-US"/>
        </w:rPr>
        <w:t>c</w:t>
      </w:r>
      <w:r>
        <w:t>)</w:t>
      </w:r>
      <w:r>
        <w:tab/>
        <w:t>доминиканское образование вбирает в себя элементы национальной культуры и высшие ценности человечества и служит тому, чтобы обогащать их;</w:t>
      </w:r>
    </w:p>
    <w:p w:rsidR="00000000" w:rsidRDefault="00000000"/>
    <w:p w:rsidR="00000000" w:rsidRDefault="00000000">
      <w:pPr>
        <w:ind w:left="1134" w:hanging="1134"/>
      </w:pPr>
      <w:r>
        <w:tab/>
      </w:r>
      <w:r>
        <w:rPr>
          <w:lang w:val="en-US"/>
        </w:rPr>
        <w:t>d</w:t>
      </w:r>
      <w:r>
        <w:t>)</w:t>
      </w:r>
      <w:r>
        <w:tab/>
        <w:t>вся доминиканская образовательная система основывается на христианских принципах, изложенных в Евангелии, и девизе "Бог, Родина и Свобода", который изображен на гербе Доминиканской Республики;</w:t>
      </w:r>
    </w:p>
    <w:p w:rsidR="00000000" w:rsidRDefault="00000000"/>
    <w:p w:rsidR="00000000" w:rsidRDefault="00000000">
      <w:pPr>
        <w:ind w:left="1134" w:hanging="1134"/>
      </w:pPr>
      <w:r>
        <w:tab/>
      </w:r>
      <w:r>
        <w:rPr>
          <w:lang w:val="en-US"/>
        </w:rPr>
        <w:t>e</w:t>
      </w:r>
      <w:r>
        <w:t>)</w:t>
      </w:r>
      <w:r>
        <w:tab/>
        <w:t>историческое, культурное, научное и техническое наследие - как всемирное, так и отечественное - является основополагающим в системе национального образования;</w:t>
      </w:r>
    </w:p>
    <w:p w:rsidR="00000000" w:rsidRDefault="00000000"/>
    <w:p w:rsidR="00000000" w:rsidRDefault="00000000">
      <w:pPr>
        <w:ind w:left="1134" w:hanging="1134"/>
      </w:pPr>
      <w:r>
        <w:tab/>
      </w:r>
      <w:r>
        <w:rPr>
          <w:lang w:val="en-US"/>
        </w:rPr>
        <w:t>f</w:t>
      </w:r>
      <w:r>
        <w:t>)</w:t>
      </w:r>
      <w:r>
        <w:tab/>
        <w:t>семья, в первую очередь ответственная за воспитание и образование детей, имеет право и несет обязанность по их обучению.  Она свободна в принятии решения о том, какой вид и форму обучения избрать для своих детей;</w:t>
      </w:r>
    </w:p>
    <w:p w:rsidR="00000000" w:rsidRDefault="00000000"/>
    <w:p w:rsidR="00000000" w:rsidRDefault="00000000">
      <w:pPr>
        <w:ind w:left="1134" w:hanging="1134"/>
      </w:pPr>
      <w:r>
        <w:tab/>
      </w:r>
      <w:r>
        <w:rPr>
          <w:lang w:val="en-US"/>
        </w:rPr>
        <w:t>g</w:t>
      </w:r>
      <w:r>
        <w:t>)</w:t>
      </w:r>
      <w:r>
        <w:tab/>
        <w:t>образование как средство индивидуального развития и первостепенный фактор социального развития - это задача национально-государственной значимости, а потому ответственность лежит на всех.  Государство обязано обеспечить равные количественные и качественные возможности для получения образования, которое могут давать государственные и негосударственные учебные заведения, при полном соблюдении принципов и норм, установленных в настоящем Законе;</w:t>
      </w:r>
    </w:p>
    <w:p w:rsidR="00000000" w:rsidRDefault="00000000"/>
    <w:p w:rsidR="00000000" w:rsidRDefault="00000000">
      <w:pPr>
        <w:ind w:left="1134" w:hanging="1134"/>
      </w:pPr>
      <w:r>
        <w:tab/>
      </w:r>
      <w:r>
        <w:rPr>
          <w:lang w:val="en-US"/>
        </w:rPr>
        <w:t>h</w:t>
      </w:r>
      <w:r>
        <w:t>)</w:t>
      </w:r>
      <w:r>
        <w:tab/>
        <w:t>доминиканское образование основывается на христианских, этических, эстетических, общественных, патриотических, массовых и демократических ценностях в интересах сближения коллективных и индивидуальных потребностей;</w:t>
      </w:r>
    </w:p>
    <w:p w:rsidR="00000000" w:rsidRDefault="00000000"/>
    <w:p w:rsidR="00000000" w:rsidRDefault="00000000">
      <w:pPr>
        <w:ind w:left="1134" w:hanging="1134"/>
      </w:pPr>
      <w:r>
        <w:tab/>
      </w:r>
      <w:r>
        <w:rPr>
          <w:lang w:val="en-US"/>
        </w:rPr>
        <w:t>i</w:t>
      </w:r>
      <w:r>
        <w:t>)</w:t>
      </w:r>
      <w:r>
        <w:tab/>
        <w:t xml:space="preserve">обязанность государства в плане обеспечения каждому человеку равных возможностей для получения образования - проводить политику и налаживать необходимые механизмы для вовлечения его в образовательную сферу посредством социальной, экономической и культурной поддержки семьи и учащегося, прежде всего путем оказания необходимой помощи учащимся, с тем чтобы преодолеть трудности семейного и социально-экономического порядка; </w:t>
      </w:r>
    </w:p>
    <w:p w:rsidR="00000000" w:rsidRDefault="00000000"/>
    <w:p w:rsidR="00000000" w:rsidRDefault="00000000">
      <w:pPr>
        <w:ind w:left="1134" w:hanging="1134"/>
      </w:pPr>
      <w:r>
        <w:tab/>
      </w:r>
      <w:r>
        <w:rPr>
          <w:lang w:val="en-US"/>
        </w:rPr>
        <w:t>j</w:t>
      </w:r>
      <w:r>
        <w:t>)</w:t>
      </w:r>
      <w:r>
        <w:tab/>
        <w:t>свобода образования - это основополагающий принцип доминиканской образовательной системы, отвечающий требованиях Конституции;</w:t>
      </w:r>
    </w:p>
    <w:p w:rsidR="00000000" w:rsidRDefault="00000000"/>
    <w:p w:rsidR="00000000" w:rsidRDefault="00000000">
      <w:pPr>
        <w:ind w:left="1134" w:hanging="1134"/>
      </w:pPr>
      <w:r>
        <w:tab/>
      </w:r>
      <w:r>
        <w:rPr>
          <w:lang w:val="en-US"/>
        </w:rPr>
        <w:t>k</w:t>
      </w:r>
      <w:r>
        <w:t>)</w:t>
      </w:r>
      <w:r>
        <w:tab/>
        <w:t>расходы на образование составляют государственные капиталовложения общественной значимости;</w:t>
      </w:r>
    </w:p>
    <w:p w:rsidR="00000000" w:rsidRDefault="00000000"/>
    <w:p w:rsidR="00000000" w:rsidRDefault="00000000">
      <w:pPr>
        <w:ind w:left="1134" w:hanging="1134"/>
      </w:pPr>
      <w:r>
        <w:tab/>
      </w:r>
      <w:r>
        <w:rPr>
          <w:lang w:val="en-US"/>
        </w:rPr>
        <w:t>l</w:t>
      </w:r>
      <w:r>
        <w:t>)</w:t>
      </w:r>
      <w:r>
        <w:tab/>
        <w:t>питание и состояние здоровья в целом - это главные определяющие школьной успеваемости, и именно поэтому государство должно их улучшать;</w:t>
      </w:r>
    </w:p>
    <w:p w:rsidR="00000000" w:rsidRDefault="00000000"/>
    <w:p w:rsidR="00000000" w:rsidRDefault="00000000">
      <w:pPr>
        <w:ind w:left="1134" w:hanging="1134"/>
      </w:pPr>
      <w:r>
        <w:tab/>
      </w:r>
      <w:r>
        <w:rPr>
          <w:lang w:val="en-US"/>
        </w:rPr>
        <w:t>m</w:t>
      </w:r>
      <w:r>
        <w:t>)</w:t>
      </w:r>
      <w:r>
        <w:tab/>
        <w:t>учащиеся имеют право на надлежащее и бесплатное образование независимо от того, особо ли это одаренные дети или лица с физическими недостатками и проблемами умственного развития, которые должны получать специальное образование;</w:t>
      </w:r>
    </w:p>
    <w:p w:rsidR="00000000" w:rsidRDefault="00000000"/>
    <w:p w:rsidR="00000000" w:rsidRDefault="00000000">
      <w:pPr>
        <w:ind w:left="1134" w:hanging="1134"/>
      </w:pPr>
      <w:r>
        <w:tab/>
      </w:r>
      <w:r>
        <w:rPr>
          <w:lang w:val="en-US"/>
        </w:rPr>
        <w:t>n</w:t>
      </w:r>
      <w:r>
        <w:t>)</w:t>
      </w:r>
      <w:r>
        <w:tab/>
        <w:t>образование должно использовать народные знания в качестве источника познаний и инструмента проведения организационных, воспитательных и общественных мероприятий, преломляя их через призму научно-технических знаний для формирования культуры, свойственной современному развитию человечества.  Опорной точкой в деле разработки стратегий, политики, планов, программ и проектов в области образования является общество и его развитие;</w:t>
      </w:r>
    </w:p>
    <w:p w:rsidR="00000000" w:rsidRDefault="00000000"/>
    <w:p w:rsidR="00000000" w:rsidRDefault="00000000">
      <w:pPr>
        <w:ind w:left="1134" w:hanging="1134"/>
      </w:pPr>
      <w:r>
        <w:tab/>
        <w:t>ñ)</w:t>
      </w:r>
      <w:r>
        <w:tab/>
        <w:t>главный принцип образовательной системы - непрерывность образования.  С этой целью система должна развивать в учащихся с самого раннего возраста желание учиться самим, а также способствовать вовлечению взрослых в различные формы обучения".</w:t>
      </w:r>
    </w:p>
    <w:p w:rsidR="00000000" w:rsidRDefault="00000000">
      <w:pPr>
        <w:ind w:left="1134" w:hanging="1134"/>
      </w:pPr>
    </w:p>
    <w:p w:rsidR="00000000" w:rsidRDefault="00000000">
      <w:pPr>
        <w:jc w:val="center"/>
      </w:pPr>
      <w:r>
        <w:t>- - - - -</w:t>
      </w:r>
    </w:p>
    <w:p w:rsidR="00000000" w:rsidRDefault="00000000">
      <w:pPr>
        <w:jc w:val="center"/>
      </w:pPr>
    </w:p>
    <w:sectPr w:rsidR="00000000">
      <w:headerReference w:type="even" r:id="rId8"/>
      <w:headerReference w:type="default" r:id="rId9"/>
      <w:footerReference w:type="default" r:id="rId10"/>
      <w:footerReference w:type="first" r:id="rId11"/>
      <w:type w:val="continuous"/>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lang w:val="en-US"/>
      </w:rPr>
      <w:t>GE.07-42350 (R)     090807    0</w:t>
    </w:r>
    <w:r>
      <w:t>4</w:t>
    </w:r>
    <w:r>
      <w:rPr>
        <w:lang w:val="en-US"/>
      </w:rPr>
      <w:t>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txbxContent>
          </v:textbox>
        </v:shape>
      </w:pict>
    </w:r>
    <w:r>
      <w:rPr>
        <w:lang w:val="en-US"/>
      </w:rPr>
      <w:t>CERD/C/DOM/12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rP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7293"/>
      <w:rPr>
        <w:lang w:val="en-US"/>
      </w:rPr>
    </w:pPr>
    <w:r>
      <w:rPr>
        <w:lang w:val="en-US"/>
      </w:rPr>
      <w:t>CERD/C/DOM/12</w:t>
    </w:r>
  </w:p>
  <w:p w:rsidR="00000000" w:rsidRDefault="00000000">
    <w:pPr>
      <w:pStyle w:val="Header"/>
      <w:ind w:firstLine="7293"/>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rP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6552830"/>
    <w:multiLevelType w:val="hybridMultilevel"/>
    <w:tmpl w:val="B89CAB96"/>
    <w:lvl w:ilvl="0" w:tplc="39BC3A1E">
      <w:start w:val="1"/>
      <w:numFmt w:val="decimal"/>
      <w:lvlText w:val="%1."/>
      <w:lvlJc w:val="left"/>
      <w:pPr>
        <w:tabs>
          <w:tab w:val="num" w:pos="1669"/>
        </w:tabs>
        <w:ind w:left="1669" w:hanging="9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28642C7C"/>
    <w:multiLevelType w:val="hybridMultilevel"/>
    <w:tmpl w:val="9C6C66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21661F7"/>
    <w:multiLevelType w:val="hybridMultilevel"/>
    <w:tmpl w:val="777A28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2396D44"/>
    <w:multiLevelType w:val="hybridMultilevel"/>
    <w:tmpl w:val="0BECC49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6E934C69"/>
    <w:multiLevelType w:val="hybridMultilevel"/>
    <w:tmpl w:val="5EFC843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6EF86BC2"/>
    <w:multiLevelType w:val="hybridMultilevel"/>
    <w:tmpl w:val="7D3CF11C"/>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6551</Words>
  <Characters>37346</Characters>
  <Application>Microsoft Office Word</Application>
  <DocSecurity>4</DocSecurity>
  <Lines>311</Lines>
  <Paragraphs>74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LinksUpToDate>false</LinksUpToDate>
  <CharactersWithSpaces>45863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Черняева</cp:lastModifiedBy>
  <cp:revision>2</cp:revision>
  <cp:lastPrinted>2007-09-04T12:02:00Z</cp:lastPrinted>
  <dcterms:created xsi:type="dcterms:W3CDTF">2007-09-04T12:03:00Z</dcterms:created>
  <dcterms:modified xsi:type="dcterms:W3CDTF">2007-09-04T12:03:00Z</dcterms:modified>
</cp:coreProperties>
</file>